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33C" w:rsidRPr="00976B79" w:rsidRDefault="009D3366" w:rsidP="00BB3FBD">
      <w:pPr>
        <w:pStyle w:val="E3Title"/>
        <w:rPr>
          <w:color w:val="FFFFFF" w:themeColor="background1"/>
        </w:rPr>
      </w:pPr>
      <w:bookmarkStart w:id="0" w:name="_GoBack"/>
      <w:bookmarkEnd w:id="0"/>
      <w:r w:rsidRPr="00976B79">
        <w:rPr>
          <w:color w:val="FFFFFF" w:themeColor="background1"/>
        </w:rPr>
        <w:t xml:space="preserve">Product Profile: </w:t>
      </w:r>
      <w:r w:rsidR="00B6599A" w:rsidRPr="00976B79">
        <w:rPr>
          <w:color w:val="FFFFFF" w:themeColor="background1"/>
        </w:rPr>
        <w:t>Light Emitting Diodes (LEDs)</w:t>
      </w:r>
    </w:p>
    <w:p w:rsidR="00ED5DCA" w:rsidRPr="003107D2" w:rsidRDefault="00B6599A" w:rsidP="00BB3FBD">
      <w:pPr>
        <w:pStyle w:val="E3Subtitle"/>
        <w:spacing w:before="3400"/>
      </w:pPr>
      <w:r>
        <w:t>LED Lighting in</w:t>
      </w:r>
      <w:r w:rsidR="00192CE2" w:rsidRPr="003107D2">
        <w:t xml:space="preserve"> Australia and New Zealand</w:t>
      </w:r>
    </w:p>
    <w:p w:rsidR="0069133C" w:rsidRPr="003107D2" w:rsidRDefault="0069133C" w:rsidP="00306F77"/>
    <w:p w:rsidR="0069133C" w:rsidRPr="003107D2" w:rsidRDefault="00693790" w:rsidP="00ED5DCA">
      <w:pPr>
        <w:pStyle w:val="E3Subtitle"/>
      </w:pPr>
      <w:r>
        <w:t xml:space="preserve">17 </w:t>
      </w:r>
      <w:r w:rsidR="00500411">
        <w:t>August</w:t>
      </w:r>
      <w:r w:rsidR="00A60AA8">
        <w:t xml:space="preserve"> 2015</w:t>
      </w:r>
    </w:p>
    <w:p w:rsidR="00C30351" w:rsidRPr="003107D2" w:rsidRDefault="00C30351" w:rsidP="0071188B"/>
    <w:p w:rsidR="00C30351" w:rsidRPr="003107D2" w:rsidRDefault="00C30351" w:rsidP="0071188B">
      <w:pPr>
        <w:sectPr w:rsidR="00C30351" w:rsidRPr="003107D2" w:rsidSect="00262B5A">
          <w:headerReference w:type="even" r:id="rId10"/>
          <w:headerReference w:type="default" r:id="rId11"/>
          <w:footerReference w:type="even" r:id="rId12"/>
          <w:footerReference w:type="default" r:id="rId13"/>
          <w:headerReference w:type="first" r:id="rId14"/>
          <w:footerReference w:type="first" r:id="rId15"/>
          <w:pgSz w:w="11907" w:h="16840" w:code="9"/>
          <w:pgMar w:top="-6803" w:right="1134" w:bottom="1418" w:left="1985" w:header="0" w:footer="465" w:gutter="0"/>
          <w:cols w:space="720"/>
          <w:titlePg/>
          <w:docGrid w:linePitch="360"/>
        </w:sectPr>
      </w:pPr>
    </w:p>
    <w:p w:rsidR="00C30351" w:rsidRPr="003107D2" w:rsidRDefault="00C30351">
      <w:pPr>
        <w:spacing w:after="200" w:line="276" w:lineRule="auto"/>
      </w:pPr>
      <w:r w:rsidRPr="003107D2">
        <w:lastRenderedPageBreak/>
        <w:br w:type="page"/>
      </w:r>
    </w:p>
    <w:tbl>
      <w:tblPr>
        <w:tblW w:w="0" w:type="auto"/>
        <w:tblInd w:w="284" w:type="dxa"/>
        <w:shd w:val="clear" w:color="auto" w:fill="FFF2C0"/>
        <w:tblLook w:val="00A0" w:firstRow="1" w:lastRow="0" w:firstColumn="1" w:lastColumn="0" w:noHBand="0" w:noVBand="0"/>
      </w:tblPr>
      <w:tblGrid>
        <w:gridCol w:w="9498"/>
      </w:tblGrid>
      <w:tr w:rsidR="00E944A6" w:rsidRPr="003107D2" w:rsidTr="007C5E9F">
        <w:tc>
          <w:tcPr>
            <w:tcW w:w="9498" w:type="dxa"/>
            <w:shd w:val="clear" w:color="auto" w:fill="FFF2C0"/>
            <w:tcMar>
              <w:left w:w="284" w:type="dxa"/>
            </w:tcMar>
          </w:tcPr>
          <w:p w:rsidR="00E944A6" w:rsidRPr="003107D2" w:rsidRDefault="00E944A6" w:rsidP="001F60FF"/>
          <w:p w:rsidR="00E944A6" w:rsidRPr="003107D2" w:rsidRDefault="00E944A6" w:rsidP="00E944A6">
            <w:pPr>
              <w:rPr>
                <w:sz w:val="22"/>
              </w:rPr>
            </w:pPr>
            <w:r w:rsidRPr="003107D2">
              <w:rPr>
                <w:sz w:val="22"/>
              </w:rPr>
              <w:t xml:space="preserve">This work is licensed under the Creative Commons Attribution 3.0 Australia Licence. To view a copy of this license, visit </w:t>
            </w:r>
            <w:hyperlink r:id="rId16" w:tooltip="Creative Commons Attribution 3.0 Australia Licence webpage" w:history="1">
              <w:r w:rsidRPr="003107D2">
                <w:rPr>
                  <w:rStyle w:val="Hyperlink"/>
                </w:rPr>
                <w:t>http://creativecommons.org/licences/by/3.0/au</w:t>
              </w:r>
            </w:hyperlink>
          </w:p>
          <w:p w:rsidR="00E944A6" w:rsidRPr="003107D2" w:rsidRDefault="00E944A6" w:rsidP="00E944A6">
            <w:pPr>
              <w:rPr>
                <w:sz w:val="22"/>
              </w:rPr>
            </w:pPr>
            <w:r w:rsidRPr="003107D2">
              <w:rPr>
                <w:sz w:val="22"/>
              </w:rPr>
              <w:t xml:space="preserve">The Department of </w:t>
            </w:r>
            <w:r w:rsidR="00403454">
              <w:rPr>
                <w:sz w:val="22"/>
              </w:rPr>
              <w:t>Industry and Science</w:t>
            </w:r>
            <w:r w:rsidR="00DA6D8C" w:rsidRPr="003107D2">
              <w:rPr>
                <w:sz w:val="22"/>
              </w:rPr>
              <w:t xml:space="preserve"> </w:t>
            </w:r>
            <w:r w:rsidRPr="003107D2">
              <w:rPr>
                <w:sz w:val="22"/>
              </w:rPr>
              <w:t xml:space="preserve">on behalf of the Equipment Energy Efficiency Program asserts the right to be recognised as author of the original material in the following manner: </w:t>
            </w:r>
          </w:p>
          <w:p w:rsidR="00E944A6" w:rsidRPr="003107D2" w:rsidRDefault="00E944A6" w:rsidP="00E944A6">
            <w:r w:rsidRPr="003107D2">
              <w:rPr>
                <w:noProof/>
                <w:lang w:eastAsia="en-AU"/>
              </w:rPr>
              <w:drawing>
                <wp:inline distT="0" distB="0" distL="0" distR="0">
                  <wp:extent cx="1743075" cy="323714"/>
                  <wp:effectExtent l="0" t="0" r="0" b="635"/>
                  <wp:docPr id="1" name="Picture 4" descr="Creative Commons Attribution 3.0 Australian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743075" cy="323714"/>
                          </a:xfrm>
                          <a:prstGeom prst="rect">
                            <a:avLst/>
                          </a:prstGeom>
                        </pic:spPr>
                      </pic:pic>
                    </a:graphicData>
                  </a:graphic>
                </wp:inline>
              </w:drawing>
            </w:r>
          </w:p>
          <w:p w:rsidR="00E944A6" w:rsidRPr="003107D2" w:rsidRDefault="00E944A6" w:rsidP="00E944A6">
            <w:pPr>
              <w:rPr>
                <w:sz w:val="22"/>
              </w:rPr>
            </w:pPr>
            <w:r w:rsidRPr="003107D2">
              <w:rPr>
                <w:sz w:val="22"/>
              </w:rPr>
              <w:t xml:space="preserve">© Commonwealth of Australia (Department of </w:t>
            </w:r>
            <w:r w:rsidR="00403454">
              <w:rPr>
                <w:sz w:val="22"/>
              </w:rPr>
              <w:t>Industry and Science</w:t>
            </w:r>
            <w:r w:rsidRPr="003107D2">
              <w:rPr>
                <w:sz w:val="22"/>
              </w:rPr>
              <w:t>) 201</w:t>
            </w:r>
            <w:r w:rsidR="006C41B6">
              <w:rPr>
                <w:sz w:val="22"/>
              </w:rPr>
              <w:t>5</w:t>
            </w:r>
            <w:r w:rsidRPr="003107D2">
              <w:rPr>
                <w:sz w:val="22"/>
              </w:rPr>
              <w:t>.</w:t>
            </w:r>
          </w:p>
          <w:p w:rsidR="00E944A6" w:rsidRPr="003107D2" w:rsidRDefault="00E944A6" w:rsidP="00E944A6">
            <w:pPr>
              <w:rPr>
                <w:sz w:val="22"/>
              </w:rPr>
            </w:pPr>
            <w:r w:rsidRPr="003107D2">
              <w:rPr>
                <w:sz w:val="22"/>
              </w:rPr>
              <w:t>The material in this publication is provided for general information only, and on the understanding that the Australian Government is not providing professional advice. Before any action or decision is taken on the basis of this material the reader should obtain appropriate independent professional advice.</w:t>
            </w:r>
          </w:p>
          <w:p w:rsidR="00E944A6" w:rsidRDefault="00E944A6" w:rsidP="00E944A6">
            <w:pPr>
              <w:rPr>
                <w:rStyle w:val="Hyperlink"/>
                <w:sz w:val="22"/>
              </w:rPr>
            </w:pPr>
            <w:r w:rsidRPr="003107D2">
              <w:rPr>
                <w:sz w:val="22"/>
              </w:rPr>
              <w:t xml:space="preserve">This document is available at </w:t>
            </w:r>
            <w:hyperlink r:id="rId18" w:tooltip="E3 Equipment Energy Efficiency website" w:history="1">
              <w:r w:rsidRPr="003107D2">
                <w:rPr>
                  <w:rStyle w:val="Hyperlink"/>
                  <w:sz w:val="22"/>
                </w:rPr>
                <w:t>www.energyrating.gov.au</w:t>
              </w:r>
            </w:hyperlink>
          </w:p>
          <w:p w:rsidR="00A60AA8" w:rsidRPr="003107D2" w:rsidRDefault="00A60AA8" w:rsidP="00E944A6">
            <w:pPr>
              <w:rPr>
                <w:sz w:val="22"/>
              </w:rPr>
            </w:pPr>
            <w:r w:rsidRPr="00A60AA8">
              <w:rPr>
                <w:sz w:val="22"/>
              </w:rPr>
              <w:t xml:space="preserve">This document was prepared with the assistance of </w:t>
            </w:r>
            <w:r>
              <w:rPr>
                <w:sz w:val="22"/>
              </w:rPr>
              <w:t>Light Naturally</w:t>
            </w:r>
            <w:r w:rsidRPr="00A60AA8">
              <w:rPr>
                <w:sz w:val="22"/>
              </w:rPr>
              <w:t>.</w:t>
            </w:r>
          </w:p>
          <w:p w:rsidR="00E944A6" w:rsidRPr="003107D2" w:rsidRDefault="00E944A6" w:rsidP="00E944A6">
            <w:r w:rsidRPr="003107D2">
              <w:rPr>
                <w:sz w:val="22"/>
              </w:rPr>
              <w:t>While reasonable efforts have been made to ensure that the contents of this publication are factually correct, E3 does not accept responsibility for the accuracy or completeness of the content, and shall not be liable for any loss or damage that may be occasioned directly or indirectly through the use of, or reliance on, the contents of this publication.</w:t>
            </w:r>
          </w:p>
          <w:p w:rsidR="00E944A6" w:rsidRPr="003107D2" w:rsidRDefault="00E944A6" w:rsidP="001F60FF"/>
          <w:p w:rsidR="00E944A6" w:rsidRPr="003107D2" w:rsidRDefault="00E944A6" w:rsidP="001F60FF"/>
          <w:p w:rsidR="00E944A6" w:rsidRPr="003107D2" w:rsidRDefault="00E944A6" w:rsidP="001F60FF"/>
        </w:tc>
      </w:tr>
    </w:tbl>
    <w:p w:rsidR="00A37E0E" w:rsidRPr="003107D2" w:rsidRDefault="00A37E0E" w:rsidP="007C5E9F">
      <w:pPr>
        <w:ind w:left="360"/>
        <w:sectPr w:rsidR="00A37E0E" w:rsidRPr="003107D2" w:rsidSect="00D755F0">
          <w:headerReference w:type="first" r:id="rId19"/>
          <w:type w:val="continuous"/>
          <w:pgSz w:w="11907" w:h="16840" w:code="9"/>
          <w:pgMar w:top="2812" w:right="1134" w:bottom="1418" w:left="1134" w:header="2268" w:footer="709" w:gutter="0"/>
          <w:pgNumType w:fmt="lowerRoman"/>
          <w:cols w:space="720"/>
          <w:titlePg/>
          <w:docGrid w:linePitch="360"/>
        </w:sectPr>
      </w:pPr>
    </w:p>
    <w:p w:rsidR="00A37E0E" w:rsidRPr="003107D2" w:rsidRDefault="00A37E0E" w:rsidP="00631365">
      <w:pPr>
        <w:pStyle w:val="E3ChapterTitle"/>
        <w:framePr w:w="8504" w:h="1020" w:hRule="exact" w:hSpace="180" w:wrap="around" w:vAnchor="page" w:hAnchor="page" w:x="1814" w:y="1191" w:anchorLock="1"/>
        <w:numPr>
          <w:ilvl w:val="0"/>
          <w:numId w:val="0"/>
        </w:numPr>
        <w:ind w:left="851" w:hanging="851"/>
        <w:outlineLvl w:val="9"/>
      </w:pPr>
      <w:bookmarkStart w:id="1" w:name="_Toc322873810"/>
      <w:bookmarkStart w:id="2" w:name="_Toc426387706"/>
      <w:r w:rsidRPr="003107D2">
        <w:lastRenderedPageBreak/>
        <w:t>Contents</w:t>
      </w:r>
      <w:bookmarkEnd w:id="1"/>
      <w:bookmarkEnd w:id="2"/>
    </w:p>
    <w:p w:rsidR="001B5556" w:rsidRDefault="00B525E0">
      <w:pPr>
        <w:pStyle w:val="TOC1"/>
        <w:rPr>
          <w:rFonts w:asciiTheme="minorHAnsi" w:eastAsiaTheme="minorEastAsia" w:hAnsiTheme="minorHAnsi" w:cstheme="minorBidi"/>
          <w:b w:val="0"/>
          <w:caps w:val="0"/>
          <w:noProof/>
          <w:sz w:val="22"/>
          <w:szCs w:val="22"/>
          <w:lang w:eastAsia="en-AU"/>
        </w:rPr>
      </w:pPr>
      <w:r w:rsidRPr="003107D2">
        <w:fldChar w:fldCharType="begin"/>
      </w:r>
      <w:r w:rsidR="009B43DB" w:rsidRPr="003107D2">
        <w:instrText xml:space="preserve"> TOC \o "2-3" \h \z \t "Heading 1,1,E3 Chapter Title,1,E3 Heading 1,1" </w:instrText>
      </w:r>
      <w:r w:rsidRPr="003107D2">
        <w:fldChar w:fldCharType="separate"/>
      </w:r>
      <w:hyperlink w:anchor="_Toc426387706" w:history="1">
        <w:r w:rsidR="001B5556" w:rsidRPr="00E45F67">
          <w:rPr>
            <w:rStyle w:val="Hyperlink"/>
            <w:noProof/>
          </w:rPr>
          <w:t>Contents</w:t>
        </w:r>
        <w:r w:rsidR="001B5556">
          <w:rPr>
            <w:noProof/>
            <w:webHidden/>
          </w:rPr>
          <w:tab/>
        </w:r>
        <w:r w:rsidR="001B5556">
          <w:rPr>
            <w:noProof/>
            <w:webHidden/>
          </w:rPr>
          <w:fldChar w:fldCharType="begin"/>
        </w:r>
        <w:r w:rsidR="001B5556">
          <w:rPr>
            <w:noProof/>
            <w:webHidden/>
          </w:rPr>
          <w:instrText xml:space="preserve"> PAGEREF _Toc426387706 \h </w:instrText>
        </w:r>
        <w:r w:rsidR="001B5556">
          <w:rPr>
            <w:noProof/>
            <w:webHidden/>
          </w:rPr>
        </w:r>
        <w:r w:rsidR="001B5556">
          <w:rPr>
            <w:noProof/>
            <w:webHidden/>
          </w:rPr>
          <w:fldChar w:fldCharType="separate"/>
        </w:r>
        <w:r w:rsidR="002C13E2">
          <w:rPr>
            <w:noProof/>
            <w:webHidden/>
          </w:rPr>
          <w:t>iii</w:t>
        </w:r>
        <w:r w:rsidR="001B5556">
          <w:rPr>
            <w:noProof/>
            <w:webHidden/>
          </w:rPr>
          <w:fldChar w:fldCharType="end"/>
        </w:r>
      </w:hyperlink>
    </w:p>
    <w:p w:rsidR="001B5556" w:rsidRDefault="007C2EFC">
      <w:pPr>
        <w:pStyle w:val="TOC1"/>
        <w:tabs>
          <w:tab w:val="left" w:pos="380"/>
        </w:tabs>
        <w:rPr>
          <w:rFonts w:asciiTheme="minorHAnsi" w:eastAsiaTheme="minorEastAsia" w:hAnsiTheme="minorHAnsi" w:cstheme="minorBidi"/>
          <w:b w:val="0"/>
          <w:caps w:val="0"/>
          <w:noProof/>
          <w:sz w:val="22"/>
          <w:szCs w:val="22"/>
          <w:lang w:eastAsia="en-AU"/>
        </w:rPr>
      </w:pPr>
      <w:hyperlink w:anchor="_Toc426387707" w:history="1">
        <w:r w:rsidR="001B5556" w:rsidRPr="00E45F67">
          <w:rPr>
            <w:rStyle w:val="Hyperlink"/>
            <w:noProof/>
          </w:rPr>
          <w:t>1</w:t>
        </w:r>
        <w:r w:rsidR="001B5556">
          <w:rPr>
            <w:rFonts w:asciiTheme="minorHAnsi" w:eastAsiaTheme="minorEastAsia" w:hAnsiTheme="minorHAnsi" w:cstheme="minorBidi"/>
            <w:b w:val="0"/>
            <w:caps w:val="0"/>
            <w:noProof/>
            <w:sz w:val="22"/>
            <w:szCs w:val="22"/>
            <w:lang w:eastAsia="en-AU"/>
          </w:rPr>
          <w:tab/>
        </w:r>
        <w:r w:rsidR="001B5556" w:rsidRPr="00E45F67">
          <w:rPr>
            <w:rStyle w:val="Hyperlink"/>
            <w:noProof/>
          </w:rPr>
          <w:t>Executive summary</w:t>
        </w:r>
        <w:r w:rsidR="001B5556">
          <w:rPr>
            <w:noProof/>
            <w:webHidden/>
          </w:rPr>
          <w:tab/>
        </w:r>
        <w:r w:rsidR="001B5556">
          <w:rPr>
            <w:noProof/>
            <w:webHidden/>
          </w:rPr>
          <w:fldChar w:fldCharType="begin"/>
        </w:r>
        <w:r w:rsidR="001B5556">
          <w:rPr>
            <w:noProof/>
            <w:webHidden/>
          </w:rPr>
          <w:instrText xml:space="preserve"> PAGEREF _Toc426387707 \h </w:instrText>
        </w:r>
        <w:r w:rsidR="001B5556">
          <w:rPr>
            <w:noProof/>
            <w:webHidden/>
          </w:rPr>
        </w:r>
        <w:r w:rsidR="001B5556">
          <w:rPr>
            <w:noProof/>
            <w:webHidden/>
          </w:rPr>
          <w:fldChar w:fldCharType="separate"/>
        </w:r>
        <w:r w:rsidR="002C13E2">
          <w:rPr>
            <w:noProof/>
            <w:webHidden/>
          </w:rPr>
          <w:t>1</w:t>
        </w:r>
        <w:r w:rsidR="001B5556">
          <w:rPr>
            <w:noProof/>
            <w:webHidden/>
          </w:rPr>
          <w:fldChar w:fldCharType="end"/>
        </w:r>
      </w:hyperlink>
    </w:p>
    <w:p w:rsidR="001B5556" w:rsidRDefault="007C2EFC">
      <w:pPr>
        <w:pStyle w:val="TOC2"/>
        <w:tabs>
          <w:tab w:val="left" w:pos="660"/>
          <w:tab w:val="right" w:leader="dot" w:pos="9629"/>
        </w:tabs>
        <w:rPr>
          <w:rFonts w:asciiTheme="minorHAnsi" w:eastAsiaTheme="minorEastAsia" w:hAnsiTheme="minorHAnsi" w:cstheme="minorBidi"/>
          <w:noProof/>
          <w:sz w:val="22"/>
          <w:lang w:eastAsia="en-AU"/>
        </w:rPr>
      </w:pPr>
      <w:hyperlink w:anchor="_Toc426387708" w:history="1">
        <w:r w:rsidR="001B5556" w:rsidRPr="00E45F67">
          <w:rPr>
            <w:rStyle w:val="Hyperlink"/>
            <w:noProof/>
          </w:rPr>
          <w:t>1.1</w:t>
        </w:r>
        <w:r w:rsidR="001B5556">
          <w:rPr>
            <w:rFonts w:asciiTheme="minorHAnsi" w:eastAsiaTheme="minorEastAsia" w:hAnsiTheme="minorHAnsi" w:cstheme="minorBidi"/>
            <w:noProof/>
            <w:sz w:val="22"/>
            <w:lang w:eastAsia="en-AU"/>
          </w:rPr>
          <w:tab/>
        </w:r>
        <w:r w:rsidR="001B5556" w:rsidRPr="00E45F67">
          <w:rPr>
            <w:rStyle w:val="Hyperlink"/>
            <w:noProof/>
          </w:rPr>
          <w:t>Background</w:t>
        </w:r>
        <w:r w:rsidR="001B5556">
          <w:rPr>
            <w:noProof/>
            <w:webHidden/>
          </w:rPr>
          <w:tab/>
        </w:r>
        <w:r w:rsidR="001B5556">
          <w:rPr>
            <w:noProof/>
            <w:webHidden/>
          </w:rPr>
          <w:fldChar w:fldCharType="begin"/>
        </w:r>
        <w:r w:rsidR="001B5556">
          <w:rPr>
            <w:noProof/>
            <w:webHidden/>
          </w:rPr>
          <w:instrText xml:space="preserve"> PAGEREF _Toc426387708 \h </w:instrText>
        </w:r>
        <w:r w:rsidR="001B5556">
          <w:rPr>
            <w:noProof/>
            <w:webHidden/>
          </w:rPr>
        </w:r>
        <w:r w:rsidR="001B5556">
          <w:rPr>
            <w:noProof/>
            <w:webHidden/>
          </w:rPr>
          <w:fldChar w:fldCharType="separate"/>
        </w:r>
        <w:r w:rsidR="002C13E2">
          <w:rPr>
            <w:noProof/>
            <w:webHidden/>
          </w:rPr>
          <w:t>1</w:t>
        </w:r>
        <w:r w:rsidR="001B5556">
          <w:rPr>
            <w:noProof/>
            <w:webHidden/>
          </w:rPr>
          <w:fldChar w:fldCharType="end"/>
        </w:r>
      </w:hyperlink>
    </w:p>
    <w:p w:rsidR="001B5556" w:rsidRDefault="007C2EFC">
      <w:pPr>
        <w:pStyle w:val="TOC2"/>
        <w:tabs>
          <w:tab w:val="left" w:pos="660"/>
          <w:tab w:val="right" w:leader="dot" w:pos="9629"/>
        </w:tabs>
        <w:rPr>
          <w:rFonts w:asciiTheme="minorHAnsi" w:eastAsiaTheme="minorEastAsia" w:hAnsiTheme="minorHAnsi" w:cstheme="minorBidi"/>
          <w:noProof/>
          <w:sz w:val="22"/>
          <w:lang w:eastAsia="en-AU"/>
        </w:rPr>
      </w:pPr>
      <w:hyperlink w:anchor="_Toc426387709" w:history="1">
        <w:r w:rsidR="001B5556" w:rsidRPr="00E45F67">
          <w:rPr>
            <w:rStyle w:val="Hyperlink"/>
            <w:noProof/>
          </w:rPr>
          <w:t>1.2</w:t>
        </w:r>
        <w:r w:rsidR="001B5556">
          <w:rPr>
            <w:rFonts w:asciiTheme="minorHAnsi" w:eastAsiaTheme="minorEastAsia" w:hAnsiTheme="minorHAnsi" w:cstheme="minorBidi"/>
            <w:noProof/>
            <w:sz w:val="22"/>
            <w:lang w:eastAsia="en-AU"/>
          </w:rPr>
          <w:tab/>
        </w:r>
        <w:r w:rsidR="001B5556" w:rsidRPr="00E45F67">
          <w:rPr>
            <w:rStyle w:val="Hyperlink"/>
            <w:noProof/>
          </w:rPr>
          <w:t>The LED lighting market</w:t>
        </w:r>
        <w:r w:rsidR="001B5556">
          <w:rPr>
            <w:noProof/>
            <w:webHidden/>
          </w:rPr>
          <w:tab/>
        </w:r>
        <w:r w:rsidR="001B5556">
          <w:rPr>
            <w:noProof/>
            <w:webHidden/>
          </w:rPr>
          <w:fldChar w:fldCharType="begin"/>
        </w:r>
        <w:r w:rsidR="001B5556">
          <w:rPr>
            <w:noProof/>
            <w:webHidden/>
          </w:rPr>
          <w:instrText xml:space="preserve"> PAGEREF _Toc426387709 \h </w:instrText>
        </w:r>
        <w:r w:rsidR="001B5556">
          <w:rPr>
            <w:noProof/>
            <w:webHidden/>
          </w:rPr>
        </w:r>
        <w:r w:rsidR="001B5556">
          <w:rPr>
            <w:noProof/>
            <w:webHidden/>
          </w:rPr>
          <w:fldChar w:fldCharType="separate"/>
        </w:r>
        <w:r w:rsidR="002C13E2">
          <w:rPr>
            <w:noProof/>
            <w:webHidden/>
          </w:rPr>
          <w:t>1</w:t>
        </w:r>
        <w:r w:rsidR="001B5556">
          <w:rPr>
            <w:noProof/>
            <w:webHidden/>
          </w:rPr>
          <w:fldChar w:fldCharType="end"/>
        </w:r>
      </w:hyperlink>
    </w:p>
    <w:p w:rsidR="001B5556" w:rsidRDefault="007C2EFC">
      <w:pPr>
        <w:pStyle w:val="TOC2"/>
        <w:tabs>
          <w:tab w:val="left" w:pos="660"/>
          <w:tab w:val="right" w:leader="dot" w:pos="9629"/>
        </w:tabs>
        <w:rPr>
          <w:rFonts w:asciiTheme="minorHAnsi" w:eastAsiaTheme="minorEastAsia" w:hAnsiTheme="minorHAnsi" w:cstheme="minorBidi"/>
          <w:noProof/>
          <w:sz w:val="22"/>
          <w:lang w:eastAsia="en-AU"/>
        </w:rPr>
      </w:pPr>
      <w:hyperlink w:anchor="_Toc426387710" w:history="1">
        <w:r w:rsidR="001B5556" w:rsidRPr="00E45F67">
          <w:rPr>
            <w:rStyle w:val="Hyperlink"/>
            <w:noProof/>
          </w:rPr>
          <w:t>1.3</w:t>
        </w:r>
        <w:r w:rsidR="001B5556">
          <w:rPr>
            <w:rFonts w:asciiTheme="minorHAnsi" w:eastAsiaTheme="minorEastAsia" w:hAnsiTheme="minorHAnsi" w:cstheme="minorBidi"/>
            <w:noProof/>
            <w:sz w:val="22"/>
            <w:lang w:eastAsia="en-AU"/>
          </w:rPr>
          <w:tab/>
        </w:r>
        <w:r w:rsidR="001B5556" w:rsidRPr="00E45F67">
          <w:rPr>
            <w:rStyle w:val="Hyperlink"/>
            <w:noProof/>
          </w:rPr>
          <w:t>Energy consumption</w:t>
        </w:r>
        <w:r w:rsidR="001B5556">
          <w:rPr>
            <w:noProof/>
            <w:webHidden/>
          </w:rPr>
          <w:tab/>
        </w:r>
        <w:r w:rsidR="001B5556">
          <w:rPr>
            <w:noProof/>
            <w:webHidden/>
          </w:rPr>
          <w:fldChar w:fldCharType="begin"/>
        </w:r>
        <w:r w:rsidR="001B5556">
          <w:rPr>
            <w:noProof/>
            <w:webHidden/>
          </w:rPr>
          <w:instrText xml:space="preserve"> PAGEREF _Toc426387710 \h </w:instrText>
        </w:r>
        <w:r w:rsidR="001B5556">
          <w:rPr>
            <w:noProof/>
            <w:webHidden/>
          </w:rPr>
        </w:r>
        <w:r w:rsidR="001B5556">
          <w:rPr>
            <w:noProof/>
            <w:webHidden/>
          </w:rPr>
          <w:fldChar w:fldCharType="separate"/>
        </w:r>
        <w:r w:rsidR="002C13E2">
          <w:rPr>
            <w:noProof/>
            <w:webHidden/>
          </w:rPr>
          <w:t>2</w:t>
        </w:r>
        <w:r w:rsidR="001B5556">
          <w:rPr>
            <w:noProof/>
            <w:webHidden/>
          </w:rPr>
          <w:fldChar w:fldCharType="end"/>
        </w:r>
      </w:hyperlink>
    </w:p>
    <w:p w:rsidR="001B5556" w:rsidRDefault="007C2EFC">
      <w:pPr>
        <w:pStyle w:val="TOC2"/>
        <w:tabs>
          <w:tab w:val="left" w:pos="880"/>
          <w:tab w:val="right" w:leader="dot" w:pos="9629"/>
        </w:tabs>
        <w:rPr>
          <w:rFonts w:asciiTheme="minorHAnsi" w:eastAsiaTheme="minorEastAsia" w:hAnsiTheme="minorHAnsi" w:cstheme="minorBidi"/>
          <w:noProof/>
          <w:sz w:val="22"/>
          <w:lang w:eastAsia="en-AU"/>
        </w:rPr>
      </w:pPr>
      <w:hyperlink w:anchor="_Toc426387711" w:history="1">
        <w:r w:rsidR="001B5556" w:rsidRPr="00E45F67">
          <w:rPr>
            <w:rStyle w:val="Hyperlink"/>
            <w:noProof/>
          </w:rPr>
          <w:t>1.4</w:t>
        </w:r>
        <w:r w:rsidR="001B5556">
          <w:rPr>
            <w:rFonts w:asciiTheme="minorHAnsi" w:eastAsiaTheme="minorEastAsia" w:hAnsiTheme="minorHAnsi" w:cstheme="minorBidi"/>
            <w:noProof/>
            <w:sz w:val="22"/>
            <w:lang w:eastAsia="en-AU"/>
          </w:rPr>
          <w:tab/>
        </w:r>
        <w:r w:rsidR="001B5556" w:rsidRPr="00E45F67">
          <w:rPr>
            <w:rStyle w:val="Hyperlink"/>
            <w:noProof/>
          </w:rPr>
          <w:t>International programs</w:t>
        </w:r>
        <w:r w:rsidR="001B5556">
          <w:rPr>
            <w:noProof/>
            <w:webHidden/>
          </w:rPr>
          <w:tab/>
        </w:r>
        <w:r w:rsidR="001B5556">
          <w:rPr>
            <w:noProof/>
            <w:webHidden/>
          </w:rPr>
          <w:fldChar w:fldCharType="begin"/>
        </w:r>
        <w:r w:rsidR="001B5556">
          <w:rPr>
            <w:noProof/>
            <w:webHidden/>
          </w:rPr>
          <w:instrText xml:space="preserve"> PAGEREF _Toc426387711 \h </w:instrText>
        </w:r>
        <w:r w:rsidR="001B5556">
          <w:rPr>
            <w:noProof/>
            <w:webHidden/>
          </w:rPr>
        </w:r>
        <w:r w:rsidR="001B5556">
          <w:rPr>
            <w:noProof/>
            <w:webHidden/>
          </w:rPr>
          <w:fldChar w:fldCharType="separate"/>
        </w:r>
        <w:r w:rsidR="002C13E2">
          <w:rPr>
            <w:noProof/>
            <w:webHidden/>
          </w:rPr>
          <w:t>2</w:t>
        </w:r>
        <w:r w:rsidR="001B5556">
          <w:rPr>
            <w:noProof/>
            <w:webHidden/>
          </w:rPr>
          <w:fldChar w:fldCharType="end"/>
        </w:r>
      </w:hyperlink>
    </w:p>
    <w:p w:rsidR="001B5556" w:rsidRDefault="007C2EFC">
      <w:pPr>
        <w:pStyle w:val="TOC2"/>
        <w:tabs>
          <w:tab w:val="left" w:pos="660"/>
          <w:tab w:val="right" w:leader="dot" w:pos="9629"/>
        </w:tabs>
        <w:rPr>
          <w:rFonts w:asciiTheme="minorHAnsi" w:eastAsiaTheme="minorEastAsia" w:hAnsiTheme="minorHAnsi" w:cstheme="minorBidi"/>
          <w:noProof/>
          <w:sz w:val="22"/>
          <w:lang w:eastAsia="en-AU"/>
        </w:rPr>
      </w:pPr>
      <w:hyperlink w:anchor="_Toc426387712" w:history="1">
        <w:r w:rsidR="001B5556" w:rsidRPr="00E45F67">
          <w:rPr>
            <w:rStyle w:val="Hyperlink"/>
            <w:noProof/>
          </w:rPr>
          <w:t>1.5</w:t>
        </w:r>
        <w:r w:rsidR="001B5556">
          <w:rPr>
            <w:rFonts w:asciiTheme="minorHAnsi" w:eastAsiaTheme="minorEastAsia" w:hAnsiTheme="minorHAnsi" w:cstheme="minorBidi"/>
            <w:noProof/>
            <w:sz w:val="22"/>
            <w:lang w:eastAsia="en-AU"/>
          </w:rPr>
          <w:tab/>
        </w:r>
        <w:r w:rsidR="001B5556" w:rsidRPr="00E45F67">
          <w:rPr>
            <w:rStyle w:val="Hyperlink"/>
            <w:noProof/>
          </w:rPr>
          <w:t>Policy options</w:t>
        </w:r>
        <w:r w:rsidR="001B5556">
          <w:rPr>
            <w:noProof/>
            <w:webHidden/>
          </w:rPr>
          <w:tab/>
        </w:r>
        <w:r w:rsidR="001B5556">
          <w:rPr>
            <w:noProof/>
            <w:webHidden/>
          </w:rPr>
          <w:fldChar w:fldCharType="begin"/>
        </w:r>
        <w:r w:rsidR="001B5556">
          <w:rPr>
            <w:noProof/>
            <w:webHidden/>
          </w:rPr>
          <w:instrText xml:space="preserve"> PAGEREF _Toc426387712 \h </w:instrText>
        </w:r>
        <w:r w:rsidR="001B5556">
          <w:rPr>
            <w:noProof/>
            <w:webHidden/>
          </w:rPr>
        </w:r>
        <w:r w:rsidR="001B5556">
          <w:rPr>
            <w:noProof/>
            <w:webHidden/>
          </w:rPr>
          <w:fldChar w:fldCharType="separate"/>
        </w:r>
        <w:r w:rsidR="002C13E2">
          <w:rPr>
            <w:noProof/>
            <w:webHidden/>
          </w:rPr>
          <w:t>3</w:t>
        </w:r>
        <w:r w:rsidR="001B5556">
          <w:rPr>
            <w:noProof/>
            <w:webHidden/>
          </w:rPr>
          <w:fldChar w:fldCharType="end"/>
        </w:r>
      </w:hyperlink>
    </w:p>
    <w:p w:rsidR="001B5556" w:rsidRDefault="007C2EFC">
      <w:pPr>
        <w:pStyle w:val="TOC1"/>
        <w:tabs>
          <w:tab w:val="left" w:pos="380"/>
        </w:tabs>
        <w:rPr>
          <w:rFonts w:asciiTheme="minorHAnsi" w:eastAsiaTheme="minorEastAsia" w:hAnsiTheme="minorHAnsi" w:cstheme="minorBidi"/>
          <w:b w:val="0"/>
          <w:caps w:val="0"/>
          <w:noProof/>
          <w:sz w:val="22"/>
          <w:szCs w:val="22"/>
          <w:lang w:eastAsia="en-AU"/>
        </w:rPr>
      </w:pPr>
      <w:hyperlink w:anchor="_Toc426387713" w:history="1">
        <w:r w:rsidR="001B5556" w:rsidRPr="00E45F67">
          <w:rPr>
            <w:rStyle w:val="Hyperlink"/>
            <w:noProof/>
          </w:rPr>
          <w:t>2</w:t>
        </w:r>
        <w:r w:rsidR="001B5556">
          <w:rPr>
            <w:rFonts w:asciiTheme="minorHAnsi" w:eastAsiaTheme="minorEastAsia" w:hAnsiTheme="minorHAnsi" w:cstheme="minorBidi"/>
            <w:b w:val="0"/>
            <w:caps w:val="0"/>
            <w:noProof/>
            <w:sz w:val="22"/>
            <w:szCs w:val="22"/>
            <w:lang w:eastAsia="en-AU"/>
          </w:rPr>
          <w:tab/>
        </w:r>
        <w:r w:rsidR="001B5556" w:rsidRPr="00E45F67">
          <w:rPr>
            <w:rStyle w:val="Hyperlink"/>
            <w:noProof/>
          </w:rPr>
          <w:t>Introduction</w:t>
        </w:r>
        <w:r w:rsidR="001B5556">
          <w:rPr>
            <w:noProof/>
            <w:webHidden/>
          </w:rPr>
          <w:tab/>
        </w:r>
        <w:r w:rsidR="001B5556">
          <w:rPr>
            <w:noProof/>
            <w:webHidden/>
          </w:rPr>
          <w:fldChar w:fldCharType="begin"/>
        </w:r>
        <w:r w:rsidR="001B5556">
          <w:rPr>
            <w:noProof/>
            <w:webHidden/>
          </w:rPr>
          <w:instrText xml:space="preserve"> PAGEREF _Toc426387713 \h </w:instrText>
        </w:r>
        <w:r w:rsidR="001B5556">
          <w:rPr>
            <w:noProof/>
            <w:webHidden/>
          </w:rPr>
        </w:r>
        <w:r w:rsidR="001B5556">
          <w:rPr>
            <w:noProof/>
            <w:webHidden/>
          </w:rPr>
          <w:fldChar w:fldCharType="separate"/>
        </w:r>
        <w:r w:rsidR="002C13E2">
          <w:rPr>
            <w:noProof/>
            <w:webHidden/>
          </w:rPr>
          <w:t>5</w:t>
        </w:r>
        <w:r w:rsidR="001B5556">
          <w:rPr>
            <w:noProof/>
            <w:webHidden/>
          </w:rPr>
          <w:fldChar w:fldCharType="end"/>
        </w:r>
      </w:hyperlink>
    </w:p>
    <w:p w:rsidR="001B5556" w:rsidRDefault="007C2EFC">
      <w:pPr>
        <w:pStyle w:val="TOC2"/>
        <w:tabs>
          <w:tab w:val="left" w:pos="660"/>
          <w:tab w:val="right" w:leader="dot" w:pos="9629"/>
        </w:tabs>
        <w:rPr>
          <w:rFonts w:asciiTheme="minorHAnsi" w:eastAsiaTheme="minorEastAsia" w:hAnsiTheme="minorHAnsi" w:cstheme="minorBidi"/>
          <w:noProof/>
          <w:sz w:val="22"/>
          <w:lang w:eastAsia="en-AU"/>
        </w:rPr>
      </w:pPr>
      <w:hyperlink w:anchor="_Toc426387714" w:history="1">
        <w:r w:rsidR="001B5556" w:rsidRPr="00E45F67">
          <w:rPr>
            <w:rStyle w:val="Hyperlink"/>
            <w:noProof/>
          </w:rPr>
          <w:t>2.1</w:t>
        </w:r>
        <w:r w:rsidR="001B5556">
          <w:rPr>
            <w:rFonts w:asciiTheme="minorHAnsi" w:eastAsiaTheme="minorEastAsia" w:hAnsiTheme="minorHAnsi" w:cstheme="minorBidi"/>
            <w:noProof/>
            <w:sz w:val="22"/>
            <w:lang w:eastAsia="en-AU"/>
          </w:rPr>
          <w:tab/>
        </w:r>
        <w:r w:rsidR="001B5556" w:rsidRPr="00E45F67">
          <w:rPr>
            <w:rStyle w:val="Hyperlink"/>
            <w:noProof/>
          </w:rPr>
          <w:t>Purpose</w:t>
        </w:r>
        <w:r w:rsidR="001B5556">
          <w:rPr>
            <w:noProof/>
            <w:webHidden/>
          </w:rPr>
          <w:tab/>
        </w:r>
        <w:r w:rsidR="001B5556">
          <w:rPr>
            <w:noProof/>
            <w:webHidden/>
          </w:rPr>
          <w:fldChar w:fldCharType="begin"/>
        </w:r>
        <w:r w:rsidR="001B5556">
          <w:rPr>
            <w:noProof/>
            <w:webHidden/>
          </w:rPr>
          <w:instrText xml:space="preserve"> PAGEREF _Toc426387714 \h </w:instrText>
        </w:r>
        <w:r w:rsidR="001B5556">
          <w:rPr>
            <w:noProof/>
            <w:webHidden/>
          </w:rPr>
        </w:r>
        <w:r w:rsidR="001B5556">
          <w:rPr>
            <w:noProof/>
            <w:webHidden/>
          </w:rPr>
          <w:fldChar w:fldCharType="separate"/>
        </w:r>
        <w:r w:rsidR="002C13E2">
          <w:rPr>
            <w:noProof/>
            <w:webHidden/>
          </w:rPr>
          <w:t>5</w:t>
        </w:r>
        <w:r w:rsidR="001B5556">
          <w:rPr>
            <w:noProof/>
            <w:webHidden/>
          </w:rPr>
          <w:fldChar w:fldCharType="end"/>
        </w:r>
      </w:hyperlink>
    </w:p>
    <w:p w:rsidR="001B5556" w:rsidRDefault="007C2EFC">
      <w:pPr>
        <w:pStyle w:val="TOC2"/>
        <w:tabs>
          <w:tab w:val="left" w:pos="880"/>
          <w:tab w:val="right" w:leader="dot" w:pos="9629"/>
        </w:tabs>
        <w:rPr>
          <w:rFonts w:asciiTheme="minorHAnsi" w:eastAsiaTheme="minorEastAsia" w:hAnsiTheme="minorHAnsi" w:cstheme="minorBidi"/>
          <w:noProof/>
          <w:sz w:val="22"/>
          <w:lang w:eastAsia="en-AU"/>
        </w:rPr>
      </w:pPr>
      <w:hyperlink w:anchor="_Toc426387715" w:history="1">
        <w:r w:rsidR="001B5556" w:rsidRPr="00E45F67">
          <w:rPr>
            <w:rStyle w:val="Hyperlink"/>
            <w:noProof/>
          </w:rPr>
          <w:t>2.2</w:t>
        </w:r>
        <w:r w:rsidR="001B5556">
          <w:rPr>
            <w:rFonts w:asciiTheme="minorHAnsi" w:eastAsiaTheme="minorEastAsia" w:hAnsiTheme="minorHAnsi" w:cstheme="minorBidi"/>
            <w:noProof/>
            <w:sz w:val="22"/>
            <w:lang w:eastAsia="en-AU"/>
          </w:rPr>
          <w:tab/>
        </w:r>
        <w:r w:rsidR="001B5556" w:rsidRPr="00E45F67">
          <w:rPr>
            <w:rStyle w:val="Hyperlink"/>
            <w:noProof/>
          </w:rPr>
          <w:t>Where to from here</w:t>
        </w:r>
        <w:r w:rsidR="001B5556">
          <w:rPr>
            <w:noProof/>
            <w:webHidden/>
          </w:rPr>
          <w:tab/>
        </w:r>
        <w:r w:rsidR="001B5556">
          <w:rPr>
            <w:noProof/>
            <w:webHidden/>
          </w:rPr>
          <w:fldChar w:fldCharType="begin"/>
        </w:r>
        <w:r w:rsidR="001B5556">
          <w:rPr>
            <w:noProof/>
            <w:webHidden/>
          </w:rPr>
          <w:instrText xml:space="preserve"> PAGEREF _Toc426387715 \h </w:instrText>
        </w:r>
        <w:r w:rsidR="001B5556">
          <w:rPr>
            <w:noProof/>
            <w:webHidden/>
          </w:rPr>
        </w:r>
        <w:r w:rsidR="001B5556">
          <w:rPr>
            <w:noProof/>
            <w:webHidden/>
          </w:rPr>
          <w:fldChar w:fldCharType="separate"/>
        </w:r>
        <w:r w:rsidR="002C13E2">
          <w:rPr>
            <w:noProof/>
            <w:webHidden/>
          </w:rPr>
          <w:t>5</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16" w:history="1">
        <w:r w:rsidR="001B5556" w:rsidRPr="00E45F67">
          <w:rPr>
            <w:rStyle w:val="Hyperlink"/>
            <w:noProof/>
          </w:rPr>
          <w:t>2.2.1</w:t>
        </w:r>
        <w:r w:rsidR="001B5556">
          <w:rPr>
            <w:rFonts w:asciiTheme="minorHAnsi" w:eastAsiaTheme="minorEastAsia" w:hAnsiTheme="minorHAnsi" w:cstheme="minorBidi"/>
            <w:noProof/>
            <w:sz w:val="22"/>
            <w:szCs w:val="22"/>
            <w:lang w:eastAsia="en-AU"/>
          </w:rPr>
          <w:tab/>
        </w:r>
        <w:r w:rsidR="001B5556" w:rsidRPr="00E45F67">
          <w:rPr>
            <w:rStyle w:val="Hyperlink"/>
            <w:noProof/>
          </w:rPr>
          <w:t>Consultation on this Product Profile</w:t>
        </w:r>
        <w:r w:rsidR="001B5556">
          <w:rPr>
            <w:noProof/>
            <w:webHidden/>
          </w:rPr>
          <w:tab/>
        </w:r>
        <w:r w:rsidR="001B5556">
          <w:rPr>
            <w:noProof/>
            <w:webHidden/>
          </w:rPr>
          <w:fldChar w:fldCharType="begin"/>
        </w:r>
        <w:r w:rsidR="001B5556">
          <w:rPr>
            <w:noProof/>
            <w:webHidden/>
          </w:rPr>
          <w:instrText xml:space="preserve"> PAGEREF _Toc426387716 \h </w:instrText>
        </w:r>
        <w:r w:rsidR="001B5556">
          <w:rPr>
            <w:noProof/>
            <w:webHidden/>
          </w:rPr>
        </w:r>
        <w:r w:rsidR="001B5556">
          <w:rPr>
            <w:noProof/>
            <w:webHidden/>
          </w:rPr>
          <w:fldChar w:fldCharType="separate"/>
        </w:r>
        <w:r w:rsidR="002C13E2">
          <w:rPr>
            <w:noProof/>
            <w:webHidden/>
          </w:rPr>
          <w:t>5</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17" w:history="1">
        <w:r w:rsidR="001B5556" w:rsidRPr="00E45F67">
          <w:rPr>
            <w:rStyle w:val="Hyperlink"/>
            <w:noProof/>
          </w:rPr>
          <w:t>2.2.2</w:t>
        </w:r>
        <w:r w:rsidR="001B5556">
          <w:rPr>
            <w:rFonts w:asciiTheme="minorHAnsi" w:eastAsiaTheme="minorEastAsia" w:hAnsiTheme="minorHAnsi" w:cstheme="minorBidi"/>
            <w:noProof/>
            <w:sz w:val="22"/>
            <w:szCs w:val="22"/>
            <w:lang w:eastAsia="en-AU"/>
          </w:rPr>
          <w:tab/>
        </w:r>
        <w:r w:rsidR="001B5556" w:rsidRPr="00E45F67">
          <w:rPr>
            <w:rStyle w:val="Hyperlink"/>
            <w:noProof/>
          </w:rPr>
          <w:t>After consultation on this Product Profile</w:t>
        </w:r>
        <w:r w:rsidR="001B5556">
          <w:rPr>
            <w:noProof/>
            <w:webHidden/>
          </w:rPr>
          <w:tab/>
        </w:r>
        <w:r w:rsidR="001B5556">
          <w:rPr>
            <w:noProof/>
            <w:webHidden/>
          </w:rPr>
          <w:fldChar w:fldCharType="begin"/>
        </w:r>
        <w:r w:rsidR="001B5556">
          <w:rPr>
            <w:noProof/>
            <w:webHidden/>
          </w:rPr>
          <w:instrText xml:space="preserve"> PAGEREF _Toc426387717 \h </w:instrText>
        </w:r>
        <w:r w:rsidR="001B5556">
          <w:rPr>
            <w:noProof/>
            <w:webHidden/>
          </w:rPr>
        </w:r>
        <w:r w:rsidR="001B5556">
          <w:rPr>
            <w:noProof/>
            <w:webHidden/>
          </w:rPr>
          <w:fldChar w:fldCharType="separate"/>
        </w:r>
        <w:r w:rsidR="002C13E2">
          <w:rPr>
            <w:noProof/>
            <w:webHidden/>
          </w:rPr>
          <w:t>5</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18" w:history="1">
        <w:r w:rsidR="001B5556" w:rsidRPr="00E45F67">
          <w:rPr>
            <w:rStyle w:val="Hyperlink"/>
            <w:noProof/>
          </w:rPr>
          <w:t>2.2.3</w:t>
        </w:r>
        <w:r w:rsidR="001B5556">
          <w:rPr>
            <w:rFonts w:asciiTheme="minorHAnsi" w:eastAsiaTheme="minorEastAsia" w:hAnsiTheme="minorHAnsi" w:cstheme="minorBidi"/>
            <w:noProof/>
            <w:sz w:val="22"/>
            <w:szCs w:val="22"/>
            <w:lang w:eastAsia="en-AU"/>
          </w:rPr>
          <w:tab/>
        </w:r>
        <w:r w:rsidR="001B5556" w:rsidRPr="00E45F67">
          <w:rPr>
            <w:rStyle w:val="Hyperlink"/>
            <w:noProof/>
          </w:rPr>
          <w:t>LED Lighting Product Profile – key questions</w:t>
        </w:r>
        <w:r w:rsidR="001B5556">
          <w:rPr>
            <w:noProof/>
            <w:webHidden/>
          </w:rPr>
          <w:tab/>
        </w:r>
        <w:r w:rsidR="001B5556">
          <w:rPr>
            <w:noProof/>
            <w:webHidden/>
          </w:rPr>
          <w:fldChar w:fldCharType="begin"/>
        </w:r>
        <w:r w:rsidR="001B5556">
          <w:rPr>
            <w:noProof/>
            <w:webHidden/>
          </w:rPr>
          <w:instrText xml:space="preserve"> PAGEREF _Toc426387718 \h </w:instrText>
        </w:r>
        <w:r w:rsidR="001B5556">
          <w:rPr>
            <w:noProof/>
            <w:webHidden/>
          </w:rPr>
        </w:r>
        <w:r w:rsidR="001B5556">
          <w:rPr>
            <w:noProof/>
            <w:webHidden/>
          </w:rPr>
          <w:fldChar w:fldCharType="separate"/>
        </w:r>
        <w:r w:rsidR="002C13E2">
          <w:rPr>
            <w:noProof/>
            <w:webHidden/>
          </w:rPr>
          <w:t>6</w:t>
        </w:r>
        <w:r w:rsidR="001B5556">
          <w:rPr>
            <w:noProof/>
            <w:webHidden/>
          </w:rPr>
          <w:fldChar w:fldCharType="end"/>
        </w:r>
      </w:hyperlink>
    </w:p>
    <w:p w:rsidR="001B5556" w:rsidRDefault="007C2EFC">
      <w:pPr>
        <w:pStyle w:val="TOC1"/>
        <w:tabs>
          <w:tab w:val="left" w:pos="380"/>
        </w:tabs>
        <w:rPr>
          <w:rFonts w:asciiTheme="minorHAnsi" w:eastAsiaTheme="minorEastAsia" w:hAnsiTheme="minorHAnsi" w:cstheme="minorBidi"/>
          <w:b w:val="0"/>
          <w:caps w:val="0"/>
          <w:noProof/>
          <w:sz w:val="22"/>
          <w:szCs w:val="22"/>
          <w:lang w:eastAsia="en-AU"/>
        </w:rPr>
      </w:pPr>
      <w:hyperlink w:anchor="_Toc426387719" w:history="1">
        <w:r w:rsidR="001B5556" w:rsidRPr="00E45F67">
          <w:rPr>
            <w:rStyle w:val="Hyperlink"/>
            <w:noProof/>
          </w:rPr>
          <w:t>3</w:t>
        </w:r>
        <w:r w:rsidR="001B5556">
          <w:rPr>
            <w:rFonts w:asciiTheme="minorHAnsi" w:eastAsiaTheme="minorEastAsia" w:hAnsiTheme="minorHAnsi" w:cstheme="minorBidi"/>
            <w:b w:val="0"/>
            <w:caps w:val="0"/>
            <w:noProof/>
            <w:sz w:val="22"/>
            <w:szCs w:val="22"/>
            <w:lang w:eastAsia="en-AU"/>
          </w:rPr>
          <w:tab/>
        </w:r>
        <w:r w:rsidR="001B5556" w:rsidRPr="00E45F67">
          <w:rPr>
            <w:rStyle w:val="Hyperlink"/>
            <w:noProof/>
          </w:rPr>
          <w:t>The problem</w:t>
        </w:r>
        <w:r w:rsidR="001B5556">
          <w:rPr>
            <w:noProof/>
            <w:webHidden/>
          </w:rPr>
          <w:tab/>
        </w:r>
        <w:r w:rsidR="001B5556">
          <w:rPr>
            <w:noProof/>
            <w:webHidden/>
          </w:rPr>
          <w:fldChar w:fldCharType="begin"/>
        </w:r>
        <w:r w:rsidR="001B5556">
          <w:rPr>
            <w:noProof/>
            <w:webHidden/>
          </w:rPr>
          <w:instrText xml:space="preserve"> PAGEREF _Toc426387719 \h </w:instrText>
        </w:r>
        <w:r w:rsidR="001B5556">
          <w:rPr>
            <w:noProof/>
            <w:webHidden/>
          </w:rPr>
        </w:r>
        <w:r w:rsidR="001B5556">
          <w:rPr>
            <w:noProof/>
            <w:webHidden/>
          </w:rPr>
          <w:fldChar w:fldCharType="separate"/>
        </w:r>
        <w:r w:rsidR="002C13E2">
          <w:rPr>
            <w:noProof/>
            <w:webHidden/>
          </w:rPr>
          <w:t>8</w:t>
        </w:r>
        <w:r w:rsidR="001B5556">
          <w:rPr>
            <w:noProof/>
            <w:webHidden/>
          </w:rPr>
          <w:fldChar w:fldCharType="end"/>
        </w:r>
      </w:hyperlink>
    </w:p>
    <w:p w:rsidR="001B5556" w:rsidRDefault="007C2EFC">
      <w:pPr>
        <w:pStyle w:val="TOC2"/>
        <w:tabs>
          <w:tab w:val="left" w:pos="660"/>
          <w:tab w:val="right" w:leader="dot" w:pos="9629"/>
        </w:tabs>
        <w:rPr>
          <w:rFonts w:asciiTheme="minorHAnsi" w:eastAsiaTheme="minorEastAsia" w:hAnsiTheme="minorHAnsi" w:cstheme="minorBidi"/>
          <w:noProof/>
          <w:sz w:val="22"/>
          <w:lang w:eastAsia="en-AU"/>
        </w:rPr>
      </w:pPr>
      <w:hyperlink w:anchor="_Toc426387720" w:history="1">
        <w:r w:rsidR="001B5556" w:rsidRPr="00E45F67">
          <w:rPr>
            <w:rStyle w:val="Hyperlink"/>
            <w:noProof/>
          </w:rPr>
          <w:t>3.1</w:t>
        </w:r>
        <w:r w:rsidR="001B5556">
          <w:rPr>
            <w:rFonts w:asciiTheme="minorHAnsi" w:eastAsiaTheme="minorEastAsia" w:hAnsiTheme="minorHAnsi" w:cstheme="minorBidi"/>
            <w:noProof/>
            <w:sz w:val="22"/>
            <w:lang w:eastAsia="en-AU"/>
          </w:rPr>
          <w:tab/>
        </w:r>
        <w:r w:rsidR="001B5556" w:rsidRPr="00E45F67">
          <w:rPr>
            <w:rStyle w:val="Hyperlink"/>
            <w:noProof/>
          </w:rPr>
          <w:t>Scope</w:t>
        </w:r>
        <w:r w:rsidR="001B5556">
          <w:rPr>
            <w:noProof/>
            <w:webHidden/>
          </w:rPr>
          <w:tab/>
        </w:r>
        <w:r w:rsidR="001B5556">
          <w:rPr>
            <w:noProof/>
            <w:webHidden/>
          </w:rPr>
          <w:fldChar w:fldCharType="begin"/>
        </w:r>
        <w:r w:rsidR="001B5556">
          <w:rPr>
            <w:noProof/>
            <w:webHidden/>
          </w:rPr>
          <w:instrText xml:space="preserve"> PAGEREF _Toc426387720 \h </w:instrText>
        </w:r>
        <w:r w:rsidR="001B5556">
          <w:rPr>
            <w:noProof/>
            <w:webHidden/>
          </w:rPr>
        </w:r>
        <w:r w:rsidR="001B5556">
          <w:rPr>
            <w:noProof/>
            <w:webHidden/>
          </w:rPr>
          <w:fldChar w:fldCharType="separate"/>
        </w:r>
        <w:r w:rsidR="002C13E2">
          <w:rPr>
            <w:noProof/>
            <w:webHidden/>
          </w:rPr>
          <w:t>8</w:t>
        </w:r>
        <w:r w:rsidR="001B5556">
          <w:rPr>
            <w:noProof/>
            <w:webHidden/>
          </w:rPr>
          <w:fldChar w:fldCharType="end"/>
        </w:r>
      </w:hyperlink>
    </w:p>
    <w:p w:rsidR="001B5556" w:rsidRDefault="007C2EFC">
      <w:pPr>
        <w:pStyle w:val="TOC2"/>
        <w:tabs>
          <w:tab w:val="left" w:pos="880"/>
          <w:tab w:val="right" w:leader="dot" w:pos="9629"/>
        </w:tabs>
        <w:rPr>
          <w:rFonts w:asciiTheme="minorHAnsi" w:eastAsiaTheme="minorEastAsia" w:hAnsiTheme="minorHAnsi" w:cstheme="minorBidi"/>
          <w:noProof/>
          <w:sz w:val="22"/>
          <w:lang w:eastAsia="en-AU"/>
        </w:rPr>
      </w:pPr>
      <w:hyperlink w:anchor="_Toc426387721" w:history="1">
        <w:r w:rsidR="001B5556" w:rsidRPr="00E45F67">
          <w:rPr>
            <w:rStyle w:val="Hyperlink"/>
            <w:noProof/>
          </w:rPr>
          <w:t>3.2</w:t>
        </w:r>
        <w:r w:rsidR="001B5556">
          <w:rPr>
            <w:rFonts w:asciiTheme="minorHAnsi" w:eastAsiaTheme="minorEastAsia" w:hAnsiTheme="minorHAnsi" w:cstheme="minorBidi"/>
            <w:noProof/>
            <w:sz w:val="22"/>
            <w:lang w:eastAsia="en-AU"/>
          </w:rPr>
          <w:tab/>
        </w:r>
        <w:r w:rsidR="001B5556" w:rsidRPr="00E45F67">
          <w:rPr>
            <w:rStyle w:val="Hyperlink"/>
            <w:noProof/>
          </w:rPr>
          <w:t>Objective</w:t>
        </w:r>
        <w:r w:rsidR="001B5556">
          <w:rPr>
            <w:noProof/>
            <w:webHidden/>
          </w:rPr>
          <w:tab/>
        </w:r>
        <w:r w:rsidR="001B5556">
          <w:rPr>
            <w:noProof/>
            <w:webHidden/>
          </w:rPr>
          <w:fldChar w:fldCharType="begin"/>
        </w:r>
        <w:r w:rsidR="001B5556">
          <w:rPr>
            <w:noProof/>
            <w:webHidden/>
          </w:rPr>
          <w:instrText xml:space="preserve"> PAGEREF _Toc426387721 \h </w:instrText>
        </w:r>
        <w:r w:rsidR="001B5556">
          <w:rPr>
            <w:noProof/>
            <w:webHidden/>
          </w:rPr>
        </w:r>
        <w:r w:rsidR="001B5556">
          <w:rPr>
            <w:noProof/>
            <w:webHidden/>
          </w:rPr>
          <w:fldChar w:fldCharType="separate"/>
        </w:r>
        <w:r w:rsidR="002C13E2">
          <w:rPr>
            <w:noProof/>
            <w:webHidden/>
          </w:rPr>
          <w:t>8</w:t>
        </w:r>
        <w:r w:rsidR="001B5556">
          <w:rPr>
            <w:noProof/>
            <w:webHidden/>
          </w:rPr>
          <w:fldChar w:fldCharType="end"/>
        </w:r>
      </w:hyperlink>
    </w:p>
    <w:p w:rsidR="001B5556" w:rsidRDefault="007C2EFC">
      <w:pPr>
        <w:pStyle w:val="TOC2"/>
        <w:tabs>
          <w:tab w:val="left" w:pos="880"/>
          <w:tab w:val="right" w:leader="dot" w:pos="9629"/>
        </w:tabs>
        <w:rPr>
          <w:rFonts w:asciiTheme="minorHAnsi" w:eastAsiaTheme="minorEastAsia" w:hAnsiTheme="minorHAnsi" w:cstheme="minorBidi"/>
          <w:noProof/>
          <w:sz w:val="22"/>
          <w:lang w:eastAsia="en-AU"/>
        </w:rPr>
      </w:pPr>
      <w:hyperlink w:anchor="_Toc426387722" w:history="1">
        <w:r w:rsidR="001B5556" w:rsidRPr="00E45F67">
          <w:rPr>
            <w:rStyle w:val="Hyperlink"/>
            <w:noProof/>
          </w:rPr>
          <w:t>3.3</w:t>
        </w:r>
        <w:r w:rsidR="001B5556">
          <w:rPr>
            <w:rFonts w:asciiTheme="minorHAnsi" w:eastAsiaTheme="minorEastAsia" w:hAnsiTheme="minorHAnsi" w:cstheme="minorBidi"/>
            <w:noProof/>
            <w:sz w:val="22"/>
            <w:lang w:eastAsia="en-AU"/>
          </w:rPr>
          <w:tab/>
        </w:r>
        <w:r w:rsidR="001B5556" w:rsidRPr="00E45F67">
          <w:rPr>
            <w:rStyle w:val="Hyperlink"/>
            <w:noProof/>
          </w:rPr>
          <w:t>The problem</w:t>
        </w:r>
        <w:r w:rsidR="001B5556">
          <w:rPr>
            <w:noProof/>
            <w:webHidden/>
          </w:rPr>
          <w:tab/>
        </w:r>
        <w:r w:rsidR="001B5556">
          <w:rPr>
            <w:noProof/>
            <w:webHidden/>
          </w:rPr>
          <w:fldChar w:fldCharType="begin"/>
        </w:r>
        <w:r w:rsidR="001B5556">
          <w:rPr>
            <w:noProof/>
            <w:webHidden/>
          </w:rPr>
          <w:instrText xml:space="preserve"> PAGEREF _Toc426387722 \h </w:instrText>
        </w:r>
        <w:r w:rsidR="001B5556">
          <w:rPr>
            <w:noProof/>
            <w:webHidden/>
          </w:rPr>
        </w:r>
        <w:r w:rsidR="001B5556">
          <w:rPr>
            <w:noProof/>
            <w:webHidden/>
          </w:rPr>
          <w:fldChar w:fldCharType="separate"/>
        </w:r>
        <w:r w:rsidR="002C13E2">
          <w:rPr>
            <w:noProof/>
            <w:webHidden/>
          </w:rPr>
          <w:t>8</w:t>
        </w:r>
        <w:r w:rsidR="001B5556">
          <w:rPr>
            <w:noProof/>
            <w:webHidden/>
          </w:rPr>
          <w:fldChar w:fldCharType="end"/>
        </w:r>
      </w:hyperlink>
    </w:p>
    <w:p w:rsidR="001B5556" w:rsidRDefault="007C2EFC">
      <w:pPr>
        <w:pStyle w:val="TOC1"/>
        <w:tabs>
          <w:tab w:val="left" w:pos="380"/>
        </w:tabs>
        <w:rPr>
          <w:rFonts w:asciiTheme="minorHAnsi" w:eastAsiaTheme="minorEastAsia" w:hAnsiTheme="minorHAnsi" w:cstheme="minorBidi"/>
          <w:b w:val="0"/>
          <w:caps w:val="0"/>
          <w:noProof/>
          <w:sz w:val="22"/>
          <w:szCs w:val="22"/>
          <w:lang w:eastAsia="en-AU"/>
        </w:rPr>
      </w:pPr>
      <w:hyperlink w:anchor="_Toc426387723" w:history="1">
        <w:r w:rsidR="001B5556" w:rsidRPr="00E45F67">
          <w:rPr>
            <w:rStyle w:val="Hyperlink"/>
            <w:noProof/>
          </w:rPr>
          <w:t>4</w:t>
        </w:r>
        <w:r w:rsidR="001B5556">
          <w:rPr>
            <w:rFonts w:asciiTheme="minorHAnsi" w:eastAsiaTheme="minorEastAsia" w:hAnsiTheme="minorHAnsi" w:cstheme="minorBidi"/>
            <w:b w:val="0"/>
            <w:caps w:val="0"/>
            <w:noProof/>
            <w:sz w:val="22"/>
            <w:szCs w:val="22"/>
            <w:lang w:eastAsia="en-AU"/>
          </w:rPr>
          <w:tab/>
        </w:r>
        <w:r w:rsidR="001B5556" w:rsidRPr="00E45F67">
          <w:rPr>
            <w:rStyle w:val="Hyperlink"/>
            <w:noProof/>
          </w:rPr>
          <w:t>Product description</w:t>
        </w:r>
        <w:r w:rsidR="001B5556">
          <w:rPr>
            <w:noProof/>
            <w:webHidden/>
          </w:rPr>
          <w:tab/>
        </w:r>
        <w:r w:rsidR="001B5556">
          <w:rPr>
            <w:noProof/>
            <w:webHidden/>
          </w:rPr>
          <w:fldChar w:fldCharType="begin"/>
        </w:r>
        <w:r w:rsidR="001B5556">
          <w:rPr>
            <w:noProof/>
            <w:webHidden/>
          </w:rPr>
          <w:instrText xml:space="preserve"> PAGEREF _Toc426387723 \h </w:instrText>
        </w:r>
        <w:r w:rsidR="001B5556">
          <w:rPr>
            <w:noProof/>
            <w:webHidden/>
          </w:rPr>
        </w:r>
        <w:r w:rsidR="001B5556">
          <w:rPr>
            <w:noProof/>
            <w:webHidden/>
          </w:rPr>
          <w:fldChar w:fldCharType="separate"/>
        </w:r>
        <w:r w:rsidR="002C13E2">
          <w:rPr>
            <w:noProof/>
            <w:webHidden/>
          </w:rPr>
          <w:t>10</w:t>
        </w:r>
        <w:r w:rsidR="001B5556">
          <w:rPr>
            <w:noProof/>
            <w:webHidden/>
          </w:rPr>
          <w:fldChar w:fldCharType="end"/>
        </w:r>
      </w:hyperlink>
    </w:p>
    <w:p w:rsidR="001B5556" w:rsidRDefault="007C2EFC">
      <w:pPr>
        <w:pStyle w:val="TOC2"/>
        <w:tabs>
          <w:tab w:val="left" w:pos="880"/>
          <w:tab w:val="right" w:leader="dot" w:pos="9629"/>
        </w:tabs>
        <w:rPr>
          <w:rFonts w:asciiTheme="minorHAnsi" w:eastAsiaTheme="minorEastAsia" w:hAnsiTheme="minorHAnsi" w:cstheme="minorBidi"/>
          <w:noProof/>
          <w:sz w:val="22"/>
          <w:lang w:eastAsia="en-AU"/>
        </w:rPr>
      </w:pPr>
      <w:hyperlink w:anchor="_Toc426387724" w:history="1">
        <w:r w:rsidR="001B5556" w:rsidRPr="00E45F67">
          <w:rPr>
            <w:rStyle w:val="Hyperlink"/>
            <w:noProof/>
          </w:rPr>
          <w:t>4.1</w:t>
        </w:r>
        <w:r w:rsidR="001B5556">
          <w:rPr>
            <w:rFonts w:asciiTheme="minorHAnsi" w:eastAsiaTheme="minorEastAsia" w:hAnsiTheme="minorHAnsi" w:cstheme="minorBidi"/>
            <w:noProof/>
            <w:sz w:val="22"/>
            <w:lang w:eastAsia="en-AU"/>
          </w:rPr>
          <w:tab/>
        </w:r>
        <w:r w:rsidR="001B5556" w:rsidRPr="00E45F67">
          <w:rPr>
            <w:rStyle w:val="Hyperlink"/>
            <w:noProof/>
          </w:rPr>
          <w:t>Context</w:t>
        </w:r>
        <w:r w:rsidR="001B5556">
          <w:rPr>
            <w:noProof/>
            <w:webHidden/>
          </w:rPr>
          <w:tab/>
        </w:r>
        <w:r w:rsidR="001B5556">
          <w:rPr>
            <w:noProof/>
            <w:webHidden/>
          </w:rPr>
          <w:fldChar w:fldCharType="begin"/>
        </w:r>
        <w:r w:rsidR="001B5556">
          <w:rPr>
            <w:noProof/>
            <w:webHidden/>
          </w:rPr>
          <w:instrText xml:space="preserve"> PAGEREF _Toc426387724 \h </w:instrText>
        </w:r>
        <w:r w:rsidR="001B5556">
          <w:rPr>
            <w:noProof/>
            <w:webHidden/>
          </w:rPr>
        </w:r>
        <w:r w:rsidR="001B5556">
          <w:rPr>
            <w:noProof/>
            <w:webHidden/>
          </w:rPr>
          <w:fldChar w:fldCharType="separate"/>
        </w:r>
        <w:r w:rsidR="002C13E2">
          <w:rPr>
            <w:noProof/>
            <w:webHidden/>
          </w:rPr>
          <w:t>11</w:t>
        </w:r>
        <w:r w:rsidR="001B5556">
          <w:rPr>
            <w:noProof/>
            <w:webHidden/>
          </w:rPr>
          <w:fldChar w:fldCharType="end"/>
        </w:r>
      </w:hyperlink>
    </w:p>
    <w:p w:rsidR="001B5556" w:rsidRDefault="007C2EFC">
      <w:pPr>
        <w:pStyle w:val="TOC2"/>
        <w:tabs>
          <w:tab w:val="left" w:pos="880"/>
          <w:tab w:val="right" w:leader="dot" w:pos="9629"/>
        </w:tabs>
        <w:rPr>
          <w:rFonts w:asciiTheme="minorHAnsi" w:eastAsiaTheme="minorEastAsia" w:hAnsiTheme="minorHAnsi" w:cstheme="minorBidi"/>
          <w:noProof/>
          <w:sz w:val="22"/>
          <w:lang w:eastAsia="en-AU"/>
        </w:rPr>
      </w:pPr>
      <w:hyperlink w:anchor="_Toc426387725" w:history="1">
        <w:r w:rsidR="001B5556" w:rsidRPr="00E45F67">
          <w:rPr>
            <w:rStyle w:val="Hyperlink"/>
            <w:noProof/>
          </w:rPr>
          <w:t>4.2</w:t>
        </w:r>
        <w:r w:rsidR="001B5556">
          <w:rPr>
            <w:rFonts w:asciiTheme="minorHAnsi" w:eastAsiaTheme="minorEastAsia" w:hAnsiTheme="minorHAnsi" w:cstheme="minorBidi"/>
            <w:noProof/>
            <w:sz w:val="22"/>
            <w:lang w:eastAsia="en-AU"/>
          </w:rPr>
          <w:tab/>
        </w:r>
        <w:r w:rsidR="001B5556" w:rsidRPr="00E45F67">
          <w:rPr>
            <w:rStyle w:val="Hyperlink"/>
            <w:noProof/>
          </w:rPr>
          <w:t>Product Scope</w:t>
        </w:r>
        <w:r w:rsidR="001B5556">
          <w:rPr>
            <w:noProof/>
            <w:webHidden/>
          </w:rPr>
          <w:tab/>
        </w:r>
        <w:r w:rsidR="001B5556">
          <w:rPr>
            <w:noProof/>
            <w:webHidden/>
          </w:rPr>
          <w:fldChar w:fldCharType="begin"/>
        </w:r>
        <w:r w:rsidR="001B5556">
          <w:rPr>
            <w:noProof/>
            <w:webHidden/>
          </w:rPr>
          <w:instrText xml:space="preserve"> PAGEREF _Toc426387725 \h </w:instrText>
        </w:r>
        <w:r w:rsidR="001B5556">
          <w:rPr>
            <w:noProof/>
            <w:webHidden/>
          </w:rPr>
        </w:r>
        <w:r w:rsidR="001B5556">
          <w:rPr>
            <w:noProof/>
            <w:webHidden/>
          </w:rPr>
          <w:fldChar w:fldCharType="separate"/>
        </w:r>
        <w:r w:rsidR="002C13E2">
          <w:rPr>
            <w:noProof/>
            <w:webHidden/>
          </w:rPr>
          <w:t>13</w:t>
        </w:r>
        <w:r w:rsidR="001B5556">
          <w:rPr>
            <w:noProof/>
            <w:webHidden/>
          </w:rPr>
          <w:fldChar w:fldCharType="end"/>
        </w:r>
      </w:hyperlink>
    </w:p>
    <w:p w:rsidR="001B5556" w:rsidRDefault="007C2EFC">
      <w:pPr>
        <w:pStyle w:val="TOC2"/>
        <w:tabs>
          <w:tab w:val="left" w:pos="880"/>
          <w:tab w:val="right" w:leader="dot" w:pos="9629"/>
        </w:tabs>
        <w:rPr>
          <w:rFonts w:asciiTheme="minorHAnsi" w:eastAsiaTheme="minorEastAsia" w:hAnsiTheme="minorHAnsi" w:cstheme="minorBidi"/>
          <w:noProof/>
          <w:sz w:val="22"/>
          <w:lang w:eastAsia="en-AU"/>
        </w:rPr>
      </w:pPr>
      <w:hyperlink w:anchor="_Toc426387726" w:history="1">
        <w:r w:rsidR="001B5556" w:rsidRPr="00E45F67">
          <w:rPr>
            <w:rStyle w:val="Hyperlink"/>
            <w:noProof/>
          </w:rPr>
          <w:t>4.3</w:t>
        </w:r>
        <w:r w:rsidR="001B5556">
          <w:rPr>
            <w:rFonts w:asciiTheme="minorHAnsi" w:eastAsiaTheme="minorEastAsia" w:hAnsiTheme="minorHAnsi" w:cstheme="minorBidi"/>
            <w:noProof/>
            <w:sz w:val="22"/>
            <w:lang w:eastAsia="en-AU"/>
          </w:rPr>
          <w:tab/>
        </w:r>
        <w:r w:rsidR="001B5556" w:rsidRPr="00E45F67">
          <w:rPr>
            <w:rStyle w:val="Hyperlink"/>
            <w:noProof/>
          </w:rPr>
          <w:t>Omnidirectional and Directional LED Lamps</w:t>
        </w:r>
        <w:r w:rsidR="001B5556">
          <w:rPr>
            <w:noProof/>
            <w:webHidden/>
          </w:rPr>
          <w:tab/>
        </w:r>
        <w:r w:rsidR="001B5556">
          <w:rPr>
            <w:noProof/>
            <w:webHidden/>
          </w:rPr>
          <w:fldChar w:fldCharType="begin"/>
        </w:r>
        <w:r w:rsidR="001B5556">
          <w:rPr>
            <w:noProof/>
            <w:webHidden/>
          </w:rPr>
          <w:instrText xml:space="preserve"> PAGEREF _Toc426387726 \h </w:instrText>
        </w:r>
        <w:r w:rsidR="001B5556">
          <w:rPr>
            <w:noProof/>
            <w:webHidden/>
          </w:rPr>
        </w:r>
        <w:r w:rsidR="001B5556">
          <w:rPr>
            <w:noProof/>
            <w:webHidden/>
          </w:rPr>
          <w:fldChar w:fldCharType="separate"/>
        </w:r>
        <w:r w:rsidR="002C13E2">
          <w:rPr>
            <w:noProof/>
            <w:webHidden/>
          </w:rPr>
          <w:t>17</w:t>
        </w:r>
        <w:r w:rsidR="001B5556">
          <w:rPr>
            <w:noProof/>
            <w:webHidden/>
          </w:rPr>
          <w:fldChar w:fldCharType="end"/>
        </w:r>
      </w:hyperlink>
    </w:p>
    <w:p w:rsidR="001B5556" w:rsidRDefault="007C2EFC">
      <w:pPr>
        <w:pStyle w:val="TOC2"/>
        <w:tabs>
          <w:tab w:val="left" w:pos="880"/>
          <w:tab w:val="right" w:leader="dot" w:pos="9629"/>
        </w:tabs>
        <w:rPr>
          <w:rFonts w:asciiTheme="minorHAnsi" w:eastAsiaTheme="minorEastAsia" w:hAnsiTheme="minorHAnsi" w:cstheme="minorBidi"/>
          <w:noProof/>
          <w:sz w:val="22"/>
          <w:lang w:eastAsia="en-AU"/>
        </w:rPr>
      </w:pPr>
      <w:hyperlink w:anchor="_Toc426387727" w:history="1">
        <w:r w:rsidR="001B5556" w:rsidRPr="00E45F67">
          <w:rPr>
            <w:rStyle w:val="Hyperlink"/>
            <w:noProof/>
          </w:rPr>
          <w:t>4.4</w:t>
        </w:r>
        <w:r w:rsidR="001B5556">
          <w:rPr>
            <w:rFonts w:asciiTheme="minorHAnsi" w:eastAsiaTheme="minorEastAsia" w:hAnsiTheme="minorHAnsi" w:cstheme="minorBidi"/>
            <w:noProof/>
            <w:sz w:val="22"/>
            <w:lang w:eastAsia="en-AU"/>
          </w:rPr>
          <w:tab/>
        </w:r>
        <w:r w:rsidR="001B5556" w:rsidRPr="00E45F67">
          <w:rPr>
            <w:rStyle w:val="Hyperlink"/>
            <w:noProof/>
          </w:rPr>
          <w:t>Linear LED lamps - Equivalency</w:t>
        </w:r>
        <w:r w:rsidR="001B5556">
          <w:rPr>
            <w:noProof/>
            <w:webHidden/>
          </w:rPr>
          <w:tab/>
        </w:r>
        <w:r w:rsidR="001B5556">
          <w:rPr>
            <w:noProof/>
            <w:webHidden/>
          </w:rPr>
          <w:fldChar w:fldCharType="begin"/>
        </w:r>
        <w:r w:rsidR="001B5556">
          <w:rPr>
            <w:noProof/>
            <w:webHidden/>
          </w:rPr>
          <w:instrText xml:space="preserve"> PAGEREF _Toc426387727 \h </w:instrText>
        </w:r>
        <w:r w:rsidR="001B5556">
          <w:rPr>
            <w:noProof/>
            <w:webHidden/>
          </w:rPr>
        </w:r>
        <w:r w:rsidR="001B5556">
          <w:rPr>
            <w:noProof/>
            <w:webHidden/>
          </w:rPr>
          <w:fldChar w:fldCharType="separate"/>
        </w:r>
        <w:r w:rsidR="002C13E2">
          <w:rPr>
            <w:noProof/>
            <w:webHidden/>
          </w:rPr>
          <w:t>18</w:t>
        </w:r>
        <w:r w:rsidR="001B5556">
          <w:rPr>
            <w:noProof/>
            <w:webHidden/>
          </w:rPr>
          <w:fldChar w:fldCharType="end"/>
        </w:r>
      </w:hyperlink>
    </w:p>
    <w:p w:rsidR="001B5556" w:rsidRDefault="007C2EFC">
      <w:pPr>
        <w:pStyle w:val="TOC2"/>
        <w:tabs>
          <w:tab w:val="left" w:pos="880"/>
          <w:tab w:val="right" w:leader="dot" w:pos="9629"/>
        </w:tabs>
        <w:rPr>
          <w:rFonts w:asciiTheme="minorHAnsi" w:eastAsiaTheme="minorEastAsia" w:hAnsiTheme="minorHAnsi" w:cstheme="minorBidi"/>
          <w:noProof/>
          <w:sz w:val="22"/>
          <w:lang w:eastAsia="en-AU"/>
        </w:rPr>
      </w:pPr>
      <w:hyperlink w:anchor="_Toc426387728" w:history="1">
        <w:r w:rsidR="001B5556" w:rsidRPr="00E45F67">
          <w:rPr>
            <w:rStyle w:val="Hyperlink"/>
            <w:noProof/>
          </w:rPr>
          <w:t>4.5</w:t>
        </w:r>
        <w:r w:rsidR="001B5556">
          <w:rPr>
            <w:rFonts w:asciiTheme="minorHAnsi" w:eastAsiaTheme="minorEastAsia" w:hAnsiTheme="minorHAnsi" w:cstheme="minorBidi"/>
            <w:noProof/>
            <w:sz w:val="22"/>
            <w:lang w:eastAsia="en-AU"/>
          </w:rPr>
          <w:tab/>
        </w:r>
        <w:r w:rsidR="001B5556" w:rsidRPr="00E45F67">
          <w:rPr>
            <w:rStyle w:val="Hyperlink"/>
            <w:noProof/>
          </w:rPr>
          <w:t>LED Performance and Known Quality Issues for LED products</w:t>
        </w:r>
        <w:r w:rsidR="001B5556">
          <w:rPr>
            <w:noProof/>
            <w:webHidden/>
          </w:rPr>
          <w:tab/>
        </w:r>
        <w:r w:rsidR="001B5556">
          <w:rPr>
            <w:noProof/>
            <w:webHidden/>
          </w:rPr>
          <w:fldChar w:fldCharType="begin"/>
        </w:r>
        <w:r w:rsidR="001B5556">
          <w:rPr>
            <w:noProof/>
            <w:webHidden/>
          </w:rPr>
          <w:instrText xml:space="preserve"> PAGEREF _Toc426387728 \h </w:instrText>
        </w:r>
        <w:r w:rsidR="001B5556">
          <w:rPr>
            <w:noProof/>
            <w:webHidden/>
          </w:rPr>
        </w:r>
        <w:r w:rsidR="001B5556">
          <w:rPr>
            <w:noProof/>
            <w:webHidden/>
          </w:rPr>
          <w:fldChar w:fldCharType="separate"/>
        </w:r>
        <w:r w:rsidR="002C13E2">
          <w:rPr>
            <w:noProof/>
            <w:webHidden/>
          </w:rPr>
          <w:t>19</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29" w:history="1">
        <w:r w:rsidR="001B5556" w:rsidRPr="00E45F67">
          <w:rPr>
            <w:rStyle w:val="Hyperlink"/>
            <w:noProof/>
          </w:rPr>
          <w:t>4.5.1</w:t>
        </w:r>
        <w:r w:rsidR="001B5556">
          <w:rPr>
            <w:rFonts w:asciiTheme="minorHAnsi" w:eastAsiaTheme="minorEastAsia" w:hAnsiTheme="minorHAnsi" w:cstheme="minorBidi"/>
            <w:noProof/>
            <w:sz w:val="22"/>
            <w:szCs w:val="22"/>
            <w:lang w:eastAsia="en-AU"/>
          </w:rPr>
          <w:tab/>
        </w:r>
        <w:r w:rsidR="001B5556" w:rsidRPr="00E45F67">
          <w:rPr>
            <w:rStyle w:val="Hyperlink"/>
            <w:noProof/>
          </w:rPr>
          <w:t>Light Output and Efficacy</w:t>
        </w:r>
        <w:r w:rsidR="001B5556">
          <w:rPr>
            <w:noProof/>
            <w:webHidden/>
          </w:rPr>
          <w:tab/>
        </w:r>
        <w:r w:rsidR="001B5556">
          <w:rPr>
            <w:noProof/>
            <w:webHidden/>
          </w:rPr>
          <w:fldChar w:fldCharType="begin"/>
        </w:r>
        <w:r w:rsidR="001B5556">
          <w:rPr>
            <w:noProof/>
            <w:webHidden/>
          </w:rPr>
          <w:instrText xml:space="preserve"> PAGEREF _Toc426387729 \h </w:instrText>
        </w:r>
        <w:r w:rsidR="001B5556">
          <w:rPr>
            <w:noProof/>
            <w:webHidden/>
          </w:rPr>
        </w:r>
        <w:r w:rsidR="001B5556">
          <w:rPr>
            <w:noProof/>
            <w:webHidden/>
          </w:rPr>
          <w:fldChar w:fldCharType="separate"/>
        </w:r>
        <w:r w:rsidR="002C13E2">
          <w:rPr>
            <w:noProof/>
            <w:webHidden/>
          </w:rPr>
          <w:t>19</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30" w:history="1">
        <w:r w:rsidR="001B5556" w:rsidRPr="00E45F67">
          <w:rPr>
            <w:rStyle w:val="Hyperlink"/>
            <w:noProof/>
          </w:rPr>
          <w:t>4.5.2</w:t>
        </w:r>
        <w:r w:rsidR="001B5556">
          <w:rPr>
            <w:rFonts w:asciiTheme="minorHAnsi" w:eastAsiaTheme="minorEastAsia" w:hAnsiTheme="minorHAnsi" w:cstheme="minorBidi"/>
            <w:noProof/>
            <w:sz w:val="22"/>
            <w:szCs w:val="22"/>
            <w:lang w:eastAsia="en-AU"/>
          </w:rPr>
          <w:tab/>
        </w:r>
        <w:r w:rsidR="001B5556" w:rsidRPr="00E45F67">
          <w:rPr>
            <w:rStyle w:val="Hyperlink"/>
            <w:noProof/>
          </w:rPr>
          <w:t>Power Consumption</w:t>
        </w:r>
        <w:r w:rsidR="001B5556">
          <w:rPr>
            <w:noProof/>
            <w:webHidden/>
          </w:rPr>
          <w:tab/>
        </w:r>
        <w:r w:rsidR="001B5556">
          <w:rPr>
            <w:noProof/>
            <w:webHidden/>
          </w:rPr>
          <w:fldChar w:fldCharType="begin"/>
        </w:r>
        <w:r w:rsidR="001B5556">
          <w:rPr>
            <w:noProof/>
            <w:webHidden/>
          </w:rPr>
          <w:instrText xml:space="preserve"> PAGEREF _Toc426387730 \h </w:instrText>
        </w:r>
        <w:r w:rsidR="001B5556">
          <w:rPr>
            <w:noProof/>
            <w:webHidden/>
          </w:rPr>
        </w:r>
        <w:r w:rsidR="001B5556">
          <w:rPr>
            <w:noProof/>
            <w:webHidden/>
          </w:rPr>
          <w:fldChar w:fldCharType="separate"/>
        </w:r>
        <w:r w:rsidR="002C13E2">
          <w:rPr>
            <w:noProof/>
            <w:webHidden/>
          </w:rPr>
          <w:t>22</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31" w:history="1">
        <w:r w:rsidR="001B5556" w:rsidRPr="00E45F67">
          <w:rPr>
            <w:rStyle w:val="Hyperlink"/>
            <w:noProof/>
          </w:rPr>
          <w:t>4.5.3</w:t>
        </w:r>
        <w:r w:rsidR="001B5556">
          <w:rPr>
            <w:rFonts w:asciiTheme="minorHAnsi" w:eastAsiaTheme="minorEastAsia" w:hAnsiTheme="minorHAnsi" w:cstheme="minorBidi"/>
            <w:noProof/>
            <w:sz w:val="22"/>
            <w:szCs w:val="22"/>
            <w:lang w:eastAsia="en-AU"/>
          </w:rPr>
          <w:tab/>
        </w:r>
        <w:r w:rsidR="001B5556" w:rsidRPr="00E45F67">
          <w:rPr>
            <w:rStyle w:val="Hyperlink"/>
            <w:noProof/>
          </w:rPr>
          <w:t>Lamp Cost</w:t>
        </w:r>
        <w:r w:rsidR="001B5556">
          <w:rPr>
            <w:noProof/>
            <w:webHidden/>
          </w:rPr>
          <w:tab/>
        </w:r>
        <w:r w:rsidR="001B5556">
          <w:rPr>
            <w:noProof/>
            <w:webHidden/>
          </w:rPr>
          <w:fldChar w:fldCharType="begin"/>
        </w:r>
        <w:r w:rsidR="001B5556">
          <w:rPr>
            <w:noProof/>
            <w:webHidden/>
          </w:rPr>
          <w:instrText xml:space="preserve"> PAGEREF _Toc426387731 \h </w:instrText>
        </w:r>
        <w:r w:rsidR="001B5556">
          <w:rPr>
            <w:noProof/>
            <w:webHidden/>
          </w:rPr>
        </w:r>
        <w:r w:rsidR="001B5556">
          <w:rPr>
            <w:noProof/>
            <w:webHidden/>
          </w:rPr>
          <w:fldChar w:fldCharType="separate"/>
        </w:r>
        <w:r w:rsidR="002C13E2">
          <w:rPr>
            <w:noProof/>
            <w:webHidden/>
          </w:rPr>
          <w:t>23</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32" w:history="1">
        <w:r w:rsidR="001B5556" w:rsidRPr="00E45F67">
          <w:rPr>
            <w:rStyle w:val="Hyperlink"/>
            <w:noProof/>
          </w:rPr>
          <w:t>4.5.4</w:t>
        </w:r>
        <w:r w:rsidR="001B5556">
          <w:rPr>
            <w:rFonts w:asciiTheme="minorHAnsi" w:eastAsiaTheme="minorEastAsia" w:hAnsiTheme="minorHAnsi" w:cstheme="minorBidi"/>
            <w:noProof/>
            <w:sz w:val="22"/>
            <w:szCs w:val="22"/>
            <w:lang w:eastAsia="en-AU"/>
          </w:rPr>
          <w:tab/>
        </w:r>
        <w:r w:rsidR="001B5556" w:rsidRPr="00E45F67">
          <w:rPr>
            <w:rStyle w:val="Hyperlink"/>
            <w:noProof/>
          </w:rPr>
          <w:t>Claims of Equivalency</w:t>
        </w:r>
        <w:r w:rsidR="001B5556">
          <w:rPr>
            <w:noProof/>
            <w:webHidden/>
          </w:rPr>
          <w:tab/>
        </w:r>
        <w:r w:rsidR="001B5556">
          <w:rPr>
            <w:noProof/>
            <w:webHidden/>
          </w:rPr>
          <w:fldChar w:fldCharType="begin"/>
        </w:r>
        <w:r w:rsidR="001B5556">
          <w:rPr>
            <w:noProof/>
            <w:webHidden/>
          </w:rPr>
          <w:instrText xml:space="preserve"> PAGEREF _Toc426387732 \h </w:instrText>
        </w:r>
        <w:r w:rsidR="001B5556">
          <w:rPr>
            <w:noProof/>
            <w:webHidden/>
          </w:rPr>
        </w:r>
        <w:r w:rsidR="001B5556">
          <w:rPr>
            <w:noProof/>
            <w:webHidden/>
          </w:rPr>
          <w:fldChar w:fldCharType="separate"/>
        </w:r>
        <w:r w:rsidR="002C13E2">
          <w:rPr>
            <w:noProof/>
            <w:webHidden/>
          </w:rPr>
          <w:t>25</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33" w:history="1">
        <w:r w:rsidR="001B5556" w:rsidRPr="00E45F67">
          <w:rPr>
            <w:rStyle w:val="Hyperlink"/>
            <w:noProof/>
          </w:rPr>
          <w:t>4.5.5</w:t>
        </w:r>
        <w:r w:rsidR="001B5556">
          <w:rPr>
            <w:rFonts w:asciiTheme="minorHAnsi" w:eastAsiaTheme="minorEastAsia" w:hAnsiTheme="minorHAnsi" w:cstheme="minorBidi"/>
            <w:noProof/>
            <w:sz w:val="22"/>
            <w:szCs w:val="22"/>
            <w:lang w:eastAsia="en-AU"/>
          </w:rPr>
          <w:tab/>
        </w:r>
        <w:r w:rsidR="001B5556" w:rsidRPr="00E45F67">
          <w:rPr>
            <w:rStyle w:val="Hyperlink"/>
            <w:noProof/>
          </w:rPr>
          <w:t>Lumen Depreciation</w:t>
        </w:r>
        <w:r w:rsidR="001B5556">
          <w:rPr>
            <w:noProof/>
            <w:webHidden/>
          </w:rPr>
          <w:tab/>
        </w:r>
        <w:r w:rsidR="001B5556">
          <w:rPr>
            <w:noProof/>
            <w:webHidden/>
          </w:rPr>
          <w:fldChar w:fldCharType="begin"/>
        </w:r>
        <w:r w:rsidR="001B5556">
          <w:rPr>
            <w:noProof/>
            <w:webHidden/>
          </w:rPr>
          <w:instrText xml:space="preserve"> PAGEREF _Toc426387733 \h </w:instrText>
        </w:r>
        <w:r w:rsidR="001B5556">
          <w:rPr>
            <w:noProof/>
            <w:webHidden/>
          </w:rPr>
        </w:r>
        <w:r w:rsidR="001B5556">
          <w:rPr>
            <w:noProof/>
            <w:webHidden/>
          </w:rPr>
          <w:fldChar w:fldCharType="separate"/>
        </w:r>
        <w:r w:rsidR="002C13E2">
          <w:rPr>
            <w:noProof/>
            <w:webHidden/>
          </w:rPr>
          <w:t>27</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34" w:history="1">
        <w:r w:rsidR="001B5556" w:rsidRPr="00E45F67">
          <w:rPr>
            <w:rStyle w:val="Hyperlink"/>
            <w:noProof/>
          </w:rPr>
          <w:t>4.5.6</w:t>
        </w:r>
        <w:r w:rsidR="001B5556">
          <w:rPr>
            <w:rFonts w:asciiTheme="minorHAnsi" w:eastAsiaTheme="minorEastAsia" w:hAnsiTheme="minorHAnsi" w:cstheme="minorBidi"/>
            <w:noProof/>
            <w:sz w:val="22"/>
            <w:szCs w:val="22"/>
            <w:lang w:eastAsia="en-AU"/>
          </w:rPr>
          <w:tab/>
        </w:r>
        <w:r w:rsidR="001B5556" w:rsidRPr="00E45F67">
          <w:rPr>
            <w:rStyle w:val="Hyperlink"/>
            <w:noProof/>
          </w:rPr>
          <w:t>Lamp Failures and Lifetime</w:t>
        </w:r>
        <w:r w:rsidR="001B5556">
          <w:rPr>
            <w:noProof/>
            <w:webHidden/>
          </w:rPr>
          <w:tab/>
        </w:r>
        <w:r w:rsidR="001B5556">
          <w:rPr>
            <w:noProof/>
            <w:webHidden/>
          </w:rPr>
          <w:fldChar w:fldCharType="begin"/>
        </w:r>
        <w:r w:rsidR="001B5556">
          <w:rPr>
            <w:noProof/>
            <w:webHidden/>
          </w:rPr>
          <w:instrText xml:space="preserve"> PAGEREF _Toc426387734 \h </w:instrText>
        </w:r>
        <w:r w:rsidR="001B5556">
          <w:rPr>
            <w:noProof/>
            <w:webHidden/>
          </w:rPr>
        </w:r>
        <w:r w:rsidR="001B5556">
          <w:rPr>
            <w:noProof/>
            <w:webHidden/>
          </w:rPr>
          <w:fldChar w:fldCharType="separate"/>
        </w:r>
        <w:r w:rsidR="002C13E2">
          <w:rPr>
            <w:noProof/>
            <w:webHidden/>
          </w:rPr>
          <w:t>27</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35" w:history="1">
        <w:r w:rsidR="001B5556" w:rsidRPr="00E45F67">
          <w:rPr>
            <w:rStyle w:val="Hyperlink"/>
            <w:noProof/>
          </w:rPr>
          <w:t>4.5.7</w:t>
        </w:r>
        <w:r w:rsidR="001B5556">
          <w:rPr>
            <w:rFonts w:asciiTheme="minorHAnsi" w:eastAsiaTheme="minorEastAsia" w:hAnsiTheme="minorHAnsi" w:cstheme="minorBidi"/>
            <w:noProof/>
            <w:sz w:val="22"/>
            <w:szCs w:val="22"/>
            <w:lang w:eastAsia="en-AU"/>
          </w:rPr>
          <w:tab/>
        </w:r>
        <w:r w:rsidR="001B5556" w:rsidRPr="00E45F67">
          <w:rPr>
            <w:rStyle w:val="Hyperlink"/>
            <w:noProof/>
          </w:rPr>
          <w:t>Correlated Colour Temperature and Colour Stability</w:t>
        </w:r>
        <w:r w:rsidR="001B5556">
          <w:rPr>
            <w:noProof/>
            <w:webHidden/>
          </w:rPr>
          <w:tab/>
        </w:r>
        <w:r w:rsidR="001B5556">
          <w:rPr>
            <w:noProof/>
            <w:webHidden/>
          </w:rPr>
          <w:fldChar w:fldCharType="begin"/>
        </w:r>
        <w:r w:rsidR="001B5556">
          <w:rPr>
            <w:noProof/>
            <w:webHidden/>
          </w:rPr>
          <w:instrText xml:space="preserve"> PAGEREF _Toc426387735 \h </w:instrText>
        </w:r>
        <w:r w:rsidR="001B5556">
          <w:rPr>
            <w:noProof/>
            <w:webHidden/>
          </w:rPr>
        </w:r>
        <w:r w:rsidR="001B5556">
          <w:rPr>
            <w:noProof/>
            <w:webHidden/>
          </w:rPr>
          <w:fldChar w:fldCharType="separate"/>
        </w:r>
        <w:r w:rsidR="002C13E2">
          <w:rPr>
            <w:noProof/>
            <w:webHidden/>
          </w:rPr>
          <w:t>28</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36" w:history="1">
        <w:r w:rsidR="001B5556" w:rsidRPr="00E45F67">
          <w:rPr>
            <w:rStyle w:val="Hyperlink"/>
            <w:noProof/>
          </w:rPr>
          <w:t>4.5.8</w:t>
        </w:r>
        <w:r w:rsidR="001B5556">
          <w:rPr>
            <w:rFonts w:asciiTheme="minorHAnsi" w:eastAsiaTheme="minorEastAsia" w:hAnsiTheme="minorHAnsi" w:cstheme="minorBidi"/>
            <w:noProof/>
            <w:sz w:val="22"/>
            <w:szCs w:val="22"/>
            <w:lang w:eastAsia="en-AU"/>
          </w:rPr>
          <w:tab/>
        </w:r>
        <w:r w:rsidR="001B5556" w:rsidRPr="00E45F67">
          <w:rPr>
            <w:rStyle w:val="Hyperlink"/>
            <w:noProof/>
          </w:rPr>
          <w:t>Chromacity Tolerance</w:t>
        </w:r>
        <w:r w:rsidR="001B5556">
          <w:rPr>
            <w:noProof/>
            <w:webHidden/>
          </w:rPr>
          <w:tab/>
        </w:r>
        <w:r w:rsidR="001B5556">
          <w:rPr>
            <w:noProof/>
            <w:webHidden/>
          </w:rPr>
          <w:fldChar w:fldCharType="begin"/>
        </w:r>
        <w:r w:rsidR="001B5556">
          <w:rPr>
            <w:noProof/>
            <w:webHidden/>
          </w:rPr>
          <w:instrText xml:space="preserve"> PAGEREF _Toc426387736 \h </w:instrText>
        </w:r>
        <w:r w:rsidR="001B5556">
          <w:rPr>
            <w:noProof/>
            <w:webHidden/>
          </w:rPr>
        </w:r>
        <w:r w:rsidR="001B5556">
          <w:rPr>
            <w:noProof/>
            <w:webHidden/>
          </w:rPr>
          <w:fldChar w:fldCharType="separate"/>
        </w:r>
        <w:r w:rsidR="002C13E2">
          <w:rPr>
            <w:noProof/>
            <w:webHidden/>
          </w:rPr>
          <w:t>28</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37" w:history="1">
        <w:r w:rsidR="001B5556" w:rsidRPr="00E45F67">
          <w:rPr>
            <w:rStyle w:val="Hyperlink"/>
            <w:noProof/>
          </w:rPr>
          <w:t>4.5.9</w:t>
        </w:r>
        <w:r w:rsidR="001B5556">
          <w:rPr>
            <w:rFonts w:asciiTheme="minorHAnsi" w:eastAsiaTheme="minorEastAsia" w:hAnsiTheme="minorHAnsi" w:cstheme="minorBidi"/>
            <w:noProof/>
            <w:sz w:val="22"/>
            <w:szCs w:val="22"/>
            <w:lang w:eastAsia="en-AU"/>
          </w:rPr>
          <w:tab/>
        </w:r>
        <w:r w:rsidR="001B5556" w:rsidRPr="00E45F67">
          <w:rPr>
            <w:rStyle w:val="Hyperlink"/>
            <w:noProof/>
          </w:rPr>
          <w:t>Colour Rendering Index</w:t>
        </w:r>
        <w:r w:rsidR="001B5556">
          <w:rPr>
            <w:noProof/>
            <w:webHidden/>
          </w:rPr>
          <w:tab/>
        </w:r>
        <w:r w:rsidR="001B5556">
          <w:rPr>
            <w:noProof/>
            <w:webHidden/>
          </w:rPr>
          <w:fldChar w:fldCharType="begin"/>
        </w:r>
        <w:r w:rsidR="001B5556">
          <w:rPr>
            <w:noProof/>
            <w:webHidden/>
          </w:rPr>
          <w:instrText xml:space="preserve"> PAGEREF _Toc426387737 \h </w:instrText>
        </w:r>
        <w:r w:rsidR="001B5556">
          <w:rPr>
            <w:noProof/>
            <w:webHidden/>
          </w:rPr>
        </w:r>
        <w:r w:rsidR="001B5556">
          <w:rPr>
            <w:noProof/>
            <w:webHidden/>
          </w:rPr>
          <w:fldChar w:fldCharType="separate"/>
        </w:r>
        <w:r w:rsidR="002C13E2">
          <w:rPr>
            <w:noProof/>
            <w:webHidden/>
          </w:rPr>
          <w:t>30</w:t>
        </w:r>
        <w:r w:rsidR="001B5556">
          <w:rPr>
            <w:noProof/>
            <w:webHidden/>
          </w:rPr>
          <w:fldChar w:fldCharType="end"/>
        </w:r>
      </w:hyperlink>
    </w:p>
    <w:p w:rsidR="001B5556" w:rsidRDefault="007C2EFC">
      <w:pPr>
        <w:pStyle w:val="TOC3"/>
        <w:tabs>
          <w:tab w:val="left" w:pos="1320"/>
          <w:tab w:val="right" w:leader="dot" w:pos="9629"/>
        </w:tabs>
        <w:rPr>
          <w:rFonts w:asciiTheme="minorHAnsi" w:eastAsiaTheme="minorEastAsia" w:hAnsiTheme="minorHAnsi" w:cstheme="minorBidi"/>
          <w:noProof/>
          <w:sz w:val="22"/>
          <w:szCs w:val="22"/>
          <w:lang w:eastAsia="en-AU"/>
        </w:rPr>
      </w:pPr>
      <w:hyperlink w:anchor="_Toc426387738" w:history="1">
        <w:r w:rsidR="001B5556" w:rsidRPr="00E45F67">
          <w:rPr>
            <w:rStyle w:val="Hyperlink"/>
            <w:noProof/>
          </w:rPr>
          <w:t>4.5.10</w:t>
        </w:r>
        <w:r w:rsidR="001B5556">
          <w:rPr>
            <w:rFonts w:asciiTheme="minorHAnsi" w:eastAsiaTheme="minorEastAsia" w:hAnsiTheme="minorHAnsi" w:cstheme="minorBidi"/>
            <w:noProof/>
            <w:sz w:val="22"/>
            <w:szCs w:val="22"/>
            <w:lang w:eastAsia="en-AU"/>
          </w:rPr>
          <w:tab/>
        </w:r>
        <w:r w:rsidR="001B5556" w:rsidRPr="00E45F67">
          <w:rPr>
            <w:rStyle w:val="Hyperlink"/>
            <w:noProof/>
          </w:rPr>
          <w:t>Luminous Intensity Distribution and Beam Angle</w:t>
        </w:r>
        <w:r w:rsidR="001B5556">
          <w:rPr>
            <w:noProof/>
            <w:webHidden/>
          </w:rPr>
          <w:tab/>
        </w:r>
        <w:r w:rsidR="001B5556">
          <w:rPr>
            <w:noProof/>
            <w:webHidden/>
          </w:rPr>
          <w:fldChar w:fldCharType="begin"/>
        </w:r>
        <w:r w:rsidR="001B5556">
          <w:rPr>
            <w:noProof/>
            <w:webHidden/>
          </w:rPr>
          <w:instrText xml:space="preserve"> PAGEREF _Toc426387738 \h </w:instrText>
        </w:r>
        <w:r w:rsidR="001B5556">
          <w:rPr>
            <w:noProof/>
            <w:webHidden/>
          </w:rPr>
        </w:r>
        <w:r w:rsidR="001B5556">
          <w:rPr>
            <w:noProof/>
            <w:webHidden/>
          </w:rPr>
          <w:fldChar w:fldCharType="separate"/>
        </w:r>
        <w:r w:rsidR="002C13E2">
          <w:rPr>
            <w:noProof/>
            <w:webHidden/>
          </w:rPr>
          <w:t>30</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39" w:history="1">
        <w:r w:rsidR="001B5556" w:rsidRPr="00E45F67">
          <w:rPr>
            <w:rStyle w:val="Hyperlink"/>
            <w:noProof/>
          </w:rPr>
          <w:t>4.5.11</w:t>
        </w:r>
        <w:r w:rsidR="001B5556">
          <w:rPr>
            <w:rFonts w:asciiTheme="minorHAnsi" w:eastAsiaTheme="minorEastAsia" w:hAnsiTheme="minorHAnsi" w:cstheme="minorBidi"/>
            <w:noProof/>
            <w:sz w:val="22"/>
            <w:szCs w:val="22"/>
            <w:lang w:eastAsia="en-AU"/>
          </w:rPr>
          <w:tab/>
        </w:r>
        <w:r w:rsidR="001B5556" w:rsidRPr="00E45F67">
          <w:rPr>
            <w:rStyle w:val="Hyperlink"/>
            <w:noProof/>
          </w:rPr>
          <w:t>Flicker</w:t>
        </w:r>
        <w:r w:rsidR="001B5556">
          <w:rPr>
            <w:noProof/>
            <w:webHidden/>
          </w:rPr>
          <w:tab/>
        </w:r>
        <w:r w:rsidR="001B5556">
          <w:rPr>
            <w:noProof/>
            <w:webHidden/>
          </w:rPr>
          <w:fldChar w:fldCharType="begin"/>
        </w:r>
        <w:r w:rsidR="001B5556">
          <w:rPr>
            <w:noProof/>
            <w:webHidden/>
          </w:rPr>
          <w:instrText xml:space="preserve"> PAGEREF _Toc426387739 \h </w:instrText>
        </w:r>
        <w:r w:rsidR="001B5556">
          <w:rPr>
            <w:noProof/>
            <w:webHidden/>
          </w:rPr>
        </w:r>
        <w:r w:rsidR="001B5556">
          <w:rPr>
            <w:noProof/>
            <w:webHidden/>
          </w:rPr>
          <w:fldChar w:fldCharType="separate"/>
        </w:r>
        <w:r w:rsidR="002C13E2">
          <w:rPr>
            <w:noProof/>
            <w:webHidden/>
          </w:rPr>
          <w:t>32</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40" w:history="1">
        <w:r w:rsidR="001B5556" w:rsidRPr="00E45F67">
          <w:rPr>
            <w:rStyle w:val="Hyperlink"/>
            <w:noProof/>
          </w:rPr>
          <w:t>4.5.12</w:t>
        </w:r>
        <w:r w:rsidR="001B5556">
          <w:rPr>
            <w:rFonts w:asciiTheme="minorHAnsi" w:eastAsiaTheme="minorEastAsia" w:hAnsiTheme="minorHAnsi" w:cstheme="minorBidi"/>
            <w:noProof/>
            <w:sz w:val="22"/>
            <w:szCs w:val="22"/>
            <w:lang w:eastAsia="en-AU"/>
          </w:rPr>
          <w:tab/>
        </w:r>
        <w:r w:rsidR="001B5556" w:rsidRPr="00E45F67">
          <w:rPr>
            <w:rStyle w:val="Hyperlink"/>
            <w:noProof/>
          </w:rPr>
          <w:t>Dimmer and low voltage compatibility</w:t>
        </w:r>
        <w:r w:rsidR="001B5556">
          <w:rPr>
            <w:noProof/>
            <w:webHidden/>
          </w:rPr>
          <w:tab/>
        </w:r>
        <w:r w:rsidR="001B5556">
          <w:rPr>
            <w:noProof/>
            <w:webHidden/>
          </w:rPr>
          <w:fldChar w:fldCharType="begin"/>
        </w:r>
        <w:r w:rsidR="001B5556">
          <w:rPr>
            <w:noProof/>
            <w:webHidden/>
          </w:rPr>
          <w:instrText xml:space="preserve"> PAGEREF _Toc426387740 \h </w:instrText>
        </w:r>
        <w:r w:rsidR="001B5556">
          <w:rPr>
            <w:noProof/>
            <w:webHidden/>
          </w:rPr>
        </w:r>
        <w:r w:rsidR="001B5556">
          <w:rPr>
            <w:noProof/>
            <w:webHidden/>
          </w:rPr>
          <w:fldChar w:fldCharType="separate"/>
        </w:r>
        <w:r w:rsidR="002C13E2">
          <w:rPr>
            <w:noProof/>
            <w:webHidden/>
          </w:rPr>
          <w:t>32</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41" w:history="1">
        <w:r w:rsidR="001B5556" w:rsidRPr="00E45F67">
          <w:rPr>
            <w:rStyle w:val="Hyperlink"/>
            <w:noProof/>
          </w:rPr>
          <w:t>4.5.13</w:t>
        </w:r>
        <w:r w:rsidR="001B5556">
          <w:rPr>
            <w:rFonts w:asciiTheme="minorHAnsi" w:eastAsiaTheme="minorEastAsia" w:hAnsiTheme="minorHAnsi" w:cstheme="minorBidi"/>
            <w:noProof/>
            <w:sz w:val="22"/>
            <w:szCs w:val="22"/>
            <w:lang w:eastAsia="en-AU"/>
          </w:rPr>
          <w:tab/>
        </w:r>
        <w:r w:rsidR="001B5556" w:rsidRPr="00E45F67">
          <w:rPr>
            <w:rStyle w:val="Hyperlink"/>
            <w:noProof/>
          </w:rPr>
          <w:t>Power Factor / Harmonic Distortion</w:t>
        </w:r>
        <w:r w:rsidR="001B5556">
          <w:rPr>
            <w:noProof/>
            <w:webHidden/>
          </w:rPr>
          <w:tab/>
        </w:r>
        <w:r w:rsidR="001B5556">
          <w:rPr>
            <w:noProof/>
            <w:webHidden/>
          </w:rPr>
          <w:fldChar w:fldCharType="begin"/>
        </w:r>
        <w:r w:rsidR="001B5556">
          <w:rPr>
            <w:noProof/>
            <w:webHidden/>
          </w:rPr>
          <w:instrText xml:space="preserve"> PAGEREF _Toc426387741 \h </w:instrText>
        </w:r>
        <w:r w:rsidR="001B5556">
          <w:rPr>
            <w:noProof/>
            <w:webHidden/>
          </w:rPr>
        </w:r>
        <w:r w:rsidR="001B5556">
          <w:rPr>
            <w:noProof/>
            <w:webHidden/>
          </w:rPr>
          <w:fldChar w:fldCharType="separate"/>
        </w:r>
        <w:r w:rsidR="002C13E2">
          <w:rPr>
            <w:noProof/>
            <w:webHidden/>
          </w:rPr>
          <w:t>32</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42" w:history="1">
        <w:r w:rsidR="001B5556" w:rsidRPr="00E45F67">
          <w:rPr>
            <w:rStyle w:val="Hyperlink"/>
            <w:noProof/>
          </w:rPr>
          <w:t>4.5.14</w:t>
        </w:r>
        <w:r w:rsidR="001B5556">
          <w:rPr>
            <w:rFonts w:asciiTheme="minorHAnsi" w:eastAsiaTheme="minorEastAsia" w:hAnsiTheme="minorHAnsi" w:cstheme="minorBidi"/>
            <w:noProof/>
            <w:sz w:val="22"/>
            <w:szCs w:val="22"/>
            <w:lang w:eastAsia="en-AU"/>
          </w:rPr>
          <w:tab/>
        </w:r>
        <w:r w:rsidR="001B5556" w:rsidRPr="00E45F67">
          <w:rPr>
            <w:rStyle w:val="Hyperlink"/>
            <w:noProof/>
          </w:rPr>
          <w:t>Wireless LED and Smart Lighting Developments</w:t>
        </w:r>
        <w:r w:rsidR="001B5556">
          <w:rPr>
            <w:noProof/>
            <w:webHidden/>
          </w:rPr>
          <w:tab/>
        </w:r>
        <w:r w:rsidR="001B5556">
          <w:rPr>
            <w:noProof/>
            <w:webHidden/>
          </w:rPr>
          <w:fldChar w:fldCharType="begin"/>
        </w:r>
        <w:r w:rsidR="001B5556">
          <w:rPr>
            <w:noProof/>
            <w:webHidden/>
          </w:rPr>
          <w:instrText xml:space="preserve"> PAGEREF _Toc426387742 \h </w:instrText>
        </w:r>
        <w:r w:rsidR="001B5556">
          <w:rPr>
            <w:noProof/>
            <w:webHidden/>
          </w:rPr>
        </w:r>
        <w:r w:rsidR="001B5556">
          <w:rPr>
            <w:noProof/>
            <w:webHidden/>
          </w:rPr>
          <w:fldChar w:fldCharType="separate"/>
        </w:r>
        <w:r w:rsidR="002C13E2">
          <w:rPr>
            <w:noProof/>
            <w:webHidden/>
          </w:rPr>
          <w:t>33</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43" w:history="1">
        <w:r w:rsidR="001B5556" w:rsidRPr="00E45F67">
          <w:rPr>
            <w:rStyle w:val="Hyperlink"/>
            <w:noProof/>
          </w:rPr>
          <w:t>4.5.15</w:t>
        </w:r>
        <w:r w:rsidR="001B5556">
          <w:rPr>
            <w:rFonts w:asciiTheme="minorHAnsi" w:eastAsiaTheme="minorEastAsia" w:hAnsiTheme="minorHAnsi" w:cstheme="minorBidi"/>
            <w:noProof/>
            <w:sz w:val="22"/>
            <w:szCs w:val="22"/>
            <w:lang w:eastAsia="en-AU"/>
          </w:rPr>
          <w:tab/>
        </w:r>
        <w:r w:rsidR="001B5556" w:rsidRPr="00E45F67">
          <w:rPr>
            <w:rStyle w:val="Hyperlink"/>
            <w:noProof/>
          </w:rPr>
          <w:t>Possible Health Issues</w:t>
        </w:r>
        <w:r w:rsidR="001B5556">
          <w:rPr>
            <w:noProof/>
            <w:webHidden/>
          </w:rPr>
          <w:tab/>
        </w:r>
        <w:r w:rsidR="001B5556">
          <w:rPr>
            <w:noProof/>
            <w:webHidden/>
          </w:rPr>
          <w:fldChar w:fldCharType="begin"/>
        </w:r>
        <w:r w:rsidR="001B5556">
          <w:rPr>
            <w:noProof/>
            <w:webHidden/>
          </w:rPr>
          <w:instrText xml:space="preserve"> PAGEREF _Toc426387743 \h </w:instrText>
        </w:r>
        <w:r w:rsidR="001B5556">
          <w:rPr>
            <w:noProof/>
            <w:webHidden/>
          </w:rPr>
        </w:r>
        <w:r w:rsidR="001B5556">
          <w:rPr>
            <w:noProof/>
            <w:webHidden/>
          </w:rPr>
          <w:fldChar w:fldCharType="separate"/>
        </w:r>
        <w:r w:rsidR="002C13E2">
          <w:rPr>
            <w:noProof/>
            <w:webHidden/>
          </w:rPr>
          <w:t>35</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44" w:history="1">
        <w:r w:rsidR="001B5556" w:rsidRPr="00E45F67">
          <w:rPr>
            <w:rStyle w:val="Hyperlink"/>
            <w:noProof/>
          </w:rPr>
          <w:t>4.5.16</w:t>
        </w:r>
        <w:r w:rsidR="001B5556">
          <w:rPr>
            <w:rFonts w:asciiTheme="minorHAnsi" w:eastAsiaTheme="minorEastAsia" w:hAnsiTheme="minorHAnsi" w:cstheme="minorBidi"/>
            <w:noProof/>
            <w:sz w:val="22"/>
            <w:szCs w:val="22"/>
            <w:lang w:eastAsia="en-AU"/>
          </w:rPr>
          <w:tab/>
        </w:r>
        <w:r w:rsidR="001B5556" w:rsidRPr="00E45F67">
          <w:rPr>
            <w:rStyle w:val="Hyperlink"/>
            <w:noProof/>
          </w:rPr>
          <w:t>LED Product Lifecycle</w:t>
        </w:r>
        <w:r w:rsidR="001B5556">
          <w:rPr>
            <w:noProof/>
            <w:webHidden/>
          </w:rPr>
          <w:tab/>
        </w:r>
        <w:r w:rsidR="001B5556">
          <w:rPr>
            <w:noProof/>
            <w:webHidden/>
          </w:rPr>
          <w:fldChar w:fldCharType="begin"/>
        </w:r>
        <w:r w:rsidR="001B5556">
          <w:rPr>
            <w:noProof/>
            <w:webHidden/>
          </w:rPr>
          <w:instrText xml:space="preserve"> PAGEREF _Toc426387744 \h </w:instrText>
        </w:r>
        <w:r w:rsidR="001B5556">
          <w:rPr>
            <w:noProof/>
            <w:webHidden/>
          </w:rPr>
        </w:r>
        <w:r w:rsidR="001B5556">
          <w:rPr>
            <w:noProof/>
            <w:webHidden/>
          </w:rPr>
          <w:fldChar w:fldCharType="separate"/>
        </w:r>
        <w:r w:rsidR="002C13E2">
          <w:rPr>
            <w:noProof/>
            <w:webHidden/>
          </w:rPr>
          <w:t>37</w:t>
        </w:r>
        <w:r w:rsidR="001B5556">
          <w:rPr>
            <w:noProof/>
            <w:webHidden/>
          </w:rPr>
          <w:fldChar w:fldCharType="end"/>
        </w:r>
      </w:hyperlink>
    </w:p>
    <w:p w:rsidR="001B5556" w:rsidRDefault="007C2EFC">
      <w:pPr>
        <w:pStyle w:val="TOC1"/>
        <w:tabs>
          <w:tab w:val="left" w:pos="380"/>
        </w:tabs>
        <w:rPr>
          <w:rFonts w:asciiTheme="minorHAnsi" w:eastAsiaTheme="minorEastAsia" w:hAnsiTheme="minorHAnsi" w:cstheme="minorBidi"/>
          <w:b w:val="0"/>
          <w:caps w:val="0"/>
          <w:noProof/>
          <w:sz w:val="22"/>
          <w:szCs w:val="22"/>
          <w:lang w:eastAsia="en-AU"/>
        </w:rPr>
      </w:pPr>
      <w:hyperlink w:anchor="_Toc426387745" w:history="1">
        <w:r w:rsidR="001B5556" w:rsidRPr="00E45F67">
          <w:rPr>
            <w:rStyle w:val="Hyperlink"/>
            <w:noProof/>
          </w:rPr>
          <w:t>5</w:t>
        </w:r>
        <w:r w:rsidR="001B5556">
          <w:rPr>
            <w:rFonts w:asciiTheme="minorHAnsi" w:eastAsiaTheme="minorEastAsia" w:hAnsiTheme="minorHAnsi" w:cstheme="minorBidi"/>
            <w:b w:val="0"/>
            <w:caps w:val="0"/>
            <w:noProof/>
            <w:sz w:val="22"/>
            <w:szCs w:val="22"/>
            <w:lang w:eastAsia="en-AU"/>
          </w:rPr>
          <w:tab/>
        </w:r>
        <w:r w:rsidR="001B5556" w:rsidRPr="00E45F67">
          <w:rPr>
            <w:rStyle w:val="Hyperlink"/>
            <w:noProof/>
          </w:rPr>
          <w:t>Market characteristics</w:t>
        </w:r>
        <w:r w:rsidR="001B5556">
          <w:rPr>
            <w:noProof/>
            <w:webHidden/>
          </w:rPr>
          <w:tab/>
        </w:r>
        <w:r w:rsidR="001B5556">
          <w:rPr>
            <w:noProof/>
            <w:webHidden/>
          </w:rPr>
          <w:fldChar w:fldCharType="begin"/>
        </w:r>
        <w:r w:rsidR="001B5556">
          <w:rPr>
            <w:noProof/>
            <w:webHidden/>
          </w:rPr>
          <w:instrText xml:space="preserve"> PAGEREF _Toc426387745 \h </w:instrText>
        </w:r>
        <w:r w:rsidR="001B5556">
          <w:rPr>
            <w:noProof/>
            <w:webHidden/>
          </w:rPr>
        </w:r>
        <w:r w:rsidR="001B5556">
          <w:rPr>
            <w:noProof/>
            <w:webHidden/>
          </w:rPr>
          <w:fldChar w:fldCharType="separate"/>
        </w:r>
        <w:r w:rsidR="002C13E2">
          <w:rPr>
            <w:noProof/>
            <w:webHidden/>
          </w:rPr>
          <w:t>39</w:t>
        </w:r>
        <w:r w:rsidR="001B5556">
          <w:rPr>
            <w:noProof/>
            <w:webHidden/>
          </w:rPr>
          <w:fldChar w:fldCharType="end"/>
        </w:r>
      </w:hyperlink>
    </w:p>
    <w:p w:rsidR="001B5556" w:rsidRDefault="007C2EFC">
      <w:pPr>
        <w:pStyle w:val="TOC2"/>
        <w:tabs>
          <w:tab w:val="left" w:pos="660"/>
          <w:tab w:val="right" w:leader="dot" w:pos="9629"/>
        </w:tabs>
        <w:rPr>
          <w:rFonts w:asciiTheme="minorHAnsi" w:eastAsiaTheme="minorEastAsia" w:hAnsiTheme="minorHAnsi" w:cstheme="minorBidi"/>
          <w:noProof/>
          <w:sz w:val="22"/>
          <w:lang w:eastAsia="en-AU"/>
        </w:rPr>
      </w:pPr>
      <w:hyperlink w:anchor="_Toc426387746" w:history="1">
        <w:r w:rsidR="001B5556" w:rsidRPr="00E45F67">
          <w:rPr>
            <w:rStyle w:val="Hyperlink"/>
            <w:noProof/>
          </w:rPr>
          <w:t>5.1</w:t>
        </w:r>
        <w:r w:rsidR="001B5556">
          <w:rPr>
            <w:rFonts w:asciiTheme="minorHAnsi" w:eastAsiaTheme="minorEastAsia" w:hAnsiTheme="minorHAnsi" w:cstheme="minorBidi"/>
            <w:noProof/>
            <w:sz w:val="22"/>
            <w:lang w:eastAsia="en-AU"/>
          </w:rPr>
          <w:tab/>
        </w:r>
        <w:r w:rsidR="001B5556" w:rsidRPr="00E45F67">
          <w:rPr>
            <w:rStyle w:val="Hyperlink"/>
            <w:noProof/>
          </w:rPr>
          <w:t>Manufacturers, importers and suppliers</w:t>
        </w:r>
        <w:r w:rsidR="001B5556">
          <w:rPr>
            <w:noProof/>
            <w:webHidden/>
          </w:rPr>
          <w:tab/>
        </w:r>
        <w:r w:rsidR="001B5556">
          <w:rPr>
            <w:noProof/>
            <w:webHidden/>
          </w:rPr>
          <w:fldChar w:fldCharType="begin"/>
        </w:r>
        <w:r w:rsidR="001B5556">
          <w:rPr>
            <w:noProof/>
            <w:webHidden/>
          </w:rPr>
          <w:instrText xml:space="preserve"> PAGEREF _Toc426387746 \h </w:instrText>
        </w:r>
        <w:r w:rsidR="001B5556">
          <w:rPr>
            <w:noProof/>
            <w:webHidden/>
          </w:rPr>
        </w:r>
        <w:r w:rsidR="001B5556">
          <w:rPr>
            <w:noProof/>
            <w:webHidden/>
          </w:rPr>
          <w:fldChar w:fldCharType="separate"/>
        </w:r>
        <w:r w:rsidR="002C13E2">
          <w:rPr>
            <w:noProof/>
            <w:webHidden/>
          </w:rPr>
          <w:t>39</w:t>
        </w:r>
        <w:r w:rsidR="001B5556">
          <w:rPr>
            <w:noProof/>
            <w:webHidden/>
          </w:rPr>
          <w:fldChar w:fldCharType="end"/>
        </w:r>
      </w:hyperlink>
    </w:p>
    <w:p w:rsidR="001B5556" w:rsidRDefault="007C2EFC">
      <w:pPr>
        <w:pStyle w:val="TOC2"/>
        <w:tabs>
          <w:tab w:val="left" w:pos="880"/>
          <w:tab w:val="right" w:leader="dot" w:pos="9629"/>
        </w:tabs>
        <w:rPr>
          <w:rFonts w:asciiTheme="minorHAnsi" w:eastAsiaTheme="minorEastAsia" w:hAnsiTheme="minorHAnsi" w:cstheme="minorBidi"/>
          <w:noProof/>
          <w:sz w:val="22"/>
          <w:lang w:eastAsia="en-AU"/>
        </w:rPr>
      </w:pPr>
      <w:hyperlink w:anchor="_Toc426387747" w:history="1">
        <w:r w:rsidR="001B5556" w:rsidRPr="00E45F67">
          <w:rPr>
            <w:rStyle w:val="Hyperlink"/>
            <w:noProof/>
          </w:rPr>
          <w:t>5.2</w:t>
        </w:r>
        <w:r w:rsidR="001B5556">
          <w:rPr>
            <w:rFonts w:asciiTheme="minorHAnsi" w:eastAsiaTheme="minorEastAsia" w:hAnsiTheme="minorHAnsi" w:cstheme="minorBidi"/>
            <w:noProof/>
            <w:sz w:val="22"/>
            <w:lang w:eastAsia="en-AU"/>
          </w:rPr>
          <w:tab/>
        </w:r>
        <w:r w:rsidR="001B5556" w:rsidRPr="00E45F67">
          <w:rPr>
            <w:rStyle w:val="Hyperlink"/>
            <w:noProof/>
          </w:rPr>
          <w:t>Australian LED lighting market</w:t>
        </w:r>
        <w:r w:rsidR="001B5556">
          <w:rPr>
            <w:noProof/>
            <w:webHidden/>
          </w:rPr>
          <w:tab/>
        </w:r>
        <w:r w:rsidR="001B5556">
          <w:rPr>
            <w:noProof/>
            <w:webHidden/>
          </w:rPr>
          <w:fldChar w:fldCharType="begin"/>
        </w:r>
        <w:r w:rsidR="001B5556">
          <w:rPr>
            <w:noProof/>
            <w:webHidden/>
          </w:rPr>
          <w:instrText xml:space="preserve"> PAGEREF _Toc426387747 \h </w:instrText>
        </w:r>
        <w:r w:rsidR="001B5556">
          <w:rPr>
            <w:noProof/>
            <w:webHidden/>
          </w:rPr>
        </w:r>
        <w:r w:rsidR="001B5556">
          <w:rPr>
            <w:noProof/>
            <w:webHidden/>
          </w:rPr>
          <w:fldChar w:fldCharType="separate"/>
        </w:r>
        <w:r w:rsidR="002C13E2">
          <w:rPr>
            <w:noProof/>
            <w:webHidden/>
          </w:rPr>
          <w:t>41</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48" w:history="1">
        <w:r w:rsidR="001B5556" w:rsidRPr="00E45F67">
          <w:rPr>
            <w:rStyle w:val="Hyperlink"/>
            <w:noProof/>
          </w:rPr>
          <w:t>5.2.1</w:t>
        </w:r>
        <w:r w:rsidR="001B5556">
          <w:rPr>
            <w:rFonts w:asciiTheme="minorHAnsi" w:eastAsiaTheme="minorEastAsia" w:hAnsiTheme="minorHAnsi" w:cstheme="minorBidi"/>
            <w:noProof/>
            <w:sz w:val="22"/>
            <w:szCs w:val="22"/>
            <w:lang w:eastAsia="en-AU"/>
          </w:rPr>
          <w:tab/>
        </w:r>
        <w:r w:rsidR="001B5556" w:rsidRPr="00E45F67">
          <w:rPr>
            <w:rStyle w:val="Hyperlink"/>
            <w:noProof/>
          </w:rPr>
          <w:t>LED Lamp Types</w:t>
        </w:r>
        <w:r w:rsidR="001B5556">
          <w:rPr>
            <w:noProof/>
            <w:webHidden/>
          </w:rPr>
          <w:tab/>
        </w:r>
        <w:r w:rsidR="001B5556">
          <w:rPr>
            <w:noProof/>
            <w:webHidden/>
          </w:rPr>
          <w:fldChar w:fldCharType="begin"/>
        </w:r>
        <w:r w:rsidR="001B5556">
          <w:rPr>
            <w:noProof/>
            <w:webHidden/>
          </w:rPr>
          <w:instrText xml:space="preserve"> PAGEREF _Toc426387748 \h </w:instrText>
        </w:r>
        <w:r w:rsidR="001B5556">
          <w:rPr>
            <w:noProof/>
            <w:webHidden/>
          </w:rPr>
        </w:r>
        <w:r w:rsidR="001B5556">
          <w:rPr>
            <w:noProof/>
            <w:webHidden/>
          </w:rPr>
          <w:fldChar w:fldCharType="separate"/>
        </w:r>
        <w:r w:rsidR="002C13E2">
          <w:rPr>
            <w:noProof/>
            <w:webHidden/>
          </w:rPr>
          <w:t>41</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49" w:history="1">
        <w:r w:rsidR="001B5556" w:rsidRPr="00E45F67">
          <w:rPr>
            <w:rStyle w:val="Hyperlink"/>
            <w:noProof/>
          </w:rPr>
          <w:t>5.2.2</w:t>
        </w:r>
        <w:r w:rsidR="001B5556">
          <w:rPr>
            <w:rFonts w:asciiTheme="minorHAnsi" w:eastAsiaTheme="minorEastAsia" w:hAnsiTheme="minorHAnsi" w:cstheme="minorBidi"/>
            <w:noProof/>
            <w:sz w:val="22"/>
            <w:szCs w:val="22"/>
            <w:lang w:eastAsia="en-AU"/>
          </w:rPr>
          <w:tab/>
        </w:r>
        <w:r w:rsidR="001B5556" w:rsidRPr="00E45F67">
          <w:rPr>
            <w:rStyle w:val="Hyperlink"/>
            <w:noProof/>
          </w:rPr>
          <w:t>Stock and sales</w:t>
        </w:r>
        <w:r w:rsidR="001B5556">
          <w:rPr>
            <w:noProof/>
            <w:webHidden/>
          </w:rPr>
          <w:tab/>
        </w:r>
        <w:r w:rsidR="001B5556">
          <w:rPr>
            <w:noProof/>
            <w:webHidden/>
          </w:rPr>
          <w:fldChar w:fldCharType="begin"/>
        </w:r>
        <w:r w:rsidR="001B5556">
          <w:rPr>
            <w:noProof/>
            <w:webHidden/>
          </w:rPr>
          <w:instrText xml:space="preserve"> PAGEREF _Toc426387749 \h </w:instrText>
        </w:r>
        <w:r w:rsidR="001B5556">
          <w:rPr>
            <w:noProof/>
            <w:webHidden/>
          </w:rPr>
        </w:r>
        <w:r w:rsidR="001B5556">
          <w:rPr>
            <w:noProof/>
            <w:webHidden/>
          </w:rPr>
          <w:fldChar w:fldCharType="separate"/>
        </w:r>
        <w:r w:rsidR="002C13E2">
          <w:rPr>
            <w:noProof/>
            <w:webHidden/>
          </w:rPr>
          <w:t>41</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50" w:history="1">
        <w:r w:rsidR="001B5556" w:rsidRPr="00E45F67">
          <w:rPr>
            <w:rStyle w:val="Hyperlink"/>
            <w:noProof/>
          </w:rPr>
          <w:t>5.2.3</w:t>
        </w:r>
        <w:r w:rsidR="001B5556">
          <w:rPr>
            <w:rFonts w:asciiTheme="minorHAnsi" w:eastAsiaTheme="minorEastAsia" w:hAnsiTheme="minorHAnsi" w:cstheme="minorBidi"/>
            <w:noProof/>
            <w:sz w:val="22"/>
            <w:szCs w:val="22"/>
            <w:lang w:eastAsia="en-AU"/>
          </w:rPr>
          <w:tab/>
        </w:r>
        <w:r w:rsidR="001B5556" w:rsidRPr="00E45F67">
          <w:rPr>
            <w:rStyle w:val="Hyperlink"/>
            <w:noProof/>
          </w:rPr>
          <w:t>Lamp Supply</w:t>
        </w:r>
        <w:r w:rsidR="001B5556">
          <w:rPr>
            <w:noProof/>
            <w:webHidden/>
          </w:rPr>
          <w:tab/>
        </w:r>
        <w:r w:rsidR="001B5556">
          <w:rPr>
            <w:noProof/>
            <w:webHidden/>
          </w:rPr>
          <w:fldChar w:fldCharType="begin"/>
        </w:r>
        <w:r w:rsidR="001B5556">
          <w:rPr>
            <w:noProof/>
            <w:webHidden/>
          </w:rPr>
          <w:instrText xml:space="preserve"> PAGEREF _Toc426387750 \h </w:instrText>
        </w:r>
        <w:r w:rsidR="001B5556">
          <w:rPr>
            <w:noProof/>
            <w:webHidden/>
          </w:rPr>
        </w:r>
        <w:r w:rsidR="001B5556">
          <w:rPr>
            <w:noProof/>
            <w:webHidden/>
          </w:rPr>
          <w:fldChar w:fldCharType="separate"/>
        </w:r>
        <w:r w:rsidR="002C13E2">
          <w:rPr>
            <w:noProof/>
            <w:webHidden/>
          </w:rPr>
          <w:t>43</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51" w:history="1">
        <w:r w:rsidR="001B5556" w:rsidRPr="00E45F67">
          <w:rPr>
            <w:rStyle w:val="Hyperlink"/>
            <w:noProof/>
          </w:rPr>
          <w:t>5.2.4</w:t>
        </w:r>
        <w:r w:rsidR="001B5556">
          <w:rPr>
            <w:rFonts w:asciiTheme="minorHAnsi" w:eastAsiaTheme="minorEastAsia" w:hAnsiTheme="minorHAnsi" w:cstheme="minorBidi"/>
            <w:noProof/>
            <w:sz w:val="22"/>
            <w:szCs w:val="22"/>
            <w:lang w:eastAsia="en-AU"/>
          </w:rPr>
          <w:tab/>
        </w:r>
        <w:r w:rsidR="001B5556" w:rsidRPr="00E45F67">
          <w:rPr>
            <w:rStyle w:val="Hyperlink"/>
            <w:noProof/>
          </w:rPr>
          <w:t>Projected trends</w:t>
        </w:r>
        <w:r w:rsidR="001B5556">
          <w:rPr>
            <w:noProof/>
            <w:webHidden/>
          </w:rPr>
          <w:tab/>
        </w:r>
        <w:r w:rsidR="001B5556">
          <w:rPr>
            <w:noProof/>
            <w:webHidden/>
          </w:rPr>
          <w:fldChar w:fldCharType="begin"/>
        </w:r>
        <w:r w:rsidR="001B5556">
          <w:rPr>
            <w:noProof/>
            <w:webHidden/>
          </w:rPr>
          <w:instrText xml:space="preserve"> PAGEREF _Toc426387751 \h </w:instrText>
        </w:r>
        <w:r w:rsidR="001B5556">
          <w:rPr>
            <w:noProof/>
            <w:webHidden/>
          </w:rPr>
        </w:r>
        <w:r w:rsidR="001B5556">
          <w:rPr>
            <w:noProof/>
            <w:webHidden/>
          </w:rPr>
          <w:fldChar w:fldCharType="separate"/>
        </w:r>
        <w:r w:rsidR="002C13E2">
          <w:rPr>
            <w:noProof/>
            <w:webHidden/>
          </w:rPr>
          <w:t>46</w:t>
        </w:r>
        <w:r w:rsidR="001B5556">
          <w:rPr>
            <w:noProof/>
            <w:webHidden/>
          </w:rPr>
          <w:fldChar w:fldCharType="end"/>
        </w:r>
      </w:hyperlink>
    </w:p>
    <w:p w:rsidR="001B5556" w:rsidRDefault="007C2EFC">
      <w:pPr>
        <w:pStyle w:val="TOC2"/>
        <w:tabs>
          <w:tab w:val="left" w:pos="880"/>
          <w:tab w:val="right" w:leader="dot" w:pos="9629"/>
        </w:tabs>
        <w:rPr>
          <w:rFonts w:asciiTheme="minorHAnsi" w:eastAsiaTheme="minorEastAsia" w:hAnsiTheme="minorHAnsi" w:cstheme="minorBidi"/>
          <w:noProof/>
          <w:sz w:val="22"/>
          <w:lang w:eastAsia="en-AU"/>
        </w:rPr>
      </w:pPr>
      <w:hyperlink w:anchor="_Toc426387752" w:history="1">
        <w:r w:rsidR="001B5556" w:rsidRPr="00E45F67">
          <w:rPr>
            <w:rStyle w:val="Hyperlink"/>
            <w:noProof/>
          </w:rPr>
          <w:t>5.3</w:t>
        </w:r>
        <w:r w:rsidR="001B5556">
          <w:rPr>
            <w:rFonts w:asciiTheme="minorHAnsi" w:eastAsiaTheme="minorEastAsia" w:hAnsiTheme="minorHAnsi" w:cstheme="minorBidi"/>
            <w:noProof/>
            <w:sz w:val="22"/>
            <w:lang w:eastAsia="en-AU"/>
          </w:rPr>
          <w:tab/>
        </w:r>
        <w:r w:rsidR="001B5556" w:rsidRPr="00E45F67">
          <w:rPr>
            <w:rStyle w:val="Hyperlink"/>
            <w:noProof/>
          </w:rPr>
          <w:t>New Zealand LED lighting market</w:t>
        </w:r>
        <w:r w:rsidR="001B5556">
          <w:rPr>
            <w:noProof/>
            <w:webHidden/>
          </w:rPr>
          <w:tab/>
        </w:r>
        <w:r w:rsidR="001B5556">
          <w:rPr>
            <w:noProof/>
            <w:webHidden/>
          </w:rPr>
          <w:fldChar w:fldCharType="begin"/>
        </w:r>
        <w:r w:rsidR="001B5556">
          <w:rPr>
            <w:noProof/>
            <w:webHidden/>
          </w:rPr>
          <w:instrText xml:space="preserve"> PAGEREF _Toc426387752 \h </w:instrText>
        </w:r>
        <w:r w:rsidR="001B5556">
          <w:rPr>
            <w:noProof/>
            <w:webHidden/>
          </w:rPr>
        </w:r>
        <w:r w:rsidR="001B5556">
          <w:rPr>
            <w:noProof/>
            <w:webHidden/>
          </w:rPr>
          <w:fldChar w:fldCharType="separate"/>
        </w:r>
        <w:r w:rsidR="002C13E2">
          <w:rPr>
            <w:noProof/>
            <w:webHidden/>
          </w:rPr>
          <w:t>49</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53" w:history="1">
        <w:r w:rsidR="001B5556" w:rsidRPr="00E45F67">
          <w:rPr>
            <w:rStyle w:val="Hyperlink"/>
            <w:noProof/>
          </w:rPr>
          <w:t>5.3.1</w:t>
        </w:r>
        <w:r w:rsidR="001B5556">
          <w:rPr>
            <w:rFonts w:asciiTheme="minorHAnsi" w:eastAsiaTheme="minorEastAsia" w:hAnsiTheme="minorHAnsi" w:cstheme="minorBidi"/>
            <w:noProof/>
            <w:sz w:val="22"/>
            <w:szCs w:val="22"/>
            <w:lang w:eastAsia="en-AU"/>
          </w:rPr>
          <w:tab/>
        </w:r>
        <w:r w:rsidR="001B5556" w:rsidRPr="00E45F67">
          <w:rPr>
            <w:rStyle w:val="Hyperlink"/>
            <w:noProof/>
          </w:rPr>
          <w:t>Stock and sales</w:t>
        </w:r>
        <w:r w:rsidR="001B5556">
          <w:rPr>
            <w:noProof/>
            <w:webHidden/>
          </w:rPr>
          <w:tab/>
        </w:r>
        <w:r w:rsidR="001B5556">
          <w:rPr>
            <w:noProof/>
            <w:webHidden/>
          </w:rPr>
          <w:fldChar w:fldCharType="begin"/>
        </w:r>
        <w:r w:rsidR="001B5556">
          <w:rPr>
            <w:noProof/>
            <w:webHidden/>
          </w:rPr>
          <w:instrText xml:space="preserve"> PAGEREF _Toc426387753 \h </w:instrText>
        </w:r>
        <w:r w:rsidR="001B5556">
          <w:rPr>
            <w:noProof/>
            <w:webHidden/>
          </w:rPr>
        </w:r>
        <w:r w:rsidR="001B5556">
          <w:rPr>
            <w:noProof/>
            <w:webHidden/>
          </w:rPr>
          <w:fldChar w:fldCharType="separate"/>
        </w:r>
        <w:r w:rsidR="002C13E2">
          <w:rPr>
            <w:noProof/>
            <w:webHidden/>
          </w:rPr>
          <w:t>49</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54" w:history="1">
        <w:r w:rsidR="001B5556" w:rsidRPr="00E45F67">
          <w:rPr>
            <w:rStyle w:val="Hyperlink"/>
            <w:noProof/>
          </w:rPr>
          <w:t>5.3.2</w:t>
        </w:r>
        <w:r w:rsidR="001B5556">
          <w:rPr>
            <w:rFonts w:asciiTheme="minorHAnsi" w:eastAsiaTheme="minorEastAsia" w:hAnsiTheme="minorHAnsi" w:cstheme="minorBidi"/>
            <w:noProof/>
            <w:sz w:val="22"/>
            <w:szCs w:val="22"/>
            <w:lang w:eastAsia="en-AU"/>
          </w:rPr>
          <w:tab/>
        </w:r>
        <w:r w:rsidR="001B5556" w:rsidRPr="00E45F67">
          <w:rPr>
            <w:rStyle w:val="Hyperlink"/>
            <w:noProof/>
          </w:rPr>
          <w:t>Projected trends</w:t>
        </w:r>
        <w:r w:rsidR="001B5556">
          <w:rPr>
            <w:noProof/>
            <w:webHidden/>
          </w:rPr>
          <w:tab/>
        </w:r>
        <w:r w:rsidR="001B5556">
          <w:rPr>
            <w:noProof/>
            <w:webHidden/>
          </w:rPr>
          <w:fldChar w:fldCharType="begin"/>
        </w:r>
        <w:r w:rsidR="001B5556">
          <w:rPr>
            <w:noProof/>
            <w:webHidden/>
          </w:rPr>
          <w:instrText xml:space="preserve"> PAGEREF _Toc426387754 \h </w:instrText>
        </w:r>
        <w:r w:rsidR="001B5556">
          <w:rPr>
            <w:noProof/>
            <w:webHidden/>
          </w:rPr>
        </w:r>
        <w:r w:rsidR="001B5556">
          <w:rPr>
            <w:noProof/>
            <w:webHidden/>
          </w:rPr>
          <w:fldChar w:fldCharType="separate"/>
        </w:r>
        <w:r w:rsidR="002C13E2">
          <w:rPr>
            <w:noProof/>
            <w:webHidden/>
          </w:rPr>
          <w:t>50</w:t>
        </w:r>
        <w:r w:rsidR="001B5556">
          <w:rPr>
            <w:noProof/>
            <w:webHidden/>
          </w:rPr>
          <w:fldChar w:fldCharType="end"/>
        </w:r>
      </w:hyperlink>
    </w:p>
    <w:p w:rsidR="001B5556" w:rsidRDefault="007C2EFC">
      <w:pPr>
        <w:pStyle w:val="TOC1"/>
        <w:tabs>
          <w:tab w:val="left" w:pos="380"/>
        </w:tabs>
        <w:rPr>
          <w:rFonts w:asciiTheme="minorHAnsi" w:eastAsiaTheme="minorEastAsia" w:hAnsiTheme="minorHAnsi" w:cstheme="minorBidi"/>
          <w:b w:val="0"/>
          <w:caps w:val="0"/>
          <w:noProof/>
          <w:sz w:val="22"/>
          <w:szCs w:val="22"/>
          <w:lang w:eastAsia="en-AU"/>
        </w:rPr>
      </w:pPr>
      <w:hyperlink w:anchor="_Toc426387755" w:history="1">
        <w:r w:rsidR="001B5556" w:rsidRPr="00E45F67">
          <w:rPr>
            <w:rStyle w:val="Hyperlink"/>
            <w:noProof/>
          </w:rPr>
          <w:t>6</w:t>
        </w:r>
        <w:r w:rsidR="001B5556">
          <w:rPr>
            <w:rFonts w:asciiTheme="minorHAnsi" w:eastAsiaTheme="minorEastAsia" w:hAnsiTheme="minorHAnsi" w:cstheme="minorBidi"/>
            <w:b w:val="0"/>
            <w:caps w:val="0"/>
            <w:noProof/>
            <w:sz w:val="22"/>
            <w:szCs w:val="22"/>
            <w:lang w:eastAsia="en-AU"/>
          </w:rPr>
          <w:tab/>
        </w:r>
        <w:r w:rsidR="001B5556" w:rsidRPr="00E45F67">
          <w:rPr>
            <w:rStyle w:val="Hyperlink"/>
            <w:noProof/>
          </w:rPr>
          <w:t>Energy consumption and greenhouse gas emissions</w:t>
        </w:r>
        <w:r w:rsidR="001B5556">
          <w:rPr>
            <w:noProof/>
            <w:webHidden/>
          </w:rPr>
          <w:tab/>
        </w:r>
        <w:r w:rsidR="001B5556">
          <w:rPr>
            <w:noProof/>
            <w:webHidden/>
          </w:rPr>
          <w:fldChar w:fldCharType="begin"/>
        </w:r>
        <w:r w:rsidR="001B5556">
          <w:rPr>
            <w:noProof/>
            <w:webHidden/>
          </w:rPr>
          <w:instrText xml:space="preserve"> PAGEREF _Toc426387755 \h </w:instrText>
        </w:r>
        <w:r w:rsidR="001B5556">
          <w:rPr>
            <w:noProof/>
            <w:webHidden/>
          </w:rPr>
        </w:r>
        <w:r w:rsidR="001B5556">
          <w:rPr>
            <w:noProof/>
            <w:webHidden/>
          </w:rPr>
          <w:fldChar w:fldCharType="separate"/>
        </w:r>
        <w:r w:rsidR="002C13E2">
          <w:rPr>
            <w:noProof/>
            <w:webHidden/>
          </w:rPr>
          <w:t>51</w:t>
        </w:r>
        <w:r w:rsidR="001B5556">
          <w:rPr>
            <w:noProof/>
            <w:webHidden/>
          </w:rPr>
          <w:fldChar w:fldCharType="end"/>
        </w:r>
      </w:hyperlink>
    </w:p>
    <w:p w:rsidR="001B5556" w:rsidRDefault="007C2EFC">
      <w:pPr>
        <w:pStyle w:val="TOC2"/>
        <w:tabs>
          <w:tab w:val="left" w:pos="880"/>
          <w:tab w:val="right" w:leader="dot" w:pos="9629"/>
        </w:tabs>
        <w:rPr>
          <w:rFonts w:asciiTheme="minorHAnsi" w:eastAsiaTheme="minorEastAsia" w:hAnsiTheme="minorHAnsi" w:cstheme="minorBidi"/>
          <w:noProof/>
          <w:sz w:val="22"/>
          <w:lang w:eastAsia="en-AU"/>
        </w:rPr>
      </w:pPr>
      <w:hyperlink w:anchor="_Toc426387756" w:history="1">
        <w:r w:rsidR="001B5556" w:rsidRPr="00E45F67">
          <w:rPr>
            <w:rStyle w:val="Hyperlink"/>
            <w:noProof/>
          </w:rPr>
          <w:t>6.1</w:t>
        </w:r>
        <w:r w:rsidR="001B5556">
          <w:rPr>
            <w:rFonts w:asciiTheme="minorHAnsi" w:eastAsiaTheme="minorEastAsia" w:hAnsiTheme="minorHAnsi" w:cstheme="minorBidi"/>
            <w:noProof/>
            <w:sz w:val="22"/>
            <w:lang w:eastAsia="en-AU"/>
          </w:rPr>
          <w:tab/>
        </w:r>
        <w:r w:rsidR="001B5556" w:rsidRPr="00E45F67">
          <w:rPr>
            <w:rStyle w:val="Hyperlink"/>
            <w:noProof/>
          </w:rPr>
          <w:t>Energy consumption</w:t>
        </w:r>
        <w:r w:rsidR="001B5556">
          <w:rPr>
            <w:noProof/>
            <w:webHidden/>
          </w:rPr>
          <w:tab/>
        </w:r>
        <w:r w:rsidR="001B5556">
          <w:rPr>
            <w:noProof/>
            <w:webHidden/>
          </w:rPr>
          <w:fldChar w:fldCharType="begin"/>
        </w:r>
        <w:r w:rsidR="001B5556">
          <w:rPr>
            <w:noProof/>
            <w:webHidden/>
          </w:rPr>
          <w:instrText xml:space="preserve"> PAGEREF _Toc426387756 \h </w:instrText>
        </w:r>
        <w:r w:rsidR="001B5556">
          <w:rPr>
            <w:noProof/>
            <w:webHidden/>
          </w:rPr>
        </w:r>
        <w:r w:rsidR="001B5556">
          <w:rPr>
            <w:noProof/>
            <w:webHidden/>
          </w:rPr>
          <w:fldChar w:fldCharType="separate"/>
        </w:r>
        <w:r w:rsidR="002C13E2">
          <w:rPr>
            <w:noProof/>
            <w:webHidden/>
          </w:rPr>
          <w:t>51</w:t>
        </w:r>
        <w:r w:rsidR="001B5556">
          <w:rPr>
            <w:noProof/>
            <w:webHidden/>
          </w:rPr>
          <w:fldChar w:fldCharType="end"/>
        </w:r>
      </w:hyperlink>
    </w:p>
    <w:p w:rsidR="001B5556" w:rsidRDefault="007C2EFC">
      <w:pPr>
        <w:pStyle w:val="TOC2"/>
        <w:tabs>
          <w:tab w:val="left" w:pos="880"/>
          <w:tab w:val="right" w:leader="dot" w:pos="9629"/>
        </w:tabs>
        <w:rPr>
          <w:rFonts w:asciiTheme="minorHAnsi" w:eastAsiaTheme="minorEastAsia" w:hAnsiTheme="minorHAnsi" w:cstheme="minorBidi"/>
          <w:noProof/>
          <w:sz w:val="22"/>
          <w:lang w:eastAsia="en-AU"/>
        </w:rPr>
      </w:pPr>
      <w:hyperlink w:anchor="_Toc426387757" w:history="1">
        <w:r w:rsidR="001B5556" w:rsidRPr="00E45F67">
          <w:rPr>
            <w:rStyle w:val="Hyperlink"/>
            <w:noProof/>
          </w:rPr>
          <w:t>6.2</w:t>
        </w:r>
        <w:r w:rsidR="001B5556">
          <w:rPr>
            <w:rFonts w:asciiTheme="minorHAnsi" w:eastAsiaTheme="minorEastAsia" w:hAnsiTheme="minorHAnsi" w:cstheme="minorBidi"/>
            <w:noProof/>
            <w:sz w:val="22"/>
            <w:lang w:eastAsia="en-AU"/>
          </w:rPr>
          <w:tab/>
        </w:r>
        <w:r w:rsidR="001B5556" w:rsidRPr="00E45F67">
          <w:rPr>
            <w:rStyle w:val="Hyperlink"/>
            <w:noProof/>
          </w:rPr>
          <w:t>Greenhouse gas emissions</w:t>
        </w:r>
        <w:r w:rsidR="001B5556">
          <w:rPr>
            <w:noProof/>
            <w:webHidden/>
          </w:rPr>
          <w:tab/>
        </w:r>
        <w:r w:rsidR="001B5556">
          <w:rPr>
            <w:noProof/>
            <w:webHidden/>
          </w:rPr>
          <w:fldChar w:fldCharType="begin"/>
        </w:r>
        <w:r w:rsidR="001B5556">
          <w:rPr>
            <w:noProof/>
            <w:webHidden/>
          </w:rPr>
          <w:instrText xml:space="preserve"> PAGEREF _Toc426387757 \h </w:instrText>
        </w:r>
        <w:r w:rsidR="001B5556">
          <w:rPr>
            <w:noProof/>
            <w:webHidden/>
          </w:rPr>
        </w:r>
        <w:r w:rsidR="001B5556">
          <w:rPr>
            <w:noProof/>
            <w:webHidden/>
          </w:rPr>
          <w:fldChar w:fldCharType="separate"/>
        </w:r>
        <w:r w:rsidR="002C13E2">
          <w:rPr>
            <w:noProof/>
            <w:webHidden/>
          </w:rPr>
          <w:t>53</w:t>
        </w:r>
        <w:r w:rsidR="001B5556">
          <w:rPr>
            <w:noProof/>
            <w:webHidden/>
          </w:rPr>
          <w:fldChar w:fldCharType="end"/>
        </w:r>
      </w:hyperlink>
    </w:p>
    <w:p w:rsidR="001B5556" w:rsidRDefault="007C2EFC">
      <w:pPr>
        <w:pStyle w:val="TOC2"/>
        <w:tabs>
          <w:tab w:val="left" w:pos="880"/>
          <w:tab w:val="right" w:leader="dot" w:pos="9629"/>
        </w:tabs>
        <w:rPr>
          <w:rFonts w:asciiTheme="minorHAnsi" w:eastAsiaTheme="minorEastAsia" w:hAnsiTheme="minorHAnsi" w:cstheme="minorBidi"/>
          <w:noProof/>
          <w:sz w:val="22"/>
          <w:lang w:eastAsia="en-AU"/>
        </w:rPr>
      </w:pPr>
      <w:hyperlink w:anchor="_Toc426387758" w:history="1">
        <w:r w:rsidR="001B5556" w:rsidRPr="00E45F67">
          <w:rPr>
            <w:rStyle w:val="Hyperlink"/>
            <w:noProof/>
          </w:rPr>
          <w:t>6.3</w:t>
        </w:r>
        <w:r w:rsidR="001B5556">
          <w:rPr>
            <w:rFonts w:asciiTheme="minorHAnsi" w:eastAsiaTheme="minorEastAsia" w:hAnsiTheme="minorHAnsi" w:cstheme="minorBidi"/>
            <w:noProof/>
            <w:sz w:val="22"/>
            <w:lang w:eastAsia="en-AU"/>
          </w:rPr>
          <w:tab/>
        </w:r>
        <w:r w:rsidR="001B5556" w:rsidRPr="00E45F67">
          <w:rPr>
            <w:rStyle w:val="Hyperlink"/>
            <w:noProof/>
          </w:rPr>
          <w:t>Full Transition to Efficient lighting (Residential)</w:t>
        </w:r>
        <w:r w:rsidR="001B5556">
          <w:rPr>
            <w:noProof/>
            <w:webHidden/>
          </w:rPr>
          <w:tab/>
        </w:r>
        <w:r w:rsidR="001B5556">
          <w:rPr>
            <w:noProof/>
            <w:webHidden/>
          </w:rPr>
          <w:fldChar w:fldCharType="begin"/>
        </w:r>
        <w:r w:rsidR="001B5556">
          <w:rPr>
            <w:noProof/>
            <w:webHidden/>
          </w:rPr>
          <w:instrText xml:space="preserve"> PAGEREF _Toc426387758 \h </w:instrText>
        </w:r>
        <w:r w:rsidR="001B5556">
          <w:rPr>
            <w:noProof/>
            <w:webHidden/>
          </w:rPr>
        </w:r>
        <w:r w:rsidR="001B5556">
          <w:rPr>
            <w:noProof/>
            <w:webHidden/>
          </w:rPr>
          <w:fldChar w:fldCharType="separate"/>
        </w:r>
        <w:r w:rsidR="002C13E2">
          <w:rPr>
            <w:noProof/>
            <w:webHidden/>
          </w:rPr>
          <w:t>54</w:t>
        </w:r>
        <w:r w:rsidR="001B5556">
          <w:rPr>
            <w:noProof/>
            <w:webHidden/>
          </w:rPr>
          <w:fldChar w:fldCharType="end"/>
        </w:r>
      </w:hyperlink>
    </w:p>
    <w:p w:rsidR="001B5556" w:rsidRDefault="007C2EFC">
      <w:pPr>
        <w:pStyle w:val="TOC1"/>
        <w:tabs>
          <w:tab w:val="left" w:pos="380"/>
        </w:tabs>
        <w:rPr>
          <w:rFonts w:asciiTheme="minorHAnsi" w:eastAsiaTheme="minorEastAsia" w:hAnsiTheme="minorHAnsi" w:cstheme="minorBidi"/>
          <w:b w:val="0"/>
          <w:caps w:val="0"/>
          <w:noProof/>
          <w:sz w:val="22"/>
          <w:szCs w:val="22"/>
          <w:lang w:eastAsia="en-AU"/>
        </w:rPr>
      </w:pPr>
      <w:hyperlink w:anchor="_Toc426387759" w:history="1">
        <w:r w:rsidR="001B5556" w:rsidRPr="00E45F67">
          <w:rPr>
            <w:rStyle w:val="Hyperlink"/>
            <w:noProof/>
          </w:rPr>
          <w:t>7</w:t>
        </w:r>
        <w:r w:rsidR="001B5556">
          <w:rPr>
            <w:rFonts w:asciiTheme="minorHAnsi" w:eastAsiaTheme="minorEastAsia" w:hAnsiTheme="minorHAnsi" w:cstheme="minorBidi"/>
            <w:b w:val="0"/>
            <w:caps w:val="0"/>
            <w:noProof/>
            <w:sz w:val="22"/>
            <w:szCs w:val="22"/>
            <w:lang w:eastAsia="en-AU"/>
          </w:rPr>
          <w:tab/>
        </w:r>
        <w:r w:rsidR="001B5556" w:rsidRPr="00E45F67">
          <w:rPr>
            <w:rStyle w:val="Hyperlink"/>
            <w:noProof/>
          </w:rPr>
          <w:t>Relevant standards and regulations in Australia and New Zealand</w:t>
        </w:r>
        <w:r w:rsidR="001B5556">
          <w:rPr>
            <w:noProof/>
            <w:webHidden/>
          </w:rPr>
          <w:tab/>
        </w:r>
        <w:r w:rsidR="001B5556">
          <w:rPr>
            <w:noProof/>
            <w:webHidden/>
          </w:rPr>
          <w:fldChar w:fldCharType="begin"/>
        </w:r>
        <w:r w:rsidR="001B5556">
          <w:rPr>
            <w:noProof/>
            <w:webHidden/>
          </w:rPr>
          <w:instrText xml:space="preserve"> PAGEREF _Toc426387759 \h </w:instrText>
        </w:r>
        <w:r w:rsidR="001B5556">
          <w:rPr>
            <w:noProof/>
            <w:webHidden/>
          </w:rPr>
        </w:r>
        <w:r w:rsidR="001B5556">
          <w:rPr>
            <w:noProof/>
            <w:webHidden/>
          </w:rPr>
          <w:fldChar w:fldCharType="separate"/>
        </w:r>
        <w:r w:rsidR="002C13E2">
          <w:rPr>
            <w:noProof/>
            <w:webHidden/>
          </w:rPr>
          <w:t>56</w:t>
        </w:r>
        <w:r w:rsidR="001B5556">
          <w:rPr>
            <w:noProof/>
            <w:webHidden/>
          </w:rPr>
          <w:fldChar w:fldCharType="end"/>
        </w:r>
      </w:hyperlink>
    </w:p>
    <w:p w:rsidR="001B5556" w:rsidRDefault="007C2EFC">
      <w:pPr>
        <w:pStyle w:val="TOC2"/>
        <w:tabs>
          <w:tab w:val="left" w:pos="660"/>
          <w:tab w:val="right" w:leader="dot" w:pos="9629"/>
        </w:tabs>
        <w:rPr>
          <w:rFonts w:asciiTheme="minorHAnsi" w:eastAsiaTheme="minorEastAsia" w:hAnsiTheme="minorHAnsi" w:cstheme="minorBidi"/>
          <w:noProof/>
          <w:sz w:val="22"/>
          <w:lang w:eastAsia="en-AU"/>
        </w:rPr>
      </w:pPr>
      <w:hyperlink w:anchor="_Toc426387760" w:history="1">
        <w:r w:rsidR="001B5556" w:rsidRPr="00E45F67">
          <w:rPr>
            <w:rStyle w:val="Hyperlink"/>
            <w:noProof/>
          </w:rPr>
          <w:t>7.1</w:t>
        </w:r>
        <w:r w:rsidR="001B5556">
          <w:rPr>
            <w:rFonts w:asciiTheme="minorHAnsi" w:eastAsiaTheme="minorEastAsia" w:hAnsiTheme="minorHAnsi" w:cstheme="minorBidi"/>
            <w:noProof/>
            <w:sz w:val="22"/>
            <w:lang w:eastAsia="en-AU"/>
          </w:rPr>
          <w:tab/>
        </w:r>
        <w:r w:rsidR="001B5556" w:rsidRPr="00E45F67">
          <w:rPr>
            <w:rStyle w:val="Hyperlink"/>
            <w:noProof/>
          </w:rPr>
          <w:t>Test and efficiency standards/labelling</w:t>
        </w:r>
        <w:r w:rsidR="001B5556">
          <w:rPr>
            <w:noProof/>
            <w:webHidden/>
          </w:rPr>
          <w:tab/>
        </w:r>
        <w:r w:rsidR="001B5556">
          <w:rPr>
            <w:noProof/>
            <w:webHidden/>
          </w:rPr>
          <w:fldChar w:fldCharType="begin"/>
        </w:r>
        <w:r w:rsidR="001B5556">
          <w:rPr>
            <w:noProof/>
            <w:webHidden/>
          </w:rPr>
          <w:instrText xml:space="preserve"> PAGEREF _Toc426387760 \h </w:instrText>
        </w:r>
        <w:r w:rsidR="001B5556">
          <w:rPr>
            <w:noProof/>
            <w:webHidden/>
          </w:rPr>
        </w:r>
        <w:r w:rsidR="001B5556">
          <w:rPr>
            <w:noProof/>
            <w:webHidden/>
          </w:rPr>
          <w:fldChar w:fldCharType="separate"/>
        </w:r>
        <w:r w:rsidR="002C13E2">
          <w:rPr>
            <w:noProof/>
            <w:webHidden/>
          </w:rPr>
          <w:t>56</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61" w:history="1">
        <w:r w:rsidR="001B5556" w:rsidRPr="00E45F67">
          <w:rPr>
            <w:rStyle w:val="Hyperlink"/>
            <w:noProof/>
          </w:rPr>
          <w:t>7.1.1</w:t>
        </w:r>
        <w:r w:rsidR="001B5556">
          <w:rPr>
            <w:rFonts w:asciiTheme="minorHAnsi" w:eastAsiaTheme="minorEastAsia" w:hAnsiTheme="minorHAnsi" w:cstheme="minorBidi"/>
            <w:noProof/>
            <w:sz w:val="22"/>
            <w:szCs w:val="22"/>
            <w:lang w:eastAsia="en-AU"/>
          </w:rPr>
          <w:tab/>
        </w:r>
        <w:r w:rsidR="001B5556" w:rsidRPr="00E45F67">
          <w:rPr>
            <w:rStyle w:val="Hyperlink"/>
            <w:noProof/>
          </w:rPr>
          <w:t>Current Australian and New Zealand test laboratory capability</w:t>
        </w:r>
        <w:r w:rsidR="001B5556">
          <w:rPr>
            <w:noProof/>
            <w:webHidden/>
          </w:rPr>
          <w:tab/>
        </w:r>
        <w:r w:rsidR="001B5556">
          <w:rPr>
            <w:noProof/>
            <w:webHidden/>
          </w:rPr>
          <w:fldChar w:fldCharType="begin"/>
        </w:r>
        <w:r w:rsidR="001B5556">
          <w:rPr>
            <w:noProof/>
            <w:webHidden/>
          </w:rPr>
          <w:instrText xml:space="preserve"> PAGEREF _Toc426387761 \h </w:instrText>
        </w:r>
        <w:r w:rsidR="001B5556">
          <w:rPr>
            <w:noProof/>
            <w:webHidden/>
          </w:rPr>
        </w:r>
        <w:r w:rsidR="001B5556">
          <w:rPr>
            <w:noProof/>
            <w:webHidden/>
          </w:rPr>
          <w:fldChar w:fldCharType="separate"/>
        </w:r>
        <w:r w:rsidR="002C13E2">
          <w:rPr>
            <w:noProof/>
            <w:webHidden/>
          </w:rPr>
          <w:t>56</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62" w:history="1">
        <w:r w:rsidR="001B5556" w:rsidRPr="00E45F67">
          <w:rPr>
            <w:rStyle w:val="Hyperlink"/>
            <w:noProof/>
          </w:rPr>
          <w:t>7.1.2</w:t>
        </w:r>
        <w:r w:rsidR="001B5556">
          <w:rPr>
            <w:rFonts w:asciiTheme="minorHAnsi" w:eastAsiaTheme="minorEastAsia" w:hAnsiTheme="minorHAnsi" w:cstheme="minorBidi"/>
            <w:noProof/>
            <w:sz w:val="22"/>
            <w:szCs w:val="22"/>
            <w:lang w:eastAsia="en-AU"/>
          </w:rPr>
          <w:tab/>
        </w:r>
        <w:r w:rsidR="001B5556" w:rsidRPr="00E45F67">
          <w:rPr>
            <w:rStyle w:val="Hyperlink"/>
            <w:noProof/>
          </w:rPr>
          <w:t>MEPS Regulations for Appliance Energy Efficiency</w:t>
        </w:r>
        <w:r w:rsidR="001B5556">
          <w:rPr>
            <w:noProof/>
            <w:webHidden/>
          </w:rPr>
          <w:tab/>
        </w:r>
        <w:r w:rsidR="001B5556">
          <w:rPr>
            <w:noProof/>
            <w:webHidden/>
          </w:rPr>
          <w:fldChar w:fldCharType="begin"/>
        </w:r>
        <w:r w:rsidR="001B5556">
          <w:rPr>
            <w:noProof/>
            <w:webHidden/>
          </w:rPr>
          <w:instrText xml:space="preserve"> PAGEREF _Toc426387762 \h </w:instrText>
        </w:r>
        <w:r w:rsidR="001B5556">
          <w:rPr>
            <w:noProof/>
            <w:webHidden/>
          </w:rPr>
        </w:r>
        <w:r w:rsidR="001B5556">
          <w:rPr>
            <w:noProof/>
            <w:webHidden/>
          </w:rPr>
          <w:fldChar w:fldCharType="separate"/>
        </w:r>
        <w:r w:rsidR="002C13E2">
          <w:rPr>
            <w:noProof/>
            <w:webHidden/>
          </w:rPr>
          <w:t>56</w:t>
        </w:r>
        <w:r w:rsidR="001B5556">
          <w:rPr>
            <w:noProof/>
            <w:webHidden/>
          </w:rPr>
          <w:fldChar w:fldCharType="end"/>
        </w:r>
      </w:hyperlink>
    </w:p>
    <w:p w:rsidR="001B5556" w:rsidRDefault="007C2EFC">
      <w:pPr>
        <w:pStyle w:val="TOC2"/>
        <w:tabs>
          <w:tab w:val="left" w:pos="880"/>
          <w:tab w:val="right" w:leader="dot" w:pos="9629"/>
        </w:tabs>
        <w:rPr>
          <w:rFonts w:asciiTheme="minorHAnsi" w:eastAsiaTheme="minorEastAsia" w:hAnsiTheme="minorHAnsi" w:cstheme="minorBidi"/>
          <w:noProof/>
          <w:sz w:val="22"/>
          <w:lang w:eastAsia="en-AU"/>
        </w:rPr>
      </w:pPr>
      <w:hyperlink w:anchor="_Toc426387763" w:history="1">
        <w:r w:rsidR="001B5556" w:rsidRPr="00E45F67">
          <w:rPr>
            <w:rStyle w:val="Hyperlink"/>
            <w:noProof/>
          </w:rPr>
          <w:t>7.2</w:t>
        </w:r>
        <w:r w:rsidR="001B5556">
          <w:rPr>
            <w:rFonts w:asciiTheme="minorHAnsi" w:eastAsiaTheme="minorEastAsia" w:hAnsiTheme="minorHAnsi" w:cstheme="minorBidi"/>
            <w:noProof/>
            <w:sz w:val="22"/>
            <w:lang w:eastAsia="en-AU"/>
          </w:rPr>
          <w:tab/>
        </w:r>
        <w:r w:rsidR="001B5556" w:rsidRPr="00E45F67">
          <w:rPr>
            <w:rStyle w:val="Hyperlink"/>
            <w:noProof/>
          </w:rPr>
          <w:t>Other Relevant Standards, Regulations and Government Programs</w:t>
        </w:r>
        <w:r w:rsidR="001B5556">
          <w:rPr>
            <w:noProof/>
            <w:webHidden/>
          </w:rPr>
          <w:tab/>
        </w:r>
        <w:r w:rsidR="001B5556">
          <w:rPr>
            <w:noProof/>
            <w:webHidden/>
          </w:rPr>
          <w:fldChar w:fldCharType="begin"/>
        </w:r>
        <w:r w:rsidR="001B5556">
          <w:rPr>
            <w:noProof/>
            <w:webHidden/>
          </w:rPr>
          <w:instrText xml:space="preserve"> PAGEREF _Toc426387763 \h </w:instrText>
        </w:r>
        <w:r w:rsidR="001B5556">
          <w:rPr>
            <w:noProof/>
            <w:webHidden/>
          </w:rPr>
        </w:r>
        <w:r w:rsidR="001B5556">
          <w:rPr>
            <w:noProof/>
            <w:webHidden/>
          </w:rPr>
          <w:fldChar w:fldCharType="separate"/>
        </w:r>
        <w:r w:rsidR="002C13E2">
          <w:rPr>
            <w:noProof/>
            <w:webHidden/>
          </w:rPr>
          <w:t>56</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64" w:history="1">
        <w:r w:rsidR="001B5556" w:rsidRPr="00E45F67">
          <w:rPr>
            <w:rStyle w:val="Hyperlink"/>
            <w:noProof/>
          </w:rPr>
          <w:t>7.2.1</w:t>
        </w:r>
        <w:r w:rsidR="001B5556">
          <w:rPr>
            <w:rFonts w:asciiTheme="minorHAnsi" w:eastAsiaTheme="minorEastAsia" w:hAnsiTheme="minorHAnsi" w:cstheme="minorBidi"/>
            <w:noProof/>
            <w:sz w:val="22"/>
            <w:szCs w:val="22"/>
            <w:lang w:eastAsia="en-AU"/>
          </w:rPr>
          <w:tab/>
        </w:r>
        <w:r w:rsidR="001B5556" w:rsidRPr="00E45F67">
          <w:rPr>
            <w:rStyle w:val="Hyperlink"/>
            <w:noProof/>
          </w:rPr>
          <w:t>Interior lighting</w:t>
        </w:r>
        <w:r w:rsidR="001B5556">
          <w:rPr>
            <w:noProof/>
            <w:webHidden/>
          </w:rPr>
          <w:tab/>
        </w:r>
        <w:r w:rsidR="001B5556">
          <w:rPr>
            <w:noProof/>
            <w:webHidden/>
          </w:rPr>
          <w:fldChar w:fldCharType="begin"/>
        </w:r>
        <w:r w:rsidR="001B5556">
          <w:rPr>
            <w:noProof/>
            <w:webHidden/>
          </w:rPr>
          <w:instrText xml:space="preserve"> PAGEREF _Toc426387764 \h </w:instrText>
        </w:r>
        <w:r w:rsidR="001B5556">
          <w:rPr>
            <w:noProof/>
            <w:webHidden/>
          </w:rPr>
        </w:r>
        <w:r w:rsidR="001B5556">
          <w:rPr>
            <w:noProof/>
            <w:webHidden/>
          </w:rPr>
          <w:fldChar w:fldCharType="separate"/>
        </w:r>
        <w:r w:rsidR="002C13E2">
          <w:rPr>
            <w:noProof/>
            <w:webHidden/>
          </w:rPr>
          <w:t>56</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65" w:history="1">
        <w:r w:rsidR="001B5556" w:rsidRPr="00E45F67">
          <w:rPr>
            <w:rStyle w:val="Hyperlink"/>
            <w:noProof/>
          </w:rPr>
          <w:t>7.2.2</w:t>
        </w:r>
        <w:r w:rsidR="001B5556">
          <w:rPr>
            <w:rFonts w:asciiTheme="minorHAnsi" w:eastAsiaTheme="minorEastAsia" w:hAnsiTheme="minorHAnsi" w:cstheme="minorBidi"/>
            <w:noProof/>
            <w:sz w:val="22"/>
            <w:szCs w:val="22"/>
            <w:lang w:eastAsia="en-AU"/>
          </w:rPr>
          <w:tab/>
        </w:r>
        <w:r w:rsidR="001B5556" w:rsidRPr="00E45F67">
          <w:rPr>
            <w:rStyle w:val="Hyperlink"/>
            <w:noProof/>
          </w:rPr>
          <w:t>National Construction Code and Building Code of Australia</w:t>
        </w:r>
        <w:r w:rsidR="001B5556">
          <w:rPr>
            <w:noProof/>
            <w:webHidden/>
          </w:rPr>
          <w:tab/>
        </w:r>
        <w:r w:rsidR="001B5556">
          <w:rPr>
            <w:noProof/>
            <w:webHidden/>
          </w:rPr>
          <w:fldChar w:fldCharType="begin"/>
        </w:r>
        <w:r w:rsidR="001B5556">
          <w:rPr>
            <w:noProof/>
            <w:webHidden/>
          </w:rPr>
          <w:instrText xml:space="preserve"> PAGEREF _Toc426387765 \h </w:instrText>
        </w:r>
        <w:r w:rsidR="001B5556">
          <w:rPr>
            <w:noProof/>
            <w:webHidden/>
          </w:rPr>
        </w:r>
        <w:r w:rsidR="001B5556">
          <w:rPr>
            <w:noProof/>
            <w:webHidden/>
          </w:rPr>
          <w:fldChar w:fldCharType="separate"/>
        </w:r>
        <w:r w:rsidR="002C13E2">
          <w:rPr>
            <w:noProof/>
            <w:webHidden/>
          </w:rPr>
          <w:t>57</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66" w:history="1">
        <w:r w:rsidR="001B5556" w:rsidRPr="00E45F67">
          <w:rPr>
            <w:rStyle w:val="Hyperlink"/>
            <w:noProof/>
          </w:rPr>
          <w:t>7.2.3</w:t>
        </w:r>
        <w:r w:rsidR="001B5556">
          <w:rPr>
            <w:rFonts w:asciiTheme="minorHAnsi" w:eastAsiaTheme="minorEastAsia" w:hAnsiTheme="minorHAnsi" w:cstheme="minorBidi"/>
            <w:noProof/>
            <w:sz w:val="22"/>
            <w:szCs w:val="22"/>
            <w:lang w:eastAsia="en-AU"/>
          </w:rPr>
          <w:tab/>
        </w:r>
        <w:r w:rsidR="001B5556" w:rsidRPr="00E45F67">
          <w:rPr>
            <w:rStyle w:val="Hyperlink"/>
            <w:noProof/>
          </w:rPr>
          <w:t>Commercial Building Disclosure (CBD) (Australia)</w:t>
        </w:r>
        <w:r w:rsidR="001B5556">
          <w:rPr>
            <w:noProof/>
            <w:webHidden/>
          </w:rPr>
          <w:tab/>
        </w:r>
        <w:r w:rsidR="001B5556">
          <w:rPr>
            <w:noProof/>
            <w:webHidden/>
          </w:rPr>
          <w:fldChar w:fldCharType="begin"/>
        </w:r>
        <w:r w:rsidR="001B5556">
          <w:rPr>
            <w:noProof/>
            <w:webHidden/>
          </w:rPr>
          <w:instrText xml:space="preserve"> PAGEREF _Toc426387766 \h </w:instrText>
        </w:r>
        <w:r w:rsidR="001B5556">
          <w:rPr>
            <w:noProof/>
            <w:webHidden/>
          </w:rPr>
        </w:r>
        <w:r w:rsidR="001B5556">
          <w:rPr>
            <w:noProof/>
            <w:webHidden/>
          </w:rPr>
          <w:fldChar w:fldCharType="separate"/>
        </w:r>
        <w:r w:rsidR="002C13E2">
          <w:rPr>
            <w:noProof/>
            <w:webHidden/>
          </w:rPr>
          <w:t>57</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67" w:history="1">
        <w:r w:rsidR="001B5556" w:rsidRPr="00E45F67">
          <w:rPr>
            <w:rStyle w:val="Hyperlink"/>
            <w:noProof/>
          </w:rPr>
          <w:t>7.2.4</w:t>
        </w:r>
        <w:r w:rsidR="001B5556">
          <w:rPr>
            <w:rFonts w:asciiTheme="minorHAnsi" w:eastAsiaTheme="minorEastAsia" w:hAnsiTheme="minorHAnsi" w:cstheme="minorBidi"/>
            <w:noProof/>
            <w:sz w:val="22"/>
            <w:szCs w:val="22"/>
            <w:lang w:eastAsia="en-AU"/>
          </w:rPr>
          <w:tab/>
        </w:r>
        <w:r w:rsidR="001B5556" w:rsidRPr="00E45F67">
          <w:rPr>
            <w:rStyle w:val="Hyperlink"/>
            <w:noProof/>
          </w:rPr>
          <w:t>New Zealand Building Code</w:t>
        </w:r>
        <w:r w:rsidR="001B5556">
          <w:rPr>
            <w:noProof/>
            <w:webHidden/>
          </w:rPr>
          <w:tab/>
        </w:r>
        <w:r w:rsidR="001B5556">
          <w:rPr>
            <w:noProof/>
            <w:webHidden/>
          </w:rPr>
          <w:fldChar w:fldCharType="begin"/>
        </w:r>
        <w:r w:rsidR="001B5556">
          <w:rPr>
            <w:noProof/>
            <w:webHidden/>
          </w:rPr>
          <w:instrText xml:space="preserve"> PAGEREF _Toc426387767 \h </w:instrText>
        </w:r>
        <w:r w:rsidR="001B5556">
          <w:rPr>
            <w:noProof/>
            <w:webHidden/>
          </w:rPr>
        </w:r>
        <w:r w:rsidR="001B5556">
          <w:rPr>
            <w:noProof/>
            <w:webHidden/>
          </w:rPr>
          <w:fldChar w:fldCharType="separate"/>
        </w:r>
        <w:r w:rsidR="002C13E2">
          <w:rPr>
            <w:noProof/>
            <w:webHidden/>
          </w:rPr>
          <w:t>57</w:t>
        </w:r>
        <w:r w:rsidR="001B5556">
          <w:rPr>
            <w:noProof/>
            <w:webHidden/>
          </w:rPr>
          <w:fldChar w:fldCharType="end"/>
        </w:r>
      </w:hyperlink>
    </w:p>
    <w:p w:rsidR="001B5556" w:rsidRDefault="007C2EFC">
      <w:pPr>
        <w:pStyle w:val="TOC2"/>
        <w:tabs>
          <w:tab w:val="left" w:pos="880"/>
          <w:tab w:val="right" w:leader="dot" w:pos="9629"/>
        </w:tabs>
        <w:rPr>
          <w:rFonts w:asciiTheme="minorHAnsi" w:eastAsiaTheme="minorEastAsia" w:hAnsiTheme="minorHAnsi" w:cstheme="minorBidi"/>
          <w:noProof/>
          <w:sz w:val="22"/>
          <w:lang w:eastAsia="en-AU"/>
        </w:rPr>
      </w:pPr>
      <w:hyperlink w:anchor="_Toc426387768" w:history="1">
        <w:r w:rsidR="001B5556" w:rsidRPr="00E45F67">
          <w:rPr>
            <w:rStyle w:val="Hyperlink"/>
            <w:noProof/>
          </w:rPr>
          <w:t>7.3</w:t>
        </w:r>
        <w:r w:rsidR="001B5556">
          <w:rPr>
            <w:rFonts w:asciiTheme="minorHAnsi" w:eastAsiaTheme="minorEastAsia" w:hAnsiTheme="minorHAnsi" w:cstheme="minorBidi"/>
            <w:noProof/>
            <w:sz w:val="22"/>
            <w:lang w:eastAsia="en-AU"/>
          </w:rPr>
          <w:tab/>
        </w:r>
        <w:r w:rsidR="001B5556" w:rsidRPr="00E45F67">
          <w:rPr>
            <w:rStyle w:val="Hyperlink"/>
            <w:noProof/>
          </w:rPr>
          <w:t>Voluntary programs, incentive schemes and education</w:t>
        </w:r>
        <w:r w:rsidR="001B5556">
          <w:rPr>
            <w:noProof/>
            <w:webHidden/>
          </w:rPr>
          <w:tab/>
        </w:r>
        <w:r w:rsidR="001B5556">
          <w:rPr>
            <w:noProof/>
            <w:webHidden/>
          </w:rPr>
          <w:fldChar w:fldCharType="begin"/>
        </w:r>
        <w:r w:rsidR="001B5556">
          <w:rPr>
            <w:noProof/>
            <w:webHidden/>
          </w:rPr>
          <w:instrText xml:space="preserve"> PAGEREF _Toc426387768 \h </w:instrText>
        </w:r>
        <w:r w:rsidR="001B5556">
          <w:rPr>
            <w:noProof/>
            <w:webHidden/>
          </w:rPr>
        </w:r>
        <w:r w:rsidR="001B5556">
          <w:rPr>
            <w:noProof/>
            <w:webHidden/>
          </w:rPr>
          <w:fldChar w:fldCharType="separate"/>
        </w:r>
        <w:r w:rsidR="002C13E2">
          <w:rPr>
            <w:noProof/>
            <w:webHidden/>
          </w:rPr>
          <w:t>58</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69" w:history="1">
        <w:r w:rsidR="001B5556" w:rsidRPr="00E45F67">
          <w:rPr>
            <w:rStyle w:val="Hyperlink"/>
            <w:noProof/>
          </w:rPr>
          <w:t>7.3.1</w:t>
        </w:r>
        <w:r w:rsidR="001B5556">
          <w:rPr>
            <w:rFonts w:asciiTheme="minorHAnsi" w:eastAsiaTheme="minorEastAsia" w:hAnsiTheme="minorHAnsi" w:cstheme="minorBidi"/>
            <w:noProof/>
            <w:sz w:val="22"/>
            <w:szCs w:val="22"/>
            <w:lang w:eastAsia="en-AU"/>
          </w:rPr>
          <w:tab/>
        </w:r>
        <w:r w:rsidR="001B5556" w:rsidRPr="00E45F67">
          <w:rPr>
            <w:rStyle w:val="Hyperlink"/>
            <w:noProof/>
          </w:rPr>
          <w:t>Energy Star (New Zealand)</w:t>
        </w:r>
        <w:r w:rsidR="001B5556">
          <w:rPr>
            <w:noProof/>
            <w:webHidden/>
          </w:rPr>
          <w:tab/>
        </w:r>
        <w:r w:rsidR="001B5556">
          <w:rPr>
            <w:noProof/>
            <w:webHidden/>
          </w:rPr>
          <w:fldChar w:fldCharType="begin"/>
        </w:r>
        <w:r w:rsidR="001B5556">
          <w:rPr>
            <w:noProof/>
            <w:webHidden/>
          </w:rPr>
          <w:instrText xml:space="preserve"> PAGEREF _Toc426387769 \h </w:instrText>
        </w:r>
        <w:r w:rsidR="001B5556">
          <w:rPr>
            <w:noProof/>
            <w:webHidden/>
          </w:rPr>
        </w:r>
        <w:r w:rsidR="001B5556">
          <w:rPr>
            <w:noProof/>
            <w:webHidden/>
          </w:rPr>
          <w:fldChar w:fldCharType="separate"/>
        </w:r>
        <w:r w:rsidR="002C13E2">
          <w:rPr>
            <w:noProof/>
            <w:webHidden/>
          </w:rPr>
          <w:t>58</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70" w:history="1">
        <w:r w:rsidR="001B5556" w:rsidRPr="00E45F67">
          <w:rPr>
            <w:rStyle w:val="Hyperlink"/>
            <w:noProof/>
          </w:rPr>
          <w:t>7.3.2</w:t>
        </w:r>
        <w:r w:rsidR="001B5556">
          <w:rPr>
            <w:rFonts w:asciiTheme="minorHAnsi" w:eastAsiaTheme="minorEastAsia" w:hAnsiTheme="minorHAnsi" w:cstheme="minorBidi"/>
            <w:noProof/>
            <w:sz w:val="22"/>
            <w:szCs w:val="22"/>
            <w:lang w:eastAsia="en-AU"/>
          </w:rPr>
          <w:tab/>
        </w:r>
        <w:r w:rsidR="001B5556" w:rsidRPr="00E45F67">
          <w:rPr>
            <w:rStyle w:val="Hyperlink"/>
            <w:noProof/>
          </w:rPr>
          <w:t>SSL Quality Scheme</w:t>
        </w:r>
        <w:r w:rsidR="001B5556">
          <w:rPr>
            <w:noProof/>
            <w:webHidden/>
          </w:rPr>
          <w:tab/>
        </w:r>
        <w:r w:rsidR="001B5556">
          <w:rPr>
            <w:noProof/>
            <w:webHidden/>
          </w:rPr>
          <w:fldChar w:fldCharType="begin"/>
        </w:r>
        <w:r w:rsidR="001B5556">
          <w:rPr>
            <w:noProof/>
            <w:webHidden/>
          </w:rPr>
          <w:instrText xml:space="preserve"> PAGEREF _Toc426387770 \h </w:instrText>
        </w:r>
        <w:r w:rsidR="001B5556">
          <w:rPr>
            <w:noProof/>
            <w:webHidden/>
          </w:rPr>
        </w:r>
        <w:r w:rsidR="001B5556">
          <w:rPr>
            <w:noProof/>
            <w:webHidden/>
          </w:rPr>
          <w:fldChar w:fldCharType="separate"/>
        </w:r>
        <w:r w:rsidR="002C13E2">
          <w:rPr>
            <w:noProof/>
            <w:webHidden/>
          </w:rPr>
          <w:t>58</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71" w:history="1">
        <w:r w:rsidR="001B5556" w:rsidRPr="00E45F67">
          <w:rPr>
            <w:rStyle w:val="Hyperlink"/>
            <w:noProof/>
          </w:rPr>
          <w:t>7.3.3</w:t>
        </w:r>
        <w:r w:rsidR="001B5556">
          <w:rPr>
            <w:rFonts w:asciiTheme="minorHAnsi" w:eastAsiaTheme="minorEastAsia" w:hAnsiTheme="minorHAnsi" w:cstheme="minorBidi"/>
            <w:noProof/>
            <w:sz w:val="22"/>
            <w:szCs w:val="22"/>
            <w:lang w:eastAsia="en-AU"/>
          </w:rPr>
          <w:tab/>
        </w:r>
        <w:r w:rsidR="001B5556" w:rsidRPr="00E45F67">
          <w:rPr>
            <w:rStyle w:val="Hyperlink"/>
            <w:noProof/>
          </w:rPr>
          <w:t>Incentives</w:t>
        </w:r>
        <w:r w:rsidR="001B5556">
          <w:rPr>
            <w:noProof/>
            <w:webHidden/>
          </w:rPr>
          <w:tab/>
        </w:r>
        <w:r w:rsidR="001B5556">
          <w:rPr>
            <w:noProof/>
            <w:webHidden/>
          </w:rPr>
          <w:fldChar w:fldCharType="begin"/>
        </w:r>
        <w:r w:rsidR="001B5556">
          <w:rPr>
            <w:noProof/>
            <w:webHidden/>
          </w:rPr>
          <w:instrText xml:space="preserve"> PAGEREF _Toc426387771 \h </w:instrText>
        </w:r>
        <w:r w:rsidR="001B5556">
          <w:rPr>
            <w:noProof/>
            <w:webHidden/>
          </w:rPr>
        </w:r>
        <w:r w:rsidR="001B5556">
          <w:rPr>
            <w:noProof/>
            <w:webHidden/>
          </w:rPr>
          <w:fldChar w:fldCharType="separate"/>
        </w:r>
        <w:r w:rsidR="002C13E2">
          <w:rPr>
            <w:noProof/>
            <w:webHidden/>
          </w:rPr>
          <w:t>59</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72" w:history="1">
        <w:r w:rsidR="001B5556" w:rsidRPr="00E45F67">
          <w:rPr>
            <w:rStyle w:val="Hyperlink"/>
            <w:noProof/>
          </w:rPr>
          <w:t>7.3.4</w:t>
        </w:r>
        <w:r w:rsidR="001B5556">
          <w:rPr>
            <w:rFonts w:asciiTheme="minorHAnsi" w:eastAsiaTheme="minorEastAsia" w:hAnsiTheme="minorHAnsi" w:cstheme="minorBidi"/>
            <w:noProof/>
            <w:sz w:val="22"/>
            <w:szCs w:val="22"/>
            <w:lang w:eastAsia="en-AU"/>
          </w:rPr>
          <w:tab/>
        </w:r>
        <w:r w:rsidR="001B5556" w:rsidRPr="00E45F67">
          <w:rPr>
            <w:rStyle w:val="Hyperlink"/>
            <w:noProof/>
          </w:rPr>
          <w:t>Education</w:t>
        </w:r>
        <w:r w:rsidR="001B5556">
          <w:rPr>
            <w:noProof/>
            <w:webHidden/>
          </w:rPr>
          <w:tab/>
        </w:r>
        <w:r w:rsidR="001B5556">
          <w:rPr>
            <w:noProof/>
            <w:webHidden/>
          </w:rPr>
          <w:fldChar w:fldCharType="begin"/>
        </w:r>
        <w:r w:rsidR="001B5556">
          <w:rPr>
            <w:noProof/>
            <w:webHidden/>
          </w:rPr>
          <w:instrText xml:space="preserve"> PAGEREF _Toc426387772 \h </w:instrText>
        </w:r>
        <w:r w:rsidR="001B5556">
          <w:rPr>
            <w:noProof/>
            <w:webHidden/>
          </w:rPr>
        </w:r>
        <w:r w:rsidR="001B5556">
          <w:rPr>
            <w:noProof/>
            <w:webHidden/>
          </w:rPr>
          <w:fldChar w:fldCharType="separate"/>
        </w:r>
        <w:r w:rsidR="002C13E2">
          <w:rPr>
            <w:noProof/>
            <w:webHidden/>
          </w:rPr>
          <w:t>59</w:t>
        </w:r>
        <w:r w:rsidR="001B5556">
          <w:rPr>
            <w:noProof/>
            <w:webHidden/>
          </w:rPr>
          <w:fldChar w:fldCharType="end"/>
        </w:r>
      </w:hyperlink>
    </w:p>
    <w:p w:rsidR="001B5556" w:rsidRDefault="007C2EFC">
      <w:pPr>
        <w:pStyle w:val="TOC1"/>
        <w:tabs>
          <w:tab w:val="left" w:pos="380"/>
        </w:tabs>
        <w:rPr>
          <w:rFonts w:asciiTheme="minorHAnsi" w:eastAsiaTheme="minorEastAsia" w:hAnsiTheme="minorHAnsi" w:cstheme="minorBidi"/>
          <w:b w:val="0"/>
          <w:caps w:val="0"/>
          <w:noProof/>
          <w:sz w:val="22"/>
          <w:szCs w:val="22"/>
          <w:lang w:eastAsia="en-AU"/>
        </w:rPr>
      </w:pPr>
      <w:hyperlink w:anchor="_Toc426387773" w:history="1">
        <w:r w:rsidR="001B5556" w:rsidRPr="00E45F67">
          <w:rPr>
            <w:rStyle w:val="Hyperlink"/>
            <w:noProof/>
          </w:rPr>
          <w:t>8</w:t>
        </w:r>
        <w:r w:rsidR="001B5556">
          <w:rPr>
            <w:rFonts w:asciiTheme="minorHAnsi" w:eastAsiaTheme="minorEastAsia" w:hAnsiTheme="minorHAnsi" w:cstheme="minorBidi"/>
            <w:b w:val="0"/>
            <w:caps w:val="0"/>
            <w:noProof/>
            <w:sz w:val="22"/>
            <w:szCs w:val="22"/>
            <w:lang w:eastAsia="en-AU"/>
          </w:rPr>
          <w:tab/>
        </w:r>
        <w:r w:rsidR="001B5556" w:rsidRPr="00E45F67">
          <w:rPr>
            <w:rStyle w:val="Hyperlink"/>
            <w:noProof/>
          </w:rPr>
          <w:t>International energy efficiency programs</w:t>
        </w:r>
        <w:r w:rsidR="001B5556">
          <w:rPr>
            <w:noProof/>
            <w:webHidden/>
          </w:rPr>
          <w:tab/>
        </w:r>
        <w:r w:rsidR="001B5556">
          <w:rPr>
            <w:noProof/>
            <w:webHidden/>
          </w:rPr>
          <w:fldChar w:fldCharType="begin"/>
        </w:r>
        <w:r w:rsidR="001B5556">
          <w:rPr>
            <w:noProof/>
            <w:webHidden/>
          </w:rPr>
          <w:instrText xml:space="preserve"> PAGEREF _Toc426387773 \h </w:instrText>
        </w:r>
        <w:r w:rsidR="001B5556">
          <w:rPr>
            <w:noProof/>
            <w:webHidden/>
          </w:rPr>
        </w:r>
        <w:r w:rsidR="001B5556">
          <w:rPr>
            <w:noProof/>
            <w:webHidden/>
          </w:rPr>
          <w:fldChar w:fldCharType="separate"/>
        </w:r>
        <w:r w:rsidR="002C13E2">
          <w:rPr>
            <w:noProof/>
            <w:webHidden/>
          </w:rPr>
          <w:t>61</w:t>
        </w:r>
        <w:r w:rsidR="001B5556">
          <w:rPr>
            <w:noProof/>
            <w:webHidden/>
          </w:rPr>
          <w:fldChar w:fldCharType="end"/>
        </w:r>
      </w:hyperlink>
    </w:p>
    <w:p w:rsidR="001B5556" w:rsidRDefault="007C2EFC">
      <w:pPr>
        <w:pStyle w:val="TOC2"/>
        <w:tabs>
          <w:tab w:val="left" w:pos="880"/>
          <w:tab w:val="right" w:leader="dot" w:pos="9629"/>
        </w:tabs>
        <w:rPr>
          <w:rFonts w:asciiTheme="minorHAnsi" w:eastAsiaTheme="minorEastAsia" w:hAnsiTheme="minorHAnsi" w:cstheme="minorBidi"/>
          <w:noProof/>
          <w:sz w:val="22"/>
          <w:lang w:eastAsia="en-AU"/>
        </w:rPr>
      </w:pPr>
      <w:hyperlink w:anchor="_Toc426387774" w:history="1">
        <w:r w:rsidR="001B5556" w:rsidRPr="00E45F67">
          <w:rPr>
            <w:rStyle w:val="Hyperlink"/>
            <w:noProof/>
          </w:rPr>
          <w:t>8.1</w:t>
        </w:r>
        <w:r w:rsidR="001B5556">
          <w:rPr>
            <w:rFonts w:asciiTheme="minorHAnsi" w:eastAsiaTheme="minorEastAsia" w:hAnsiTheme="minorHAnsi" w:cstheme="minorBidi"/>
            <w:noProof/>
            <w:sz w:val="22"/>
            <w:lang w:eastAsia="en-AU"/>
          </w:rPr>
          <w:tab/>
        </w:r>
        <w:r w:rsidR="001B5556" w:rsidRPr="00E45F67">
          <w:rPr>
            <w:rStyle w:val="Hyperlink"/>
            <w:noProof/>
          </w:rPr>
          <w:t>European Union</w:t>
        </w:r>
        <w:r w:rsidR="001B5556">
          <w:rPr>
            <w:noProof/>
            <w:webHidden/>
          </w:rPr>
          <w:tab/>
        </w:r>
        <w:r w:rsidR="001B5556">
          <w:rPr>
            <w:noProof/>
            <w:webHidden/>
          </w:rPr>
          <w:fldChar w:fldCharType="begin"/>
        </w:r>
        <w:r w:rsidR="001B5556">
          <w:rPr>
            <w:noProof/>
            <w:webHidden/>
          </w:rPr>
          <w:instrText xml:space="preserve"> PAGEREF _Toc426387774 \h </w:instrText>
        </w:r>
        <w:r w:rsidR="001B5556">
          <w:rPr>
            <w:noProof/>
            <w:webHidden/>
          </w:rPr>
        </w:r>
        <w:r w:rsidR="001B5556">
          <w:rPr>
            <w:noProof/>
            <w:webHidden/>
          </w:rPr>
          <w:fldChar w:fldCharType="separate"/>
        </w:r>
        <w:r w:rsidR="002C13E2">
          <w:rPr>
            <w:noProof/>
            <w:webHidden/>
          </w:rPr>
          <w:t>61</w:t>
        </w:r>
        <w:r w:rsidR="001B5556">
          <w:rPr>
            <w:noProof/>
            <w:webHidden/>
          </w:rPr>
          <w:fldChar w:fldCharType="end"/>
        </w:r>
      </w:hyperlink>
    </w:p>
    <w:p w:rsidR="001B5556" w:rsidRDefault="007C2EFC">
      <w:pPr>
        <w:pStyle w:val="TOC2"/>
        <w:tabs>
          <w:tab w:val="left" w:pos="880"/>
          <w:tab w:val="right" w:leader="dot" w:pos="9629"/>
        </w:tabs>
        <w:rPr>
          <w:rFonts w:asciiTheme="minorHAnsi" w:eastAsiaTheme="minorEastAsia" w:hAnsiTheme="minorHAnsi" w:cstheme="minorBidi"/>
          <w:noProof/>
          <w:sz w:val="22"/>
          <w:lang w:eastAsia="en-AU"/>
        </w:rPr>
      </w:pPr>
      <w:hyperlink w:anchor="_Toc426387775" w:history="1">
        <w:r w:rsidR="001B5556" w:rsidRPr="00E45F67">
          <w:rPr>
            <w:rStyle w:val="Hyperlink"/>
            <w:noProof/>
          </w:rPr>
          <w:t>8.2</w:t>
        </w:r>
        <w:r w:rsidR="001B5556">
          <w:rPr>
            <w:rFonts w:asciiTheme="minorHAnsi" w:eastAsiaTheme="minorEastAsia" w:hAnsiTheme="minorHAnsi" w:cstheme="minorBidi"/>
            <w:noProof/>
            <w:sz w:val="22"/>
            <w:lang w:eastAsia="en-AU"/>
          </w:rPr>
          <w:tab/>
        </w:r>
        <w:r w:rsidR="001B5556" w:rsidRPr="00E45F67">
          <w:rPr>
            <w:rStyle w:val="Hyperlink"/>
            <w:noProof/>
          </w:rPr>
          <w:t>Mexico</w:t>
        </w:r>
        <w:r w:rsidR="001B5556">
          <w:rPr>
            <w:noProof/>
            <w:webHidden/>
          </w:rPr>
          <w:tab/>
        </w:r>
        <w:r w:rsidR="001B5556">
          <w:rPr>
            <w:noProof/>
            <w:webHidden/>
          </w:rPr>
          <w:fldChar w:fldCharType="begin"/>
        </w:r>
        <w:r w:rsidR="001B5556">
          <w:rPr>
            <w:noProof/>
            <w:webHidden/>
          </w:rPr>
          <w:instrText xml:space="preserve"> PAGEREF _Toc426387775 \h </w:instrText>
        </w:r>
        <w:r w:rsidR="001B5556">
          <w:rPr>
            <w:noProof/>
            <w:webHidden/>
          </w:rPr>
        </w:r>
        <w:r w:rsidR="001B5556">
          <w:rPr>
            <w:noProof/>
            <w:webHidden/>
          </w:rPr>
          <w:fldChar w:fldCharType="separate"/>
        </w:r>
        <w:r w:rsidR="002C13E2">
          <w:rPr>
            <w:noProof/>
            <w:webHidden/>
          </w:rPr>
          <w:t>63</w:t>
        </w:r>
        <w:r w:rsidR="001B5556">
          <w:rPr>
            <w:noProof/>
            <w:webHidden/>
          </w:rPr>
          <w:fldChar w:fldCharType="end"/>
        </w:r>
      </w:hyperlink>
    </w:p>
    <w:p w:rsidR="001B5556" w:rsidRDefault="007C2EFC">
      <w:pPr>
        <w:pStyle w:val="TOC2"/>
        <w:tabs>
          <w:tab w:val="left" w:pos="880"/>
          <w:tab w:val="right" w:leader="dot" w:pos="9629"/>
        </w:tabs>
        <w:rPr>
          <w:rFonts w:asciiTheme="minorHAnsi" w:eastAsiaTheme="minorEastAsia" w:hAnsiTheme="minorHAnsi" w:cstheme="minorBidi"/>
          <w:noProof/>
          <w:sz w:val="22"/>
          <w:lang w:eastAsia="en-AU"/>
        </w:rPr>
      </w:pPr>
      <w:hyperlink w:anchor="_Toc426387776" w:history="1">
        <w:r w:rsidR="001B5556" w:rsidRPr="00E45F67">
          <w:rPr>
            <w:rStyle w:val="Hyperlink"/>
            <w:noProof/>
          </w:rPr>
          <w:t>8.3</w:t>
        </w:r>
        <w:r w:rsidR="001B5556">
          <w:rPr>
            <w:rFonts w:asciiTheme="minorHAnsi" w:eastAsiaTheme="minorEastAsia" w:hAnsiTheme="minorHAnsi" w:cstheme="minorBidi"/>
            <w:noProof/>
            <w:sz w:val="22"/>
            <w:lang w:eastAsia="en-AU"/>
          </w:rPr>
          <w:tab/>
        </w:r>
        <w:r w:rsidR="001B5556" w:rsidRPr="00E45F67">
          <w:rPr>
            <w:rStyle w:val="Hyperlink"/>
            <w:noProof/>
          </w:rPr>
          <w:t>International Energy Agency</w:t>
        </w:r>
        <w:r w:rsidR="001B5556">
          <w:rPr>
            <w:noProof/>
            <w:webHidden/>
          </w:rPr>
          <w:tab/>
        </w:r>
        <w:r w:rsidR="001B5556">
          <w:rPr>
            <w:noProof/>
            <w:webHidden/>
          </w:rPr>
          <w:fldChar w:fldCharType="begin"/>
        </w:r>
        <w:r w:rsidR="001B5556">
          <w:rPr>
            <w:noProof/>
            <w:webHidden/>
          </w:rPr>
          <w:instrText xml:space="preserve"> PAGEREF _Toc426387776 \h </w:instrText>
        </w:r>
        <w:r w:rsidR="001B5556">
          <w:rPr>
            <w:noProof/>
            <w:webHidden/>
          </w:rPr>
        </w:r>
        <w:r w:rsidR="001B5556">
          <w:rPr>
            <w:noProof/>
            <w:webHidden/>
          </w:rPr>
          <w:fldChar w:fldCharType="separate"/>
        </w:r>
        <w:r w:rsidR="002C13E2">
          <w:rPr>
            <w:noProof/>
            <w:webHidden/>
          </w:rPr>
          <w:t>63</w:t>
        </w:r>
        <w:r w:rsidR="001B5556">
          <w:rPr>
            <w:noProof/>
            <w:webHidden/>
          </w:rPr>
          <w:fldChar w:fldCharType="end"/>
        </w:r>
      </w:hyperlink>
    </w:p>
    <w:p w:rsidR="001B5556" w:rsidRDefault="007C2EFC">
      <w:pPr>
        <w:pStyle w:val="TOC2"/>
        <w:tabs>
          <w:tab w:val="left" w:pos="880"/>
          <w:tab w:val="right" w:leader="dot" w:pos="9629"/>
        </w:tabs>
        <w:rPr>
          <w:rFonts w:asciiTheme="minorHAnsi" w:eastAsiaTheme="minorEastAsia" w:hAnsiTheme="minorHAnsi" w:cstheme="minorBidi"/>
          <w:noProof/>
          <w:sz w:val="22"/>
          <w:lang w:eastAsia="en-AU"/>
        </w:rPr>
      </w:pPr>
      <w:hyperlink w:anchor="_Toc426387777" w:history="1">
        <w:r w:rsidR="001B5556" w:rsidRPr="00E45F67">
          <w:rPr>
            <w:rStyle w:val="Hyperlink"/>
            <w:noProof/>
          </w:rPr>
          <w:t>8.4</w:t>
        </w:r>
        <w:r w:rsidR="001B5556">
          <w:rPr>
            <w:rFonts w:asciiTheme="minorHAnsi" w:eastAsiaTheme="minorEastAsia" w:hAnsiTheme="minorHAnsi" w:cstheme="minorBidi"/>
            <w:noProof/>
            <w:sz w:val="22"/>
            <w:lang w:eastAsia="en-AU"/>
          </w:rPr>
          <w:tab/>
        </w:r>
        <w:r w:rsidR="001B5556" w:rsidRPr="00E45F67">
          <w:rPr>
            <w:rStyle w:val="Hyperlink"/>
            <w:noProof/>
          </w:rPr>
          <w:t>Test Methods</w:t>
        </w:r>
        <w:r w:rsidR="001B5556">
          <w:rPr>
            <w:noProof/>
            <w:webHidden/>
          </w:rPr>
          <w:tab/>
        </w:r>
        <w:r w:rsidR="001B5556">
          <w:rPr>
            <w:noProof/>
            <w:webHidden/>
          </w:rPr>
          <w:fldChar w:fldCharType="begin"/>
        </w:r>
        <w:r w:rsidR="001B5556">
          <w:rPr>
            <w:noProof/>
            <w:webHidden/>
          </w:rPr>
          <w:instrText xml:space="preserve"> PAGEREF _Toc426387777 \h </w:instrText>
        </w:r>
        <w:r w:rsidR="001B5556">
          <w:rPr>
            <w:noProof/>
            <w:webHidden/>
          </w:rPr>
        </w:r>
        <w:r w:rsidR="001B5556">
          <w:rPr>
            <w:noProof/>
            <w:webHidden/>
          </w:rPr>
          <w:fldChar w:fldCharType="separate"/>
        </w:r>
        <w:r w:rsidR="002C13E2">
          <w:rPr>
            <w:noProof/>
            <w:webHidden/>
          </w:rPr>
          <w:t>64</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78" w:history="1">
        <w:r w:rsidR="001B5556" w:rsidRPr="00E45F67">
          <w:rPr>
            <w:rStyle w:val="Hyperlink"/>
            <w:noProof/>
          </w:rPr>
          <w:t>8.4.1</w:t>
        </w:r>
        <w:r w:rsidR="001B5556">
          <w:rPr>
            <w:rFonts w:asciiTheme="minorHAnsi" w:eastAsiaTheme="minorEastAsia" w:hAnsiTheme="minorHAnsi" w:cstheme="minorBidi"/>
            <w:noProof/>
            <w:sz w:val="22"/>
            <w:szCs w:val="22"/>
            <w:lang w:eastAsia="en-AU"/>
          </w:rPr>
          <w:tab/>
        </w:r>
        <w:r w:rsidR="001B5556" w:rsidRPr="00E45F67">
          <w:rPr>
            <w:rStyle w:val="Hyperlink"/>
            <w:noProof/>
          </w:rPr>
          <w:t>IES LM-79 Electrical and Photometric Measurements of Solid-State Lighting Products</w:t>
        </w:r>
        <w:r w:rsidR="001B5556">
          <w:rPr>
            <w:noProof/>
            <w:webHidden/>
          </w:rPr>
          <w:tab/>
        </w:r>
        <w:r w:rsidR="001B5556">
          <w:rPr>
            <w:noProof/>
            <w:webHidden/>
          </w:rPr>
          <w:fldChar w:fldCharType="begin"/>
        </w:r>
        <w:r w:rsidR="001B5556">
          <w:rPr>
            <w:noProof/>
            <w:webHidden/>
          </w:rPr>
          <w:instrText xml:space="preserve"> PAGEREF _Toc426387778 \h </w:instrText>
        </w:r>
        <w:r w:rsidR="001B5556">
          <w:rPr>
            <w:noProof/>
            <w:webHidden/>
          </w:rPr>
        </w:r>
        <w:r w:rsidR="001B5556">
          <w:rPr>
            <w:noProof/>
            <w:webHidden/>
          </w:rPr>
          <w:fldChar w:fldCharType="separate"/>
        </w:r>
        <w:r w:rsidR="002C13E2">
          <w:rPr>
            <w:noProof/>
            <w:webHidden/>
          </w:rPr>
          <w:t>64</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79" w:history="1">
        <w:r w:rsidR="001B5556" w:rsidRPr="00E45F67">
          <w:rPr>
            <w:rStyle w:val="Hyperlink"/>
            <w:noProof/>
          </w:rPr>
          <w:t>8.4.2</w:t>
        </w:r>
        <w:r w:rsidR="001B5556">
          <w:rPr>
            <w:rFonts w:asciiTheme="minorHAnsi" w:eastAsiaTheme="minorEastAsia" w:hAnsiTheme="minorHAnsi" w:cstheme="minorBidi"/>
            <w:noProof/>
            <w:sz w:val="22"/>
            <w:szCs w:val="22"/>
            <w:lang w:eastAsia="en-AU"/>
          </w:rPr>
          <w:tab/>
        </w:r>
        <w:r w:rsidR="001B5556" w:rsidRPr="00E45F67">
          <w:rPr>
            <w:rStyle w:val="Hyperlink"/>
            <w:noProof/>
          </w:rPr>
          <w:t>IES LM-80 Measuring Lumen Maintenance of LED Light Sources</w:t>
        </w:r>
        <w:r w:rsidR="001B5556">
          <w:rPr>
            <w:noProof/>
            <w:webHidden/>
          </w:rPr>
          <w:tab/>
        </w:r>
        <w:r w:rsidR="001B5556">
          <w:rPr>
            <w:noProof/>
            <w:webHidden/>
          </w:rPr>
          <w:fldChar w:fldCharType="begin"/>
        </w:r>
        <w:r w:rsidR="001B5556">
          <w:rPr>
            <w:noProof/>
            <w:webHidden/>
          </w:rPr>
          <w:instrText xml:space="preserve"> PAGEREF _Toc426387779 \h </w:instrText>
        </w:r>
        <w:r w:rsidR="001B5556">
          <w:rPr>
            <w:noProof/>
            <w:webHidden/>
          </w:rPr>
        </w:r>
        <w:r w:rsidR="001B5556">
          <w:rPr>
            <w:noProof/>
            <w:webHidden/>
          </w:rPr>
          <w:fldChar w:fldCharType="separate"/>
        </w:r>
        <w:r w:rsidR="002C13E2">
          <w:rPr>
            <w:noProof/>
            <w:webHidden/>
          </w:rPr>
          <w:t>64</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80" w:history="1">
        <w:r w:rsidR="001B5556" w:rsidRPr="00E45F67">
          <w:rPr>
            <w:rStyle w:val="Hyperlink"/>
            <w:noProof/>
          </w:rPr>
          <w:t>8.4.3</w:t>
        </w:r>
        <w:r w:rsidR="001B5556">
          <w:rPr>
            <w:rFonts w:asciiTheme="minorHAnsi" w:eastAsiaTheme="minorEastAsia" w:hAnsiTheme="minorHAnsi" w:cstheme="minorBidi"/>
            <w:noProof/>
            <w:sz w:val="22"/>
            <w:szCs w:val="22"/>
            <w:lang w:eastAsia="en-AU"/>
          </w:rPr>
          <w:tab/>
        </w:r>
        <w:r w:rsidR="001B5556" w:rsidRPr="00E45F67">
          <w:rPr>
            <w:rStyle w:val="Hyperlink"/>
            <w:noProof/>
          </w:rPr>
          <w:t>IES LM-84 Measuring Luminous Flux and Colour Maintenance of LED Lamps, Light Engines, and Luminaires</w:t>
        </w:r>
        <w:r w:rsidR="001B5556">
          <w:rPr>
            <w:noProof/>
            <w:webHidden/>
          </w:rPr>
          <w:tab/>
        </w:r>
        <w:r w:rsidR="001B5556">
          <w:rPr>
            <w:noProof/>
            <w:webHidden/>
          </w:rPr>
          <w:fldChar w:fldCharType="begin"/>
        </w:r>
        <w:r w:rsidR="001B5556">
          <w:rPr>
            <w:noProof/>
            <w:webHidden/>
          </w:rPr>
          <w:instrText xml:space="preserve"> PAGEREF _Toc426387780 \h </w:instrText>
        </w:r>
        <w:r w:rsidR="001B5556">
          <w:rPr>
            <w:noProof/>
            <w:webHidden/>
          </w:rPr>
        </w:r>
        <w:r w:rsidR="001B5556">
          <w:rPr>
            <w:noProof/>
            <w:webHidden/>
          </w:rPr>
          <w:fldChar w:fldCharType="separate"/>
        </w:r>
        <w:r w:rsidR="002C13E2">
          <w:rPr>
            <w:noProof/>
            <w:webHidden/>
          </w:rPr>
          <w:t>65</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81" w:history="1">
        <w:r w:rsidR="001B5556" w:rsidRPr="00E45F67">
          <w:rPr>
            <w:rStyle w:val="Hyperlink"/>
            <w:noProof/>
          </w:rPr>
          <w:t>8.4.4</w:t>
        </w:r>
        <w:r w:rsidR="001B5556">
          <w:rPr>
            <w:rFonts w:asciiTheme="minorHAnsi" w:eastAsiaTheme="minorEastAsia" w:hAnsiTheme="minorHAnsi" w:cstheme="minorBidi"/>
            <w:noProof/>
            <w:sz w:val="22"/>
            <w:szCs w:val="22"/>
            <w:lang w:eastAsia="en-AU"/>
          </w:rPr>
          <w:tab/>
        </w:r>
        <w:r w:rsidR="001B5556" w:rsidRPr="00E45F67">
          <w:rPr>
            <w:rStyle w:val="Hyperlink"/>
            <w:noProof/>
          </w:rPr>
          <w:t>CIE TC2.71 Test Method for LED Lamps, LED Luminaires and LED Modules</w:t>
        </w:r>
        <w:r w:rsidR="001B5556">
          <w:rPr>
            <w:noProof/>
            <w:webHidden/>
          </w:rPr>
          <w:tab/>
        </w:r>
        <w:r w:rsidR="001B5556">
          <w:rPr>
            <w:noProof/>
            <w:webHidden/>
          </w:rPr>
          <w:fldChar w:fldCharType="begin"/>
        </w:r>
        <w:r w:rsidR="001B5556">
          <w:rPr>
            <w:noProof/>
            <w:webHidden/>
          </w:rPr>
          <w:instrText xml:space="preserve"> PAGEREF _Toc426387781 \h </w:instrText>
        </w:r>
        <w:r w:rsidR="001B5556">
          <w:rPr>
            <w:noProof/>
            <w:webHidden/>
          </w:rPr>
        </w:r>
        <w:r w:rsidR="001B5556">
          <w:rPr>
            <w:noProof/>
            <w:webHidden/>
          </w:rPr>
          <w:fldChar w:fldCharType="separate"/>
        </w:r>
        <w:r w:rsidR="002C13E2">
          <w:rPr>
            <w:noProof/>
            <w:webHidden/>
          </w:rPr>
          <w:t>65</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82" w:history="1">
        <w:r w:rsidR="001B5556" w:rsidRPr="00E45F67">
          <w:rPr>
            <w:rStyle w:val="Hyperlink"/>
            <w:noProof/>
          </w:rPr>
          <w:t>8.4.5</w:t>
        </w:r>
        <w:r w:rsidR="001B5556">
          <w:rPr>
            <w:rFonts w:asciiTheme="minorHAnsi" w:eastAsiaTheme="minorEastAsia" w:hAnsiTheme="minorHAnsi" w:cstheme="minorBidi"/>
            <w:noProof/>
            <w:sz w:val="22"/>
            <w:szCs w:val="22"/>
            <w:lang w:eastAsia="en-AU"/>
          </w:rPr>
          <w:tab/>
        </w:r>
        <w:r w:rsidR="001B5556" w:rsidRPr="00E45F67">
          <w:rPr>
            <w:rStyle w:val="Hyperlink"/>
            <w:noProof/>
          </w:rPr>
          <w:t>IEC 62612 Self-ballasted LED lamps for general services – Performance requirements</w:t>
        </w:r>
        <w:r w:rsidR="001B5556">
          <w:rPr>
            <w:noProof/>
            <w:webHidden/>
          </w:rPr>
          <w:tab/>
        </w:r>
        <w:r w:rsidR="001B5556">
          <w:rPr>
            <w:noProof/>
            <w:webHidden/>
          </w:rPr>
          <w:fldChar w:fldCharType="begin"/>
        </w:r>
        <w:r w:rsidR="001B5556">
          <w:rPr>
            <w:noProof/>
            <w:webHidden/>
          </w:rPr>
          <w:instrText xml:space="preserve"> PAGEREF _Toc426387782 \h </w:instrText>
        </w:r>
        <w:r w:rsidR="001B5556">
          <w:rPr>
            <w:noProof/>
            <w:webHidden/>
          </w:rPr>
        </w:r>
        <w:r w:rsidR="001B5556">
          <w:rPr>
            <w:noProof/>
            <w:webHidden/>
          </w:rPr>
          <w:fldChar w:fldCharType="separate"/>
        </w:r>
        <w:r w:rsidR="002C13E2">
          <w:rPr>
            <w:noProof/>
            <w:webHidden/>
          </w:rPr>
          <w:t>65</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83" w:history="1">
        <w:r w:rsidR="001B5556" w:rsidRPr="00E45F67">
          <w:rPr>
            <w:rStyle w:val="Hyperlink"/>
            <w:noProof/>
          </w:rPr>
          <w:t>8.4.6</w:t>
        </w:r>
        <w:r w:rsidR="001B5556">
          <w:rPr>
            <w:rFonts w:asciiTheme="minorHAnsi" w:eastAsiaTheme="minorEastAsia" w:hAnsiTheme="minorHAnsi" w:cstheme="minorBidi"/>
            <w:noProof/>
            <w:sz w:val="22"/>
            <w:szCs w:val="22"/>
            <w:lang w:eastAsia="en-AU"/>
          </w:rPr>
          <w:tab/>
        </w:r>
        <w:r w:rsidR="001B5556" w:rsidRPr="00E45F67">
          <w:rPr>
            <w:rStyle w:val="Hyperlink"/>
            <w:noProof/>
          </w:rPr>
          <w:t>IEC/PAS 62722-2-1 Luminaire performance Part 2-1: Particular requirements for LED luminaires</w:t>
        </w:r>
        <w:r w:rsidR="001B5556">
          <w:rPr>
            <w:noProof/>
            <w:webHidden/>
          </w:rPr>
          <w:tab/>
        </w:r>
        <w:r w:rsidR="001B5556">
          <w:rPr>
            <w:noProof/>
            <w:webHidden/>
          </w:rPr>
          <w:fldChar w:fldCharType="begin"/>
        </w:r>
        <w:r w:rsidR="001B5556">
          <w:rPr>
            <w:noProof/>
            <w:webHidden/>
          </w:rPr>
          <w:instrText xml:space="preserve"> PAGEREF _Toc426387783 \h </w:instrText>
        </w:r>
        <w:r w:rsidR="001B5556">
          <w:rPr>
            <w:noProof/>
            <w:webHidden/>
          </w:rPr>
        </w:r>
        <w:r w:rsidR="001B5556">
          <w:rPr>
            <w:noProof/>
            <w:webHidden/>
          </w:rPr>
          <w:fldChar w:fldCharType="separate"/>
        </w:r>
        <w:r w:rsidR="002C13E2">
          <w:rPr>
            <w:noProof/>
            <w:webHidden/>
          </w:rPr>
          <w:t>66</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84" w:history="1">
        <w:r w:rsidR="001B5556" w:rsidRPr="00E45F67">
          <w:rPr>
            <w:rStyle w:val="Hyperlink"/>
            <w:noProof/>
          </w:rPr>
          <w:t>8.4.7</w:t>
        </w:r>
        <w:r w:rsidR="001B5556">
          <w:rPr>
            <w:rFonts w:asciiTheme="minorHAnsi" w:eastAsiaTheme="minorEastAsia" w:hAnsiTheme="minorHAnsi" w:cstheme="minorBidi"/>
            <w:noProof/>
            <w:sz w:val="22"/>
            <w:szCs w:val="22"/>
            <w:lang w:eastAsia="en-AU"/>
          </w:rPr>
          <w:tab/>
        </w:r>
        <w:r w:rsidR="001B5556" w:rsidRPr="00E45F67">
          <w:rPr>
            <w:rStyle w:val="Hyperlink"/>
            <w:noProof/>
          </w:rPr>
          <w:t>IEC/PAS 62717 LED modules for general services – Performance requirements</w:t>
        </w:r>
        <w:r w:rsidR="001B5556">
          <w:rPr>
            <w:noProof/>
            <w:webHidden/>
          </w:rPr>
          <w:tab/>
        </w:r>
        <w:r w:rsidR="001B5556">
          <w:rPr>
            <w:noProof/>
            <w:webHidden/>
          </w:rPr>
          <w:fldChar w:fldCharType="begin"/>
        </w:r>
        <w:r w:rsidR="001B5556">
          <w:rPr>
            <w:noProof/>
            <w:webHidden/>
          </w:rPr>
          <w:instrText xml:space="preserve"> PAGEREF _Toc426387784 \h </w:instrText>
        </w:r>
        <w:r w:rsidR="001B5556">
          <w:rPr>
            <w:noProof/>
            <w:webHidden/>
          </w:rPr>
        </w:r>
        <w:r w:rsidR="001B5556">
          <w:rPr>
            <w:noProof/>
            <w:webHidden/>
          </w:rPr>
          <w:fldChar w:fldCharType="separate"/>
        </w:r>
        <w:r w:rsidR="002C13E2">
          <w:rPr>
            <w:noProof/>
            <w:webHidden/>
          </w:rPr>
          <w:t>66</w:t>
        </w:r>
        <w:r w:rsidR="001B5556">
          <w:rPr>
            <w:noProof/>
            <w:webHidden/>
          </w:rPr>
          <w:fldChar w:fldCharType="end"/>
        </w:r>
      </w:hyperlink>
    </w:p>
    <w:p w:rsidR="001B5556" w:rsidRDefault="007C2EFC">
      <w:pPr>
        <w:pStyle w:val="TOC2"/>
        <w:tabs>
          <w:tab w:val="left" w:pos="880"/>
          <w:tab w:val="right" w:leader="dot" w:pos="9629"/>
        </w:tabs>
        <w:rPr>
          <w:rFonts w:asciiTheme="minorHAnsi" w:eastAsiaTheme="minorEastAsia" w:hAnsiTheme="minorHAnsi" w:cstheme="minorBidi"/>
          <w:noProof/>
          <w:sz w:val="22"/>
          <w:lang w:eastAsia="en-AU"/>
        </w:rPr>
      </w:pPr>
      <w:hyperlink w:anchor="_Toc426387785" w:history="1">
        <w:r w:rsidR="001B5556" w:rsidRPr="00E45F67">
          <w:rPr>
            <w:rStyle w:val="Hyperlink"/>
            <w:noProof/>
          </w:rPr>
          <w:t>8.5</w:t>
        </w:r>
        <w:r w:rsidR="001B5556">
          <w:rPr>
            <w:rFonts w:asciiTheme="minorHAnsi" w:eastAsiaTheme="minorEastAsia" w:hAnsiTheme="minorHAnsi" w:cstheme="minorBidi"/>
            <w:noProof/>
            <w:sz w:val="22"/>
            <w:lang w:eastAsia="en-AU"/>
          </w:rPr>
          <w:tab/>
        </w:r>
        <w:r w:rsidR="001B5556" w:rsidRPr="00E45F67">
          <w:rPr>
            <w:rStyle w:val="Hyperlink"/>
            <w:noProof/>
          </w:rPr>
          <w:t>Labelling and Endorsement Programs</w:t>
        </w:r>
        <w:r w:rsidR="001B5556">
          <w:rPr>
            <w:noProof/>
            <w:webHidden/>
          </w:rPr>
          <w:tab/>
        </w:r>
        <w:r w:rsidR="001B5556">
          <w:rPr>
            <w:noProof/>
            <w:webHidden/>
          </w:rPr>
          <w:fldChar w:fldCharType="begin"/>
        </w:r>
        <w:r w:rsidR="001B5556">
          <w:rPr>
            <w:noProof/>
            <w:webHidden/>
          </w:rPr>
          <w:instrText xml:space="preserve"> PAGEREF _Toc426387785 \h </w:instrText>
        </w:r>
        <w:r w:rsidR="001B5556">
          <w:rPr>
            <w:noProof/>
            <w:webHidden/>
          </w:rPr>
        </w:r>
        <w:r w:rsidR="001B5556">
          <w:rPr>
            <w:noProof/>
            <w:webHidden/>
          </w:rPr>
          <w:fldChar w:fldCharType="separate"/>
        </w:r>
        <w:r w:rsidR="002C13E2">
          <w:rPr>
            <w:noProof/>
            <w:webHidden/>
          </w:rPr>
          <w:t>67</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86" w:history="1">
        <w:r w:rsidR="001B5556" w:rsidRPr="00E45F67">
          <w:rPr>
            <w:rStyle w:val="Hyperlink"/>
            <w:noProof/>
          </w:rPr>
          <w:t>8.5.1</w:t>
        </w:r>
        <w:r w:rsidR="001B5556">
          <w:rPr>
            <w:rFonts w:asciiTheme="minorHAnsi" w:eastAsiaTheme="minorEastAsia" w:hAnsiTheme="minorHAnsi" w:cstheme="minorBidi"/>
            <w:noProof/>
            <w:sz w:val="22"/>
            <w:szCs w:val="22"/>
            <w:lang w:eastAsia="en-AU"/>
          </w:rPr>
          <w:tab/>
        </w:r>
        <w:r w:rsidR="001B5556" w:rsidRPr="00E45F67">
          <w:rPr>
            <w:rStyle w:val="Hyperlink"/>
            <w:noProof/>
          </w:rPr>
          <w:t>USA</w:t>
        </w:r>
        <w:r w:rsidR="001B5556">
          <w:rPr>
            <w:noProof/>
            <w:webHidden/>
          </w:rPr>
          <w:tab/>
        </w:r>
        <w:r w:rsidR="001B5556">
          <w:rPr>
            <w:noProof/>
            <w:webHidden/>
          </w:rPr>
          <w:fldChar w:fldCharType="begin"/>
        </w:r>
        <w:r w:rsidR="001B5556">
          <w:rPr>
            <w:noProof/>
            <w:webHidden/>
          </w:rPr>
          <w:instrText xml:space="preserve"> PAGEREF _Toc426387786 \h </w:instrText>
        </w:r>
        <w:r w:rsidR="001B5556">
          <w:rPr>
            <w:noProof/>
            <w:webHidden/>
          </w:rPr>
        </w:r>
        <w:r w:rsidR="001B5556">
          <w:rPr>
            <w:noProof/>
            <w:webHidden/>
          </w:rPr>
          <w:fldChar w:fldCharType="separate"/>
        </w:r>
        <w:r w:rsidR="002C13E2">
          <w:rPr>
            <w:noProof/>
            <w:webHidden/>
          </w:rPr>
          <w:t>67</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87" w:history="1">
        <w:r w:rsidR="001B5556" w:rsidRPr="00E45F67">
          <w:rPr>
            <w:rStyle w:val="Hyperlink"/>
            <w:noProof/>
          </w:rPr>
          <w:t>8.5.2</w:t>
        </w:r>
        <w:r w:rsidR="001B5556">
          <w:rPr>
            <w:rFonts w:asciiTheme="minorHAnsi" w:eastAsiaTheme="minorEastAsia" w:hAnsiTheme="minorHAnsi" w:cstheme="minorBidi"/>
            <w:noProof/>
            <w:sz w:val="22"/>
            <w:szCs w:val="22"/>
            <w:lang w:eastAsia="en-AU"/>
          </w:rPr>
          <w:tab/>
        </w:r>
        <w:r w:rsidR="001B5556" w:rsidRPr="00E45F67">
          <w:rPr>
            <w:rStyle w:val="Hyperlink"/>
            <w:noProof/>
          </w:rPr>
          <w:t>European Union</w:t>
        </w:r>
        <w:r w:rsidR="001B5556">
          <w:rPr>
            <w:noProof/>
            <w:webHidden/>
          </w:rPr>
          <w:tab/>
        </w:r>
        <w:r w:rsidR="001B5556">
          <w:rPr>
            <w:noProof/>
            <w:webHidden/>
          </w:rPr>
          <w:fldChar w:fldCharType="begin"/>
        </w:r>
        <w:r w:rsidR="001B5556">
          <w:rPr>
            <w:noProof/>
            <w:webHidden/>
          </w:rPr>
          <w:instrText xml:space="preserve"> PAGEREF _Toc426387787 \h </w:instrText>
        </w:r>
        <w:r w:rsidR="001B5556">
          <w:rPr>
            <w:noProof/>
            <w:webHidden/>
          </w:rPr>
        </w:r>
        <w:r w:rsidR="001B5556">
          <w:rPr>
            <w:noProof/>
            <w:webHidden/>
          </w:rPr>
          <w:fldChar w:fldCharType="separate"/>
        </w:r>
        <w:r w:rsidR="002C13E2">
          <w:rPr>
            <w:noProof/>
            <w:webHidden/>
          </w:rPr>
          <w:t>68</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88" w:history="1">
        <w:r w:rsidR="001B5556" w:rsidRPr="00E45F67">
          <w:rPr>
            <w:rStyle w:val="Hyperlink"/>
            <w:noProof/>
            <w:lang w:eastAsia="en-AU"/>
          </w:rPr>
          <w:t>8.5.3</w:t>
        </w:r>
        <w:r w:rsidR="001B5556">
          <w:rPr>
            <w:rFonts w:asciiTheme="minorHAnsi" w:eastAsiaTheme="minorEastAsia" w:hAnsiTheme="minorHAnsi" w:cstheme="minorBidi"/>
            <w:noProof/>
            <w:sz w:val="22"/>
            <w:szCs w:val="22"/>
            <w:lang w:eastAsia="en-AU"/>
          </w:rPr>
          <w:tab/>
        </w:r>
        <w:r w:rsidR="001B5556" w:rsidRPr="00E45F67">
          <w:rPr>
            <w:rStyle w:val="Hyperlink"/>
            <w:noProof/>
            <w:lang w:eastAsia="en-AU"/>
          </w:rPr>
          <w:t>Hong Kong</w:t>
        </w:r>
        <w:r w:rsidR="001B5556">
          <w:rPr>
            <w:noProof/>
            <w:webHidden/>
          </w:rPr>
          <w:tab/>
        </w:r>
        <w:r w:rsidR="001B5556">
          <w:rPr>
            <w:noProof/>
            <w:webHidden/>
          </w:rPr>
          <w:fldChar w:fldCharType="begin"/>
        </w:r>
        <w:r w:rsidR="001B5556">
          <w:rPr>
            <w:noProof/>
            <w:webHidden/>
          </w:rPr>
          <w:instrText xml:space="preserve"> PAGEREF _Toc426387788 \h </w:instrText>
        </w:r>
        <w:r w:rsidR="001B5556">
          <w:rPr>
            <w:noProof/>
            <w:webHidden/>
          </w:rPr>
        </w:r>
        <w:r w:rsidR="001B5556">
          <w:rPr>
            <w:noProof/>
            <w:webHidden/>
          </w:rPr>
          <w:fldChar w:fldCharType="separate"/>
        </w:r>
        <w:r w:rsidR="002C13E2">
          <w:rPr>
            <w:noProof/>
            <w:webHidden/>
          </w:rPr>
          <w:t>68</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89" w:history="1">
        <w:r w:rsidR="001B5556" w:rsidRPr="00E45F67">
          <w:rPr>
            <w:rStyle w:val="Hyperlink"/>
            <w:noProof/>
          </w:rPr>
          <w:t>8.5.4</w:t>
        </w:r>
        <w:r w:rsidR="001B5556">
          <w:rPr>
            <w:rFonts w:asciiTheme="minorHAnsi" w:eastAsiaTheme="minorEastAsia" w:hAnsiTheme="minorHAnsi" w:cstheme="minorBidi"/>
            <w:noProof/>
            <w:sz w:val="22"/>
            <w:szCs w:val="22"/>
            <w:lang w:eastAsia="en-AU"/>
          </w:rPr>
          <w:tab/>
        </w:r>
        <w:r w:rsidR="001B5556" w:rsidRPr="00E45F67">
          <w:rPr>
            <w:rStyle w:val="Hyperlink"/>
            <w:noProof/>
          </w:rPr>
          <w:t>Efficient Lighting Initiative (ELI)</w:t>
        </w:r>
        <w:r w:rsidR="001B5556">
          <w:rPr>
            <w:noProof/>
            <w:webHidden/>
          </w:rPr>
          <w:tab/>
        </w:r>
        <w:r w:rsidR="001B5556">
          <w:rPr>
            <w:noProof/>
            <w:webHidden/>
          </w:rPr>
          <w:fldChar w:fldCharType="begin"/>
        </w:r>
        <w:r w:rsidR="001B5556">
          <w:rPr>
            <w:noProof/>
            <w:webHidden/>
          </w:rPr>
          <w:instrText xml:space="preserve"> PAGEREF _Toc426387789 \h </w:instrText>
        </w:r>
        <w:r w:rsidR="001B5556">
          <w:rPr>
            <w:noProof/>
            <w:webHidden/>
          </w:rPr>
        </w:r>
        <w:r w:rsidR="001B5556">
          <w:rPr>
            <w:noProof/>
            <w:webHidden/>
          </w:rPr>
          <w:fldChar w:fldCharType="separate"/>
        </w:r>
        <w:r w:rsidR="002C13E2">
          <w:rPr>
            <w:noProof/>
            <w:webHidden/>
          </w:rPr>
          <w:t>69</w:t>
        </w:r>
        <w:r w:rsidR="001B5556">
          <w:rPr>
            <w:noProof/>
            <w:webHidden/>
          </w:rPr>
          <w:fldChar w:fldCharType="end"/>
        </w:r>
      </w:hyperlink>
    </w:p>
    <w:p w:rsidR="001B5556" w:rsidRDefault="007C2EFC">
      <w:pPr>
        <w:pStyle w:val="TOC1"/>
        <w:tabs>
          <w:tab w:val="left" w:pos="380"/>
        </w:tabs>
        <w:rPr>
          <w:rFonts w:asciiTheme="minorHAnsi" w:eastAsiaTheme="minorEastAsia" w:hAnsiTheme="minorHAnsi" w:cstheme="minorBidi"/>
          <w:b w:val="0"/>
          <w:caps w:val="0"/>
          <w:noProof/>
          <w:sz w:val="22"/>
          <w:szCs w:val="22"/>
          <w:lang w:eastAsia="en-AU"/>
        </w:rPr>
      </w:pPr>
      <w:hyperlink w:anchor="_Toc426387790" w:history="1">
        <w:r w:rsidR="001B5556" w:rsidRPr="00E45F67">
          <w:rPr>
            <w:rStyle w:val="Hyperlink"/>
            <w:noProof/>
          </w:rPr>
          <w:t>9</w:t>
        </w:r>
        <w:r w:rsidR="001B5556">
          <w:rPr>
            <w:rFonts w:asciiTheme="minorHAnsi" w:eastAsiaTheme="minorEastAsia" w:hAnsiTheme="minorHAnsi" w:cstheme="minorBidi"/>
            <w:b w:val="0"/>
            <w:caps w:val="0"/>
            <w:noProof/>
            <w:sz w:val="22"/>
            <w:szCs w:val="22"/>
            <w:lang w:eastAsia="en-AU"/>
          </w:rPr>
          <w:tab/>
        </w:r>
        <w:r w:rsidR="001B5556" w:rsidRPr="00E45F67">
          <w:rPr>
            <w:rStyle w:val="Hyperlink"/>
            <w:noProof/>
          </w:rPr>
          <w:t>Policy options</w:t>
        </w:r>
        <w:r w:rsidR="001B5556">
          <w:rPr>
            <w:noProof/>
            <w:webHidden/>
          </w:rPr>
          <w:tab/>
        </w:r>
        <w:r w:rsidR="001B5556">
          <w:rPr>
            <w:noProof/>
            <w:webHidden/>
          </w:rPr>
          <w:fldChar w:fldCharType="begin"/>
        </w:r>
        <w:r w:rsidR="001B5556">
          <w:rPr>
            <w:noProof/>
            <w:webHidden/>
          </w:rPr>
          <w:instrText xml:space="preserve"> PAGEREF _Toc426387790 \h </w:instrText>
        </w:r>
        <w:r w:rsidR="001B5556">
          <w:rPr>
            <w:noProof/>
            <w:webHidden/>
          </w:rPr>
        </w:r>
        <w:r w:rsidR="001B5556">
          <w:rPr>
            <w:noProof/>
            <w:webHidden/>
          </w:rPr>
          <w:fldChar w:fldCharType="separate"/>
        </w:r>
        <w:r w:rsidR="002C13E2">
          <w:rPr>
            <w:noProof/>
            <w:webHidden/>
          </w:rPr>
          <w:t>70</w:t>
        </w:r>
        <w:r w:rsidR="001B5556">
          <w:rPr>
            <w:noProof/>
            <w:webHidden/>
          </w:rPr>
          <w:fldChar w:fldCharType="end"/>
        </w:r>
      </w:hyperlink>
    </w:p>
    <w:p w:rsidR="001B5556" w:rsidRDefault="007C2EFC">
      <w:pPr>
        <w:pStyle w:val="TOC2"/>
        <w:tabs>
          <w:tab w:val="left" w:pos="880"/>
          <w:tab w:val="right" w:leader="dot" w:pos="9629"/>
        </w:tabs>
        <w:rPr>
          <w:rFonts w:asciiTheme="minorHAnsi" w:eastAsiaTheme="minorEastAsia" w:hAnsiTheme="minorHAnsi" w:cstheme="minorBidi"/>
          <w:noProof/>
          <w:sz w:val="22"/>
          <w:lang w:eastAsia="en-AU"/>
        </w:rPr>
      </w:pPr>
      <w:hyperlink w:anchor="_Toc426387791" w:history="1">
        <w:r w:rsidR="001B5556" w:rsidRPr="00E45F67">
          <w:rPr>
            <w:rStyle w:val="Hyperlink"/>
            <w:noProof/>
          </w:rPr>
          <w:t>9.1</w:t>
        </w:r>
        <w:r w:rsidR="001B5556">
          <w:rPr>
            <w:rFonts w:asciiTheme="minorHAnsi" w:eastAsiaTheme="minorEastAsia" w:hAnsiTheme="minorHAnsi" w:cstheme="minorBidi"/>
            <w:noProof/>
            <w:sz w:val="22"/>
            <w:lang w:eastAsia="en-AU"/>
          </w:rPr>
          <w:tab/>
        </w:r>
        <w:r w:rsidR="001B5556" w:rsidRPr="00E45F67">
          <w:rPr>
            <w:rStyle w:val="Hyperlink"/>
            <w:noProof/>
          </w:rPr>
          <w:t>No action</w:t>
        </w:r>
        <w:r w:rsidR="001B5556">
          <w:rPr>
            <w:noProof/>
            <w:webHidden/>
          </w:rPr>
          <w:tab/>
        </w:r>
        <w:r w:rsidR="001B5556">
          <w:rPr>
            <w:noProof/>
            <w:webHidden/>
          </w:rPr>
          <w:fldChar w:fldCharType="begin"/>
        </w:r>
        <w:r w:rsidR="001B5556">
          <w:rPr>
            <w:noProof/>
            <w:webHidden/>
          </w:rPr>
          <w:instrText xml:space="preserve"> PAGEREF _Toc426387791 \h </w:instrText>
        </w:r>
        <w:r w:rsidR="001B5556">
          <w:rPr>
            <w:noProof/>
            <w:webHidden/>
          </w:rPr>
        </w:r>
        <w:r w:rsidR="001B5556">
          <w:rPr>
            <w:noProof/>
            <w:webHidden/>
          </w:rPr>
          <w:fldChar w:fldCharType="separate"/>
        </w:r>
        <w:r w:rsidR="002C13E2">
          <w:rPr>
            <w:noProof/>
            <w:webHidden/>
          </w:rPr>
          <w:t>70</w:t>
        </w:r>
        <w:r w:rsidR="001B5556">
          <w:rPr>
            <w:noProof/>
            <w:webHidden/>
          </w:rPr>
          <w:fldChar w:fldCharType="end"/>
        </w:r>
      </w:hyperlink>
    </w:p>
    <w:p w:rsidR="001B5556" w:rsidRDefault="007C2EFC">
      <w:pPr>
        <w:pStyle w:val="TOC2"/>
        <w:tabs>
          <w:tab w:val="left" w:pos="880"/>
          <w:tab w:val="right" w:leader="dot" w:pos="9629"/>
        </w:tabs>
        <w:rPr>
          <w:rFonts w:asciiTheme="minorHAnsi" w:eastAsiaTheme="minorEastAsia" w:hAnsiTheme="minorHAnsi" w:cstheme="minorBidi"/>
          <w:noProof/>
          <w:sz w:val="22"/>
          <w:lang w:eastAsia="en-AU"/>
        </w:rPr>
      </w:pPr>
      <w:hyperlink w:anchor="_Toc426387792" w:history="1">
        <w:r w:rsidR="001B5556" w:rsidRPr="00E45F67">
          <w:rPr>
            <w:rStyle w:val="Hyperlink"/>
            <w:noProof/>
          </w:rPr>
          <w:t>9.2</w:t>
        </w:r>
        <w:r w:rsidR="001B5556">
          <w:rPr>
            <w:rFonts w:asciiTheme="minorHAnsi" w:eastAsiaTheme="minorEastAsia" w:hAnsiTheme="minorHAnsi" w:cstheme="minorBidi"/>
            <w:noProof/>
            <w:sz w:val="22"/>
            <w:lang w:eastAsia="en-AU"/>
          </w:rPr>
          <w:tab/>
        </w:r>
        <w:r w:rsidR="001B5556" w:rsidRPr="00E45F67">
          <w:rPr>
            <w:rStyle w:val="Hyperlink"/>
            <w:noProof/>
          </w:rPr>
          <w:t>Introduce MEPS for LED Lamps and Luminaires</w:t>
        </w:r>
        <w:r w:rsidR="001B5556">
          <w:rPr>
            <w:noProof/>
            <w:webHidden/>
          </w:rPr>
          <w:tab/>
        </w:r>
        <w:r w:rsidR="001B5556">
          <w:rPr>
            <w:noProof/>
            <w:webHidden/>
          </w:rPr>
          <w:fldChar w:fldCharType="begin"/>
        </w:r>
        <w:r w:rsidR="001B5556">
          <w:rPr>
            <w:noProof/>
            <w:webHidden/>
          </w:rPr>
          <w:instrText xml:space="preserve"> PAGEREF _Toc426387792 \h </w:instrText>
        </w:r>
        <w:r w:rsidR="001B5556">
          <w:rPr>
            <w:noProof/>
            <w:webHidden/>
          </w:rPr>
        </w:r>
        <w:r w:rsidR="001B5556">
          <w:rPr>
            <w:noProof/>
            <w:webHidden/>
          </w:rPr>
          <w:fldChar w:fldCharType="separate"/>
        </w:r>
        <w:r w:rsidR="002C13E2">
          <w:rPr>
            <w:noProof/>
            <w:webHidden/>
          </w:rPr>
          <w:t>70</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93" w:history="1">
        <w:r w:rsidR="001B5556" w:rsidRPr="00E45F67">
          <w:rPr>
            <w:rStyle w:val="Hyperlink"/>
            <w:noProof/>
          </w:rPr>
          <w:t>9.2.1</w:t>
        </w:r>
        <w:r w:rsidR="001B5556">
          <w:rPr>
            <w:rFonts w:asciiTheme="minorHAnsi" w:eastAsiaTheme="minorEastAsia" w:hAnsiTheme="minorHAnsi" w:cstheme="minorBidi"/>
            <w:noProof/>
            <w:sz w:val="22"/>
            <w:szCs w:val="22"/>
            <w:lang w:eastAsia="en-AU"/>
          </w:rPr>
          <w:tab/>
        </w:r>
        <w:r w:rsidR="001B5556" w:rsidRPr="00E45F67">
          <w:rPr>
            <w:rStyle w:val="Hyperlink"/>
            <w:noProof/>
          </w:rPr>
          <w:t>MEPS Scope</w:t>
        </w:r>
        <w:r w:rsidR="001B5556">
          <w:rPr>
            <w:noProof/>
            <w:webHidden/>
          </w:rPr>
          <w:tab/>
        </w:r>
        <w:r w:rsidR="001B5556">
          <w:rPr>
            <w:noProof/>
            <w:webHidden/>
          </w:rPr>
          <w:fldChar w:fldCharType="begin"/>
        </w:r>
        <w:r w:rsidR="001B5556">
          <w:rPr>
            <w:noProof/>
            <w:webHidden/>
          </w:rPr>
          <w:instrText xml:space="preserve"> PAGEREF _Toc426387793 \h </w:instrText>
        </w:r>
        <w:r w:rsidR="001B5556">
          <w:rPr>
            <w:noProof/>
            <w:webHidden/>
          </w:rPr>
        </w:r>
        <w:r w:rsidR="001B5556">
          <w:rPr>
            <w:noProof/>
            <w:webHidden/>
          </w:rPr>
          <w:fldChar w:fldCharType="separate"/>
        </w:r>
        <w:r w:rsidR="002C13E2">
          <w:rPr>
            <w:noProof/>
            <w:webHidden/>
          </w:rPr>
          <w:t>71</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94" w:history="1">
        <w:r w:rsidR="001B5556" w:rsidRPr="00E45F67">
          <w:rPr>
            <w:rStyle w:val="Hyperlink"/>
            <w:noProof/>
            <w:lang w:eastAsia="en-AU"/>
          </w:rPr>
          <w:t>9.2.2</w:t>
        </w:r>
        <w:r w:rsidR="001B5556">
          <w:rPr>
            <w:rFonts w:asciiTheme="minorHAnsi" w:eastAsiaTheme="minorEastAsia" w:hAnsiTheme="minorHAnsi" w:cstheme="minorBidi"/>
            <w:noProof/>
            <w:sz w:val="22"/>
            <w:szCs w:val="22"/>
            <w:lang w:eastAsia="en-AU"/>
          </w:rPr>
          <w:tab/>
        </w:r>
        <w:r w:rsidR="001B5556" w:rsidRPr="00E45F67">
          <w:rPr>
            <w:rStyle w:val="Hyperlink"/>
            <w:noProof/>
            <w:lang w:eastAsia="en-AU"/>
          </w:rPr>
          <w:t>Minimum Efficacy Levels</w:t>
        </w:r>
        <w:r w:rsidR="001B5556">
          <w:rPr>
            <w:noProof/>
            <w:webHidden/>
          </w:rPr>
          <w:tab/>
        </w:r>
        <w:r w:rsidR="001B5556">
          <w:rPr>
            <w:noProof/>
            <w:webHidden/>
          </w:rPr>
          <w:fldChar w:fldCharType="begin"/>
        </w:r>
        <w:r w:rsidR="001B5556">
          <w:rPr>
            <w:noProof/>
            <w:webHidden/>
          </w:rPr>
          <w:instrText xml:space="preserve"> PAGEREF _Toc426387794 \h </w:instrText>
        </w:r>
        <w:r w:rsidR="001B5556">
          <w:rPr>
            <w:noProof/>
            <w:webHidden/>
          </w:rPr>
        </w:r>
        <w:r w:rsidR="001B5556">
          <w:rPr>
            <w:noProof/>
            <w:webHidden/>
          </w:rPr>
          <w:fldChar w:fldCharType="separate"/>
        </w:r>
        <w:r w:rsidR="002C13E2">
          <w:rPr>
            <w:noProof/>
            <w:webHidden/>
          </w:rPr>
          <w:t>71</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95" w:history="1">
        <w:r w:rsidR="001B5556" w:rsidRPr="00E45F67">
          <w:rPr>
            <w:rStyle w:val="Hyperlink"/>
            <w:noProof/>
          </w:rPr>
          <w:t>9.2.3</w:t>
        </w:r>
        <w:r w:rsidR="001B5556">
          <w:rPr>
            <w:rFonts w:asciiTheme="minorHAnsi" w:eastAsiaTheme="minorEastAsia" w:hAnsiTheme="minorHAnsi" w:cstheme="minorBidi"/>
            <w:noProof/>
            <w:sz w:val="22"/>
            <w:szCs w:val="22"/>
            <w:lang w:eastAsia="en-AU"/>
          </w:rPr>
          <w:tab/>
        </w:r>
        <w:r w:rsidR="001B5556" w:rsidRPr="00E45F67">
          <w:rPr>
            <w:rStyle w:val="Hyperlink"/>
            <w:noProof/>
          </w:rPr>
          <w:t>Other Performance Parameters</w:t>
        </w:r>
        <w:r w:rsidR="001B5556">
          <w:rPr>
            <w:noProof/>
            <w:webHidden/>
          </w:rPr>
          <w:tab/>
        </w:r>
        <w:r w:rsidR="001B5556">
          <w:rPr>
            <w:noProof/>
            <w:webHidden/>
          </w:rPr>
          <w:fldChar w:fldCharType="begin"/>
        </w:r>
        <w:r w:rsidR="001B5556">
          <w:rPr>
            <w:noProof/>
            <w:webHidden/>
          </w:rPr>
          <w:instrText xml:space="preserve"> PAGEREF _Toc426387795 \h </w:instrText>
        </w:r>
        <w:r w:rsidR="001B5556">
          <w:rPr>
            <w:noProof/>
            <w:webHidden/>
          </w:rPr>
        </w:r>
        <w:r w:rsidR="001B5556">
          <w:rPr>
            <w:noProof/>
            <w:webHidden/>
          </w:rPr>
          <w:fldChar w:fldCharType="separate"/>
        </w:r>
        <w:r w:rsidR="002C13E2">
          <w:rPr>
            <w:noProof/>
            <w:webHidden/>
          </w:rPr>
          <w:t>79</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96" w:history="1">
        <w:r w:rsidR="001B5556" w:rsidRPr="00E45F67">
          <w:rPr>
            <w:rStyle w:val="Hyperlink"/>
            <w:noProof/>
          </w:rPr>
          <w:t>9.2.4</w:t>
        </w:r>
        <w:r w:rsidR="001B5556">
          <w:rPr>
            <w:rFonts w:asciiTheme="minorHAnsi" w:eastAsiaTheme="minorEastAsia" w:hAnsiTheme="minorHAnsi" w:cstheme="minorBidi"/>
            <w:noProof/>
            <w:sz w:val="22"/>
            <w:szCs w:val="22"/>
            <w:lang w:eastAsia="en-AU"/>
          </w:rPr>
          <w:tab/>
        </w:r>
        <w:r w:rsidR="001B5556" w:rsidRPr="00E45F67">
          <w:rPr>
            <w:rStyle w:val="Hyperlink"/>
            <w:noProof/>
          </w:rPr>
          <w:t>Tropical Performance</w:t>
        </w:r>
        <w:r w:rsidR="001B5556">
          <w:rPr>
            <w:noProof/>
            <w:webHidden/>
          </w:rPr>
          <w:tab/>
        </w:r>
        <w:r w:rsidR="001B5556">
          <w:rPr>
            <w:noProof/>
            <w:webHidden/>
          </w:rPr>
          <w:fldChar w:fldCharType="begin"/>
        </w:r>
        <w:r w:rsidR="001B5556">
          <w:rPr>
            <w:noProof/>
            <w:webHidden/>
          </w:rPr>
          <w:instrText xml:space="preserve"> PAGEREF _Toc426387796 \h </w:instrText>
        </w:r>
        <w:r w:rsidR="001B5556">
          <w:rPr>
            <w:noProof/>
            <w:webHidden/>
          </w:rPr>
        </w:r>
        <w:r w:rsidR="001B5556">
          <w:rPr>
            <w:noProof/>
            <w:webHidden/>
          </w:rPr>
          <w:fldChar w:fldCharType="separate"/>
        </w:r>
        <w:r w:rsidR="002C13E2">
          <w:rPr>
            <w:noProof/>
            <w:webHidden/>
          </w:rPr>
          <w:t>90</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97" w:history="1">
        <w:r w:rsidR="001B5556" w:rsidRPr="00E45F67">
          <w:rPr>
            <w:rStyle w:val="Hyperlink"/>
            <w:noProof/>
          </w:rPr>
          <w:t>9.2.5</w:t>
        </w:r>
        <w:r w:rsidR="001B5556">
          <w:rPr>
            <w:rFonts w:asciiTheme="minorHAnsi" w:eastAsiaTheme="minorEastAsia" w:hAnsiTheme="minorHAnsi" w:cstheme="minorBidi"/>
            <w:noProof/>
            <w:sz w:val="22"/>
            <w:szCs w:val="22"/>
            <w:lang w:eastAsia="en-AU"/>
          </w:rPr>
          <w:tab/>
        </w:r>
        <w:r w:rsidR="001B5556" w:rsidRPr="00E45F67">
          <w:rPr>
            <w:rStyle w:val="Hyperlink"/>
            <w:noProof/>
          </w:rPr>
          <w:t>Equivalency of Energy Efficient Lamps for Consumers</w:t>
        </w:r>
        <w:r w:rsidR="001B5556">
          <w:rPr>
            <w:noProof/>
            <w:webHidden/>
          </w:rPr>
          <w:tab/>
        </w:r>
        <w:r w:rsidR="001B5556">
          <w:rPr>
            <w:noProof/>
            <w:webHidden/>
          </w:rPr>
          <w:fldChar w:fldCharType="begin"/>
        </w:r>
        <w:r w:rsidR="001B5556">
          <w:rPr>
            <w:noProof/>
            <w:webHidden/>
          </w:rPr>
          <w:instrText xml:space="preserve"> PAGEREF _Toc426387797 \h </w:instrText>
        </w:r>
        <w:r w:rsidR="001B5556">
          <w:rPr>
            <w:noProof/>
            <w:webHidden/>
          </w:rPr>
        </w:r>
        <w:r w:rsidR="001B5556">
          <w:rPr>
            <w:noProof/>
            <w:webHidden/>
          </w:rPr>
          <w:fldChar w:fldCharType="separate"/>
        </w:r>
        <w:r w:rsidR="002C13E2">
          <w:rPr>
            <w:noProof/>
            <w:webHidden/>
          </w:rPr>
          <w:t>90</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98" w:history="1">
        <w:r w:rsidR="001B5556" w:rsidRPr="00E45F67">
          <w:rPr>
            <w:rStyle w:val="Hyperlink"/>
            <w:noProof/>
          </w:rPr>
          <w:t>9.2.6</w:t>
        </w:r>
        <w:r w:rsidR="001B5556">
          <w:rPr>
            <w:rFonts w:asciiTheme="minorHAnsi" w:eastAsiaTheme="minorEastAsia" w:hAnsiTheme="minorHAnsi" w:cstheme="minorBidi"/>
            <w:noProof/>
            <w:sz w:val="22"/>
            <w:szCs w:val="22"/>
            <w:lang w:eastAsia="en-AU"/>
          </w:rPr>
          <w:tab/>
        </w:r>
        <w:r w:rsidR="001B5556" w:rsidRPr="00E45F67">
          <w:rPr>
            <w:rStyle w:val="Hyperlink"/>
            <w:noProof/>
          </w:rPr>
          <w:t>Packaging Requirements</w:t>
        </w:r>
        <w:r w:rsidR="001B5556">
          <w:rPr>
            <w:noProof/>
            <w:webHidden/>
          </w:rPr>
          <w:tab/>
        </w:r>
        <w:r w:rsidR="001B5556">
          <w:rPr>
            <w:noProof/>
            <w:webHidden/>
          </w:rPr>
          <w:fldChar w:fldCharType="begin"/>
        </w:r>
        <w:r w:rsidR="001B5556">
          <w:rPr>
            <w:noProof/>
            <w:webHidden/>
          </w:rPr>
          <w:instrText xml:space="preserve"> PAGEREF _Toc426387798 \h </w:instrText>
        </w:r>
        <w:r w:rsidR="001B5556">
          <w:rPr>
            <w:noProof/>
            <w:webHidden/>
          </w:rPr>
        </w:r>
        <w:r w:rsidR="001B5556">
          <w:rPr>
            <w:noProof/>
            <w:webHidden/>
          </w:rPr>
          <w:fldChar w:fldCharType="separate"/>
        </w:r>
        <w:r w:rsidR="002C13E2">
          <w:rPr>
            <w:noProof/>
            <w:webHidden/>
          </w:rPr>
          <w:t>90</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799" w:history="1">
        <w:r w:rsidR="001B5556" w:rsidRPr="00E45F67">
          <w:rPr>
            <w:rStyle w:val="Hyperlink"/>
            <w:noProof/>
          </w:rPr>
          <w:t>9.2.7</w:t>
        </w:r>
        <w:r w:rsidR="001B5556">
          <w:rPr>
            <w:rFonts w:asciiTheme="minorHAnsi" w:eastAsiaTheme="minorEastAsia" w:hAnsiTheme="minorHAnsi" w:cstheme="minorBidi"/>
            <w:noProof/>
            <w:sz w:val="22"/>
            <w:szCs w:val="22"/>
            <w:lang w:eastAsia="en-AU"/>
          </w:rPr>
          <w:tab/>
        </w:r>
        <w:r w:rsidR="001B5556" w:rsidRPr="00E45F67">
          <w:rPr>
            <w:rStyle w:val="Hyperlink"/>
            <w:noProof/>
          </w:rPr>
          <w:t>Labelling and HEPS</w:t>
        </w:r>
        <w:r w:rsidR="001B5556">
          <w:rPr>
            <w:noProof/>
            <w:webHidden/>
          </w:rPr>
          <w:tab/>
        </w:r>
        <w:r w:rsidR="001B5556">
          <w:rPr>
            <w:noProof/>
            <w:webHidden/>
          </w:rPr>
          <w:fldChar w:fldCharType="begin"/>
        </w:r>
        <w:r w:rsidR="001B5556">
          <w:rPr>
            <w:noProof/>
            <w:webHidden/>
          </w:rPr>
          <w:instrText xml:space="preserve"> PAGEREF _Toc426387799 \h </w:instrText>
        </w:r>
        <w:r w:rsidR="001B5556">
          <w:rPr>
            <w:noProof/>
            <w:webHidden/>
          </w:rPr>
        </w:r>
        <w:r w:rsidR="001B5556">
          <w:rPr>
            <w:noProof/>
            <w:webHidden/>
          </w:rPr>
          <w:fldChar w:fldCharType="separate"/>
        </w:r>
        <w:r w:rsidR="002C13E2">
          <w:rPr>
            <w:noProof/>
            <w:webHidden/>
          </w:rPr>
          <w:t>91</w:t>
        </w:r>
        <w:r w:rsidR="001B5556">
          <w:rPr>
            <w:noProof/>
            <w:webHidden/>
          </w:rPr>
          <w:fldChar w:fldCharType="end"/>
        </w:r>
      </w:hyperlink>
    </w:p>
    <w:p w:rsidR="001B5556" w:rsidRDefault="007C2EFC">
      <w:pPr>
        <w:pStyle w:val="TOC3"/>
        <w:tabs>
          <w:tab w:val="left" w:pos="1100"/>
          <w:tab w:val="right" w:leader="dot" w:pos="9629"/>
        </w:tabs>
        <w:rPr>
          <w:rFonts w:asciiTheme="minorHAnsi" w:eastAsiaTheme="minorEastAsia" w:hAnsiTheme="minorHAnsi" w:cstheme="minorBidi"/>
          <w:noProof/>
          <w:sz w:val="22"/>
          <w:szCs w:val="22"/>
          <w:lang w:eastAsia="en-AU"/>
        </w:rPr>
      </w:pPr>
      <w:hyperlink w:anchor="_Toc426387800" w:history="1">
        <w:r w:rsidR="001B5556" w:rsidRPr="00E45F67">
          <w:rPr>
            <w:rStyle w:val="Hyperlink"/>
            <w:noProof/>
          </w:rPr>
          <w:t>9.2.8</w:t>
        </w:r>
        <w:r w:rsidR="001B5556">
          <w:rPr>
            <w:rFonts w:asciiTheme="minorHAnsi" w:eastAsiaTheme="minorEastAsia" w:hAnsiTheme="minorHAnsi" w:cstheme="minorBidi"/>
            <w:noProof/>
            <w:sz w:val="22"/>
            <w:szCs w:val="22"/>
            <w:lang w:eastAsia="en-AU"/>
          </w:rPr>
          <w:tab/>
        </w:r>
        <w:r w:rsidR="001B5556" w:rsidRPr="00E45F67">
          <w:rPr>
            <w:rStyle w:val="Hyperlink"/>
            <w:noProof/>
          </w:rPr>
          <w:t>Establishment of an Australian and New Zealand LED Test Standard</w:t>
        </w:r>
        <w:r w:rsidR="001B5556">
          <w:rPr>
            <w:noProof/>
            <w:webHidden/>
          </w:rPr>
          <w:tab/>
        </w:r>
        <w:r w:rsidR="001B5556">
          <w:rPr>
            <w:noProof/>
            <w:webHidden/>
          </w:rPr>
          <w:fldChar w:fldCharType="begin"/>
        </w:r>
        <w:r w:rsidR="001B5556">
          <w:rPr>
            <w:noProof/>
            <w:webHidden/>
          </w:rPr>
          <w:instrText xml:space="preserve"> PAGEREF _Toc426387800 \h </w:instrText>
        </w:r>
        <w:r w:rsidR="001B5556">
          <w:rPr>
            <w:noProof/>
            <w:webHidden/>
          </w:rPr>
        </w:r>
        <w:r w:rsidR="001B5556">
          <w:rPr>
            <w:noProof/>
            <w:webHidden/>
          </w:rPr>
          <w:fldChar w:fldCharType="separate"/>
        </w:r>
        <w:r w:rsidR="002C13E2">
          <w:rPr>
            <w:noProof/>
            <w:webHidden/>
          </w:rPr>
          <w:t>92</w:t>
        </w:r>
        <w:r w:rsidR="001B5556">
          <w:rPr>
            <w:noProof/>
            <w:webHidden/>
          </w:rPr>
          <w:fldChar w:fldCharType="end"/>
        </w:r>
      </w:hyperlink>
    </w:p>
    <w:p w:rsidR="001B5556" w:rsidRDefault="007C2EFC">
      <w:pPr>
        <w:pStyle w:val="TOC2"/>
        <w:tabs>
          <w:tab w:val="left" w:pos="880"/>
          <w:tab w:val="right" w:leader="dot" w:pos="9629"/>
        </w:tabs>
        <w:rPr>
          <w:rFonts w:asciiTheme="minorHAnsi" w:eastAsiaTheme="minorEastAsia" w:hAnsiTheme="minorHAnsi" w:cstheme="minorBidi"/>
          <w:noProof/>
          <w:sz w:val="22"/>
          <w:lang w:eastAsia="en-AU"/>
        </w:rPr>
      </w:pPr>
      <w:hyperlink w:anchor="_Toc426387801" w:history="1">
        <w:r w:rsidR="001B5556" w:rsidRPr="00E45F67">
          <w:rPr>
            <w:rStyle w:val="Hyperlink"/>
            <w:noProof/>
          </w:rPr>
          <w:t>9.3</w:t>
        </w:r>
        <w:r w:rsidR="001B5556">
          <w:rPr>
            <w:rFonts w:asciiTheme="minorHAnsi" w:eastAsiaTheme="minorEastAsia" w:hAnsiTheme="minorHAnsi" w:cstheme="minorBidi"/>
            <w:noProof/>
            <w:sz w:val="22"/>
            <w:lang w:eastAsia="en-AU"/>
          </w:rPr>
          <w:tab/>
        </w:r>
        <w:r w:rsidR="001B5556" w:rsidRPr="00E45F67">
          <w:rPr>
            <w:rStyle w:val="Hyperlink"/>
            <w:noProof/>
          </w:rPr>
          <w:t>Information and education</w:t>
        </w:r>
        <w:r w:rsidR="001B5556">
          <w:rPr>
            <w:noProof/>
            <w:webHidden/>
          </w:rPr>
          <w:tab/>
        </w:r>
        <w:r w:rsidR="001B5556">
          <w:rPr>
            <w:noProof/>
            <w:webHidden/>
          </w:rPr>
          <w:fldChar w:fldCharType="begin"/>
        </w:r>
        <w:r w:rsidR="001B5556">
          <w:rPr>
            <w:noProof/>
            <w:webHidden/>
          </w:rPr>
          <w:instrText xml:space="preserve"> PAGEREF _Toc426387801 \h </w:instrText>
        </w:r>
        <w:r w:rsidR="001B5556">
          <w:rPr>
            <w:noProof/>
            <w:webHidden/>
          </w:rPr>
        </w:r>
        <w:r w:rsidR="001B5556">
          <w:rPr>
            <w:noProof/>
            <w:webHidden/>
          </w:rPr>
          <w:fldChar w:fldCharType="separate"/>
        </w:r>
        <w:r w:rsidR="002C13E2">
          <w:rPr>
            <w:noProof/>
            <w:webHidden/>
          </w:rPr>
          <w:t>92</w:t>
        </w:r>
        <w:r w:rsidR="001B5556">
          <w:rPr>
            <w:noProof/>
            <w:webHidden/>
          </w:rPr>
          <w:fldChar w:fldCharType="end"/>
        </w:r>
      </w:hyperlink>
    </w:p>
    <w:p w:rsidR="001B5556" w:rsidRDefault="007C2EFC">
      <w:pPr>
        <w:pStyle w:val="TOC2"/>
        <w:tabs>
          <w:tab w:val="left" w:pos="880"/>
          <w:tab w:val="right" w:leader="dot" w:pos="9629"/>
        </w:tabs>
        <w:rPr>
          <w:rFonts w:asciiTheme="minorHAnsi" w:eastAsiaTheme="minorEastAsia" w:hAnsiTheme="minorHAnsi" w:cstheme="minorBidi"/>
          <w:noProof/>
          <w:sz w:val="22"/>
          <w:lang w:eastAsia="en-AU"/>
        </w:rPr>
      </w:pPr>
      <w:hyperlink w:anchor="_Toc426387802" w:history="1">
        <w:r w:rsidR="001B5556" w:rsidRPr="00E45F67">
          <w:rPr>
            <w:rStyle w:val="Hyperlink"/>
            <w:noProof/>
          </w:rPr>
          <w:t>9.4</w:t>
        </w:r>
        <w:r w:rsidR="001B5556">
          <w:rPr>
            <w:rFonts w:asciiTheme="minorHAnsi" w:eastAsiaTheme="minorEastAsia" w:hAnsiTheme="minorHAnsi" w:cstheme="minorBidi"/>
            <w:noProof/>
            <w:sz w:val="22"/>
            <w:lang w:eastAsia="en-AU"/>
          </w:rPr>
          <w:tab/>
        </w:r>
        <w:r w:rsidR="001B5556" w:rsidRPr="00E45F67">
          <w:rPr>
            <w:rStyle w:val="Hyperlink"/>
            <w:noProof/>
          </w:rPr>
          <w:t>Summary of policy options</w:t>
        </w:r>
        <w:r w:rsidR="001B5556">
          <w:rPr>
            <w:noProof/>
            <w:webHidden/>
          </w:rPr>
          <w:tab/>
        </w:r>
        <w:r w:rsidR="001B5556">
          <w:rPr>
            <w:noProof/>
            <w:webHidden/>
          </w:rPr>
          <w:fldChar w:fldCharType="begin"/>
        </w:r>
        <w:r w:rsidR="001B5556">
          <w:rPr>
            <w:noProof/>
            <w:webHidden/>
          </w:rPr>
          <w:instrText xml:space="preserve"> PAGEREF _Toc426387802 \h </w:instrText>
        </w:r>
        <w:r w:rsidR="001B5556">
          <w:rPr>
            <w:noProof/>
            <w:webHidden/>
          </w:rPr>
        </w:r>
        <w:r w:rsidR="001B5556">
          <w:rPr>
            <w:noProof/>
            <w:webHidden/>
          </w:rPr>
          <w:fldChar w:fldCharType="separate"/>
        </w:r>
        <w:r w:rsidR="002C13E2">
          <w:rPr>
            <w:noProof/>
            <w:webHidden/>
          </w:rPr>
          <w:t>94</w:t>
        </w:r>
        <w:r w:rsidR="001B5556">
          <w:rPr>
            <w:noProof/>
            <w:webHidden/>
          </w:rPr>
          <w:fldChar w:fldCharType="end"/>
        </w:r>
      </w:hyperlink>
    </w:p>
    <w:p w:rsidR="001B5556" w:rsidRDefault="007C2EFC">
      <w:pPr>
        <w:pStyle w:val="TOC2"/>
        <w:tabs>
          <w:tab w:val="left" w:pos="880"/>
          <w:tab w:val="right" w:leader="dot" w:pos="9629"/>
        </w:tabs>
        <w:rPr>
          <w:rFonts w:asciiTheme="minorHAnsi" w:eastAsiaTheme="minorEastAsia" w:hAnsiTheme="minorHAnsi" w:cstheme="minorBidi"/>
          <w:noProof/>
          <w:sz w:val="22"/>
          <w:lang w:eastAsia="en-AU"/>
        </w:rPr>
      </w:pPr>
      <w:hyperlink w:anchor="_Toc426387803" w:history="1">
        <w:r w:rsidR="001B5556" w:rsidRPr="00E45F67">
          <w:rPr>
            <w:rStyle w:val="Hyperlink"/>
            <w:noProof/>
          </w:rPr>
          <w:t>9.5</w:t>
        </w:r>
        <w:r w:rsidR="001B5556">
          <w:rPr>
            <w:rFonts w:asciiTheme="minorHAnsi" w:eastAsiaTheme="minorEastAsia" w:hAnsiTheme="minorHAnsi" w:cstheme="minorBidi"/>
            <w:noProof/>
            <w:sz w:val="22"/>
            <w:lang w:eastAsia="en-AU"/>
          </w:rPr>
          <w:tab/>
        </w:r>
        <w:r w:rsidR="001B5556" w:rsidRPr="00E45F67">
          <w:rPr>
            <w:rStyle w:val="Hyperlink"/>
            <w:noProof/>
          </w:rPr>
          <w:t>Cost-benefit analysis</w:t>
        </w:r>
        <w:r w:rsidR="001B5556">
          <w:rPr>
            <w:noProof/>
            <w:webHidden/>
          </w:rPr>
          <w:tab/>
        </w:r>
        <w:r w:rsidR="001B5556">
          <w:rPr>
            <w:noProof/>
            <w:webHidden/>
          </w:rPr>
          <w:fldChar w:fldCharType="begin"/>
        </w:r>
        <w:r w:rsidR="001B5556">
          <w:rPr>
            <w:noProof/>
            <w:webHidden/>
          </w:rPr>
          <w:instrText xml:space="preserve"> PAGEREF _Toc426387803 \h </w:instrText>
        </w:r>
        <w:r w:rsidR="001B5556">
          <w:rPr>
            <w:noProof/>
            <w:webHidden/>
          </w:rPr>
        </w:r>
        <w:r w:rsidR="001B5556">
          <w:rPr>
            <w:noProof/>
            <w:webHidden/>
          </w:rPr>
          <w:fldChar w:fldCharType="separate"/>
        </w:r>
        <w:r w:rsidR="002C13E2">
          <w:rPr>
            <w:noProof/>
            <w:webHidden/>
          </w:rPr>
          <w:t>95</w:t>
        </w:r>
        <w:r w:rsidR="001B5556">
          <w:rPr>
            <w:noProof/>
            <w:webHidden/>
          </w:rPr>
          <w:fldChar w:fldCharType="end"/>
        </w:r>
      </w:hyperlink>
    </w:p>
    <w:p w:rsidR="001B5556" w:rsidRDefault="007C2EFC">
      <w:pPr>
        <w:pStyle w:val="TOC1"/>
        <w:tabs>
          <w:tab w:val="left" w:pos="660"/>
        </w:tabs>
        <w:rPr>
          <w:rFonts w:asciiTheme="minorHAnsi" w:eastAsiaTheme="minorEastAsia" w:hAnsiTheme="minorHAnsi" w:cstheme="minorBidi"/>
          <w:b w:val="0"/>
          <w:caps w:val="0"/>
          <w:noProof/>
          <w:sz w:val="22"/>
          <w:szCs w:val="22"/>
          <w:lang w:eastAsia="en-AU"/>
        </w:rPr>
      </w:pPr>
      <w:hyperlink w:anchor="_Toc426387804" w:history="1">
        <w:r w:rsidR="001B5556" w:rsidRPr="00E45F67">
          <w:rPr>
            <w:rStyle w:val="Hyperlink"/>
            <w:noProof/>
          </w:rPr>
          <w:t>10</w:t>
        </w:r>
        <w:r w:rsidR="001B5556">
          <w:rPr>
            <w:rFonts w:asciiTheme="minorHAnsi" w:eastAsiaTheme="minorEastAsia" w:hAnsiTheme="minorHAnsi" w:cstheme="minorBidi"/>
            <w:b w:val="0"/>
            <w:caps w:val="0"/>
            <w:noProof/>
            <w:sz w:val="22"/>
            <w:szCs w:val="22"/>
            <w:lang w:eastAsia="en-AU"/>
          </w:rPr>
          <w:tab/>
        </w:r>
        <w:r w:rsidR="001B5556" w:rsidRPr="00E45F67">
          <w:rPr>
            <w:rStyle w:val="Hyperlink"/>
            <w:noProof/>
          </w:rPr>
          <w:t>References</w:t>
        </w:r>
        <w:r w:rsidR="001B5556">
          <w:rPr>
            <w:noProof/>
            <w:webHidden/>
          </w:rPr>
          <w:tab/>
        </w:r>
        <w:r w:rsidR="001B5556">
          <w:rPr>
            <w:noProof/>
            <w:webHidden/>
          </w:rPr>
          <w:fldChar w:fldCharType="begin"/>
        </w:r>
        <w:r w:rsidR="001B5556">
          <w:rPr>
            <w:noProof/>
            <w:webHidden/>
          </w:rPr>
          <w:instrText xml:space="preserve"> PAGEREF _Toc426387804 \h </w:instrText>
        </w:r>
        <w:r w:rsidR="001B5556">
          <w:rPr>
            <w:noProof/>
            <w:webHidden/>
          </w:rPr>
        </w:r>
        <w:r w:rsidR="001B5556">
          <w:rPr>
            <w:noProof/>
            <w:webHidden/>
          </w:rPr>
          <w:fldChar w:fldCharType="separate"/>
        </w:r>
        <w:r w:rsidR="002C13E2">
          <w:rPr>
            <w:noProof/>
            <w:webHidden/>
          </w:rPr>
          <w:t>99</w:t>
        </w:r>
        <w:r w:rsidR="001B5556">
          <w:rPr>
            <w:noProof/>
            <w:webHidden/>
          </w:rPr>
          <w:fldChar w:fldCharType="end"/>
        </w:r>
      </w:hyperlink>
    </w:p>
    <w:p w:rsidR="001B5556" w:rsidRDefault="007C2EFC">
      <w:pPr>
        <w:pStyle w:val="TOC1"/>
        <w:rPr>
          <w:rFonts w:asciiTheme="minorHAnsi" w:eastAsiaTheme="minorEastAsia" w:hAnsiTheme="minorHAnsi" w:cstheme="minorBidi"/>
          <w:b w:val="0"/>
          <w:caps w:val="0"/>
          <w:noProof/>
          <w:sz w:val="22"/>
          <w:szCs w:val="22"/>
          <w:lang w:eastAsia="en-AU"/>
        </w:rPr>
      </w:pPr>
      <w:hyperlink w:anchor="_Toc426387805" w:history="1">
        <w:r w:rsidR="001B5556" w:rsidRPr="00E45F67">
          <w:rPr>
            <w:rStyle w:val="Hyperlink"/>
            <w:noProof/>
          </w:rPr>
          <w:t xml:space="preserve">Appendix A – </w:t>
        </w:r>
        <w:r w:rsidR="001B5556" w:rsidRPr="00E45F67">
          <w:rPr>
            <w:rStyle w:val="Hyperlink"/>
            <w:noProof/>
            <w:lang w:val="en-US"/>
          </w:rPr>
          <w:t>Chromaticity</w:t>
        </w:r>
        <w:r w:rsidR="001B5556">
          <w:rPr>
            <w:noProof/>
            <w:webHidden/>
          </w:rPr>
          <w:tab/>
        </w:r>
        <w:r w:rsidR="001B5556">
          <w:rPr>
            <w:noProof/>
            <w:webHidden/>
          </w:rPr>
          <w:fldChar w:fldCharType="begin"/>
        </w:r>
        <w:r w:rsidR="001B5556">
          <w:rPr>
            <w:noProof/>
            <w:webHidden/>
          </w:rPr>
          <w:instrText xml:space="preserve"> PAGEREF _Toc426387805 \h </w:instrText>
        </w:r>
        <w:r w:rsidR="001B5556">
          <w:rPr>
            <w:noProof/>
            <w:webHidden/>
          </w:rPr>
        </w:r>
        <w:r w:rsidR="001B5556">
          <w:rPr>
            <w:noProof/>
            <w:webHidden/>
          </w:rPr>
          <w:fldChar w:fldCharType="separate"/>
        </w:r>
        <w:r w:rsidR="002C13E2">
          <w:rPr>
            <w:noProof/>
            <w:webHidden/>
          </w:rPr>
          <w:t>101</w:t>
        </w:r>
        <w:r w:rsidR="001B5556">
          <w:rPr>
            <w:noProof/>
            <w:webHidden/>
          </w:rPr>
          <w:fldChar w:fldCharType="end"/>
        </w:r>
      </w:hyperlink>
    </w:p>
    <w:p w:rsidR="001B5556" w:rsidRDefault="007C2EFC">
      <w:pPr>
        <w:pStyle w:val="TOC1"/>
        <w:rPr>
          <w:rFonts w:asciiTheme="minorHAnsi" w:eastAsiaTheme="minorEastAsia" w:hAnsiTheme="minorHAnsi" w:cstheme="minorBidi"/>
          <w:b w:val="0"/>
          <w:caps w:val="0"/>
          <w:noProof/>
          <w:sz w:val="22"/>
          <w:szCs w:val="22"/>
          <w:lang w:eastAsia="en-AU"/>
        </w:rPr>
      </w:pPr>
      <w:hyperlink w:anchor="_Toc426387806" w:history="1">
        <w:r w:rsidR="001B5556" w:rsidRPr="00E45F67">
          <w:rPr>
            <w:rStyle w:val="Hyperlink"/>
            <w:noProof/>
          </w:rPr>
          <w:t>Appendix B – International Test Methods and Regulatory Regimes</w:t>
        </w:r>
        <w:r w:rsidR="001B5556">
          <w:rPr>
            <w:noProof/>
            <w:webHidden/>
          </w:rPr>
          <w:tab/>
        </w:r>
        <w:r w:rsidR="001B5556">
          <w:rPr>
            <w:noProof/>
            <w:webHidden/>
          </w:rPr>
          <w:fldChar w:fldCharType="begin"/>
        </w:r>
        <w:r w:rsidR="001B5556">
          <w:rPr>
            <w:noProof/>
            <w:webHidden/>
          </w:rPr>
          <w:instrText xml:space="preserve"> PAGEREF _Toc426387806 \h </w:instrText>
        </w:r>
        <w:r w:rsidR="001B5556">
          <w:rPr>
            <w:noProof/>
            <w:webHidden/>
          </w:rPr>
        </w:r>
        <w:r w:rsidR="001B5556">
          <w:rPr>
            <w:noProof/>
            <w:webHidden/>
          </w:rPr>
          <w:fldChar w:fldCharType="separate"/>
        </w:r>
        <w:r w:rsidR="002C13E2">
          <w:rPr>
            <w:noProof/>
            <w:webHidden/>
          </w:rPr>
          <w:t>104</w:t>
        </w:r>
        <w:r w:rsidR="001B5556">
          <w:rPr>
            <w:noProof/>
            <w:webHidden/>
          </w:rPr>
          <w:fldChar w:fldCharType="end"/>
        </w:r>
      </w:hyperlink>
    </w:p>
    <w:p w:rsidR="001B5556" w:rsidRDefault="007C2EFC">
      <w:pPr>
        <w:pStyle w:val="TOC2"/>
        <w:tabs>
          <w:tab w:val="right" w:leader="dot" w:pos="9629"/>
        </w:tabs>
        <w:rPr>
          <w:rFonts w:asciiTheme="minorHAnsi" w:eastAsiaTheme="minorEastAsia" w:hAnsiTheme="minorHAnsi" w:cstheme="minorBidi"/>
          <w:noProof/>
          <w:sz w:val="22"/>
          <w:lang w:eastAsia="en-AU"/>
        </w:rPr>
      </w:pPr>
      <w:hyperlink w:anchor="_Toc426387807" w:history="1">
        <w:r w:rsidR="001B5556" w:rsidRPr="00E45F67">
          <w:rPr>
            <w:rStyle w:val="Hyperlink"/>
            <w:noProof/>
          </w:rPr>
          <w:t>Introduction</w:t>
        </w:r>
        <w:r w:rsidR="001B5556">
          <w:rPr>
            <w:noProof/>
            <w:webHidden/>
          </w:rPr>
          <w:tab/>
        </w:r>
        <w:r w:rsidR="001B5556">
          <w:rPr>
            <w:noProof/>
            <w:webHidden/>
          </w:rPr>
          <w:fldChar w:fldCharType="begin"/>
        </w:r>
        <w:r w:rsidR="001B5556">
          <w:rPr>
            <w:noProof/>
            <w:webHidden/>
          </w:rPr>
          <w:instrText xml:space="preserve"> PAGEREF _Toc426387807 \h </w:instrText>
        </w:r>
        <w:r w:rsidR="001B5556">
          <w:rPr>
            <w:noProof/>
            <w:webHidden/>
          </w:rPr>
        </w:r>
        <w:r w:rsidR="001B5556">
          <w:rPr>
            <w:noProof/>
            <w:webHidden/>
          </w:rPr>
          <w:fldChar w:fldCharType="separate"/>
        </w:r>
        <w:r w:rsidR="002C13E2">
          <w:rPr>
            <w:noProof/>
            <w:webHidden/>
          </w:rPr>
          <w:t>104</w:t>
        </w:r>
        <w:r w:rsidR="001B5556">
          <w:rPr>
            <w:noProof/>
            <w:webHidden/>
          </w:rPr>
          <w:fldChar w:fldCharType="end"/>
        </w:r>
      </w:hyperlink>
    </w:p>
    <w:p w:rsidR="001B5556" w:rsidRDefault="007C2EFC">
      <w:pPr>
        <w:pStyle w:val="TOC2"/>
        <w:tabs>
          <w:tab w:val="right" w:leader="dot" w:pos="9629"/>
        </w:tabs>
        <w:rPr>
          <w:rFonts w:asciiTheme="minorHAnsi" w:eastAsiaTheme="minorEastAsia" w:hAnsiTheme="minorHAnsi" w:cstheme="minorBidi"/>
          <w:noProof/>
          <w:sz w:val="22"/>
          <w:lang w:eastAsia="en-AU"/>
        </w:rPr>
      </w:pPr>
      <w:hyperlink w:anchor="_Toc426387808" w:history="1">
        <w:r w:rsidR="001B5556" w:rsidRPr="00E45F67">
          <w:rPr>
            <w:rStyle w:val="Hyperlink"/>
            <w:noProof/>
          </w:rPr>
          <w:t>Regulatory Regimes</w:t>
        </w:r>
        <w:r w:rsidR="001B5556">
          <w:rPr>
            <w:noProof/>
            <w:webHidden/>
          </w:rPr>
          <w:tab/>
        </w:r>
        <w:r w:rsidR="001B5556">
          <w:rPr>
            <w:noProof/>
            <w:webHidden/>
          </w:rPr>
          <w:fldChar w:fldCharType="begin"/>
        </w:r>
        <w:r w:rsidR="001B5556">
          <w:rPr>
            <w:noProof/>
            <w:webHidden/>
          </w:rPr>
          <w:instrText xml:space="preserve"> PAGEREF _Toc426387808 \h </w:instrText>
        </w:r>
        <w:r w:rsidR="001B5556">
          <w:rPr>
            <w:noProof/>
            <w:webHidden/>
          </w:rPr>
        </w:r>
        <w:r w:rsidR="001B5556">
          <w:rPr>
            <w:noProof/>
            <w:webHidden/>
          </w:rPr>
          <w:fldChar w:fldCharType="separate"/>
        </w:r>
        <w:r w:rsidR="002C13E2">
          <w:rPr>
            <w:noProof/>
            <w:webHidden/>
          </w:rPr>
          <w:t>105</w:t>
        </w:r>
        <w:r w:rsidR="001B5556">
          <w:rPr>
            <w:noProof/>
            <w:webHidden/>
          </w:rPr>
          <w:fldChar w:fldCharType="end"/>
        </w:r>
      </w:hyperlink>
    </w:p>
    <w:p w:rsidR="001B5556" w:rsidRDefault="007C2EFC">
      <w:pPr>
        <w:pStyle w:val="TOC1"/>
        <w:rPr>
          <w:rFonts w:asciiTheme="minorHAnsi" w:eastAsiaTheme="minorEastAsia" w:hAnsiTheme="minorHAnsi" w:cstheme="minorBidi"/>
          <w:b w:val="0"/>
          <w:caps w:val="0"/>
          <w:noProof/>
          <w:sz w:val="22"/>
          <w:szCs w:val="22"/>
          <w:lang w:eastAsia="en-AU"/>
        </w:rPr>
      </w:pPr>
      <w:hyperlink w:anchor="_Toc426387809" w:history="1">
        <w:r w:rsidR="001B5556" w:rsidRPr="00E45F67">
          <w:rPr>
            <w:rStyle w:val="Hyperlink"/>
            <w:noProof/>
          </w:rPr>
          <w:t>Appendix C</w:t>
        </w:r>
        <w:r w:rsidR="001B5556">
          <w:rPr>
            <w:noProof/>
            <w:webHidden/>
          </w:rPr>
          <w:tab/>
        </w:r>
        <w:r w:rsidR="001B5556">
          <w:rPr>
            <w:noProof/>
            <w:webHidden/>
          </w:rPr>
          <w:fldChar w:fldCharType="begin"/>
        </w:r>
        <w:r w:rsidR="001B5556">
          <w:rPr>
            <w:noProof/>
            <w:webHidden/>
          </w:rPr>
          <w:instrText xml:space="preserve"> PAGEREF _Toc426387809 \h </w:instrText>
        </w:r>
        <w:r w:rsidR="001B5556">
          <w:rPr>
            <w:noProof/>
            <w:webHidden/>
          </w:rPr>
        </w:r>
        <w:r w:rsidR="001B5556">
          <w:rPr>
            <w:noProof/>
            <w:webHidden/>
          </w:rPr>
          <w:fldChar w:fldCharType="separate"/>
        </w:r>
        <w:r w:rsidR="002C13E2">
          <w:rPr>
            <w:noProof/>
            <w:webHidden/>
          </w:rPr>
          <w:t>140</w:t>
        </w:r>
        <w:r w:rsidR="001B5556">
          <w:rPr>
            <w:noProof/>
            <w:webHidden/>
          </w:rPr>
          <w:fldChar w:fldCharType="end"/>
        </w:r>
      </w:hyperlink>
    </w:p>
    <w:p w:rsidR="001B5556" w:rsidRDefault="007C2EFC">
      <w:pPr>
        <w:pStyle w:val="TOC1"/>
        <w:rPr>
          <w:rFonts w:asciiTheme="minorHAnsi" w:eastAsiaTheme="minorEastAsia" w:hAnsiTheme="minorHAnsi" w:cstheme="minorBidi"/>
          <w:b w:val="0"/>
          <w:caps w:val="0"/>
          <w:noProof/>
          <w:sz w:val="22"/>
          <w:szCs w:val="22"/>
          <w:lang w:eastAsia="en-AU"/>
        </w:rPr>
      </w:pPr>
      <w:hyperlink w:anchor="_Toc426387810" w:history="1">
        <w:r w:rsidR="001B5556" w:rsidRPr="00E45F67">
          <w:rPr>
            <w:rStyle w:val="Hyperlink"/>
            <w:noProof/>
          </w:rPr>
          <w:t>Appendix D</w:t>
        </w:r>
        <w:r w:rsidR="001B5556">
          <w:rPr>
            <w:noProof/>
            <w:webHidden/>
          </w:rPr>
          <w:tab/>
        </w:r>
        <w:r w:rsidR="001B5556">
          <w:rPr>
            <w:noProof/>
            <w:webHidden/>
          </w:rPr>
          <w:fldChar w:fldCharType="begin"/>
        </w:r>
        <w:r w:rsidR="001B5556">
          <w:rPr>
            <w:noProof/>
            <w:webHidden/>
          </w:rPr>
          <w:instrText xml:space="preserve"> PAGEREF _Toc426387810 \h </w:instrText>
        </w:r>
        <w:r w:rsidR="001B5556">
          <w:rPr>
            <w:noProof/>
            <w:webHidden/>
          </w:rPr>
        </w:r>
        <w:r w:rsidR="001B5556">
          <w:rPr>
            <w:noProof/>
            <w:webHidden/>
          </w:rPr>
          <w:fldChar w:fldCharType="separate"/>
        </w:r>
        <w:r w:rsidR="002C13E2">
          <w:rPr>
            <w:noProof/>
            <w:webHidden/>
          </w:rPr>
          <w:t>143</w:t>
        </w:r>
        <w:r w:rsidR="001B5556">
          <w:rPr>
            <w:noProof/>
            <w:webHidden/>
          </w:rPr>
          <w:fldChar w:fldCharType="end"/>
        </w:r>
      </w:hyperlink>
    </w:p>
    <w:p w:rsidR="001B5556" w:rsidRDefault="007C2EFC">
      <w:pPr>
        <w:pStyle w:val="TOC3"/>
        <w:tabs>
          <w:tab w:val="right" w:leader="dot" w:pos="9629"/>
        </w:tabs>
        <w:rPr>
          <w:rFonts w:asciiTheme="minorHAnsi" w:eastAsiaTheme="minorEastAsia" w:hAnsiTheme="minorHAnsi" w:cstheme="minorBidi"/>
          <w:noProof/>
          <w:sz w:val="22"/>
          <w:szCs w:val="22"/>
          <w:lang w:eastAsia="en-AU"/>
        </w:rPr>
      </w:pPr>
      <w:hyperlink w:anchor="_Toc426387811" w:history="1">
        <w:r w:rsidR="001B5556" w:rsidRPr="00E45F67">
          <w:rPr>
            <w:rStyle w:val="Hyperlink"/>
            <w:noProof/>
          </w:rPr>
          <w:t>E3 2015 Commercial Lighting Stock Model -Data Sources and Assumptions</w:t>
        </w:r>
        <w:r w:rsidR="001B5556">
          <w:rPr>
            <w:noProof/>
            <w:webHidden/>
          </w:rPr>
          <w:tab/>
        </w:r>
        <w:r w:rsidR="001B5556">
          <w:rPr>
            <w:noProof/>
            <w:webHidden/>
          </w:rPr>
          <w:fldChar w:fldCharType="begin"/>
        </w:r>
        <w:r w:rsidR="001B5556">
          <w:rPr>
            <w:noProof/>
            <w:webHidden/>
          </w:rPr>
          <w:instrText xml:space="preserve"> PAGEREF _Toc426387811 \h </w:instrText>
        </w:r>
        <w:r w:rsidR="001B5556">
          <w:rPr>
            <w:noProof/>
            <w:webHidden/>
          </w:rPr>
        </w:r>
        <w:r w:rsidR="001B5556">
          <w:rPr>
            <w:noProof/>
            <w:webHidden/>
          </w:rPr>
          <w:fldChar w:fldCharType="separate"/>
        </w:r>
        <w:r w:rsidR="002C13E2">
          <w:rPr>
            <w:noProof/>
            <w:webHidden/>
          </w:rPr>
          <w:t>143</w:t>
        </w:r>
        <w:r w:rsidR="001B5556">
          <w:rPr>
            <w:noProof/>
            <w:webHidden/>
          </w:rPr>
          <w:fldChar w:fldCharType="end"/>
        </w:r>
      </w:hyperlink>
    </w:p>
    <w:p w:rsidR="001B5556" w:rsidRDefault="007C2EFC">
      <w:pPr>
        <w:pStyle w:val="TOC3"/>
        <w:tabs>
          <w:tab w:val="right" w:leader="dot" w:pos="9629"/>
        </w:tabs>
        <w:rPr>
          <w:rFonts w:asciiTheme="minorHAnsi" w:eastAsiaTheme="minorEastAsia" w:hAnsiTheme="minorHAnsi" w:cstheme="minorBidi"/>
          <w:noProof/>
          <w:sz w:val="22"/>
          <w:szCs w:val="22"/>
          <w:lang w:eastAsia="en-AU"/>
        </w:rPr>
      </w:pPr>
      <w:hyperlink w:anchor="_Toc426387812" w:history="1">
        <w:r w:rsidR="001B5556" w:rsidRPr="00E45F67">
          <w:rPr>
            <w:rStyle w:val="Hyperlink"/>
            <w:noProof/>
            <w:lang w:val="en-US"/>
          </w:rPr>
          <w:t>Data Sources</w:t>
        </w:r>
        <w:r w:rsidR="001B5556">
          <w:rPr>
            <w:noProof/>
            <w:webHidden/>
          </w:rPr>
          <w:tab/>
        </w:r>
        <w:r w:rsidR="001B5556">
          <w:rPr>
            <w:noProof/>
            <w:webHidden/>
          </w:rPr>
          <w:fldChar w:fldCharType="begin"/>
        </w:r>
        <w:r w:rsidR="001B5556">
          <w:rPr>
            <w:noProof/>
            <w:webHidden/>
          </w:rPr>
          <w:instrText xml:space="preserve"> PAGEREF _Toc426387812 \h </w:instrText>
        </w:r>
        <w:r w:rsidR="001B5556">
          <w:rPr>
            <w:noProof/>
            <w:webHidden/>
          </w:rPr>
        </w:r>
        <w:r w:rsidR="001B5556">
          <w:rPr>
            <w:noProof/>
            <w:webHidden/>
          </w:rPr>
          <w:fldChar w:fldCharType="separate"/>
        </w:r>
        <w:r w:rsidR="002C13E2">
          <w:rPr>
            <w:noProof/>
            <w:webHidden/>
          </w:rPr>
          <w:t>143</w:t>
        </w:r>
        <w:r w:rsidR="001B5556">
          <w:rPr>
            <w:noProof/>
            <w:webHidden/>
          </w:rPr>
          <w:fldChar w:fldCharType="end"/>
        </w:r>
      </w:hyperlink>
    </w:p>
    <w:p w:rsidR="001B5556" w:rsidRDefault="007C2EFC">
      <w:pPr>
        <w:pStyle w:val="TOC3"/>
        <w:tabs>
          <w:tab w:val="right" w:leader="dot" w:pos="9629"/>
        </w:tabs>
        <w:rPr>
          <w:rFonts w:asciiTheme="minorHAnsi" w:eastAsiaTheme="minorEastAsia" w:hAnsiTheme="minorHAnsi" w:cstheme="minorBidi"/>
          <w:noProof/>
          <w:sz w:val="22"/>
          <w:szCs w:val="22"/>
          <w:lang w:eastAsia="en-AU"/>
        </w:rPr>
      </w:pPr>
      <w:hyperlink w:anchor="_Toc426387813" w:history="1">
        <w:r w:rsidR="001B5556" w:rsidRPr="00E45F67">
          <w:rPr>
            <w:rStyle w:val="Hyperlink"/>
            <w:noProof/>
            <w:lang w:val="en-US"/>
          </w:rPr>
          <w:t>Definition of general lighting applications</w:t>
        </w:r>
        <w:r w:rsidR="001B5556">
          <w:rPr>
            <w:noProof/>
            <w:webHidden/>
          </w:rPr>
          <w:tab/>
        </w:r>
        <w:r w:rsidR="001B5556">
          <w:rPr>
            <w:noProof/>
            <w:webHidden/>
          </w:rPr>
          <w:fldChar w:fldCharType="begin"/>
        </w:r>
        <w:r w:rsidR="001B5556">
          <w:rPr>
            <w:noProof/>
            <w:webHidden/>
          </w:rPr>
          <w:instrText xml:space="preserve"> PAGEREF _Toc426387813 \h </w:instrText>
        </w:r>
        <w:r w:rsidR="001B5556">
          <w:rPr>
            <w:noProof/>
            <w:webHidden/>
          </w:rPr>
        </w:r>
        <w:r w:rsidR="001B5556">
          <w:rPr>
            <w:noProof/>
            <w:webHidden/>
          </w:rPr>
          <w:fldChar w:fldCharType="separate"/>
        </w:r>
        <w:r w:rsidR="002C13E2">
          <w:rPr>
            <w:noProof/>
            <w:webHidden/>
          </w:rPr>
          <w:t>145</w:t>
        </w:r>
        <w:r w:rsidR="001B5556">
          <w:rPr>
            <w:noProof/>
            <w:webHidden/>
          </w:rPr>
          <w:fldChar w:fldCharType="end"/>
        </w:r>
      </w:hyperlink>
    </w:p>
    <w:p w:rsidR="001B5556" w:rsidRDefault="007C2EFC">
      <w:pPr>
        <w:pStyle w:val="TOC3"/>
        <w:tabs>
          <w:tab w:val="right" w:leader="dot" w:pos="9629"/>
        </w:tabs>
        <w:rPr>
          <w:rFonts w:asciiTheme="minorHAnsi" w:eastAsiaTheme="minorEastAsia" w:hAnsiTheme="minorHAnsi" w:cstheme="minorBidi"/>
          <w:noProof/>
          <w:sz w:val="22"/>
          <w:szCs w:val="22"/>
          <w:lang w:eastAsia="en-AU"/>
        </w:rPr>
      </w:pPr>
      <w:hyperlink w:anchor="_Toc426387814" w:history="1">
        <w:r w:rsidR="001B5556" w:rsidRPr="00E45F67">
          <w:rPr>
            <w:rStyle w:val="Hyperlink"/>
            <w:noProof/>
            <w:lang w:val="en-US"/>
          </w:rPr>
          <w:t>Lamp attributes</w:t>
        </w:r>
        <w:r w:rsidR="001B5556">
          <w:rPr>
            <w:noProof/>
            <w:webHidden/>
          </w:rPr>
          <w:tab/>
        </w:r>
        <w:r w:rsidR="001B5556">
          <w:rPr>
            <w:noProof/>
            <w:webHidden/>
          </w:rPr>
          <w:fldChar w:fldCharType="begin"/>
        </w:r>
        <w:r w:rsidR="001B5556">
          <w:rPr>
            <w:noProof/>
            <w:webHidden/>
          </w:rPr>
          <w:instrText xml:space="preserve"> PAGEREF _Toc426387814 \h </w:instrText>
        </w:r>
        <w:r w:rsidR="001B5556">
          <w:rPr>
            <w:noProof/>
            <w:webHidden/>
          </w:rPr>
        </w:r>
        <w:r w:rsidR="001B5556">
          <w:rPr>
            <w:noProof/>
            <w:webHidden/>
          </w:rPr>
          <w:fldChar w:fldCharType="separate"/>
        </w:r>
        <w:r w:rsidR="002C13E2">
          <w:rPr>
            <w:noProof/>
            <w:webHidden/>
          </w:rPr>
          <w:t>145</w:t>
        </w:r>
        <w:r w:rsidR="001B5556">
          <w:rPr>
            <w:noProof/>
            <w:webHidden/>
          </w:rPr>
          <w:fldChar w:fldCharType="end"/>
        </w:r>
      </w:hyperlink>
    </w:p>
    <w:p w:rsidR="001B5556" w:rsidRDefault="007C2EFC">
      <w:pPr>
        <w:pStyle w:val="TOC3"/>
        <w:tabs>
          <w:tab w:val="right" w:leader="dot" w:pos="9629"/>
        </w:tabs>
        <w:rPr>
          <w:rFonts w:asciiTheme="minorHAnsi" w:eastAsiaTheme="minorEastAsia" w:hAnsiTheme="minorHAnsi" w:cstheme="minorBidi"/>
          <w:noProof/>
          <w:sz w:val="22"/>
          <w:szCs w:val="22"/>
          <w:lang w:eastAsia="en-AU"/>
        </w:rPr>
      </w:pPr>
      <w:hyperlink w:anchor="_Toc426387815" w:history="1">
        <w:r w:rsidR="001B5556" w:rsidRPr="00E45F67">
          <w:rPr>
            <w:rStyle w:val="Hyperlink"/>
            <w:noProof/>
            <w:lang w:val="en-US"/>
          </w:rPr>
          <w:t>Commercial property attributes</w:t>
        </w:r>
        <w:r w:rsidR="001B5556">
          <w:rPr>
            <w:noProof/>
            <w:webHidden/>
          </w:rPr>
          <w:tab/>
        </w:r>
        <w:r w:rsidR="001B5556">
          <w:rPr>
            <w:noProof/>
            <w:webHidden/>
          </w:rPr>
          <w:fldChar w:fldCharType="begin"/>
        </w:r>
        <w:r w:rsidR="001B5556">
          <w:rPr>
            <w:noProof/>
            <w:webHidden/>
          </w:rPr>
          <w:instrText xml:space="preserve"> PAGEREF _Toc426387815 \h </w:instrText>
        </w:r>
        <w:r w:rsidR="001B5556">
          <w:rPr>
            <w:noProof/>
            <w:webHidden/>
          </w:rPr>
        </w:r>
        <w:r w:rsidR="001B5556">
          <w:rPr>
            <w:noProof/>
            <w:webHidden/>
          </w:rPr>
          <w:fldChar w:fldCharType="separate"/>
        </w:r>
        <w:r w:rsidR="002C13E2">
          <w:rPr>
            <w:noProof/>
            <w:webHidden/>
          </w:rPr>
          <w:t>147</w:t>
        </w:r>
        <w:r w:rsidR="001B5556">
          <w:rPr>
            <w:noProof/>
            <w:webHidden/>
          </w:rPr>
          <w:fldChar w:fldCharType="end"/>
        </w:r>
      </w:hyperlink>
    </w:p>
    <w:p w:rsidR="009B43DB" w:rsidRPr="003107D2" w:rsidRDefault="00B525E0" w:rsidP="007C5E9F">
      <w:pPr>
        <w:ind w:left="360"/>
      </w:pPr>
      <w:r w:rsidRPr="003107D2">
        <w:fldChar w:fldCharType="end"/>
      </w:r>
    </w:p>
    <w:p w:rsidR="00BD0CDF" w:rsidRPr="003107D2" w:rsidRDefault="00BD0CDF" w:rsidP="007C5E9F">
      <w:pPr>
        <w:pStyle w:val="TOC1"/>
        <w:ind w:left="360"/>
      </w:pPr>
      <w:r w:rsidRPr="003107D2">
        <w:t>List of tables</w:t>
      </w:r>
    </w:p>
    <w:p w:rsidR="001B5556" w:rsidRDefault="00753080">
      <w:pPr>
        <w:pStyle w:val="TableofFigures"/>
        <w:tabs>
          <w:tab w:val="right" w:leader="dot" w:pos="9629"/>
        </w:tabs>
        <w:rPr>
          <w:rFonts w:asciiTheme="minorHAnsi" w:eastAsiaTheme="minorEastAsia" w:hAnsiTheme="minorHAnsi" w:cstheme="minorBidi"/>
          <w:noProof/>
          <w:sz w:val="22"/>
          <w:szCs w:val="22"/>
          <w:lang w:eastAsia="en-AU"/>
        </w:rPr>
      </w:pPr>
      <w:r>
        <w:fldChar w:fldCharType="begin"/>
      </w:r>
      <w:r>
        <w:instrText xml:space="preserve"> TOC \h \z \c "Table" </w:instrText>
      </w:r>
      <w:r>
        <w:fldChar w:fldCharType="separate"/>
      </w:r>
      <w:hyperlink w:anchor="_Toc426387816" w:history="1">
        <w:r w:rsidR="001B5556" w:rsidRPr="00D466F1">
          <w:rPr>
            <w:rStyle w:val="Hyperlink"/>
            <w:noProof/>
          </w:rPr>
          <w:t>Table 1. Proposed Incandescent Lamp Phase-out Dates in Australia</w:t>
        </w:r>
        <w:r w:rsidR="001B5556">
          <w:rPr>
            <w:noProof/>
            <w:webHidden/>
          </w:rPr>
          <w:tab/>
        </w:r>
        <w:r w:rsidR="001B5556">
          <w:rPr>
            <w:noProof/>
            <w:webHidden/>
          </w:rPr>
          <w:fldChar w:fldCharType="begin"/>
        </w:r>
        <w:r w:rsidR="001B5556">
          <w:rPr>
            <w:noProof/>
            <w:webHidden/>
          </w:rPr>
          <w:instrText xml:space="preserve"> PAGEREF _Toc426387816 \h </w:instrText>
        </w:r>
        <w:r w:rsidR="001B5556">
          <w:rPr>
            <w:noProof/>
            <w:webHidden/>
          </w:rPr>
        </w:r>
        <w:r w:rsidR="001B5556">
          <w:rPr>
            <w:noProof/>
            <w:webHidden/>
          </w:rPr>
          <w:fldChar w:fldCharType="separate"/>
        </w:r>
        <w:r w:rsidR="002C13E2">
          <w:rPr>
            <w:noProof/>
            <w:webHidden/>
          </w:rPr>
          <w:t>7</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17" w:history="1">
        <w:r w:rsidR="001B5556" w:rsidRPr="00D466F1">
          <w:rPr>
            <w:rStyle w:val="Hyperlink"/>
            <w:noProof/>
          </w:rPr>
          <w:t>Table 2. LED Components and Concepts</w:t>
        </w:r>
        <w:r w:rsidR="001B5556">
          <w:rPr>
            <w:noProof/>
            <w:webHidden/>
          </w:rPr>
          <w:tab/>
        </w:r>
        <w:r w:rsidR="001B5556">
          <w:rPr>
            <w:noProof/>
            <w:webHidden/>
          </w:rPr>
          <w:fldChar w:fldCharType="begin"/>
        </w:r>
        <w:r w:rsidR="001B5556">
          <w:rPr>
            <w:noProof/>
            <w:webHidden/>
          </w:rPr>
          <w:instrText xml:space="preserve"> PAGEREF _Toc426387817 \h </w:instrText>
        </w:r>
        <w:r w:rsidR="001B5556">
          <w:rPr>
            <w:noProof/>
            <w:webHidden/>
          </w:rPr>
        </w:r>
        <w:r w:rsidR="001B5556">
          <w:rPr>
            <w:noProof/>
            <w:webHidden/>
          </w:rPr>
          <w:fldChar w:fldCharType="separate"/>
        </w:r>
        <w:r w:rsidR="002C13E2">
          <w:rPr>
            <w:noProof/>
            <w:webHidden/>
          </w:rPr>
          <w:t>14</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18" w:history="1">
        <w:r w:rsidR="001B5556" w:rsidRPr="00D466F1">
          <w:rPr>
            <w:rStyle w:val="Hyperlink"/>
            <w:noProof/>
          </w:rPr>
          <w:t>Table 3.Examples of LED lamp brands in Australia and New Zealand.</w:t>
        </w:r>
        <w:r w:rsidR="001B5556">
          <w:rPr>
            <w:noProof/>
            <w:webHidden/>
          </w:rPr>
          <w:tab/>
        </w:r>
        <w:r w:rsidR="001B5556">
          <w:rPr>
            <w:noProof/>
            <w:webHidden/>
          </w:rPr>
          <w:fldChar w:fldCharType="begin"/>
        </w:r>
        <w:r w:rsidR="001B5556">
          <w:rPr>
            <w:noProof/>
            <w:webHidden/>
          </w:rPr>
          <w:instrText xml:space="preserve"> PAGEREF _Toc426387818 \h </w:instrText>
        </w:r>
        <w:r w:rsidR="001B5556">
          <w:rPr>
            <w:noProof/>
            <w:webHidden/>
          </w:rPr>
        </w:r>
        <w:r w:rsidR="001B5556">
          <w:rPr>
            <w:noProof/>
            <w:webHidden/>
          </w:rPr>
          <w:fldChar w:fldCharType="separate"/>
        </w:r>
        <w:r w:rsidR="002C13E2">
          <w:rPr>
            <w:noProof/>
            <w:webHidden/>
          </w:rPr>
          <w:t>39</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19" w:history="1">
        <w:r w:rsidR="001B5556" w:rsidRPr="00D466F1">
          <w:rPr>
            <w:rStyle w:val="Hyperlink"/>
            <w:noProof/>
          </w:rPr>
          <w:t>Table 4. Examples of LED lighting product suppliers in Australia and New Zealand.</w:t>
        </w:r>
        <w:r w:rsidR="001B5556">
          <w:rPr>
            <w:noProof/>
            <w:webHidden/>
          </w:rPr>
          <w:tab/>
        </w:r>
        <w:r w:rsidR="001B5556">
          <w:rPr>
            <w:noProof/>
            <w:webHidden/>
          </w:rPr>
          <w:fldChar w:fldCharType="begin"/>
        </w:r>
        <w:r w:rsidR="001B5556">
          <w:rPr>
            <w:noProof/>
            <w:webHidden/>
          </w:rPr>
          <w:instrText xml:space="preserve"> PAGEREF _Toc426387819 \h </w:instrText>
        </w:r>
        <w:r w:rsidR="001B5556">
          <w:rPr>
            <w:noProof/>
            <w:webHidden/>
          </w:rPr>
        </w:r>
        <w:r w:rsidR="001B5556">
          <w:rPr>
            <w:noProof/>
            <w:webHidden/>
          </w:rPr>
          <w:fldChar w:fldCharType="separate"/>
        </w:r>
        <w:r w:rsidR="002C13E2">
          <w:rPr>
            <w:noProof/>
            <w:webHidden/>
          </w:rPr>
          <w:t>40</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20" w:history="1">
        <w:r w:rsidR="001B5556" w:rsidRPr="00D466F1">
          <w:rPr>
            <w:rStyle w:val="Hyperlink"/>
            <w:noProof/>
          </w:rPr>
          <w:t>Table 5. LED Lamp Types Sold in Australia and New Zealand. Note: products that have a ‘cap’ are an integrated form of LED, i.e. LEDi. Data in this table is not a definitive categorisation, and will be constantly changing with new product development.</w:t>
        </w:r>
        <w:r w:rsidR="001B5556">
          <w:rPr>
            <w:noProof/>
            <w:webHidden/>
          </w:rPr>
          <w:tab/>
        </w:r>
        <w:r w:rsidR="001B5556">
          <w:rPr>
            <w:noProof/>
            <w:webHidden/>
          </w:rPr>
          <w:fldChar w:fldCharType="begin"/>
        </w:r>
        <w:r w:rsidR="001B5556">
          <w:rPr>
            <w:noProof/>
            <w:webHidden/>
          </w:rPr>
          <w:instrText xml:space="preserve"> PAGEREF _Toc426387820 \h </w:instrText>
        </w:r>
        <w:r w:rsidR="001B5556">
          <w:rPr>
            <w:noProof/>
            <w:webHidden/>
          </w:rPr>
        </w:r>
        <w:r w:rsidR="001B5556">
          <w:rPr>
            <w:noProof/>
            <w:webHidden/>
          </w:rPr>
          <w:fldChar w:fldCharType="separate"/>
        </w:r>
        <w:r w:rsidR="002C13E2">
          <w:rPr>
            <w:noProof/>
            <w:webHidden/>
          </w:rPr>
          <w:t>41</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21" w:history="1">
        <w:r w:rsidR="001B5556" w:rsidRPr="00D466F1">
          <w:rPr>
            <w:rStyle w:val="Hyperlink"/>
            <w:noProof/>
          </w:rPr>
          <w:t>Table 6. Number of lamps, Lumens and Watts by Technology in the typical Australian house. * Unknown and missing ‘technologies’ are included in the share numbers as incandescent lamps.</w:t>
        </w:r>
        <w:r w:rsidR="001B5556">
          <w:rPr>
            <w:noProof/>
            <w:webHidden/>
          </w:rPr>
          <w:tab/>
        </w:r>
        <w:r w:rsidR="001B5556">
          <w:rPr>
            <w:noProof/>
            <w:webHidden/>
          </w:rPr>
          <w:fldChar w:fldCharType="begin"/>
        </w:r>
        <w:r w:rsidR="001B5556">
          <w:rPr>
            <w:noProof/>
            <w:webHidden/>
          </w:rPr>
          <w:instrText xml:space="preserve"> PAGEREF _Toc426387821 \h </w:instrText>
        </w:r>
        <w:r w:rsidR="001B5556">
          <w:rPr>
            <w:noProof/>
            <w:webHidden/>
          </w:rPr>
        </w:r>
        <w:r w:rsidR="001B5556">
          <w:rPr>
            <w:noProof/>
            <w:webHidden/>
          </w:rPr>
          <w:fldChar w:fldCharType="separate"/>
        </w:r>
        <w:r w:rsidR="002C13E2">
          <w:rPr>
            <w:noProof/>
            <w:webHidden/>
          </w:rPr>
          <w:t>42</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22" w:history="1">
        <w:r w:rsidR="001B5556" w:rsidRPr="00D466F1">
          <w:rPr>
            <w:rStyle w:val="Hyperlink"/>
            <w:noProof/>
          </w:rPr>
          <w:t>Table 7.Installed lamp stock Australia 2010 (based on average installed lamps from 150 sample homes).</w:t>
        </w:r>
        <w:r w:rsidR="001B5556">
          <w:rPr>
            <w:noProof/>
            <w:webHidden/>
          </w:rPr>
          <w:tab/>
        </w:r>
        <w:r w:rsidR="001B5556">
          <w:rPr>
            <w:noProof/>
            <w:webHidden/>
          </w:rPr>
          <w:fldChar w:fldCharType="begin"/>
        </w:r>
        <w:r w:rsidR="001B5556">
          <w:rPr>
            <w:noProof/>
            <w:webHidden/>
          </w:rPr>
          <w:instrText xml:space="preserve"> PAGEREF _Toc426387822 \h </w:instrText>
        </w:r>
        <w:r w:rsidR="001B5556">
          <w:rPr>
            <w:noProof/>
            <w:webHidden/>
          </w:rPr>
        </w:r>
        <w:r w:rsidR="001B5556">
          <w:rPr>
            <w:noProof/>
            <w:webHidden/>
          </w:rPr>
          <w:fldChar w:fldCharType="separate"/>
        </w:r>
        <w:r w:rsidR="002C13E2">
          <w:rPr>
            <w:noProof/>
            <w:webHidden/>
          </w:rPr>
          <w:t>42</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23" w:history="1">
        <w:r w:rsidR="001B5556" w:rsidRPr="00D466F1">
          <w:rPr>
            <w:rStyle w:val="Hyperlink"/>
            <w:noProof/>
          </w:rPr>
          <w:t>Table 8. Technology mix in commercial (non-industrial) spaces estimated for 2014 and predicted in 2020 (McKinsey 2012) and 2030 without further regulatory intervention.</w:t>
        </w:r>
        <w:r w:rsidR="001B5556">
          <w:rPr>
            <w:noProof/>
            <w:webHidden/>
          </w:rPr>
          <w:tab/>
        </w:r>
        <w:r w:rsidR="001B5556">
          <w:rPr>
            <w:noProof/>
            <w:webHidden/>
          </w:rPr>
          <w:fldChar w:fldCharType="begin"/>
        </w:r>
        <w:r w:rsidR="001B5556">
          <w:rPr>
            <w:noProof/>
            <w:webHidden/>
          </w:rPr>
          <w:instrText xml:space="preserve"> PAGEREF _Toc426387823 \h </w:instrText>
        </w:r>
        <w:r w:rsidR="001B5556">
          <w:rPr>
            <w:noProof/>
            <w:webHidden/>
          </w:rPr>
        </w:r>
        <w:r w:rsidR="001B5556">
          <w:rPr>
            <w:noProof/>
            <w:webHidden/>
          </w:rPr>
          <w:fldChar w:fldCharType="separate"/>
        </w:r>
        <w:r w:rsidR="002C13E2">
          <w:rPr>
            <w:noProof/>
            <w:webHidden/>
          </w:rPr>
          <w:t>53</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24" w:history="1">
        <w:r w:rsidR="001B5556" w:rsidRPr="00D466F1">
          <w:rPr>
            <w:rStyle w:val="Hyperlink"/>
            <w:noProof/>
          </w:rPr>
          <w:t>Table 9. Technology mix in residential spaces estimated for 2014 and predicted in 2020 (McKinsey 2012) and extrapolated to 2030 without further regulatory intervention.</w:t>
        </w:r>
        <w:r w:rsidR="001B5556">
          <w:rPr>
            <w:noProof/>
            <w:webHidden/>
          </w:rPr>
          <w:tab/>
        </w:r>
        <w:r w:rsidR="001B5556">
          <w:rPr>
            <w:noProof/>
            <w:webHidden/>
          </w:rPr>
          <w:fldChar w:fldCharType="begin"/>
        </w:r>
        <w:r w:rsidR="001B5556">
          <w:rPr>
            <w:noProof/>
            <w:webHidden/>
          </w:rPr>
          <w:instrText xml:space="preserve"> PAGEREF _Toc426387824 \h </w:instrText>
        </w:r>
        <w:r w:rsidR="001B5556">
          <w:rPr>
            <w:noProof/>
            <w:webHidden/>
          </w:rPr>
        </w:r>
        <w:r w:rsidR="001B5556">
          <w:rPr>
            <w:noProof/>
            <w:webHidden/>
          </w:rPr>
          <w:fldChar w:fldCharType="separate"/>
        </w:r>
        <w:r w:rsidR="002C13E2">
          <w:rPr>
            <w:noProof/>
            <w:webHidden/>
          </w:rPr>
          <w:t>53</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25" w:history="1">
        <w:r w:rsidR="001B5556" w:rsidRPr="00D466F1">
          <w:rPr>
            <w:rStyle w:val="Hyperlink"/>
            <w:noProof/>
          </w:rPr>
          <w:t>Table 10. Summary of energy consumption and greenhouse gas emissions in Australia and New Zealand in 2015, and projected in 2020 and 2030 (without further regulatory intervention).</w:t>
        </w:r>
        <w:r w:rsidR="001B5556">
          <w:rPr>
            <w:noProof/>
            <w:webHidden/>
          </w:rPr>
          <w:tab/>
        </w:r>
        <w:r w:rsidR="001B5556">
          <w:rPr>
            <w:noProof/>
            <w:webHidden/>
          </w:rPr>
          <w:fldChar w:fldCharType="begin"/>
        </w:r>
        <w:r w:rsidR="001B5556">
          <w:rPr>
            <w:noProof/>
            <w:webHidden/>
          </w:rPr>
          <w:instrText xml:space="preserve"> PAGEREF _Toc426387825 \h </w:instrText>
        </w:r>
        <w:r w:rsidR="001B5556">
          <w:rPr>
            <w:noProof/>
            <w:webHidden/>
          </w:rPr>
        </w:r>
        <w:r w:rsidR="001B5556">
          <w:rPr>
            <w:noProof/>
            <w:webHidden/>
          </w:rPr>
          <w:fldChar w:fldCharType="separate"/>
        </w:r>
        <w:r w:rsidR="002C13E2">
          <w:rPr>
            <w:noProof/>
            <w:webHidden/>
          </w:rPr>
          <w:t>54</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26" w:history="1">
        <w:r w:rsidR="001B5556" w:rsidRPr="00D466F1">
          <w:rPr>
            <w:rStyle w:val="Hyperlink"/>
            <w:noProof/>
          </w:rPr>
          <w:t>Table 11 Current Average technology mix in Australian and New Zealand Households</w:t>
        </w:r>
        <w:r w:rsidR="001B5556">
          <w:rPr>
            <w:noProof/>
            <w:webHidden/>
          </w:rPr>
          <w:tab/>
        </w:r>
        <w:r w:rsidR="001B5556">
          <w:rPr>
            <w:noProof/>
            <w:webHidden/>
          </w:rPr>
          <w:fldChar w:fldCharType="begin"/>
        </w:r>
        <w:r w:rsidR="001B5556">
          <w:rPr>
            <w:noProof/>
            <w:webHidden/>
          </w:rPr>
          <w:instrText xml:space="preserve"> PAGEREF _Toc426387826 \h </w:instrText>
        </w:r>
        <w:r w:rsidR="001B5556">
          <w:rPr>
            <w:noProof/>
            <w:webHidden/>
          </w:rPr>
        </w:r>
        <w:r w:rsidR="001B5556">
          <w:rPr>
            <w:noProof/>
            <w:webHidden/>
          </w:rPr>
          <w:fldChar w:fldCharType="separate"/>
        </w:r>
        <w:r w:rsidR="002C13E2">
          <w:rPr>
            <w:noProof/>
            <w:webHidden/>
          </w:rPr>
          <w:t>54</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27" w:history="1">
        <w:r w:rsidR="001B5556" w:rsidRPr="00D466F1">
          <w:rPr>
            <w:rStyle w:val="Hyperlink"/>
            <w:noProof/>
          </w:rPr>
          <w:t>Table 12 Potential for household lighting energy savings from converting to CFL and LED (compared to Australia 2010 and New Zealand 2012.</w:t>
        </w:r>
        <w:r w:rsidR="001B5556">
          <w:rPr>
            <w:noProof/>
            <w:webHidden/>
          </w:rPr>
          <w:tab/>
        </w:r>
        <w:r w:rsidR="001B5556">
          <w:rPr>
            <w:noProof/>
            <w:webHidden/>
          </w:rPr>
          <w:fldChar w:fldCharType="begin"/>
        </w:r>
        <w:r w:rsidR="001B5556">
          <w:rPr>
            <w:noProof/>
            <w:webHidden/>
          </w:rPr>
          <w:instrText xml:space="preserve"> PAGEREF _Toc426387827 \h </w:instrText>
        </w:r>
        <w:r w:rsidR="001B5556">
          <w:rPr>
            <w:noProof/>
            <w:webHidden/>
          </w:rPr>
        </w:r>
        <w:r w:rsidR="001B5556">
          <w:rPr>
            <w:noProof/>
            <w:webHidden/>
          </w:rPr>
          <w:fldChar w:fldCharType="separate"/>
        </w:r>
        <w:r w:rsidR="002C13E2">
          <w:rPr>
            <w:noProof/>
            <w:webHidden/>
          </w:rPr>
          <w:t>55</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28" w:history="1">
        <w:r w:rsidR="001B5556" w:rsidRPr="00D466F1">
          <w:rPr>
            <w:rStyle w:val="Hyperlink"/>
            <w:noProof/>
          </w:rPr>
          <w:t>Table 13.BCA maximum illuminated power densities for select spaces in commercial buildings, and corresponding AS 1680 lighting levels and lumens per watt (ABCB 2010).</w:t>
        </w:r>
        <w:r w:rsidR="001B5556">
          <w:rPr>
            <w:noProof/>
            <w:webHidden/>
          </w:rPr>
          <w:tab/>
        </w:r>
        <w:r w:rsidR="001B5556">
          <w:rPr>
            <w:noProof/>
            <w:webHidden/>
          </w:rPr>
          <w:fldChar w:fldCharType="begin"/>
        </w:r>
        <w:r w:rsidR="001B5556">
          <w:rPr>
            <w:noProof/>
            <w:webHidden/>
          </w:rPr>
          <w:instrText xml:space="preserve"> PAGEREF _Toc426387828 \h </w:instrText>
        </w:r>
        <w:r w:rsidR="001B5556">
          <w:rPr>
            <w:noProof/>
            <w:webHidden/>
          </w:rPr>
        </w:r>
        <w:r w:rsidR="001B5556">
          <w:rPr>
            <w:noProof/>
            <w:webHidden/>
          </w:rPr>
          <w:fldChar w:fldCharType="separate"/>
        </w:r>
        <w:r w:rsidR="002C13E2">
          <w:rPr>
            <w:noProof/>
            <w:webHidden/>
          </w:rPr>
          <w:t>57</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29" w:history="1">
        <w:r w:rsidR="001B5556" w:rsidRPr="00D466F1">
          <w:rPr>
            <w:rStyle w:val="Hyperlink"/>
            <w:noProof/>
          </w:rPr>
          <w:t>Table 14.Number of Australia / New Zealand Omnidirectional LED Lamps that would pass a range of possible MEPS efficacy levels (by year of purchase)</w:t>
        </w:r>
        <w:r w:rsidR="001B5556">
          <w:rPr>
            <w:noProof/>
            <w:webHidden/>
          </w:rPr>
          <w:tab/>
        </w:r>
        <w:r w:rsidR="001B5556">
          <w:rPr>
            <w:noProof/>
            <w:webHidden/>
          </w:rPr>
          <w:fldChar w:fldCharType="begin"/>
        </w:r>
        <w:r w:rsidR="001B5556">
          <w:rPr>
            <w:noProof/>
            <w:webHidden/>
          </w:rPr>
          <w:instrText xml:space="preserve"> PAGEREF _Toc426387829 \h </w:instrText>
        </w:r>
        <w:r w:rsidR="001B5556">
          <w:rPr>
            <w:noProof/>
            <w:webHidden/>
          </w:rPr>
        </w:r>
        <w:r w:rsidR="001B5556">
          <w:rPr>
            <w:noProof/>
            <w:webHidden/>
          </w:rPr>
          <w:fldChar w:fldCharType="separate"/>
        </w:r>
        <w:r w:rsidR="002C13E2">
          <w:rPr>
            <w:noProof/>
            <w:webHidden/>
          </w:rPr>
          <w:t>76</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30" w:history="1">
        <w:r w:rsidR="001B5556" w:rsidRPr="00D466F1">
          <w:rPr>
            <w:rStyle w:val="Hyperlink"/>
            <w:noProof/>
          </w:rPr>
          <w:t>Table 15.Number of Australia / New Zealand Directional LED Lamps ≤ 63.5 mm that would pass a range of possible MEPS efficacy levels (by year of purchase)</w:t>
        </w:r>
        <w:r w:rsidR="001B5556">
          <w:rPr>
            <w:noProof/>
            <w:webHidden/>
          </w:rPr>
          <w:tab/>
        </w:r>
        <w:r w:rsidR="001B5556">
          <w:rPr>
            <w:noProof/>
            <w:webHidden/>
          </w:rPr>
          <w:fldChar w:fldCharType="begin"/>
        </w:r>
        <w:r w:rsidR="001B5556">
          <w:rPr>
            <w:noProof/>
            <w:webHidden/>
          </w:rPr>
          <w:instrText xml:space="preserve"> PAGEREF _Toc426387830 \h </w:instrText>
        </w:r>
        <w:r w:rsidR="001B5556">
          <w:rPr>
            <w:noProof/>
            <w:webHidden/>
          </w:rPr>
        </w:r>
        <w:r w:rsidR="001B5556">
          <w:rPr>
            <w:noProof/>
            <w:webHidden/>
          </w:rPr>
          <w:fldChar w:fldCharType="separate"/>
        </w:r>
        <w:r w:rsidR="002C13E2">
          <w:rPr>
            <w:noProof/>
            <w:webHidden/>
          </w:rPr>
          <w:t>77</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31" w:history="1">
        <w:r w:rsidR="001B5556" w:rsidRPr="00D466F1">
          <w:rPr>
            <w:rStyle w:val="Hyperlink"/>
            <w:noProof/>
          </w:rPr>
          <w:t>Table 16.Number of Australia / New Zealand Directional LED Lamps &gt; 63.5 mm that would pass a range of possible MEPS efficacy levels (by year of purchase)</w:t>
        </w:r>
        <w:r w:rsidR="001B5556">
          <w:rPr>
            <w:noProof/>
            <w:webHidden/>
          </w:rPr>
          <w:tab/>
        </w:r>
        <w:r w:rsidR="001B5556">
          <w:rPr>
            <w:noProof/>
            <w:webHidden/>
          </w:rPr>
          <w:fldChar w:fldCharType="begin"/>
        </w:r>
        <w:r w:rsidR="001B5556">
          <w:rPr>
            <w:noProof/>
            <w:webHidden/>
          </w:rPr>
          <w:instrText xml:space="preserve"> PAGEREF _Toc426387831 \h </w:instrText>
        </w:r>
        <w:r w:rsidR="001B5556">
          <w:rPr>
            <w:noProof/>
            <w:webHidden/>
          </w:rPr>
        </w:r>
        <w:r w:rsidR="001B5556">
          <w:rPr>
            <w:noProof/>
            <w:webHidden/>
          </w:rPr>
          <w:fldChar w:fldCharType="separate"/>
        </w:r>
        <w:r w:rsidR="002C13E2">
          <w:rPr>
            <w:noProof/>
            <w:webHidden/>
          </w:rPr>
          <w:t>77</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32" w:history="1">
        <w:r w:rsidR="001B5556" w:rsidRPr="00D466F1">
          <w:rPr>
            <w:rStyle w:val="Hyperlink"/>
            <w:noProof/>
          </w:rPr>
          <w:t>Table 17.Possible Performance Parameters for LED MEPS</w:t>
        </w:r>
        <w:r w:rsidR="001B5556">
          <w:rPr>
            <w:noProof/>
            <w:webHidden/>
          </w:rPr>
          <w:tab/>
        </w:r>
        <w:r w:rsidR="001B5556">
          <w:rPr>
            <w:noProof/>
            <w:webHidden/>
          </w:rPr>
          <w:fldChar w:fldCharType="begin"/>
        </w:r>
        <w:r w:rsidR="001B5556">
          <w:rPr>
            <w:noProof/>
            <w:webHidden/>
          </w:rPr>
          <w:instrText xml:space="preserve"> PAGEREF _Toc426387832 \h </w:instrText>
        </w:r>
        <w:r w:rsidR="001B5556">
          <w:rPr>
            <w:noProof/>
            <w:webHidden/>
          </w:rPr>
        </w:r>
        <w:r w:rsidR="001B5556">
          <w:rPr>
            <w:noProof/>
            <w:webHidden/>
          </w:rPr>
          <w:fldChar w:fldCharType="separate"/>
        </w:r>
        <w:r w:rsidR="002C13E2">
          <w:rPr>
            <w:noProof/>
            <w:webHidden/>
          </w:rPr>
          <w:t>81</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33" w:history="1">
        <w:r w:rsidR="001B5556" w:rsidRPr="00D466F1">
          <w:rPr>
            <w:rStyle w:val="Hyperlink"/>
            <w:noProof/>
          </w:rPr>
          <w:t>Table 18.Preliminary cost benefit analysis and energy savings (from a consumer perspective).</w:t>
        </w:r>
        <w:r w:rsidR="001B5556">
          <w:rPr>
            <w:noProof/>
            <w:webHidden/>
          </w:rPr>
          <w:tab/>
        </w:r>
        <w:r w:rsidR="001B5556">
          <w:rPr>
            <w:noProof/>
            <w:webHidden/>
          </w:rPr>
          <w:fldChar w:fldCharType="begin"/>
        </w:r>
        <w:r w:rsidR="001B5556">
          <w:rPr>
            <w:noProof/>
            <w:webHidden/>
          </w:rPr>
          <w:instrText xml:space="preserve"> PAGEREF _Toc426387833 \h </w:instrText>
        </w:r>
        <w:r w:rsidR="001B5556">
          <w:rPr>
            <w:noProof/>
            <w:webHidden/>
          </w:rPr>
        </w:r>
        <w:r w:rsidR="001B5556">
          <w:rPr>
            <w:noProof/>
            <w:webHidden/>
          </w:rPr>
          <w:fldChar w:fldCharType="separate"/>
        </w:r>
        <w:r w:rsidR="002C13E2">
          <w:rPr>
            <w:noProof/>
            <w:webHidden/>
          </w:rPr>
          <w:t>95</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34" w:history="1">
        <w:r w:rsidR="001B5556" w:rsidRPr="00D466F1">
          <w:rPr>
            <w:rStyle w:val="Hyperlink"/>
            <w:noProof/>
          </w:rPr>
          <w:t>Table 19. Predicted energy savings for Australian homes with 75% LED lamps installed, upon introduction of MEPS equal to IEA Tier 1 and Tier 2 minimum efficacies.</w:t>
        </w:r>
        <w:r w:rsidR="001B5556">
          <w:rPr>
            <w:noProof/>
            <w:webHidden/>
          </w:rPr>
          <w:tab/>
        </w:r>
        <w:r w:rsidR="001B5556">
          <w:rPr>
            <w:noProof/>
            <w:webHidden/>
          </w:rPr>
          <w:fldChar w:fldCharType="begin"/>
        </w:r>
        <w:r w:rsidR="001B5556">
          <w:rPr>
            <w:noProof/>
            <w:webHidden/>
          </w:rPr>
          <w:instrText xml:space="preserve"> PAGEREF _Toc426387834 \h </w:instrText>
        </w:r>
        <w:r w:rsidR="001B5556">
          <w:rPr>
            <w:noProof/>
            <w:webHidden/>
          </w:rPr>
        </w:r>
        <w:r w:rsidR="001B5556">
          <w:rPr>
            <w:noProof/>
            <w:webHidden/>
          </w:rPr>
          <w:fldChar w:fldCharType="separate"/>
        </w:r>
        <w:r w:rsidR="002C13E2">
          <w:rPr>
            <w:noProof/>
            <w:webHidden/>
          </w:rPr>
          <w:t>97</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35" w:history="1">
        <w:r w:rsidR="001B5556" w:rsidRPr="00D466F1">
          <w:rPr>
            <w:rStyle w:val="Hyperlink"/>
            <w:noProof/>
          </w:rPr>
          <w:t>Table 20.Energy savings for New Zealand homes with 75% LED lamps installed, upon introduction of MEPS equal to IEA Tier 1, Tier 2, 45 lm/W and 60 lm/W minimum efficacies.</w:t>
        </w:r>
        <w:r w:rsidR="001B5556">
          <w:rPr>
            <w:noProof/>
            <w:webHidden/>
          </w:rPr>
          <w:tab/>
        </w:r>
        <w:r w:rsidR="001B5556">
          <w:rPr>
            <w:noProof/>
            <w:webHidden/>
          </w:rPr>
          <w:fldChar w:fldCharType="begin"/>
        </w:r>
        <w:r w:rsidR="001B5556">
          <w:rPr>
            <w:noProof/>
            <w:webHidden/>
          </w:rPr>
          <w:instrText xml:space="preserve"> PAGEREF _Toc426387835 \h </w:instrText>
        </w:r>
        <w:r w:rsidR="001B5556">
          <w:rPr>
            <w:noProof/>
            <w:webHidden/>
          </w:rPr>
        </w:r>
        <w:r w:rsidR="001B5556">
          <w:rPr>
            <w:noProof/>
            <w:webHidden/>
          </w:rPr>
          <w:fldChar w:fldCharType="separate"/>
        </w:r>
        <w:r w:rsidR="002C13E2">
          <w:rPr>
            <w:noProof/>
            <w:webHidden/>
          </w:rPr>
          <w:t>98</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36" w:history="1">
        <w:r w:rsidR="001B5556" w:rsidRPr="00D466F1">
          <w:rPr>
            <w:rStyle w:val="Hyperlink"/>
            <w:noProof/>
          </w:rPr>
          <w:t>Table 21. Tested LED lamp average efficacy in Australia and New Zealand 2009-2014 and the effect on these averages if a MEPS of 45 lm/W were introduced.</w:t>
        </w:r>
        <w:r w:rsidR="001B5556">
          <w:rPr>
            <w:noProof/>
            <w:webHidden/>
          </w:rPr>
          <w:tab/>
        </w:r>
        <w:r w:rsidR="001B5556">
          <w:rPr>
            <w:noProof/>
            <w:webHidden/>
          </w:rPr>
          <w:fldChar w:fldCharType="begin"/>
        </w:r>
        <w:r w:rsidR="001B5556">
          <w:rPr>
            <w:noProof/>
            <w:webHidden/>
          </w:rPr>
          <w:instrText xml:space="preserve"> PAGEREF _Toc426387836 \h </w:instrText>
        </w:r>
        <w:r w:rsidR="001B5556">
          <w:rPr>
            <w:noProof/>
            <w:webHidden/>
          </w:rPr>
        </w:r>
        <w:r w:rsidR="001B5556">
          <w:rPr>
            <w:noProof/>
            <w:webHidden/>
          </w:rPr>
          <w:fldChar w:fldCharType="separate"/>
        </w:r>
        <w:r w:rsidR="002C13E2">
          <w:rPr>
            <w:noProof/>
            <w:webHidden/>
          </w:rPr>
          <w:t>146</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37" w:history="1">
        <w:r w:rsidR="001B5556" w:rsidRPr="00D466F1">
          <w:rPr>
            <w:rStyle w:val="Hyperlink"/>
            <w:noProof/>
          </w:rPr>
          <w:t>Table 22. Average lamp operating hours per day</w:t>
        </w:r>
        <w:r w:rsidR="001B5556">
          <w:rPr>
            <w:noProof/>
            <w:webHidden/>
          </w:rPr>
          <w:tab/>
        </w:r>
        <w:r w:rsidR="001B5556">
          <w:rPr>
            <w:noProof/>
            <w:webHidden/>
          </w:rPr>
          <w:fldChar w:fldCharType="begin"/>
        </w:r>
        <w:r w:rsidR="001B5556">
          <w:rPr>
            <w:noProof/>
            <w:webHidden/>
          </w:rPr>
          <w:instrText xml:space="preserve"> PAGEREF _Toc426387837 \h </w:instrText>
        </w:r>
        <w:r w:rsidR="001B5556">
          <w:rPr>
            <w:noProof/>
            <w:webHidden/>
          </w:rPr>
        </w:r>
        <w:r w:rsidR="001B5556">
          <w:rPr>
            <w:noProof/>
            <w:webHidden/>
          </w:rPr>
          <w:fldChar w:fldCharType="separate"/>
        </w:r>
        <w:r w:rsidR="002C13E2">
          <w:rPr>
            <w:noProof/>
            <w:webHidden/>
          </w:rPr>
          <w:t>146</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38" w:history="1">
        <w:r w:rsidR="001B5556" w:rsidRPr="00D466F1">
          <w:rPr>
            <w:rStyle w:val="Hyperlink"/>
            <w:noProof/>
          </w:rPr>
          <w:t>Table 23. Average luminaire lifetimes 2010-2020 (McKinsey &amp; Co)</w:t>
        </w:r>
        <w:r w:rsidR="001B5556">
          <w:rPr>
            <w:noProof/>
            <w:webHidden/>
          </w:rPr>
          <w:tab/>
        </w:r>
        <w:r w:rsidR="001B5556">
          <w:rPr>
            <w:noProof/>
            <w:webHidden/>
          </w:rPr>
          <w:fldChar w:fldCharType="begin"/>
        </w:r>
        <w:r w:rsidR="001B5556">
          <w:rPr>
            <w:noProof/>
            <w:webHidden/>
          </w:rPr>
          <w:instrText xml:space="preserve"> PAGEREF _Toc426387838 \h </w:instrText>
        </w:r>
        <w:r w:rsidR="001B5556">
          <w:rPr>
            <w:noProof/>
            <w:webHidden/>
          </w:rPr>
        </w:r>
        <w:r w:rsidR="001B5556">
          <w:rPr>
            <w:noProof/>
            <w:webHidden/>
          </w:rPr>
          <w:fldChar w:fldCharType="separate"/>
        </w:r>
        <w:r w:rsidR="002C13E2">
          <w:rPr>
            <w:noProof/>
            <w:webHidden/>
          </w:rPr>
          <w:t>147</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39" w:history="1">
        <w:r w:rsidR="001B5556" w:rsidRPr="00D466F1">
          <w:rPr>
            <w:rStyle w:val="Hyperlink"/>
            <w:noProof/>
          </w:rPr>
          <w:t>Table 24. BCA National Construction Code lighting power density limits (W/m²)</w:t>
        </w:r>
        <w:r w:rsidR="001B5556">
          <w:rPr>
            <w:noProof/>
            <w:webHidden/>
          </w:rPr>
          <w:tab/>
        </w:r>
        <w:r w:rsidR="001B5556">
          <w:rPr>
            <w:noProof/>
            <w:webHidden/>
          </w:rPr>
          <w:fldChar w:fldCharType="begin"/>
        </w:r>
        <w:r w:rsidR="001B5556">
          <w:rPr>
            <w:noProof/>
            <w:webHidden/>
          </w:rPr>
          <w:instrText xml:space="preserve"> PAGEREF _Toc426387839 \h </w:instrText>
        </w:r>
        <w:r w:rsidR="001B5556">
          <w:rPr>
            <w:noProof/>
            <w:webHidden/>
          </w:rPr>
        </w:r>
        <w:r w:rsidR="001B5556">
          <w:rPr>
            <w:noProof/>
            <w:webHidden/>
          </w:rPr>
          <w:fldChar w:fldCharType="separate"/>
        </w:r>
        <w:r w:rsidR="002C13E2">
          <w:rPr>
            <w:noProof/>
            <w:webHidden/>
          </w:rPr>
          <w:t>147</w:t>
        </w:r>
        <w:r w:rsidR="001B5556">
          <w:rPr>
            <w:noProof/>
            <w:webHidden/>
          </w:rPr>
          <w:fldChar w:fldCharType="end"/>
        </w:r>
      </w:hyperlink>
    </w:p>
    <w:p w:rsidR="008C6776" w:rsidRDefault="00753080" w:rsidP="007C5E9F">
      <w:pPr>
        <w:ind w:left="360"/>
      </w:pPr>
      <w:r>
        <w:fldChar w:fldCharType="end"/>
      </w:r>
    </w:p>
    <w:p w:rsidR="001B5556" w:rsidRDefault="001B5556" w:rsidP="007C5E9F">
      <w:pPr>
        <w:ind w:left="360"/>
      </w:pPr>
    </w:p>
    <w:p w:rsidR="001B5556" w:rsidRDefault="001B5556" w:rsidP="007C5E9F">
      <w:pPr>
        <w:ind w:left="360"/>
      </w:pPr>
    </w:p>
    <w:p w:rsidR="001B5556" w:rsidRPr="003107D2" w:rsidRDefault="001B5556" w:rsidP="007C5E9F">
      <w:pPr>
        <w:ind w:left="360"/>
      </w:pPr>
    </w:p>
    <w:p w:rsidR="00BD0CDF" w:rsidRPr="003107D2" w:rsidRDefault="00BD0CDF" w:rsidP="007C5E9F">
      <w:pPr>
        <w:pStyle w:val="TOC1"/>
        <w:ind w:left="360"/>
      </w:pPr>
      <w:r w:rsidRPr="003107D2">
        <w:lastRenderedPageBreak/>
        <w:t>List of figures</w:t>
      </w:r>
    </w:p>
    <w:p w:rsidR="001B5556" w:rsidRDefault="00B525E0">
      <w:pPr>
        <w:pStyle w:val="TableofFigures"/>
        <w:tabs>
          <w:tab w:val="right" w:leader="dot" w:pos="9629"/>
        </w:tabs>
        <w:rPr>
          <w:rFonts w:asciiTheme="minorHAnsi" w:eastAsiaTheme="minorEastAsia" w:hAnsiTheme="minorHAnsi" w:cstheme="minorBidi"/>
          <w:noProof/>
          <w:sz w:val="22"/>
          <w:szCs w:val="22"/>
          <w:lang w:eastAsia="en-AU"/>
        </w:rPr>
      </w:pPr>
      <w:r>
        <w:fldChar w:fldCharType="begin"/>
      </w:r>
      <w:r w:rsidR="00E2108A">
        <w:instrText xml:space="preserve"> TOC \h \z \c "Figure" </w:instrText>
      </w:r>
      <w:r>
        <w:fldChar w:fldCharType="separate"/>
      </w:r>
      <w:hyperlink w:anchor="_Toc426387840" w:history="1">
        <w:r w:rsidR="001B5556" w:rsidRPr="000935BF">
          <w:rPr>
            <w:rStyle w:val="Hyperlink"/>
            <w:noProof/>
          </w:rPr>
          <w:t>Figure 1.Examples of integrated (left, middle) and semi-integra</w:t>
        </w:r>
        <w:r w:rsidR="00A41376">
          <w:rPr>
            <w:rStyle w:val="Hyperlink"/>
            <w:noProof/>
          </w:rPr>
          <w:t>ted (right) LED integral lamps</w:t>
        </w:r>
        <w:r w:rsidR="001B5556">
          <w:rPr>
            <w:noProof/>
            <w:webHidden/>
          </w:rPr>
          <w:tab/>
        </w:r>
        <w:r w:rsidR="001B5556">
          <w:rPr>
            <w:noProof/>
            <w:webHidden/>
          </w:rPr>
          <w:fldChar w:fldCharType="begin"/>
        </w:r>
        <w:r w:rsidR="001B5556">
          <w:rPr>
            <w:noProof/>
            <w:webHidden/>
          </w:rPr>
          <w:instrText xml:space="preserve"> PAGEREF _Toc426387840 \h </w:instrText>
        </w:r>
        <w:r w:rsidR="001B5556">
          <w:rPr>
            <w:noProof/>
            <w:webHidden/>
          </w:rPr>
        </w:r>
        <w:r w:rsidR="001B5556">
          <w:rPr>
            <w:noProof/>
            <w:webHidden/>
          </w:rPr>
          <w:fldChar w:fldCharType="separate"/>
        </w:r>
        <w:r w:rsidR="002C13E2">
          <w:rPr>
            <w:noProof/>
            <w:webHidden/>
          </w:rPr>
          <w:t>10</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41" w:history="1">
        <w:r w:rsidR="001B5556" w:rsidRPr="000935BF">
          <w:rPr>
            <w:rStyle w:val="Hyperlink"/>
            <w:noProof/>
          </w:rPr>
          <w:t xml:space="preserve">Figure 2. Reflector lamp with GX53 cap. These are ‘reflector’ shape with GX53 cap, informally </w:t>
        </w:r>
        <w:r w:rsidR="00A41376">
          <w:rPr>
            <w:rStyle w:val="Hyperlink"/>
            <w:noProof/>
          </w:rPr>
          <w:t>known as a ‘puck’ light</w:t>
        </w:r>
        <w:r w:rsidR="001B5556">
          <w:rPr>
            <w:noProof/>
            <w:webHidden/>
          </w:rPr>
          <w:tab/>
        </w:r>
        <w:r w:rsidR="001B5556">
          <w:rPr>
            <w:noProof/>
            <w:webHidden/>
          </w:rPr>
          <w:fldChar w:fldCharType="begin"/>
        </w:r>
        <w:r w:rsidR="001B5556">
          <w:rPr>
            <w:noProof/>
            <w:webHidden/>
          </w:rPr>
          <w:instrText xml:space="preserve"> PAGEREF _Toc426387841 \h </w:instrText>
        </w:r>
        <w:r w:rsidR="001B5556">
          <w:rPr>
            <w:noProof/>
            <w:webHidden/>
          </w:rPr>
        </w:r>
        <w:r w:rsidR="001B5556">
          <w:rPr>
            <w:noProof/>
            <w:webHidden/>
          </w:rPr>
          <w:fldChar w:fldCharType="separate"/>
        </w:r>
        <w:r w:rsidR="002C13E2">
          <w:rPr>
            <w:noProof/>
            <w:webHidden/>
          </w:rPr>
          <w:t>17</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42" w:history="1">
        <w:r w:rsidR="001B5556" w:rsidRPr="000935BF">
          <w:rPr>
            <w:rStyle w:val="Hyperlink"/>
            <w:noProof/>
          </w:rPr>
          <w:t>Figure 3.A shape LED lamp a GU24 cap. This cap is be</w:t>
        </w:r>
        <w:r w:rsidR="00B45035">
          <w:rPr>
            <w:rStyle w:val="Hyperlink"/>
            <w:noProof/>
          </w:rPr>
          <w:t>ing used in 110V-240V systems.</w:t>
        </w:r>
        <w:r w:rsidR="001B5556">
          <w:rPr>
            <w:noProof/>
            <w:webHidden/>
          </w:rPr>
          <w:tab/>
        </w:r>
        <w:r w:rsidR="001B5556">
          <w:rPr>
            <w:noProof/>
            <w:webHidden/>
          </w:rPr>
          <w:fldChar w:fldCharType="begin"/>
        </w:r>
        <w:r w:rsidR="001B5556">
          <w:rPr>
            <w:noProof/>
            <w:webHidden/>
          </w:rPr>
          <w:instrText xml:space="preserve"> PAGEREF _Toc426387842 \h </w:instrText>
        </w:r>
        <w:r w:rsidR="001B5556">
          <w:rPr>
            <w:noProof/>
            <w:webHidden/>
          </w:rPr>
        </w:r>
        <w:r w:rsidR="001B5556">
          <w:rPr>
            <w:noProof/>
            <w:webHidden/>
          </w:rPr>
          <w:fldChar w:fldCharType="separate"/>
        </w:r>
        <w:r w:rsidR="002C13E2">
          <w:rPr>
            <w:noProof/>
            <w:webHidden/>
          </w:rPr>
          <w:t>17</w:t>
        </w:r>
        <w:r w:rsidR="001B5556">
          <w:rPr>
            <w:noProof/>
            <w:webHidden/>
          </w:rPr>
          <w:fldChar w:fldCharType="end"/>
        </w:r>
      </w:hyperlink>
    </w:p>
    <w:p w:rsidR="001B5556" w:rsidRDefault="001B5556">
      <w:pPr>
        <w:pStyle w:val="TableofFigures"/>
        <w:tabs>
          <w:tab w:val="right" w:leader="dot" w:pos="9629"/>
        </w:tabs>
        <w:rPr>
          <w:rFonts w:asciiTheme="minorHAnsi" w:eastAsiaTheme="minorEastAsia" w:hAnsiTheme="minorHAnsi" w:cstheme="minorBidi"/>
          <w:noProof/>
          <w:sz w:val="22"/>
          <w:szCs w:val="22"/>
          <w:lang w:eastAsia="en-AU"/>
        </w:rPr>
      </w:pPr>
      <w:r w:rsidRPr="00B2271C">
        <w:rPr>
          <w:noProof/>
        </w:rPr>
        <w:t>Figure 4.'O</w:t>
      </w:r>
      <w:r w:rsidR="00B45035">
        <w:rPr>
          <w:noProof/>
        </w:rPr>
        <w:t>mnidirectional' LED lamp</w:t>
      </w:r>
      <w:r>
        <w:rPr>
          <w:noProof/>
          <w:webHidden/>
        </w:rPr>
        <w:tab/>
      </w:r>
      <w:r>
        <w:rPr>
          <w:noProof/>
          <w:webHidden/>
        </w:rPr>
        <w:fldChar w:fldCharType="begin"/>
      </w:r>
      <w:r>
        <w:rPr>
          <w:noProof/>
          <w:webHidden/>
        </w:rPr>
        <w:instrText xml:space="preserve"> PAGEREF _Toc426387843 \h </w:instrText>
      </w:r>
      <w:r>
        <w:rPr>
          <w:noProof/>
          <w:webHidden/>
        </w:rPr>
      </w:r>
      <w:r>
        <w:rPr>
          <w:noProof/>
          <w:webHidden/>
        </w:rPr>
        <w:fldChar w:fldCharType="separate"/>
      </w:r>
      <w:r w:rsidR="002C13E2">
        <w:rPr>
          <w:noProof/>
          <w:webHidden/>
        </w:rPr>
        <w:t>18</w:t>
      </w:r>
      <w:r>
        <w:rPr>
          <w:noProof/>
          <w:webHidden/>
        </w:rPr>
        <w:fldChar w:fldCharType="end"/>
      </w:r>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44" w:history="1">
        <w:r w:rsidR="001B5556" w:rsidRPr="000935BF">
          <w:rPr>
            <w:rStyle w:val="Hyperlink"/>
            <w:noProof/>
          </w:rPr>
          <w:t>Figure 5. Lamp Performance (luminous Flux and Efficacy) of Omnidirectional Purchased in Australia 2009-2014. Equivalence levels as per IEA 4ESSL 2012.</w:t>
        </w:r>
        <w:r w:rsidR="001B5556">
          <w:rPr>
            <w:noProof/>
            <w:webHidden/>
          </w:rPr>
          <w:tab/>
        </w:r>
        <w:r w:rsidR="001B5556">
          <w:rPr>
            <w:noProof/>
            <w:webHidden/>
          </w:rPr>
          <w:fldChar w:fldCharType="begin"/>
        </w:r>
        <w:r w:rsidR="001B5556">
          <w:rPr>
            <w:noProof/>
            <w:webHidden/>
          </w:rPr>
          <w:instrText xml:space="preserve"> PAGEREF _Toc426387844 \h </w:instrText>
        </w:r>
        <w:r w:rsidR="001B5556">
          <w:rPr>
            <w:noProof/>
            <w:webHidden/>
          </w:rPr>
        </w:r>
        <w:r w:rsidR="001B5556">
          <w:rPr>
            <w:noProof/>
            <w:webHidden/>
          </w:rPr>
          <w:fldChar w:fldCharType="separate"/>
        </w:r>
        <w:r w:rsidR="002C13E2">
          <w:rPr>
            <w:noProof/>
            <w:webHidden/>
          </w:rPr>
          <w:t>20</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45" w:history="1">
        <w:r w:rsidR="001B5556" w:rsidRPr="000935BF">
          <w:rPr>
            <w:rStyle w:val="Hyperlink"/>
            <w:noProof/>
          </w:rPr>
          <w:t>Figure 6.Lamp Performance (luminous Flux and Efficacy) of Directional lamps of diameter ≤ 63.5mm tested internationally between 2010 and 2014.</w:t>
        </w:r>
        <w:r w:rsidR="001B5556">
          <w:rPr>
            <w:noProof/>
            <w:webHidden/>
          </w:rPr>
          <w:tab/>
        </w:r>
        <w:r w:rsidR="001B5556">
          <w:rPr>
            <w:noProof/>
            <w:webHidden/>
          </w:rPr>
          <w:fldChar w:fldCharType="begin"/>
        </w:r>
        <w:r w:rsidR="001B5556">
          <w:rPr>
            <w:noProof/>
            <w:webHidden/>
          </w:rPr>
          <w:instrText xml:space="preserve"> PAGEREF _Toc426387845 \h </w:instrText>
        </w:r>
        <w:r w:rsidR="001B5556">
          <w:rPr>
            <w:noProof/>
            <w:webHidden/>
          </w:rPr>
        </w:r>
        <w:r w:rsidR="001B5556">
          <w:rPr>
            <w:noProof/>
            <w:webHidden/>
          </w:rPr>
          <w:fldChar w:fldCharType="separate"/>
        </w:r>
        <w:r w:rsidR="002C13E2">
          <w:rPr>
            <w:noProof/>
            <w:webHidden/>
          </w:rPr>
          <w:t>21</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46" w:history="1">
        <w:r w:rsidR="001B5556" w:rsidRPr="000935BF">
          <w:rPr>
            <w:rStyle w:val="Hyperlink"/>
            <w:noProof/>
          </w:rPr>
          <w:t>Figure 7.Lamp Performance (luminous Flux and Efficacy) of Directional lamps of diameter &gt;63.5mm tested internationally between 2010 and 2014.</w:t>
        </w:r>
        <w:r w:rsidR="001B5556">
          <w:rPr>
            <w:noProof/>
            <w:webHidden/>
          </w:rPr>
          <w:tab/>
        </w:r>
        <w:r w:rsidR="001B5556">
          <w:rPr>
            <w:noProof/>
            <w:webHidden/>
          </w:rPr>
          <w:fldChar w:fldCharType="begin"/>
        </w:r>
        <w:r w:rsidR="001B5556">
          <w:rPr>
            <w:noProof/>
            <w:webHidden/>
          </w:rPr>
          <w:instrText xml:space="preserve"> PAGEREF _Toc426387846 \h </w:instrText>
        </w:r>
        <w:r w:rsidR="001B5556">
          <w:rPr>
            <w:noProof/>
            <w:webHidden/>
          </w:rPr>
        </w:r>
        <w:r w:rsidR="001B5556">
          <w:rPr>
            <w:noProof/>
            <w:webHidden/>
          </w:rPr>
          <w:fldChar w:fldCharType="separate"/>
        </w:r>
        <w:r w:rsidR="002C13E2">
          <w:rPr>
            <w:noProof/>
            <w:webHidden/>
          </w:rPr>
          <w:t>21</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47" w:history="1">
        <w:r w:rsidR="001B5556" w:rsidRPr="000935BF">
          <w:rPr>
            <w:rStyle w:val="Hyperlink"/>
            <w:noProof/>
          </w:rPr>
          <w:t>Figure 8. LED Replacement Lamp Performance against Fluorescent Lamp MEPS (Lamps Purchased in Australia and New Zealand 2014)</w:t>
        </w:r>
        <w:r w:rsidR="001B5556">
          <w:rPr>
            <w:noProof/>
            <w:webHidden/>
          </w:rPr>
          <w:tab/>
        </w:r>
        <w:r w:rsidR="001B5556">
          <w:rPr>
            <w:noProof/>
            <w:webHidden/>
          </w:rPr>
          <w:fldChar w:fldCharType="begin"/>
        </w:r>
        <w:r w:rsidR="001B5556">
          <w:rPr>
            <w:noProof/>
            <w:webHidden/>
          </w:rPr>
          <w:instrText xml:space="preserve"> PAGEREF _Toc426387847 \h </w:instrText>
        </w:r>
        <w:r w:rsidR="001B5556">
          <w:rPr>
            <w:noProof/>
            <w:webHidden/>
          </w:rPr>
        </w:r>
        <w:r w:rsidR="001B5556">
          <w:rPr>
            <w:noProof/>
            <w:webHidden/>
          </w:rPr>
          <w:fldChar w:fldCharType="separate"/>
        </w:r>
        <w:r w:rsidR="002C13E2">
          <w:rPr>
            <w:noProof/>
            <w:webHidden/>
          </w:rPr>
          <w:t>22</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48" w:history="1">
        <w:r w:rsidR="001B5556" w:rsidRPr="000935BF">
          <w:rPr>
            <w:rStyle w:val="Hyperlink"/>
            <w:noProof/>
          </w:rPr>
          <w:t>Figure 9. LED Power Consumption – Variation between Rated and Test Values.</w:t>
        </w:r>
        <w:r w:rsidR="001B5556">
          <w:rPr>
            <w:noProof/>
            <w:webHidden/>
          </w:rPr>
          <w:tab/>
        </w:r>
        <w:r w:rsidR="001B5556">
          <w:rPr>
            <w:noProof/>
            <w:webHidden/>
          </w:rPr>
          <w:fldChar w:fldCharType="begin"/>
        </w:r>
        <w:r w:rsidR="001B5556">
          <w:rPr>
            <w:noProof/>
            <w:webHidden/>
          </w:rPr>
          <w:instrText xml:space="preserve"> PAGEREF _Toc426387848 \h </w:instrText>
        </w:r>
        <w:r w:rsidR="001B5556">
          <w:rPr>
            <w:noProof/>
            <w:webHidden/>
          </w:rPr>
        </w:r>
        <w:r w:rsidR="001B5556">
          <w:rPr>
            <w:noProof/>
            <w:webHidden/>
          </w:rPr>
          <w:fldChar w:fldCharType="separate"/>
        </w:r>
        <w:r w:rsidR="002C13E2">
          <w:rPr>
            <w:noProof/>
            <w:webHidden/>
          </w:rPr>
          <w:t>23</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49" w:history="1">
        <w:r w:rsidR="001B5556" w:rsidRPr="000935BF">
          <w:rPr>
            <w:rStyle w:val="Hyperlink"/>
            <w:noProof/>
          </w:rPr>
          <w:t>Figure 10.Normalised purchase price of LED Lamps as a function of Luminous Flux output (lamps purchased in Australia, New Zealand, United Kingdom, United States 2009-2014)</w:t>
        </w:r>
        <w:r w:rsidR="001B5556">
          <w:rPr>
            <w:noProof/>
            <w:webHidden/>
          </w:rPr>
          <w:tab/>
        </w:r>
        <w:r w:rsidR="001B5556">
          <w:rPr>
            <w:noProof/>
            <w:webHidden/>
          </w:rPr>
          <w:fldChar w:fldCharType="begin"/>
        </w:r>
        <w:r w:rsidR="001B5556">
          <w:rPr>
            <w:noProof/>
            <w:webHidden/>
          </w:rPr>
          <w:instrText xml:space="preserve"> PAGEREF _Toc426387849 \h </w:instrText>
        </w:r>
        <w:r w:rsidR="001B5556">
          <w:rPr>
            <w:noProof/>
            <w:webHidden/>
          </w:rPr>
        </w:r>
        <w:r w:rsidR="001B5556">
          <w:rPr>
            <w:noProof/>
            <w:webHidden/>
          </w:rPr>
          <w:fldChar w:fldCharType="separate"/>
        </w:r>
        <w:r w:rsidR="002C13E2">
          <w:rPr>
            <w:noProof/>
            <w:webHidden/>
          </w:rPr>
          <w:t>24</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50" w:history="1">
        <w:r w:rsidR="001B5556" w:rsidRPr="000935BF">
          <w:rPr>
            <w:rStyle w:val="Hyperlink"/>
            <w:noProof/>
          </w:rPr>
          <w:t>Figure 11.LED Lamp normalised cost per 100 Lumens (lamps purchased in Australia, New Zealand, United Kingdom and United States 2009-2014)</w:t>
        </w:r>
        <w:r w:rsidR="001B5556">
          <w:rPr>
            <w:noProof/>
            <w:webHidden/>
          </w:rPr>
          <w:tab/>
        </w:r>
        <w:r w:rsidR="001B5556">
          <w:rPr>
            <w:noProof/>
            <w:webHidden/>
          </w:rPr>
          <w:fldChar w:fldCharType="begin"/>
        </w:r>
        <w:r w:rsidR="001B5556">
          <w:rPr>
            <w:noProof/>
            <w:webHidden/>
          </w:rPr>
          <w:instrText xml:space="preserve"> PAGEREF _Toc426387850 \h </w:instrText>
        </w:r>
        <w:r w:rsidR="001B5556">
          <w:rPr>
            <w:noProof/>
            <w:webHidden/>
          </w:rPr>
        </w:r>
        <w:r w:rsidR="001B5556">
          <w:rPr>
            <w:noProof/>
            <w:webHidden/>
          </w:rPr>
          <w:fldChar w:fldCharType="separate"/>
        </w:r>
        <w:r w:rsidR="002C13E2">
          <w:rPr>
            <w:noProof/>
            <w:webHidden/>
          </w:rPr>
          <w:t>24</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51" w:history="1">
        <w:r w:rsidR="001B5556" w:rsidRPr="000935BF">
          <w:rPr>
            <w:rStyle w:val="Hyperlink"/>
            <w:noProof/>
          </w:rPr>
          <w:t>Figure 12.Variance Between Rated and Tested LED Lamp Efficacy (lamps Purchased in Australia 2009-2014)</w:t>
        </w:r>
        <w:r w:rsidR="001B5556">
          <w:rPr>
            <w:noProof/>
            <w:webHidden/>
          </w:rPr>
          <w:tab/>
        </w:r>
        <w:r w:rsidR="001B5556">
          <w:rPr>
            <w:noProof/>
            <w:webHidden/>
          </w:rPr>
          <w:fldChar w:fldCharType="begin"/>
        </w:r>
        <w:r w:rsidR="001B5556">
          <w:rPr>
            <w:noProof/>
            <w:webHidden/>
          </w:rPr>
          <w:instrText xml:space="preserve"> PAGEREF _Toc426387851 \h </w:instrText>
        </w:r>
        <w:r w:rsidR="001B5556">
          <w:rPr>
            <w:noProof/>
            <w:webHidden/>
          </w:rPr>
        </w:r>
        <w:r w:rsidR="001B5556">
          <w:rPr>
            <w:noProof/>
            <w:webHidden/>
          </w:rPr>
          <w:fldChar w:fldCharType="separate"/>
        </w:r>
        <w:r w:rsidR="002C13E2">
          <w:rPr>
            <w:noProof/>
            <w:webHidden/>
          </w:rPr>
          <w:t>26</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52" w:history="1">
        <w:r w:rsidR="001B5556" w:rsidRPr="000935BF">
          <w:rPr>
            <w:rStyle w:val="Hyperlink"/>
            <w:noProof/>
          </w:rPr>
          <w:t>Figure 13.Variance between Rated and Tested Efficacy of Tubular Fluorescent Replacement LED Lamps</w:t>
        </w:r>
        <w:r w:rsidR="001B5556">
          <w:rPr>
            <w:noProof/>
            <w:webHidden/>
          </w:rPr>
          <w:tab/>
        </w:r>
        <w:r w:rsidR="001B5556">
          <w:rPr>
            <w:noProof/>
            <w:webHidden/>
          </w:rPr>
          <w:fldChar w:fldCharType="begin"/>
        </w:r>
        <w:r w:rsidR="001B5556">
          <w:rPr>
            <w:noProof/>
            <w:webHidden/>
          </w:rPr>
          <w:instrText xml:space="preserve"> PAGEREF _Toc426387852 \h </w:instrText>
        </w:r>
        <w:r w:rsidR="001B5556">
          <w:rPr>
            <w:noProof/>
            <w:webHidden/>
          </w:rPr>
        </w:r>
        <w:r w:rsidR="001B5556">
          <w:rPr>
            <w:noProof/>
            <w:webHidden/>
          </w:rPr>
          <w:fldChar w:fldCharType="separate"/>
        </w:r>
        <w:r w:rsidR="002C13E2">
          <w:rPr>
            <w:noProof/>
            <w:webHidden/>
          </w:rPr>
          <w:t>26</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53" w:history="1">
        <w:r w:rsidR="001B5556" w:rsidRPr="000935BF">
          <w:rPr>
            <w:rStyle w:val="Hyperlink"/>
            <w:noProof/>
          </w:rPr>
          <w:t>Figure 14.Average lumen maintenance for each of the 15 LED lamp models tested for CALiPER (US DOE Dec 2014). *The ENERGY STAR criterion shown is for lamps with a 25,000-hour rated lifetime; the criterion is higher for longer rated lifetimes.</w:t>
        </w:r>
        <w:r w:rsidR="001B5556">
          <w:rPr>
            <w:noProof/>
            <w:webHidden/>
          </w:rPr>
          <w:tab/>
        </w:r>
        <w:r w:rsidR="001B5556">
          <w:rPr>
            <w:noProof/>
            <w:webHidden/>
          </w:rPr>
          <w:fldChar w:fldCharType="begin"/>
        </w:r>
        <w:r w:rsidR="001B5556">
          <w:rPr>
            <w:noProof/>
            <w:webHidden/>
          </w:rPr>
          <w:instrText xml:space="preserve"> PAGEREF _Toc426387853 \h </w:instrText>
        </w:r>
        <w:r w:rsidR="001B5556">
          <w:rPr>
            <w:noProof/>
            <w:webHidden/>
          </w:rPr>
        </w:r>
        <w:r w:rsidR="001B5556">
          <w:rPr>
            <w:noProof/>
            <w:webHidden/>
          </w:rPr>
          <w:fldChar w:fldCharType="separate"/>
        </w:r>
        <w:r w:rsidR="002C13E2">
          <w:rPr>
            <w:noProof/>
            <w:webHidden/>
          </w:rPr>
          <w:t>27</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54" w:history="1">
        <w:r w:rsidR="001B5556" w:rsidRPr="000935BF">
          <w:rPr>
            <w:rStyle w:val="Hyperlink"/>
            <w:noProof/>
          </w:rPr>
          <w:t>Figure 15.Chromaticity of LED lamps tested by Australian Government 2009-2014.</w:t>
        </w:r>
        <w:r w:rsidR="001B5556">
          <w:rPr>
            <w:noProof/>
            <w:webHidden/>
          </w:rPr>
          <w:tab/>
        </w:r>
        <w:r w:rsidR="001B5556">
          <w:rPr>
            <w:noProof/>
            <w:webHidden/>
          </w:rPr>
          <w:fldChar w:fldCharType="begin"/>
        </w:r>
        <w:r w:rsidR="001B5556">
          <w:rPr>
            <w:noProof/>
            <w:webHidden/>
          </w:rPr>
          <w:instrText xml:space="preserve"> PAGEREF _Toc426387854 \h </w:instrText>
        </w:r>
        <w:r w:rsidR="001B5556">
          <w:rPr>
            <w:noProof/>
            <w:webHidden/>
          </w:rPr>
        </w:r>
        <w:r w:rsidR="001B5556">
          <w:rPr>
            <w:noProof/>
            <w:webHidden/>
          </w:rPr>
          <w:fldChar w:fldCharType="separate"/>
        </w:r>
        <w:r w:rsidR="002C13E2">
          <w:rPr>
            <w:noProof/>
            <w:webHidden/>
          </w:rPr>
          <w:t>29</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55" w:history="1">
        <w:r w:rsidR="001B5556" w:rsidRPr="000935BF">
          <w:rPr>
            <w:rStyle w:val="Hyperlink"/>
            <w:noProof/>
          </w:rPr>
          <w:t>Figure 16.Mapping of Chromaticity Tolerance for lamps purchased in Australia (2014).   Those lamps shown outside of the black boundaries may display a noticeable green or pink tint.</w:t>
        </w:r>
        <w:r w:rsidR="001B5556">
          <w:rPr>
            <w:noProof/>
            <w:webHidden/>
          </w:rPr>
          <w:tab/>
        </w:r>
        <w:r w:rsidR="001B5556">
          <w:rPr>
            <w:noProof/>
            <w:webHidden/>
          </w:rPr>
          <w:fldChar w:fldCharType="begin"/>
        </w:r>
        <w:r w:rsidR="001B5556">
          <w:rPr>
            <w:noProof/>
            <w:webHidden/>
          </w:rPr>
          <w:instrText xml:space="preserve"> PAGEREF _Toc426387855 \h </w:instrText>
        </w:r>
        <w:r w:rsidR="001B5556">
          <w:rPr>
            <w:noProof/>
            <w:webHidden/>
          </w:rPr>
        </w:r>
        <w:r w:rsidR="001B5556">
          <w:rPr>
            <w:noProof/>
            <w:webHidden/>
          </w:rPr>
          <w:fldChar w:fldCharType="separate"/>
        </w:r>
        <w:r w:rsidR="002C13E2">
          <w:rPr>
            <w:noProof/>
            <w:webHidden/>
          </w:rPr>
          <w:t>29</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56" w:history="1">
        <w:r w:rsidR="001B5556" w:rsidRPr="000935BF">
          <w:rPr>
            <w:rStyle w:val="Hyperlink"/>
            <w:noProof/>
          </w:rPr>
          <w:t>Figure 17.Tested vs Manufacturer’s Nominal CCT (with ANSI C7.377 nominal target CCT tolerance levels)</w:t>
        </w:r>
        <w:r w:rsidR="001B5556">
          <w:rPr>
            <w:noProof/>
            <w:webHidden/>
          </w:rPr>
          <w:tab/>
        </w:r>
        <w:r w:rsidR="001B5556">
          <w:rPr>
            <w:noProof/>
            <w:webHidden/>
          </w:rPr>
          <w:fldChar w:fldCharType="begin"/>
        </w:r>
        <w:r w:rsidR="001B5556">
          <w:rPr>
            <w:noProof/>
            <w:webHidden/>
          </w:rPr>
          <w:instrText xml:space="preserve"> PAGEREF _Toc426387856 \h </w:instrText>
        </w:r>
        <w:r w:rsidR="001B5556">
          <w:rPr>
            <w:noProof/>
            <w:webHidden/>
          </w:rPr>
        </w:r>
        <w:r w:rsidR="001B5556">
          <w:rPr>
            <w:noProof/>
            <w:webHidden/>
          </w:rPr>
          <w:fldChar w:fldCharType="separate"/>
        </w:r>
        <w:r w:rsidR="002C13E2">
          <w:rPr>
            <w:noProof/>
            <w:webHidden/>
          </w:rPr>
          <w:t>30</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57" w:history="1">
        <w:r w:rsidR="001B5556" w:rsidRPr="000935BF">
          <w:rPr>
            <w:rStyle w:val="Hyperlink"/>
            <w:noProof/>
          </w:rPr>
          <w:t>Figure 18. Tungsten halogen omnidirectional A-shape lamp distribution (left) compared to a hemispherical distribution from an LED A-shape lamp (right).</w:t>
        </w:r>
        <w:r w:rsidR="001B5556">
          <w:rPr>
            <w:noProof/>
            <w:webHidden/>
          </w:rPr>
          <w:tab/>
        </w:r>
        <w:r w:rsidR="001B5556">
          <w:rPr>
            <w:noProof/>
            <w:webHidden/>
          </w:rPr>
          <w:fldChar w:fldCharType="begin"/>
        </w:r>
        <w:r w:rsidR="001B5556">
          <w:rPr>
            <w:noProof/>
            <w:webHidden/>
          </w:rPr>
          <w:instrText xml:space="preserve"> PAGEREF _Toc426387857 \h </w:instrText>
        </w:r>
        <w:r w:rsidR="001B5556">
          <w:rPr>
            <w:noProof/>
            <w:webHidden/>
          </w:rPr>
        </w:r>
        <w:r w:rsidR="001B5556">
          <w:rPr>
            <w:noProof/>
            <w:webHidden/>
          </w:rPr>
          <w:fldChar w:fldCharType="separate"/>
        </w:r>
        <w:r w:rsidR="002C13E2">
          <w:rPr>
            <w:noProof/>
            <w:webHidden/>
          </w:rPr>
          <w:t>31</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58" w:history="1">
        <w:r w:rsidR="001B5556" w:rsidRPr="000935BF">
          <w:rPr>
            <w:rStyle w:val="Hyperlink"/>
            <w:noProof/>
          </w:rPr>
          <w:t>Figure 19. Percentage variation of tested beam angle relative to rated value for Australian and New Zealand lamps tested in 2014.</w:t>
        </w:r>
        <w:r w:rsidR="001B5556">
          <w:rPr>
            <w:noProof/>
            <w:webHidden/>
          </w:rPr>
          <w:tab/>
        </w:r>
        <w:r w:rsidR="001B5556">
          <w:rPr>
            <w:noProof/>
            <w:webHidden/>
          </w:rPr>
          <w:fldChar w:fldCharType="begin"/>
        </w:r>
        <w:r w:rsidR="001B5556">
          <w:rPr>
            <w:noProof/>
            <w:webHidden/>
          </w:rPr>
          <w:instrText xml:space="preserve"> PAGEREF _Toc426387858 \h </w:instrText>
        </w:r>
        <w:r w:rsidR="001B5556">
          <w:rPr>
            <w:noProof/>
            <w:webHidden/>
          </w:rPr>
        </w:r>
        <w:r w:rsidR="001B5556">
          <w:rPr>
            <w:noProof/>
            <w:webHidden/>
          </w:rPr>
          <w:fldChar w:fldCharType="separate"/>
        </w:r>
        <w:r w:rsidR="002C13E2">
          <w:rPr>
            <w:noProof/>
            <w:webHidden/>
          </w:rPr>
          <w:t>31</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59" w:history="1">
        <w:r w:rsidR="001B5556" w:rsidRPr="000935BF">
          <w:rPr>
            <w:rStyle w:val="Hyperlink"/>
            <w:noProof/>
          </w:rPr>
          <w:t>Figure 20. Annual power consumption for 1 hour per day ON, including standby mode for the two LED lamps, compared with the equivalent lumen output incandescent lamp and hypothetical LED lamps at the IEA 4E Tier levels.</w:t>
        </w:r>
        <w:r w:rsidR="001B5556">
          <w:rPr>
            <w:noProof/>
            <w:webHidden/>
          </w:rPr>
          <w:tab/>
        </w:r>
        <w:r w:rsidR="001B5556">
          <w:rPr>
            <w:noProof/>
            <w:webHidden/>
          </w:rPr>
          <w:fldChar w:fldCharType="begin"/>
        </w:r>
        <w:r w:rsidR="001B5556">
          <w:rPr>
            <w:noProof/>
            <w:webHidden/>
          </w:rPr>
          <w:instrText xml:space="preserve"> PAGEREF _Toc426387859 \h </w:instrText>
        </w:r>
        <w:r w:rsidR="001B5556">
          <w:rPr>
            <w:noProof/>
            <w:webHidden/>
          </w:rPr>
        </w:r>
        <w:r w:rsidR="001B5556">
          <w:rPr>
            <w:noProof/>
            <w:webHidden/>
          </w:rPr>
          <w:fldChar w:fldCharType="separate"/>
        </w:r>
        <w:r w:rsidR="002C13E2">
          <w:rPr>
            <w:noProof/>
            <w:webHidden/>
          </w:rPr>
          <w:t>34</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60" w:history="1">
        <w:r w:rsidR="001B5556" w:rsidRPr="000935BF">
          <w:rPr>
            <w:rStyle w:val="Hyperlink"/>
            <w:noProof/>
          </w:rPr>
          <w:t>Figure 21. Standby versus lamp ON power consumption for 1 hour per day ON for the tested LED lamps</w:t>
        </w:r>
        <w:r w:rsidR="001B5556">
          <w:rPr>
            <w:noProof/>
            <w:webHidden/>
          </w:rPr>
          <w:tab/>
        </w:r>
        <w:r w:rsidR="001B5556">
          <w:rPr>
            <w:noProof/>
            <w:webHidden/>
          </w:rPr>
          <w:fldChar w:fldCharType="begin"/>
        </w:r>
        <w:r w:rsidR="001B5556">
          <w:rPr>
            <w:noProof/>
            <w:webHidden/>
          </w:rPr>
          <w:instrText xml:space="preserve"> PAGEREF _Toc426387860 \h </w:instrText>
        </w:r>
        <w:r w:rsidR="001B5556">
          <w:rPr>
            <w:noProof/>
            <w:webHidden/>
          </w:rPr>
        </w:r>
        <w:r w:rsidR="001B5556">
          <w:rPr>
            <w:noProof/>
            <w:webHidden/>
          </w:rPr>
          <w:fldChar w:fldCharType="separate"/>
        </w:r>
        <w:r w:rsidR="002C13E2">
          <w:rPr>
            <w:noProof/>
            <w:webHidden/>
          </w:rPr>
          <w:t>34</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61" w:history="1">
        <w:r w:rsidR="001B5556" w:rsidRPr="000935BF">
          <w:rPr>
            <w:rStyle w:val="Hyperlink"/>
            <w:noProof/>
          </w:rPr>
          <w:t>Figure 22.The measured efficacy of the tested lamps compared to an equivalent lumen output incandescent lamp and the IEA recommended LED efficacy levels.</w:t>
        </w:r>
        <w:r w:rsidR="001B5556">
          <w:rPr>
            <w:noProof/>
            <w:webHidden/>
          </w:rPr>
          <w:tab/>
        </w:r>
        <w:r w:rsidR="001B5556">
          <w:rPr>
            <w:noProof/>
            <w:webHidden/>
          </w:rPr>
          <w:fldChar w:fldCharType="begin"/>
        </w:r>
        <w:r w:rsidR="001B5556">
          <w:rPr>
            <w:noProof/>
            <w:webHidden/>
          </w:rPr>
          <w:instrText xml:space="preserve"> PAGEREF _Toc426387861 \h </w:instrText>
        </w:r>
        <w:r w:rsidR="001B5556">
          <w:rPr>
            <w:noProof/>
            <w:webHidden/>
          </w:rPr>
        </w:r>
        <w:r w:rsidR="001B5556">
          <w:rPr>
            <w:noProof/>
            <w:webHidden/>
          </w:rPr>
          <w:fldChar w:fldCharType="separate"/>
        </w:r>
        <w:r w:rsidR="002C13E2">
          <w:rPr>
            <w:noProof/>
            <w:webHidden/>
          </w:rPr>
          <w:t>35</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62" w:history="1">
        <w:r w:rsidR="001B5556" w:rsidRPr="000935BF">
          <w:rPr>
            <w:rStyle w:val="Hyperlink"/>
            <w:noProof/>
          </w:rPr>
          <w:t>Figure 23.Life-cycle environmental impacts of three household lamp technologies including current (2012) and future (2017) LED lamps (US DOE 2012)</w:t>
        </w:r>
        <w:r w:rsidR="001B5556">
          <w:rPr>
            <w:noProof/>
            <w:webHidden/>
          </w:rPr>
          <w:tab/>
        </w:r>
        <w:r w:rsidR="001B5556">
          <w:rPr>
            <w:noProof/>
            <w:webHidden/>
          </w:rPr>
          <w:fldChar w:fldCharType="begin"/>
        </w:r>
        <w:r w:rsidR="001B5556">
          <w:rPr>
            <w:noProof/>
            <w:webHidden/>
          </w:rPr>
          <w:instrText xml:space="preserve"> PAGEREF _Toc426387862 \h </w:instrText>
        </w:r>
        <w:r w:rsidR="001B5556">
          <w:rPr>
            <w:noProof/>
            <w:webHidden/>
          </w:rPr>
        </w:r>
        <w:r w:rsidR="001B5556">
          <w:rPr>
            <w:noProof/>
            <w:webHidden/>
          </w:rPr>
          <w:fldChar w:fldCharType="separate"/>
        </w:r>
        <w:r w:rsidR="002C13E2">
          <w:rPr>
            <w:noProof/>
            <w:webHidden/>
          </w:rPr>
          <w:t>38</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63" w:history="1">
        <w:r w:rsidR="001B5556" w:rsidRPr="000935BF">
          <w:rPr>
            <w:rStyle w:val="Hyperlink"/>
            <w:noProof/>
          </w:rPr>
          <w:t>Figure 24. Penetration of CFL and LED lamps in a sample of Queensland Households 2010-2014 (Colmar Brunton 2014)- Graph shows percentage of households with at least some of CFL or LED technology lamps.</w:t>
        </w:r>
        <w:r w:rsidR="001B5556">
          <w:rPr>
            <w:noProof/>
            <w:webHidden/>
          </w:rPr>
          <w:tab/>
        </w:r>
        <w:r w:rsidR="001B5556">
          <w:rPr>
            <w:noProof/>
            <w:webHidden/>
          </w:rPr>
          <w:fldChar w:fldCharType="begin"/>
        </w:r>
        <w:r w:rsidR="001B5556">
          <w:rPr>
            <w:noProof/>
            <w:webHidden/>
          </w:rPr>
          <w:instrText xml:space="preserve"> PAGEREF _Toc426387863 \h </w:instrText>
        </w:r>
        <w:r w:rsidR="001B5556">
          <w:rPr>
            <w:noProof/>
            <w:webHidden/>
          </w:rPr>
        </w:r>
        <w:r w:rsidR="001B5556">
          <w:rPr>
            <w:noProof/>
            <w:webHidden/>
          </w:rPr>
          <w:fldChar w:fldCharType="separate"/>
        </w:r>
        <w:r w:rsidR="002C13E2">
          <w:rPr>
            <w:noProof/>
            <w:webHidden/>
          </w:rPr>
          <w:t>43</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64" w:history="1">
        <w:r w:rsidR="001B5556" w:rsidRPr="000935BF">
          <w:rPr>
            <w:rStyle w:val="Hyperlink"/>
            <w:noProof/>
          </w:rPr>
          <w:t>Figure 25.ABS import data for mains-voltage (MV) incandescent, MV and extra-low-voltage (ELV) halogen, high intensity discharge (HID) and other discharge, compact fluorescent (CFL) and linear fluorescent (LFL) lamps.</w:t>
        </w:r>
        <w:r w:rsidR="001B5556">
          <w:rPr>
            <w:noProof/>
            <w:webHidden/>
          </w:rPr>
          <w:tab/>
        </w:r>
        <w:r w:rsidR="001B5556">
          <w:rPr>
            <w:noProof/>
            <w:webHidden/>
          </w:rPr>
          <w:fldChar w:fldCharType="begin"/>
        </w:r>
        <w:r w:rsidR="001B5556">
          <w:rPr>
            <w:noProof/>
            <w:webHidden/>
          </w:rPr>
          <w:instrText xml:space="preserve"> PAGEREF _Toc426387864 \h </w:instrText>
        </w:r>
        <w:r w:rsidR="001B5556">
          <w:rPr>
            <w:noProof/>
            <w:webHidden/>
          </w:rPr>
        </w:r>
        <w:r w:rsidR="001B5556">
          <w:rPr>
            <w:noProof/>
            <w:webHidden/>
          </w:rPr>
          <w:fldChar w:fldCharType="separate"/>
        </w:r>
        <w:r w:rsidR="002C13E2">
          <w:rPr>
            <w:noProof/>
            <w:webHidden/>
          </w:rPr>
          <w:t>44</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65" w:history="1">
        <w:r w:rsidR="001B5556" w:rsidRPr="000935BF">
          <w:rPr>
            <w:rStyle w:val="Hyperlink"/>
            <w:noProof/>
          </w:rPr>
          <w:t>Figure 26.Percentage of all sales that are Incandescent Lamps including Halogens in a range of Countries (IEA 4E 2015)</w:t>
        </w:r>
        <w:r w:rsidR="001B5556">
          <w:rPr>
            <w:noProof/>
            <w:webHidden/>
          </w:rPr>
          <w:tab/>
        </w:r>
        <w:r w:rsidR="001B5556">
          <w:rPr>
            <w:noProof/>
            <w:webHidden/>
          </w:rPr>
          <w:fldChar w:fldCharType="begin"/>
        </w:r>
        <w:r w:rsidR="001B5556">
          <w:rPr>
            <w:noProof/>
            <w:webHidden/>
          </w:rPr>
          <w:instrText xml:space="preserve"> PAGEREF _Toc426387865 \h </w:instrText>
        </w:r>
        <w:r w:rsidR="001B5556">
          <w:rPr>
            <w:noProof/>
            <w:webHidden/>
          </w:rPr>
        </w:r>
        <w:r w:rsidR="001B5556">
          <w:rPr>
            <w:noProof/>
            <w:webHidden/>
          </w:rPr>
          <w:fldChar w:fldCharType="separate"/>
        </w:r>
        <w:r w:rsidR="002C13E2">
          <w:rPr>
            <w:noProof/>
            <w:webHidden/>
          </w:rPr>
          <w:t>45</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66" w:history="1">
        <w:r w:rsidR="001B5556" w:rsidRPr="000935BF">
          <w:rPr>
            <w:rStyle w:val="Hyperlink"/>
            <w:noProof/>
          </w:rPr>
          <w:t>Figure 27.Average Lamp Efficacy in a range of Countries (IEA 4E 2015)</w:t>
        </w:r>
        <w:r w:rsidR="001B5556">
          <w:rPr>
            <w:noProof/>
            <w:webHidden/>
          </w:rPr>
          <w:tab/>
        </w:r>
        <w:r w:rsidR="001B5556">
          <w:rPr>
            <w:noProof/>
            <w:webHidden/>
          </w:rPr>
          <w:fldChar w:fldCharType="begin"/>
        </w:r>
        <w:r w:rsidR="001B5556">
          <w:rPr>
            <w:noProof/>
            <w:webHidden/>
          </w:rPr>
          <w:instrText xml:space="preserve"> PAGEREF _Toc426387866 \h </w:instrText>
        </w:r>
        <w:r w:rsidR="001B5556">
          <w:rPr>
            <w:noProof/>
            <w:webHidden/>
          </w:rPr>
        </w:r>
        <w:r w:rsidR="001B5556">
          <w:rPr>
            <w:noProof/>
            <w:webHidden/>
          </w:rPr>
          <w:fldChar w:fldCharType="separate"/>
        </w:r>
        <w:r w:rsidR="002C13E2">
          <w:rPr>
            <w:noProof/>
            <w:webHidden/>
          </w:rPr>
          <w:t>46</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67" w:history="1">
        <w:r w:rsidR="001B5556" w:rsidRPr="000935BF">
          <w:rPr>
            <w:rStyle w:val="Hyperlink"/>
            <w:noProof/>
          </w:rPr>
          <w:t>Figure 28. Projected mix of lamp technologies used to light commercial spaces in Australia 2010 - 2030 (E3 2015).</w:t>
        </w:r>
        <w:r w:rsidR="001B5556">
          <w:rPr>
            <w:noProof/>
            <w:webHidden/>
          </w:rPr>
          <w:tab/>
        </w:r>
        <w:r w:rsidR="001B5556">
          <w:rPr>
            <w:noProof/>
            <w:webHidden/>
          </w:rPr>
          <w:fldChar w:fldCharType="begin"/>
        </w:r>
        <w:r w:rsidR="001B5556">
          <w:rPr>
            <w:noProof/>
            <w:webHidden/>
          </w:rPr>
          <w:instrText xml:space="preserve"> PAGEREF _Toc426387867 \h </w:instrText>
        </w:r>
        <w:r w:rsidR="001B5556">
          <w:rPr>
            <w:noProof/>
            <w:webHidden/>
          </w:rPr>
        </w:r>
        <w:r w:rsidR="001B5556">
          <w:rPr>
            <w:noProof/>
            <w:webHidden/>
          </w:rPr>
          <w:fldChar w:fldCharType="separate"/>
        </w:r>
        <w:r w:rsidR="002C13E2">
          <w:rPr>
            <w:noProof/>
            <w:webHidden/>
          </w:rPr>
          <w:t>47</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68" w:history="1">
        <w:r w:rsidR="001B5556" w:rsidRPr="000935BF">
          <w:rPr>
            <w:rStyle w:val="Hyperlink"/>
            <w:noProof/>
          </w:rPr>
          <w:t>Figure 29. Projected installed commercial lamp stock in Australia 2010 to 2030.</w:t>
        </w:r>
        <w:r w:rsidR="001B5556">
          <w:rPr>
            <w:noProof/>
            <w:webHidden/>
          </w:rPr>
          <w:tab/>
        </w:r>
        <w:r w:rsidR="001B5556">
          <w:rPr>
            <w:noProof/>
            <w:webHidden/>
          </w:rPr>
          <w:fldChar w:fldCharType="begin"/>
        </w:r>
        <w:r w:rsidR="001B5556">
          <w:rPr>
            <w:noProof/>
            <w:webHidden/>
          </w:rPr>
          <w:instrText xml:space="preserve"> PAGEREF _Toc426387868 \h </w:instrText>
        </w:r>
        <w:r w:rsidR="001B5556">
          <w:rPr>
            <w:noProof/>
            <w:webHidden/>
          </w:rPr>
        </w:r>
        <w:r w:rsidR="001B5556">
          <w:rPr>
            <w:noProof/>
            <w:webHidden/>
          </w:rPr>
          <w:fldChar w:fldCharType="separate"/>
        </w:r>
        <w:r w:rsidR="002C13E2">
          <w:rPr>
            <w:noProof/>
            <w:webHidden/>
          </w:rPr>
          <w:t>47</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69" w:history="1">
        <w:r w:rsidR="001B5556" w:rsidRPr="000935BF">
          <w:rPr>
            <w:rStyle w:val="Hyperlink"/>
            <w:noProof/>
          </w:rPr>
          <w:t>Figure 30. Projected installed residential lamp stock in Australia 2010 to 2030.</w:t>
        </w:r>
        <w:r w:rsidR="001B5556">
          <w:rPr>
            <w:noProof/>
            <w:webHidden/>
          </w:rPr>
          <w:tab/>
        </w:r>
        <w:r w:rsidR="001B5556">
          <w:rPr>
            <w:noProof/>
            <w:webHidden/>
          </w:rPr>
          <w:fldChar w:fldCharType="begin"/>
        </w:r>
        <w:r w:rsidR="001B5556">
          <w:rPr>
            <w:noProof/>
            <w:webHidden/>
          </w:rPr>
          <w:instrText xml:space="preserve"> PAGEREF _Toc426387869 \h </w:instrText>
        </w:r>
        <w:r w:rsidR="001B5556">
          <w:rPr>
            <w:noProof/>
            <w:webHidden/>
          </w:rPr>
        </w:r>
        <w:r w:rsidR="001B5556">
          <w:rPr>
            <w:noProof/>
            <w:webHidden/>
          </w:rPr>
          <w:fldChar w:fldCharType="separate"/>
        </w:r>
        <w:r w:rsidR="002C13E2">
          <w:rPr>
            <w:noProof/>
            <w:webHidden/>
          </w:rPr>
          <w:t>48</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70" w:history="1">
        <w:r w:rsidR="001B5556" w:rsidRPr="000935BF">
          <w:rPr>
            <w:rStyle w:val="Hyperlink"/>
            <w:noProof/>
          </w:rPr>
          <w:t>Figure 31. Lamp technology breakdown in the average residential house in New Zealand. Data from the EECA/IPSOS Lighting Report 2012 (survey).</w:t>
        </w:r>
        <w:r w:rsidR="001B5556">
          <w:rPr>
            <w:noProof/>
            <w:webHidden/>
          </w:rPr>
          <w:tab/>
        </w:r>
        <w:r w:rsidR="001B5556">
          <w:rPr>
            <w:noProof/>
            <w:webHidden/>
          </w:rPr>
          <w:fldChar w:fldCharType="begin"/>
        </w:r>
        <w:r w:rsidR="001B5556">
          <w:rPr>
            <w:noProof/>
            <w:webHidden/>
          </w:rPr>
          <w:instrText xml:space="preserve"> PAGEREF _Toc426387870 \h </w:instrText>
        </w:r>
        <w:r w:rsidR="001B5556">
          <w:rPr>
            <w:noProof/>
            <w:webHidden/>
          </w:rPr>
        </w:r>
        <w:r w:rsidR="001B5556">
          <w:rPr>
            <w:noProof/>
            <w:webHidden/>
          </w:rPr>
          <w:fldChar w:fldCharType="separate"/>
        </w:r>
        <w:r w:rsidR="002C13E2">
          <w:rPr>
            <w:noProof/>
            <w:webHidden/>
          </w:rPr>
          <w:t>49</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71" w:history="1">
        <w:r w:rsidR="001B5556" w:rsidRPr="000935BF">
          <w:rPr>
            <w:rStyle w:val="Hyperlink"/>
            <w:noProof/>
          </w:rPr>
          <w:t>Figure 32. Imports of lamps, from Statistics New Zealand import data.</w:t>
        </w:r>
        <w:r w:rsidR="001B5556">
          <w:rPr>
            <w:noProof/>
            <w:webHidden/>
          </w:rPr>
          <w:tab/>
        </w:r>
        <w:r w:rsidR="001B5556">
          <w:rPr>
            <w:noProof/>
            <w:webHidden/>
          </w:rPr>
          <w:fldChar w:fldCharType="begin"/>
        </w:r>
        <w:r w:rsidR="001B5556">
          <w:rPr>
            <w:noProof/>
            <w:webHidden/>
          </w:rPr>
          <w:instrText xml:space="preserve"> PAGEREF _Toc426387871 \h </w:instrText>
        </w:r>
        <w:r w:rsidR="001B5556">
          <w:rPr>
            <w:noProof/>
            <w:webHidden/>
          </w:rPr>
        </w:r>
        <w:r w:rsidR="001B5556">
          <w:rPr>
            <w:noProof/>
            <w:webHidden/>
          </w:rPr>
          <w:fldChar w:fldCharType="separate"/>
        </w:r>
        <w:r w:rsidR="002C13E2">
          <w:rPr>
            <w:noProof/>
            <w:webHidden/>
          </w:rPr>
          <w:t>50</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72" w:history="1">
        <w:r w:rsidR="001B5556" w:rsidRPr="000935BF">
          <w:rPr>
            <w:rStyle w:val="Hyperlink"/>
            <w:noProof/>
          </w:rPr>
          <w:t>Figure 33. Projected installed commercial lighting stock in New Zealand, 2010 to 2030 (E3 2015).</w:t>
        </w:r>
        <w:r w:rsidR="001B5556">
          <w:rPr>
            <w:noProof/>
            <w:webHidden/>
          </w:rPr>
          <w:tab/>
        </w:r>
        <w:r w:rsidR="001B5556">
          <w:rPr>
            <w:noProof/>
            <w:webHidden/>
          </w:rPr>
          <w:fldChar w:fldCharType="begin"/>
        </w:r>
        <w:r w:rsidR="001B5556">
          <w:rPr>
            <w:noProof/>
            <w:webHidden/>
          </w:rPr>
          <w:instrText xml:space="preserve"> PAGEREF _Toc426387872 \h </w:instrText>
        </w:r>
        <w:r w:rsidR="001B5556">
          <w:rPr>
            <w:noProof/>
            <w:webHidden/>
          </w:rPr>
        </w:r>
        <w:r w:rsidR="001B5556">
          <w:rPr>
            <w:noProof/>
            <w:webHidden/>
          </w:rPr>
          <w:fldChar w:fldCharType="separate"/>
        </w:r>
        <w:r w:rsidR="002C13E2">
          <w:rPr>
            <w:noProof/>
            <w:webHidden/>
          </w:rPr>
          <w:t>50</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73" w:history="1">
        <w:r w:rsidR="001B5556" w:rsidRPr="000935BF">
          <w:rPr>
            <w:rStyle w:val="Hyperlink"/>
            <w:noProof/>
          </w:rPr>
          <w:t>Figure 34 Typical efficacies of lamp technologies in residential, commercial and industrial applications.</w:t>
        </w:r>
        <w:r w:rsidR="001B5556">
          <w:rPr>
            <w:noProof/>
            <w:webHidden/>
          </w:rPr>
          <w:tab/>
        </w:r>
        <w:r w:rsidR="001B5556">
          <w:rPr>
            <w:noProof/>
            <w:webHidden/>
          </w:rPr>
          <w:fldChar w:fldCharType="begin"/>
        </w:r>
        <w:r w:rsidR="001B5556">
          <w:rPr>
            <w:noProof/>
            <w:webHidden/>
          </w:rPr>
          <w:instrText xml:space="preserve"> PAGEREF _Toc426387873 \h </w:instrText>
        </w:r>
        <w:r w:rsidR="001B5556">
          <w:rPr>
            <w:noProof/>
            <w:webHidden/>
          </w:rPr>
        </w:r>
        <w:r w:rsidR="001B5556">
          <w:rPr>
            <w:noProof/>
            <w:webHidden/>
          </w:rPr>
          <w:fldChar w:fldCharType="separate"/>
        </w:r>
        <w:r w:rsidR="002C13E2">
          <w:rPr>
            <w:noProof/>
            <w:webHidden/>
          </w:rPr>
          <w:t>51</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74" w:history="1">
        <w:r w:rsidR="001B5556" w:rsidRPr="000935BF">
          <w:rPr>
            <w:rStyle w:val="Hyperlink"/>
            <w:noProof/>
          </w:rPr>
          <w:t>Figure 35. Estimated Australian residential lighting energy consumption to 2030</w:t>
        </w:r>
        <w:r w:rsidR="001B5556">
          <w:rPr>
            <w:noProof/>
            <w:webHidden/>
          </w:rPr>
          <w:tab/>
        </w:r>
        <w:r w:rsidR="001B5556">
          <w:rPr>
            <w:noProof/>
            <w:webHidden/>
          </w:rPr>
          <w:fldChar w:fldCharType="begin"/>
        </w:r>
        <w:r w:rsidR="001B5556">
          <w:rPr>
            <w:noProof/>
            <w:webHidden/>
          </w:rPr>
          <w:instrText xml:space="preserve"> PAGEREF _Toc426387874 \h </w:instrText>
        </w:r>
        <w:r w:rsidR="001B5556">
          <w:rPr>
            <w:noProof/>
            <w:webHidden/>
          </w:rPr>
        </w:r>
        <w:r w:rsidR="001B5556">
          <w:rPr>
            <w:noProof/>
            <w:webHidden/>
          </w:rPr>
          <w:fldChar w:fldCharType="separate"/>
        </w:r>
        <w:r w:rsidR="002C13E2">
          <w:rPr>
            <w:noProof/>
            <w:webHidden/>
          </w:rPr>
          <w:t>52</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75" w:history="1">
        <w:r w:rsidR="001B5556" w:rsidRPr="000935BF">
          <w:rPr>
            <w:rStyle w:val="Hyperlink"/>
            <w:noProof/>
          </w:rPr>
          <w:t>Figure 36. Estimated Australian commercial lighting energy consumption to 2030.</w:t>
        </w:r>
        <w:r w:rsidR="001B5556">
          <w:rPr>
            <w:noProof/>
            <w:webHidden/>
          </w:rPr>
          <w:tab/>
        </w:r>
        <w:r w:rsidR="001B5556">
          <w:rPr>
            <w:noProof/>
            <w:webHidden/>
          </w:rPr>
          <w:fldChar w:fldCharType="begin"/>
        </w:r>
        <w:r w:rsidR="001B5556">
          <w:rPr>
            <w:noProof/>
            <w:webHidden/>
          </w:rPr>
          <w:instrText xml:space="preserve"> PAGEREF _Toc426387875 \h </w:instrText>
        </w:r>
        <w:r w:rsidR="001B5556">
          <w:rPr>
            <w:noProof/>
            <w:webHidden/>
          </w:rPr>
        </w:r>
        <w:r w:rsidR="001B5556">
          <w:rPr>
            <w:noProof/>
            <w:webHidden/>
          </w:rPr>
          <w:fldChar w:fldCharType="separate"/>
        </w:r>
        <w:r w:rsidR="002C13E2">
          <w:rPr>
            <w:noProof/>
            <w:webHidden/>
          </w:rPr>
          <w:t>52</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76" w:history="1">
        <w:r w:rsidR="001B5556" w:rsidRPr="000935BF">
          <w:rPr>
            <w:rStyle w:val="Hyperlink"/>
            <w:noProof/>
          </w:rPr>
          <w:t>Figure 37. Projected energy consumption by residential lighting sources in New Zealand, 2010 to 2030 (without intervention).</w:t>
        </w:r>
        <w:r w:rsidR="001B5556">
          <w:rPr>
            <w:noProof/>
            <w:webHidden/>
          </w:rPr>
          <w:tab/>
        </w:r>
        <w:r w:rsidR="001B5556">
          <w:rPr>
            <w:noProof/>
            <w:webHidden/>
          </w:rPr>
          <w:fldChar w:fldCharType="begin"/>
        </w:r>
        <w:r w:rsidR="001B5556">
          <w:rPr>
            <w:noProof/>
            <w:webHidden/>
          </w:rPr>
          <w:instrText xml:space="preserve"> PAGEREF _Toc426387876 \h </w:instrText>
        </w:r>
        <w:r w:rsidR="001B5556">
          <w:rPr>
            <w:noProof/>
            <w:webHidden/>
          </w:rPr>
        </w:r>
        <w:r w:rsidR="001B5556">
          <w:rPr>
            <w:noProof/>
            <w:webHidden/>
          </w:rPr>
          <w:fldChar w:fldCharType="separate"/>
        </w:r>
        <w:r w:rsidR="002C13E2">
          <w:rPr>
            <w:noProof/>
            <w:webHidden/>
          </w:rPr>
          <w:t>53</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77" w:history="1">
        <w:r w:rsidR="001B5556" w:rsidRPr="000935BF">
          <w:rPr>
            <w:rStyle w:val="Hyperlink"/>
            <w:noProof/>
          </w:rPr>
          <w:t>Figure 38. EU, IEA 4ESSL Tier 1 and 2, Energy Star 2016 (Draft) and AU/NZ bare CFL minimum efficacy requirements for Non-Directional Lamps.</w:t>
        </w:r>
        <w:r w:rsidR="001B5556">
          <w:rPr>
            <w:noProof/>
            <w:webHidden/>
          </w:rPr>
          <w:tab/>
        </w:r>
        <w:r w:rsidR="001B5556">
          <w:rPr>
            <w:noProof/>
            <w:webHidden/>
          </w:rPr>
          <w:fldChar w:fldCharType="begin"/>
        </w:r>
        <w:r w:rsidR="001B5556">
          <w:rPr>
            <w:noProof/>
            <w:webHidden/>
          </w:rPr>
          <w:instrText xml:space="preserve"> PAGEREF _Toc426387877 \h </w:instrText>
        </w:r>
        <w:r w:rsidR="001B5556">
          <w:rPr>
            <w:noProof/>
            <w:webHidden/>
          </w:rPr>
        </w:r>
        <w:r w:rsidR="001B5556">
          <w:rPr>
            <w:noProof/>
            <w:webHidden/>
          </w:rPr>
          <w:fldChar w:fldCharType="separate"/>
        </w:r>
        <w:r w:rsidR="002C13E2">
          <w:rPr>
            <w:noProof/>
            <w:webHidden/>
          </w:rPr>
          <w:t>72</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78" w:history="1">
        <w:r w:rsidR="001B5556" w:rsidRPr="000935BF">
          <w:rPr>
            <w:rStyle w:val="Hyperlink"/>
            <w:noProof/>
          </w:rPr>
          <w:t>Figure 39. EU, IEA 4ESSL Tier 1 and 2, Energy Star 2016 (Draft) and AU/NZ reflector CFL minimum efficacy requirements for Directional Lamps. Note that EU MEPS 2016 for directional lamps currently under review.</w:t>
        </w:r>
        <w:r w:rsidR="001B5556">
          <w:rPr>
            <w:noProof/>
            <w:webHidden/>
          </w:rPr>
          <w:tab/>
        </w:r>
        <w:r w:rsidR="001B5556">
          <w:rPr>
            <w:noProof/>
            <w:webHidden/>
          </w:rPr>
          <w:fldChar w:fldCharType="begin"/>
        </w:r>
        <w:r w:rsidR="001B5556">
          <w:rPr>
            <w:noProof/>
            <w:webHidden/>
          </w:rPr>
          <w:instrText xml:space="preserve"> PAGEREF _Toc426387878 \h </w:instrText>
        </w:r>
        <w:r w:rsidR="001B5556">
          <w:rPr>
            <w:noProof/>
            <w:webHidden/>
          </w:rPr>
        </w:r>
        <w:r w:rsidR="001B5556">
          <w:rPr>
            <w:noProof/>
            <w:webHidden/>
          </w:rPr>
          <w:fldChar w:fldCharType="separate"/>
        </w:r>
        <w:r w:rsidR="002C13E2">
          <w:rPr>
            <w:noProof/>
            <w:webHidden/>
          </w:rPr>
          <w:t>73</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79" w:history="1">
        <w:r w:rsidR="001B5556" w:rsidRPr="000935BF">
          <w:rPr>
            <w:rStyle w:val="Hyperlink"/>
            <w:noProof/>
          </w:rPr>
          <w:t>Figure 40. Tested Efficacy of Non-directional LED Lamps (USA, EU, Australia, New Zealand).</w:t>
        </w:r>
        <w:r w:rsidR="001B5556">
          <w:rPr>
            <w:noProof/>
            <w:webHidden/>
          </w:rPr>
          <w:tab/>
        </w:r>
        <w:r w:rsidR="001B5556">
          <w:rPr>
            <w:noProof/>
            <w:webHidden/>
          </w:rPr>
          <w:fldChar w:fldCharType="begin"/>
        </w:r>
        <w:r w:rsidR="001B5556">
          <w:rPr>
            <w:noProof/>
            <w:webHidden/>
          </w:rPr>
          <w:instrText xml:space="preserve"> PAGEREF _Toc426387879 \h </w:instrText>
        </w:r>
        <w:r w:rsidR="001B5556">
          <w:rPr>
            <w:noProof/>
            <w:webHidden/>
          </w:rPr>
        </w:r>
        <w:r w:rsidR="001B5556">
          <w:rPr>
            <w:noProof/>
            <w:webHidden/>
          </w:rPr>
          <w:fldChar w:fldCharType="separate"/>
        </w:r>
        <w:r w:rsidR="002C13E2">
          <w:rPr>
            <w:noProof/>
            <w:webHidden/>
          </w:rPr>
          <w:t>74</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80" w:history="1">
        <w:r w:rsidR="001B5556" w:rsidRPr="000935BF">
          <w:rPr>
            <w:rStyle w:val="Hyperlink"/>
            <w:noProof/>
          </w:rPr>
          <w:t>Figure 41.Efficacy levels of directional LED lamps with face diameter up to 63.5 mm (20/8”), across six international testing programs.</w:t>
        </w:r>
        <w:r w:rsidR="001B5556">
          <w:rPr>
            <w:noProof/>
            <w:webHidden/>
          </w:rPr>
          <w:tab/>
        </w:r>
        <w:r w:rsidR="001B5556">
          <w:rPr>
            <w:noProof/>
            <w:webHidden/>
          </w:rPr>
          <w:fldChar w:fldCharType="begin"/>
        </w:r>
        <w:r w:rsidR="001B5556">
          <w:rPr>
            <w:noProof/>
            <w:webHidden/>
          </w:rPr>
          <w:instrText xml:space="preserve"> PAGEREF _Toc426387880 \h </w:instrText>
        </w:r>
        <w:r w:rsidR="001B5556">
          <w:rPr>
            <w:noProof/>
            <w:webHidden/>
          </w:rPr>
        </w:r>
        <w:r w:rsidR="001B5556">
          <w:rPr>
            <w:noProof/>
            <w:webHidden/>
          </w:rPr>
          <w:fldChar w:fldCharType="separate"/>
        </w:r>
        <w:r w:rsidR="002C13E2">
          <w:rPr>
            <w:noProof/>
            <w:webHidden/>
          </w:rPr>
          <w:t>75</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81" w:history="1">
        <w:r w:rsidR="001B5556" w:rsidRPr="000935BF">
          <w:rPr>
            <w:rStyle w:val="Hyperlink"/>
            <w:noProof/>
          </w:rPr>
          <w:t>Figure 42.Efficacy levels of directional LED lamps with face diameter greater than 63.5 mm (20/8”), across five international testing programs.</w:t>
        </w:r>
        <w:r w:rsidR="001B5556">
          <w:rPr>
            <w:noProof/>
            <w:webHidden/>
          </w:rPr>
          <w:tab/>
        </w:r>
        <w:r w:rsidR="001B5556">
          <w:rPr>
            <w:noProof/>
            <w:webHidden/>
          </w:rPr>
          <w:fldChar w:fldCharType="begin"/>
        </w:r>
        <w:r w:rsidR="001B5556">
          <w:rPr>
            <w:noProof/>
            <w:webHidden/>
          </w:rPr>
          <w:instrText xml:space="preserve"> PAGEREF _Toc426387881 \h </w:instrText>
        </w:r>
        <w:r w:rsidR="001B5556">
          <w:rPr>
            <w:noProof/>
            <w:webHidden/>
          </w:rPr>
        </w:r>
        <w:r w:rsidR="001B5556">
          <w:rPr>
            <w:noProof/>
            <w:webHidden/>
          </w:rPr>
          <w:fldChar w:fldCharType="separate"/>
        </w:r>
        <w:r w:rsidR="002C13E2">
          <w:rPr>
            <w:noProof/>
            <w:webHidden/>
          </w:rPr>
          <w:t>76</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82" w:history="1">
        <w:r w:rsidR="001B5556" w:rsidRPr="000935BF">
          <w:rPr>
            <w:rStyle w:val="Hyperlink"/>
            <w:noProof/>
          </w:rPr>
          <w:t>Figure 43. Percentage of non-directional LED lamps which are passing the different standards from 2009 to 2014.</w:t>
        </w:r>
        <w:r w:rsidR="001B5556">
          <w:rPr>
            <w:noProof/>
            <w:webHidden/>
          </w:rPr>
          <w:tab/>
        </w:r>
        <w:r w:rsidR="001B5556">
          <w:rPr>
            <w:noProof/>
            <w:webHidden/>
          </w:rPr>
          <w:fldChar w:fldCharType="begin"/>
        </w:r>
        <w:r w:rsidR="001B5556">
          <w:rPr>
            <w:noProof/>
            <w:webHidden/>
          </w:rPr>
          <w:instrText xml:space="preserve"> PAGEREF _Toc426387882 \h </w:instrText>
        </w:r>
        <w:r w:rsidR="001B5556">
          <w:rPr>
            <w:noProof/>
            <w:webHidden/>
          </w:rPr>
        </w:r>
        <w:r w:rsidR="001B5556">
          <w:rPr>
            <w:noProof/>
            <w:webHidden/>
          </w:rPr>
          <w:fldChar w:fldCharType="separate"/>
        </w:r>
        <w:r w:rsidR="002C13E2">
          <w:rPr>
            <w:noProof/>
            <w:webHidden/>
          </w:rPr>
          <w:t>77</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83" w:history="1">
        <w:r w:rsidR="001B5556" w:rsidRPr="000935BF">
          <w:rPr>
            <w:rStyle w:val="Hyperlink"/>
            <w:noProof/>
          </w:rPr>
          <w:t xml:space="preserve">Figure 44. Percentage </w:t>
        </w:r>
        <w:r w:rsidR="001B5556" w:rsidRPr="000935BF">
          <w:rPr>
            <w:rStyle w:val="Hyperlink"/>
            <w:noProof/>
            <w:lang w:val="en-US"/>
          </w:rPr>
          <w:t>of directional ≤ 63.5mm (left) and &gt; 63.5mm (right) LED lamps(2009-2014) that would pass IEA 4E-SSL, EU and AU/NZ CFL standards.</w:t>
        </w:r>
        <w:r w:rsidR="001B5556">
          <w:rPr>
            <w:noProof/>
            <w:webHidden/>
          </w:rPr>
          <w:tab/>
        </w:r>
        <w:r w:rsidR="001B5556">
          <w:rPr>
            <w:noProof/>
            <w:webHidden/>
          </w:rPr>
          <w:fldChar w:fldCharType="begin"/>
        </w:r>
        <w:r w:rsidR="001B5556">
          <w:rPr>
            <w:noProof/>
            <w:webHidden/>
          </w:rPr>
          <w:instrText xml:space="preserve"> PAGEREF _Toc426387883 \h </w:instrText>
        </w:r>
        <w:r w:rsidR="001B5556">
          <w:rPr>
            <w:noProof/>
            <w:webHidden/>
          </w:rPr>
        </w:r>
        <w:r w:rsidR="001B5556">
          <w:rPr>
            <w:noProof/>
            <w:webHidden/>
          </w:rPr>
          <w:fldChar w:fldCharType="separate"/>
        </w:r>
        <w:r w:rsidR="002C13E2">
          <w:rPr>
            <w:noProof/>
            <w:webHidden/>
          </w:rPr>
          <w:t>78</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84" w:history="1">
        <w:r w:rsidR="001B5556" w:rsidRPr="000935BF">
          <w:rPr>
            <w:rStyle w:val="Hyperlink"/>
            <w:noProof/>
          </w:rPr>
          <w:t>Figure 45. Efficacy levels of omnidirectional LED lamps purchased in Australia and New Zealand between 2010 and 2014.</w:t>
        </w:r>
        <w:r w:rsidR="001B5556">
          <w:rPr>
            <w:noProof/>
            <w:webHidden/>
          </w:rPr>
          <w:tab/>
        </w:r>
        <w:r w:rsidR="001B5556">
          <w:rPr>
            <w:noProof/>
            <w:webHidden/>
          </w:rPr>
          <w:fldChar w:fldCharType="begin"/>
        </w:r>
        <w:r w:rsidR="001B5556">
          <w:rPr>
            <w:noProof/>
            <w:webHidden/>
          </w:rPr>
          <w:instrText xml:space="preserve"> PAGEREF _Toc426387884 \h </w:instrText>
        </w:r>
        <w:r w:rsidR="001B5556">
          <w:rPr>
            <w:noProof/>
            <w:webHidden/>
          </w:rPr>
        </w:r>
        <w:r w:rsidR="001B5556">
          <w:rPr>
            <w:noProof/>
            <w:webHidden/>
          </w:rPr>
          <w:fldChar w:fldCharType="separate"/>
        </w:r>
        <w:r w:rsidR="002C13E2">
          <w:rPr>
            <w:noProof/>
            <w:webHidden/>
          </w:rPr>
          <w:t>78</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85" w:history="1">
        <w:r w:rsidR="001B5556" w:rsidRPr="000935BF">
          <w:rPr>
            <w:rStyle w:val="Hyperlink"/>
            <w:noProof/>
          </w:rPr>
          <w:t>Figure 46.Efficacy levels of directional LED lamps purchased in Australia and New Zealand between 2009 and 2014.</w:t>
        </w:r>
        <w:r w:rsidR="001B5556">
          <w:rPr>
            <w:noProof/>
            <w:webHidden/>
          </w:rPr>
          <w:tab/>
        </w:r>
        <w:r w:rsidR="001B5556">
          <w:rPr>
            <w:noProof/>
            <w:webHidden/>
          </w:rPr>
          <w:fldChar w:fldCharType="begin"/>
        </w:r>
        <w:r w:rsidR="001B5556">
          <w:rPr>
            <w:noProof/>
            <w:webHidden/>
          </w:rPr>
          <w:instrText xml:space="preserve"> PAGEREF _Toc426387885 \h </w:instrText>
        </w:r>
        <w:r w:rsidR="001B5556">
          <w:rPr>
            <w:noProof/>
            <w:webHidden/>
          </w:rPr>
        </w:r>
        <w:r w:rsidR="001B5556">
          <w:rPr>
            <w:noProof/>
            <w:webHidden/>
          </w:rPr>
          <w:fldChar w:fldCharType="separate"/>
        </w:r>
        <w:r w:rsidR="002C13E2">
          <w:rPr>
            <w:noProof/>
            <w:webHidden/>
          </w:rPr>
          <w:t>79</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86" w:history="1">
        <w:r w:rsidR="001B5556" w:rsidRPr="000935BF">
          <w:rPr>
            <w:rStyle w:val="Hyperlink"/>
            <w:noProof/>
          </w:rPr>
          <w:t>Figure 47.Energy savings to be achieved through changeover of all linear fluorescent lamps to LED lamp technology.</w:t>
        </w:r>
        <w:r w:rsidR="001B5556">
          <w:rPr>
            <w:noProof/>
            <w:webHidden/>
          </w:rPr>
          <w:tab/>
        </w:r>
        <w:r w:rsidR="001B5556">
          <w:rPr>
            <w:noProof/>
            <w:webHidden/>
          </w:rPr>
          <w:fldChar w:fldCharType="begin"/>
        </w:r>
        <w:r w:rsidR="001B5556">
          <w:rPr>
            <w:noProof/>
            <w:webHidden/>
          </w:rPr>
          <w:instrText xml:space="preserve"> PAGEREF _Toc426387886 \h </w:instrText>
        </w:r>
        <w:r w:rsidR="001B5556">
          <w:rPr>
            <w:noProof/>
            <w:webHidden/>
          </w:rPr>
        </w:r>
        <w:r w:rsidR="001B5556">
          <w:rPr>
            <w:noProof/>
            <w:webHidden/>
          </w:rPr>
          <w:fldChar w:fldCharType="separate"/>
        </w:r>
        <w:r w:rsidR="002C13E2">
          <w:rPr>
            <w:noProof/>
            <w:webHidden/>
          </w:rPr>
          <w:t>96</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87" w:history="1">
        <w:r w:rsidR="001B5556" w:rsidRPr="000935BF">
          <w:rPr>
            <w:rStyle w:val="Hyperlink"/>
            <w:noProof/>
          </w:rPr>
          <w:t>Figure 48. Hypothetical lamp technology breakdown in a residential house where 75 % of lamps are LED lamps (circle left), further breakdown of LED lamp types provided (circle right).</w:t>
        </w:r>
        <w:r w:rsidR="001B5556">
          <w:rPr>
            <w:noProof/>
            <w:webHidden/>
          </w:rPr>
          <w:tab/>
        </w:r>
        <w:r w:rsidR="001B5556">
          <w:rPr>
            <w:noProof/>
            <w:webHidden/>
          </w:rPr>
          <w:fldChar w:fldCharType="begin"/>
        </w:r>
        <w:r w:rsidR="001B5556">
          <w:rPr>
            <w:noProof/>
            <w:webHidden/>
          </w:rPr>
          <w:instrText xml:space="preserve"> PAGEREF _Toc426387887 \h </w:instrText>
        </w:r>
        <w:r w:rsidR="001B5556">
          <w:rPr>
            <w:noProof/>
            <w:webHidden/>
          </w:rPr>
        </w:r>
        <w:r w:rsidR="001B5556">
          <w:rPr>
            <w:noProof/>
            <w:webHidden/>
          </w:rPr>
          <w:fldChar w:fldCharType="separate"/>
        </w:r>
        <w:r w:rsidR="002C13E2">
          <w:rPr>
            <w:noProof/>
            <w:webHidden/>
          </w:rPr>
          <w:t>96</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88" w:history="1">
        <w:r w:rsidR="001B5556" w:rsidRPr="000935BF">
          <w:rPr>
            <w:rStyle w:val="Hyperlink"/>
            <w:noProof/>
          </w:rPr>
          <w:t>Figure 49. CIE 1931 x, y chromaticity space, showing the chromaticities of black-body radiating light sources of various temperatures (called the Planckian locus), and lines of constant correlated colour temperature (Tc).</w:t>
        </w:r>
        <w:r w:rsidR="001B5556">
          <w:rPr>
            <w:noProof/>
            <w:webHidden/>
          </w:rPr>
          <w:tab/>
        </w:r>
        <w:r w:rsidR="001B5556">
          <w:rPr>
            <w:noProof/>
            <w:webHidden/>
          </w:rPr>
          <w:fldChar w:fldCharType="begin"/>
        </w:r>
        <w:r w:rsidR="001B5556">
          <w:rPr>
            <w:noProof/>
            <w:webHidden/>
          </w:rPr>
          <w:instrText xml:space="preserve"> PAGEREF _Toc426387888 \h </w:instrText>
        </w:r>
        <w:r w:rsidR="001B5556">
          <w:rPr>
            <w:noProof/>
            <w:webHidden/>
          </w:rPr>
        </w:r>
        <w:r w:rsidR="001B5556">
          <w:rPr>
            <w:noProof/>
            <w:webHidden/>
          </w:rPr>
          <w:fldChar w:fldCharType="separate"/>
        </w:r>
        <w:r w:rsidR="002C13E2">
          <w:rPr>
            <w:noProof/>
            <w:webHidden/>
          </w:rPr>
          <w:t>101</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89" w:history="1">
        <w:r w:rsidR="001B5556" w:rsidRPr="000935BF">
          <w:rPr>
            <w:rStyle w:val="Hyperlink"/>
            <w:noProof/>
          </w:rPr>
          <w:t>Figure 50. Chromaticity of LED lamps tested by Australian Government 2009-2014.</w:t>
        </w:r>
        <w:r w:rsidR="001B5556">
          <w:rPr>
            <w:noProof/>
            <w:webHidden/>
          </w:rPr>
          <w:tab/>
        </w:r>
        <w:r w:rsidR="001B5556">
          <w:rPr>
            <w:noProof/>
            <w:webHidden/>
          </w:rPr>
          <w:fldChar w:fldCharType="begin"/>
        </w:r>
        <w:r w:rsidR="001B5556">
          <w:rPr>
            <w:noProof/>
            <w:webHidden/>
          </w:rPr>
          <w:instrText xml:space="preserve"> PAGEREF _Toc426387889 \h </w:instrText>
        </w:r>
        <w:r w:rsidR="001B5556">
          <w:rPr>
            <w:noProof/>
            <w:webHidden/>
          </w:rPr>
        </w:r>
        <w:r w:rsidR="001B5556">
          <w:rPr>
            <w:noProof/>
            <w:webHidden/>
          </w:rPr>
          <w:fldChar w:fldCharType="separate"/>
        </w:r>
        <w:r w:rsidR="002C13E2">
          <w:rPr>
            <w:noProof/>
            <w:webHidden/>
          </w:rPr>
          <w:t>102</w:t>
        </w:r>
        <w:r w:rsidR="001B5556">
          <w:rPr>
            <w:noProof/>
            <w:webHidden/>
          </w:rPr>
          <w:fldChar w:fldCharType="end"/>
        </w:r>
      </w:hyperlink>
    </w:p>
    <w:p w:rsidR="001B5556" w:rsidRDefault="007C2EFC">
      <w:pPr>
        <w:pStyle w:val="TableofFigures"/>
        <w:tabs>
          <w:tab w:val="right" w:leader="dot" w:pos="9629"/>
        </w:tabs>
        <w:rPr>
          <w:rFonts w:asciiTheme="minorHAnsi" w:eastAsiaTheme="minorEastAsia" w:hAnsiTheme="minorHAnsi" w:cstheme="minorBidi"/>
          <w:noProof/>
          <w:sz w:val="22"/>
          <w:szCs w:val="22"/>
          <w:lang w:eastAsia="en-AU"/>
        </w:rPr>
      </w:pPr>
      <w:hyperlink w:anchor="_Toc426387890" w:history="1">
        <w:r w:rsidR="001B5556" w:rsidRPr="000935BF">
          <w:rPr>
            <w:rStyle w:val="Hyperlink"/>
            <w:noProof/>
          </w:rPr>
          <w:t>Figure 51 ANSI Chromacity Specification of SSL products on the CIE 1931 (x,y) Chromacity Diagram by colour temperature</w:t>
        </w:r>
        <w:r w:rsidR="001B5556">
          <w:rPr>
            <w:noProof/>
            <w:webHidden/>
          </w:rPr>
          <w:tab/>
        </w:r>
        <w:r w:rsidR="001B5556">
          <w:rPr>
            <w:noProof/>
            <w:webHidden/>
          </w:rPr>
          <w:fldChar w:fldCharType="begin"/>
        </w:r>
        <w:r w:rsidR="001B5556">
          <w:rPr>
            <w:noProof/>
            <w:webHidden/>
          </w:rPr>
          <w:instrText xml:space="preserve"> PAGEREF _Toc426387890 \h </w:instrText>
        </w:r>
        <w:r w:rsidR="001B5556">
          <w:rPr>
            <w:noProof/>
            <w:webHidden/>
          </w:rPr>
        </w:r>
        <w:r w:rsidR="001B5556">
          <w:rPr>
            <w:noProof/>
            <w:webHidden/>
          </w:rPr>
          <w:fldChar w:fldCharType="separate"/>
        </w:r>
        <w:r w:rsidR="002C13E2">
          <w:rPr>
            <w:noProof/>
            <w:webHidden/>
          </w:rPr>
          <w:t>103</w:t>
        </w:r>
        <w:r w:rsidR="001B5556">
          <w:rPr>
            <w:noProof/>
            <w:webHidden/>
          </w:rPr>
          <w:fldChar w:fldCharType="end"/>
        </w:r>
      </w:hyperlink>
    </w:p>
    <w:p w:rsidR="00A37E0E" w:rsidRPr="003107D2" w:rsidRDefault="00B525E0" w:rsidP="00E2108A">
      <w:pPr>
        <w:ind w:left="1134" w:hanging="850"/>
      </w:pPr>
      <w:r>
        <w:fldChar w:fldCharType="end"/>
      </w:r>
    </w:p>
    <w:p w:rsidR="00A37E0E" w:rsidRPr="003107D2" w:rsidRDefault="00A37E0E" w:rsidP="007C5E9F">
      <w:pPr>
        <w:ind w:left="360"/>
      </w:pPr>
    </w:p>
    <w:p w:rsidR="00A37E0E" w:rsidRPr="003107D2" w:rsidRDefault="00A37E0E" w:rsidP="007C5E9F">
      <w:pPr>
        <w:ind w:left="360"/>
        <w:sectPr w:rsidR="00A37E0E" w:rsidRPr="003107D2" w:rsidSect="00262B5A">
          <w:footerReference w:type="first" r:id="rId20"/>
          <w:pgSz w:w="11907" w:h="16840" w:code="9"/>
          <w:pgMar w:top="1134" w:right="1134" w:bottom="1418" w:left="1134" w:header="142" w:footer="709" w:gutter="0"/>
          <w:pgNumType w:fmt="lowerRoman"/>
          <w:cols w:space="720"/>
          <w:titlePg/>
          <w:docGrid w:linePitch="360"/>
        </w:sectPr>
      </w:pPr>
    </w:p>
    <w:p w:rsidR="00BE5176" w:rsidRPr="00F0207D" w:rsidRDefault="00BE5176" w:rsidP="00F0207D">
      <w:pPr>
        <w:pStyle w:val="Heading1"/>
      </w:pPr>
      <w:bookmarkStart w:id="3" w:name="_Toc322873811"/>
      <w:bookmarkStart w:id="4" w:name="_Toc425178211"/>
      <w:bookmarkStart w:id="5" w:name="_Toc426387707"/>
      <w:r w:rsidRPr="00F0207D">
        <w:lastRenderedPageBreak/>
        <w:t>Executive summary</w:t>
      </w:r>
      <w:bookmarkEnd w:id="3"/>
      <w:bookmarkEnd w:id="4"/>
      <w:bookmarkEnd w:id="5"/>
    </w:p>
    <w:p w:rsidR="009B43DB" w:rsidRPr="003107D2" w:rsidRDefault="00AD3B67" w:rsidP="00BE5176">
      <w:pPr>
        <w:pStyle w:val="Heading2"/>
      </w:pPr>
      <w:bookmarkStart w:id="6" w:name="_Toc426387708"/>
      <w:r w:rsidRPr="003107D2">
        <w:t>Background</w:t>
      </w:r>
      <w:bookmarkEnd w:id="6"/>
    </w:p>
    <w:p w:rsidR="00441DAA" w:rsidRPr="00D70C2E" w:rsidRDefault="00F966C3" w:rsidP="00D70C2E">
      <w:pPr>
        <w:pStyle w:val="E3BodyText"/>
      </w:pPr>
      <w:bookmarkStart w:id="7" w:name="_Toc322873812"/>
      <w:r w:rsidRPr="00D70C2E">
        <w:t>This product profile reports on the current Light Emitting Diodes (LED) market and scope for energy efficiency and technological improvements.</w:t>
      </w:r>
      <w:r>
        <w:t xml:space="preserve"> </w:t>
      </w:r>
      <w:r w:rsidRPr="00D70C2E">
        <w:t>It</w:t>
      </w:r>
      <w:r>
        <w:t xml:space="preserve"> explores</w:t>
      </w:r>
      <w:r w:rsidRPr="00D70C2E">
        <w:t xml:space="preserve"> possible actions to encourage the uptake of energy efficient LED lighting, including the feasibility of developing Minimum Energy Performance Standards (MEPS) for LED lamps, under the Greenhouse and Energy Minimum Standards Act 2012 (GEMS) in Australia and the Energy Efficiency (Energy Using Products) Regulations (2002) in New Zealand.</w:t>
      </w:r>
    </w:p>
    <w:p w:rsidR="003912CE" w:rsidRDefault="007D182B" w:rsidP="00D70C2E">
      <w:pPr>
        <w:pStyle w:val="E3BodyText"/>
      </w:pPr>
      <w:r>
        <w:t>I</w:t>
      </w:r>
      <w:r w:rsidR="00D70C2E" w:rsidRPr="00D70C2E">
        <w:t xml:space="preserve">t is estimated that the phase-out of incandescent light bulbs </w:t>
      </w:r>
      <w:r>
        <w:t xml:space="preserve">in 2009 </w:t>
      </w:r>
      <w:r w:rsidR="0008724B">
        <w:t xml:space="preserve">in Australia </w:t>
      </w:r>
      <w:r w:rsidR="00D70C2E" w:rsidRPr="00D70C2E">
        <w:t xml:space="preserve">(along with state based energy efficiency obligations schemes) is </w:t>
      </w:r>
      <w:r>
        <w:t>saving</w:t>
      </w:r>
      <w:r w:rsidR="00D70C2E" w:rsidRPr="00D70C2E">
        <w:t xml:space="preserve"> around 2.6 terawatt-hours (TWh) of electricity each year.  This saving is equivalent to the total annual electricity consumption of 150,000 homes. The average household is estimated to be saving 300 kWh and $</w:t>
      </w:r>
      <w:r w:rsidR="001556E0">
        <w:t>75</w:t>
      </w:r>
      <w:r w:rsidR="00D70C2E" w:rsidRPr="00D70C2E">
        <w:t xml:space="preserve"> per annum</w:t>
      </w:r>
      <w:r w:rsidR="0096671D">
        <w:t xml:space="preserve"> </w:t>
      </w:r>
      <w:r w:rsidR="0096671D" w:rsidRPr="0096671D">
        <w:t>(may vary depending upon tariff)</w:t>
      </w:r>
      <w:r w:rsidR="00D70C2E" w:rsidRPr="00D70C2E">
        <w:t>.</w:t>
      </w:r>
      <w:r w:rsidR="003912CE" w:rsidRPr="00D70C2E">
        <w:t xml:space="preserve"> </w:t>
      </w:r>
      <w:r w:rsidR="00F966C3" w:rsidRPr="00D70C2E">
        <w:t>It is projected that a full transition to efficient lighting such as compact fluorescent lamps (CFLs) and light emitting diodes (LEDs)</w:t>
      </w:r>
      <w:r w:rsidR="00F966C3">
        <w:t xml:space="preserve"> </w:t>
      </w:r>
      <w:r w:rsidR="00F966C3" w:rsidRPr="00D70C2E">
        <w:t>could reduce residential lighting energy use in Australia by a further 65%</w:t>
      </w:r>
      <w:r w:rsidR="000644E1">
        <w:t>, which equates to an additional $180 saving per year</w:t>
      </w:r>
      <w:r w:rsidR="00F966C3" w:rsidRPr="00D70C2E">
        <w:t>.</w:t>
      </w:r>
      <w:r w:rsidR="00F966C3">
        <w:t xml:space="preserve"> </w:t>
      </w:r>
      <w:r w:rsidR="00F574DB">
        <w:t>Options for the further phase-out in Australia of incandescent and halogen lamps as LED and CFL replacements become available was discussed</w:t>
      </w:r>
      <w:r w:rsidR="009B3B7B">
        <w:t>, and stakeholder input sought,</w:t>
      </w:r>
      <w:r w:rsidR="00F574DB">
        <w:t xml:space="preserve"> in the Incandescent and CFL Product Profile released in November 2014 (E3 2014).</w:t>
      </w:r>
    </w:p>
    <w:p w:rsidR="0008724B" w:rsidRPr="00D70C2E" w:rsidRDefault="0008724B" w:rsidP="00D70C2E">
      <w:pPr>
        <w:pStyle w:val="E3BodyText"/>
      </w:pPr>
      <w:r w:rsidRPr="0008724B">
        <w:t>The New Zealand Government does not wish to limit consumer choice, and prefers to provide</w:t>
      </w:r>
      <w:r w:rsidR="00C557F4">
        <w:t xml:space="preserve"> energy efficiency information.</w:t>
      </w:r>
      <w:r w:rsidRPr="0008724B">
        <w:t xml:space="preserve"> For this reason incandescent lamps are likely to </w:t>
      </w:r>
      <w:r w:rsidR="00C557F4">
        <w:t>remain for sale in New Zealand.</w:t>
      </w:r>
      <w:r w:rsidRPr="0008724B">
        <w:t xml:space="preserve"> However MEPS is supported for products where there is a range of efficiencies and room for improvement, as with CFLs or potentially LEDs.</w:t>
      </w:r>
    </w:p>
    <w:p w:rsidR="00B6599A" w:rsidRPr="00D70C2E" w:rsidRDefault="0008724B" w:rsidP="00D70C2E">
      <w:pPr>
        <w:pStyle w:val="E3BodyText"/>
      </w:pPr>
      <w:r w:rsidRPr="0008724B">
        <w:t>Efficient LED lamps are widely available in Australia and New Zealand, but many consumers still use older inefficient lamps (mains voltage halogens in Australia and incandescent bulbs in New Zealand).</w:t>
      </w:r>
      <w:r w:rsidR="00C557F4">
        <w:t xml:space="preserve"> </w:t>
      </w:r>
      <w:r w:rsidR="00B6599A" w:rsidRPr="00D70C2E">
        <w:t>Monitoring of LED lighting in the market indicates that technology is developing rapidl</w:t>
      </w:r>
      <w:r w:rsidR="007D182B">
        <w:t>y with LED lighting having</w:t>
      </w:r>
      <w:r w:rsidR="00B6599A" w:rsidRPr="00D70C2E">
        <w:t xml:space="preserve"> the potential to broaden the range of energy efficient lighting options available to consumers. </w:t>
      </w:r>
      <w:r>
        <w:t xml:space="preserve">LED lamps are becoming more affordable as well. </w:t>
      </w:r>
      <w:r w:rsidR="00B6599A" w:rsidRPr="00D70C2E">
        <w:t>However evaluation of LED products currently available in the marketplace indicates a wide variation in quality and efficacy.</w:t>
      </w:r>
    </w:p>
    <w:p w:rsidR="00AD3B67" w:rsidRPr="00D70C2E" w:rsidRDefault="007D182B" w:rsidP="00D70C2E">
      <w:pPr>
        <w:pStyle w:val="E3BodyText"/>
      </w:pPr>
      <w:r w:rsidRPr="007D182B">
        <w:t>Due to these quality and efficacy variations</w:t>
      </w:r>
      <w:r>
        <w:t>,</w:t>
      </w:r>
      <w:r w:rsidR="00121BF8">
        <w:t xml:space="preserve"> </w:t>
      </w:r>
      <w:r>
        <w:t>t</w:t>
      </w:r>
      <w:r w:rsidR="00B6599A" w:rsidRPr="00D70C2E">
        <w:t xml:space="preserve">here is a concern that consumer experience of expensive, poor quality LEDs will impact upon their willingness to buy </w:t>
      </w:r>
      <w:r>
        <w:t>LED products</w:t>
      </w:r>
      <w:r w:rsidR="00B6599A" w:rsidRPr="00D70C2E">
        <w:t xml:space="preserve"> in the future. Negative consumer </w:t>
      </w:r>
      <w:r>
        <w:t>experience is likely to</w:t>
      </w:r>
      <w:r w:rsidR="00B6599A" w:rsidRPr="00D70C2E">
        <w:t xml:space="preserve"> reduce uptake and the energy savings that could be gained from adoption of this new technology as a replacement for inefficient lighting.</w:t>
      </w:r>
      <w:r w:rsidR="00121BF8">
        <w:t xml:space="preserve"> </w:t>
      </w:r>
      <w:r w:rsidR="0008724B" w:rsidRPr="0008724B">
        <w:t>An LED MEPS has the potential to improve performance and consumer confidence, which could lead to greater uptake</w:t>
      </w:r>
      <w:r w:rsidR="00121BF8">
        <w:t xml:space="preserve">. </w:t>
      </w:r>
      <w:r w:rsidR="00121BF8" w:rsidRPr="00121BF8">
        <w:t xml:space="preserve">An LED MEPS </w:t>
      </w:r>
      <w:r w:rsidR="00121BF8">
        <w:t>could</w:t>
      </w:r>
      <w:r w:rsidR="00121BF8" w:rsidRPr="00121BF8">
        <w:t xml:space="preserve"> also increase the overall energy savings achieved by the transition to LEDs through removing less efficient LEDs from the market.</w:t>
      </w:r>
    </w:p>
    <w:p w:rsidR="00AD3B67" w:rsidRPr="00D70C2E" w:rsidRDefault="00241580" w:rsidP="00D70C2E">
      <w:pPr>
        <w:pStyle w:val="E3BodyText"/>
      </w:pPr>
      <w:r w:rsidRPr="00D70C2E">
        <w:t>The scope of this product profile is LED lighting,</w:t>
      </w:r>
      <w:r w:rsidR="007D182B">
        <w:t xml:space="preserve"> including </w:t>
      </w:r>
      <w:r w:rsidR="0008724B">
        <w:t xml:space="preserve">household </w:t>
      </w:r>
      <w:r w:rsidR="007D182B">
        <w:t xml:space="preserve">lamps and </w:t>
      </w:r>
      <w:r w:rsidR="0008724B">
        <w:t xml:space="preserve">commercial </w:t>
      </w:r>
      <w:r w:rsidR="007D182B">
        <w:t>luminaire</w:t>
      </w:r>
      <w:r w:rsidR="0008724B">
        <w:t>s</w:t>
      </w:r>
      <w:r w:rsidRPr="00D70C2E">
        <w:t>, in Australia and New Zealand. This includes those of a non-standard form and those intended to replace standard general service incandescent, decorative</w:t>
      </w:r>
      <w:r w:rsidR="0070451C" w:rsidRPr="00D70C2E">
        <w:t>,</w:t>
      </w:r>
      <w:r w:rsidRPr="00D70C2E">
        <w:t xml:space="preserve"> reflector </w:t>
      </w:r>
      <w:r w:rsidR="0070451C" w:rsidRPr="00D70C2E">
        <w:t>and linear fluorescent lamps</w:t>
      </w:r>
      <w:r w:rsidRPr="00D70C2E">
        <w:t>.</w:t>
      </w:r>
    </w:p>
    <w:p w:rsidR="00AD3B67" w:rsidRPr="003107D2" w:rsidRDefault="00AD3B67" w:rsidP="00DB0112">
      <w:pPr>
        <w:pStyle w:val="Heading2"/>
      </w:pPr>
      <w:bookmarkStart w:id="8" w:name="_Toc366162116"/>
      <w:bookmarkStart w:id="9" w:name="_Toc426387709"/>
      <w:r w:rsidRPr="003107D2">
        <w:t xml:space="preserve">The </w:t>
      </w:r>
      <w:r w:rsidR="007B582E">
        <w:t>LED</w:t>
      </w:r>
      <w:r w:rsidRPr="003107D2">
        <w:t xml:space="preserve"> lighting market</w:t>
      </w:r>
      <w:bookmarkEnd w:id="8"/>
      <w:bookmarkEnd w:id="9"/>
    </w:p>
    <w:p w:rsidR="00AD3B67" w:rsidRDefault="008120D0" w:rsidP="00D70C2E">
      <w:pPr>
        <w:pStyle w:val="E3BodyText"/>
      </w:pPr>
      <w:r>
        <w:t>LED lighting is largely</w:t>
      </w:r>
      <w:r w:rsidR="00AD3B67" w:rsidRPr="00D70C2E">
        <w:t xml:space="preserve"> manufactured outside Australia and New Zealand. </w:t>
      </w:r>
      <w:r w:rsidR="00F966C3">
        <w:t>A brief market survey found over 50 LED lamp brands</w:t>
      </w:r>
      <w:r w:rsidR="00F966C3" w:rsidRPr="00D70C2E">
        <w:t>.</w:t>
      </w:r>
      <w:r w:rsidR="00F966C3">
        <w:t xml:space="preserve"> </w:t>
      </w:r>
      <w:r w:rsidR="00F966C3">
        <w:rPr>
          <w:lang w:eastAsia="en-AU"/>
        </w:rPr>
        <w:t xml:space="preserve">Products are sold in a </w:t>
      </w:r>
      <w:r w:rsidR="00F966C3" w:rsidRPr="008120D0">
        <w:t xml:space="preserve">range </w:t>
      </w:r>
      <w:r w:rsidR="00F966C3">
        <w:t>of outlets including</w:t>
      </w:r>
      <w:r w:rsidR="00F966C3" w:rsidRPr="008120D0">
        <w:t xml:space="preserve"> “Big-box” hardware store</w:t>
      </w:r>
      <w:r w:rsidR="00F966C3">
        <w:t>s</w:t>
      </w:r>
      <w:r w:rsidR="00F966C3" w:rsidRPr="008120D0">
        <w:t xml:space="preserve">, </w:t>
      </w:r>
      <w:r w:rsidR="00F966C3">
        <w:t xml:space="preserve">supermarkets, </w:t>
      </w:r>
      <w:r w:rsidR="00F966C3" w:rsidRPr="008120D0">
        <w:t>general lighting retail, specialist lighting stores, and electrical retail suppliers, (all of which have on</w:t>
      </w:r>
      <w:r w:rsidR="00F966C3">
        <w:t xml:space="preserve">line options for purchasing). </w:t>
      </w:r>
      <w:r w:rsidR="007D182B">
        <w:t>In</w:t>
      </w:r>
      <w:r w:rsidRPr="008120D0">
        <w:t xml:space="preserve"> addition, online-only lighting retailers and direct manufacturer/suppliers were also identified.</w:t>
      </w:r>
    </w:p>
    <w:p w:rsidR="008120D0" w:rsidRDefault="008120D0" w:rsidP="00D70C2E">
      <w:pPr>
        <w:pStyle w:val="E3BodyText"/>
      </w:pPr>
      <w:r>
        <w:lastRenderedPageBreak/>
        <w:t xml:space="preserve">While the 2010 intrusive lighting survey showed limited household use of LED lighting, more recent data in the </w:t>
      </w:r>
      <w:r w:rsidRPr="008120D0">
        <w:t>Queensland Household Energy Survey 2014 (Colmar Brunton 2014) found that between 2010 and 2014</w:t>
      </w:r>
      <w:r>
        <w:t>,</w:t>
      </w:r>
      <w:r w:rsidRPr="008120D0">
        <w:t xml:space="preserve"> ownership of LED lighting </w:t>
      </w:r>
      <w:r>
        <w:t xml:space="preserve">increased </w:t>
      </w:r>
      <w:r w:rsidRPr="008120D0">
        <w:t>from 15% to 37% of households</w:t>
      </w:r>
      <w:r>
        <w:t>.</w:t>
      </w:r>
    </w:p>
    <w:p w:rsidR="008120D0" w:rsidRDefault="00F966C3" w:rsidP="00D70C2E">
      <w:pPr>
        <w:pStyle w:val="E3BodyText"/>
      </w:pPr>
      <w:r>
        <w:t xml:space="preserve">This product profile evaluates the quality and performance of LED lighting available in the market, referencing test results of a </w:t>
      </w:r>
      <w:r w:rsidRPr="008120D0">
        <w:t xml:space="preserve">range of LED lamps </w:t>
      </w:r>
      <w:r>
        <w:t>purchased</w:t>
      </w:r>
      <w:r w:rsidRPr="008120D0">
        <w:t xml:space="preserve"> by </w:t>
      </w:r>
      <w:r>
        <w:t>E3</w:t>
      </w:r>
      <w:r w:rsidRPr="008120D0">
        <w:t xml:space="preserve"> in 2010, 2012, 2013 and 2014</w:t>
      </w:r>
      <w:r>
        <w:t xml:space="preserve">, as well as overseas testing. </w:t>
      </w:r>
      <w:r w:rsidRPr="007D182B">
        <w:t>Based on these test results</w:t>
      </w:r>
      <w:r>
        <w:t>, the report identifies key quality and performance challenges for LED lighting including:</w:t>
      </w:r>
    </w:p>
    <w:p w:rsidR="003C7DCF" w:rsidRDefault="003C7DCF" w:rsidP="007D182B">
      <w:pPr>
        <w:pStyle w:val="E3Bullets"/>
      </w:pPr>
      <w:r>
        <w:t xml:space="preserve">Significant variations in lamp efficacy, with some LED products that would fail the current </w:t>
      </w:r>
      <w:r w:rsidR="007D182B" w:rsidRPr="007D182B">
        <w:t xml:space="preserve">minimum energy performance standard </w:t>
      </w:r>
      <w:r w:rsidR="007D182B">
        <w:t>(</w:t>
      </w:r>
      <w:r>
        <w:t>MEPS</w:t>
      </w:r>
      <w:r w:rsidR="007D182B">
        <w:t>)</w:t>
      </w:r>
      <w:r>
        <w:t xml:space="preserve"> for CFLs;</w:t>
      </w:r>
    </w:p>
    <w:p w:rsidR="003C7DCF" w:rsidRDefault="003C7DCF" w:rsidP="003C7DCF">
      <w:pPr>
        <w:pStyle w:val="E3Bullets"/>
      </w:pPr>
      <w:r>
        <w:t>S</w:t>
      </w:r>
      <w:r w:rsidRPr="003C7DCF">
        <w:t xml:space="preserve">ignificant variations from rated wattage with </w:t>
      </w:r>
      <w:r w:rsidR="004C056C">
        <w:t>differences</w:t>
      </w:r>
      <w:r w:rsidRPr="003C7DCF">
        <w:t xml:space="preserve"> of 20-50% in products tested</w:t>
      </w:r>
      <w:r>
        <w:t>;</w:t>
      </w:r>
    </w:p>
    <w:p w:rsidR="003C7DCF" w:rsidRDefault="00B600F3" w:rsidP="0096671D">
      <w:pPr>
        <w:pStyle w:val="E3Bullets"/>
      </w:pPr>
      <w:r>
        <w:t>Inaccurate l</w:t>
      </w:r>
      <w:r w:rsidR="003C7DCF">
        <w:t>amp equivalency claims</w:t>
      </w:r>
      <w:r>
        <w:t xml:space="preserve">, with testing showing that the </w:t>
      </w:r>
      <w:r w:rsidR="003C7DCF" w:rsidRPr="003C7DCF">
        <w:t xml:space="preserve">lumen output </w:t>
      </w:r>
      <w:r>
        <w:t xml:space="preserve">of some lamps were </w:t>
      </w:r>
      <w:r w:rsidR="003C7DCF" w:rsidRPr="003C7DCF">
        <w:t>close to half the rated value</w:t>
      </w:r>
      <w:r w:rsidR="0096671D">
        <w:t xml:space="preserve"> </w:t>
      </w:r>
      <w:r w:rsidR="0096671D" w:rsidRPr="0096671D">
        <w:t>declared by the manufacturer or supplier</w:t>
      </w:r>
      <w:r>
        <w:t>;</w:t>
      </w:r>
    </w:p>
    <w:p w:rsidR="00B600F3" w:rsidRDefault="00925FEE" w:rsidP="00925FEE">
      <w:pPr>
        <w:pStyle w:val="E3Bullets"/>
      </w:pPr>
      <w:r w:rsidRPr="00925FEE">
        <w:t xml:space="preserve">Some LED lamps purchased in 2014 still exceeded the allowable </w:t>
      </w:r>
      <w:r>
        <w:t xml:space="preserve">colour </w:t>
      </w:r>
      <w:r w:rsidRPr="00925FEE">
        <w:t>deviation</w:t>
      </w:r>
      <w:r>
        <w:t xml:space="preserve"> although </w:t>
      </w:r>
      <w:r w:rsidR="00B600F3">
        <w:t>chroma</w:t>
      </w:r>
      <w:r w:rsidR="003D4DF8">
        <w:t>ti</w:t>
      </w:r>
      <w:r w:rsidR="00B600F3">
        <w:t>city tolerance testing has shown that lamp co</w:t>
      </w:r>
      <w:r>
        <w:t>lour has improved significantly</w:t>
      </w:r>
      <w:r w:rsidR="00B600F3">
        <w:t>;</w:t>
      </w:r>
    </w:p>
    <w:p w:rsidR="00B600F3" w:rsidRDefault="00B600F3" w:rsidP="003C7DCF">
      <w:pPr>
        <w:pStyle w:val="E3Bullets"/>
      </w:pPr>
      <w:r>
        <w:t>Colour rendering issue</w:t>
      </w:r>
      <w:r w:rsidR="00925FEE">
        <w:t>s</w:t>
      </w:r>
      <w:r>
        <w:t xml:space="preserve">, with </w:t>
      </w:r>
      <w:r w:rsidRPr="00B600F3">
        <w:t xml:space="preserve">10 of the 18 products tested </w:t>
      </w:r>
      <w:r w:rsidR="00121BF8">
        <w:t xml:space="preserve">in 2014 </w:t>
      </w:r>
      <w:r>
        <w:t>found to have a CRI of below 80 (the level generally recommended for office and residential applications)</w:t>
      </w:r>
      <w:r w:rsidR="004C056C">
        <w:t xml:space="preserve">, while significant differences were also found between </w:t>
      </w:r>
      <w:r w:rsidR="004C056C" w:rsidRPr="004C056C">
        <w:t>tested and rated colour temperatures</w:t>
      </w:r>
      <w:r>
        <w:t>;</w:t>
      </w:r>
    </w:p>
    <w:p w:rsidR="00B600F3" w:rsidRDefault="00B600F3" w:rsidP="003C7DCF">
      <w:pPr>
        <w:pStyle w:val="E3Bullets"/>
      </w:pPr>
      <w:r>
        <w:t>Some lamps with a power factor below 0.5;</w:t>
      </w:r>
    </w:p>
    <w:p w:rsidR="00B600F3" w:rsidRDefault="004C056C" w:rsidP="003C7DCF">
      <w:pPr>
        <w:pStyle w:val="E3Bullets"/>
      </w:pPr>
      <w:r>
        <w:t xml:space="preserve">Challenges with lumen maintenance, with nearly half the products tested by the </w:t>
      </w:r>
      <w:r w:rsidRPr="004C056C">
        <w:t xml:space="preserve">US DOE </w:t>
      </w:r>
      <w:r w:rsidR="001643C2">
        <w:t xml:space="preserve">in 2014 </w:t>
      </w:r>
      <w:r>
        <w:t>predicted to have failed lumen maintenance requirements by their rated lifetime;</w:t>
      </w:r>
    </w:p>
    <w:p w:rsidR="004C056C" w:rsidRDefault="004C056C" w:rsidP="003C7DCF">
      <w:pPr>
        <w:pStyle w:val="E3Bullets"/>
      </w:pPr>
      <w:r>
        <w:t>Energy use impacts of ‘Smart’ lighting, with standby power use accounting for half or more of a lamp’s total annual energy use, resulting in LED lamps that consume more power than CFLs</w:t>
      </w:r>
      <w:r w:rsidR="001643C2">
        <w:t>,</w:t>
      </w:r>
      <w:r>
        <w:t xml:space="preserve"> and in some cases are closer to incandescent lamps in terms of efficacy.</w:t>
      </w:r>
    </w:p>
    <w:p w:rsidR="004C056C" w:rsidRPr="00D70C2E" w:rsidRDefault="004C056C" w:rsidP="004C056C">
      <w:pPr>
        <w:pStyle w:val="E3BodyText"/>
      </w:pPr>
      <w:r>
        <w:t>The report also assesses possible health impacts as a result of lamp flicker and blue light levels.</w:t>
      </w:r>
    </w:p>
    <w:p w:rsidR="00AD3B67" w:rsidRPr="003107D2" w:rsidRDefault="00AD3B67" w:rsidP="00DB0112">
      <w:pPr>
        <w:pStyle w:val="Heading2"/>
      </w:pPr>
      <w:bookmarkStart w:id="10" w:name="_Toc366162117"/>
      <w:bookmarkStart w:id="11" w:name="_Toc426387710"/>
      <w:r w:rsidRPr="003107D2">
        <w:t>Energy consumption</w:t>
      </w:r>
      <w:bookmarkEnd w:id="10"/>
      <w:bookmarkEnd w:id="11"/>
    </w:p>
    <w:p w:rsidR="003912CE" w:rsidRDefault="003912CE" w:rsidP="003912CE">
      <w:pPr>
        <w:pStyle w:val="E3BodyText"/>
      </w:pPr>
      <w:bookmarkStart w:id="12" w:name="_Toc366162118"/>
      <w:r>
        <w:t>Individual lamps do not consume large quantities of energy. However, the average Australian home has 48 lamps (E3 2013) and the average New Zealand home has 34.5 lamps (Ipsos 2012). When aggregated, lighting accounts for a significant proportion of the average household’s electricity use in Australia and New Zealand - typically around 12% (EES 2008; current EECA End Use Database (enduse.eeca.govt.nz))</w:t>
      </w:r>
      <w:r w:rsidR="0008724B">
        <w:rPr>
          <w:rStyle w:val="FootnoteReference"/>
        </w:rPr>
        <w:footnoteReference w:id="1"/>
      </w:r>
      <w:r>
        <w:t xml:space="preserve">. </w:t>
      </w:r>
    </w:p>
    <w:p w:rsidR="00441DAA" w:rsidRDefault="003912CE" w:rsidP="003912CE">
      <w:pPr>
        <w:pStyle w:val="E3BodyText"/>
      </w:pPr>
      <w:r>
        <w:t>MEPS and technology improvements have increased the efficiency of lamps in recent years with average households now using 27% (300 kWh p.a.) less energy to light their homes. However, significant numbers of consumers and businesses continue to be exposed to unnecessarily high lighting energy costs because their lamps and lighting systems are not as efficient as they could be.</w:t>
      </w:r>
    </w:p>
    <w:p w:rsidR="00441DAA" w:rsidRDefault="003912CE" w:rsidP="003912CE">
      <w:pPr>
        <w:pStyle w:val="E3BodyText"/>
      </w:pPr>
      <w:r w:rsidRPr="003912CE">
        <w:t xml:space="preserve">The Incandescent, Halogen and Compact Fluorescent Lamps Product Profile report </w:t>
      </w:r>
      <w:r>
        <w:t xml:space="preserve">(E3 2014) </w:t>
      </w:r>
      <w:r w:rsidR="0096671D" w:rsidRPr="0096671D">
        <w:t xml:space="preserve">released in November 2014 </w:t>
      </w:r>
      <w:r w:rsidRPr="003912CE">
        <w:t>identified further steps in making the transition to efficient lighting that could result in potential s</w:t>
      </w:r>
      <w:r w:rsidR="001643C2">
        <w:t>avings of up to approximately 1 </w:t>
      </w:r>
      <w:r w:rsidRPr="003912CE">
        <w:t>TWh (3.4 petajoules (PJ) p.a.) in New Zealand and 5.4 T</w:t>
      </w:r>
      <w:r w:rsidR="008120D0">
        <w:t xml:space="preserve">Wh (19.3 PJ p.a.) in Australia through </w:t>
      </w:r>
      <w:r w:rsidRPr="003912CE">
        <w:t>fully transitioning from incandescent and halogen lamps to CFLs and LEDs. Measures to remove barriers and encourage the uptake of efficient quality LED lighting will contribute to achieving these identified savings by ensuring minimum performance levels for LED lighting efficacy and quality and assisting consumers in selecting e</w:t>
      </w:r>
      <w:r w:rsidR="008120D0">
        <w:t>ffective and efficient product</w:t>
      </w:r>
      <w:r w:rsidR="00925FEE">
        <w:t>.</w:t>
      </w:r>
    </w:p>
    <w:p w:rsidR="00AD3B67" w:rsidRPr="003107D2" w:rsidRDefault="00AD3B67" w:rsidP="00DB0112">
      <w:pPr>
        <w:pStyle w:val="Heading2"/>
      </w:pPr>
      <w:bookmarkStart w:id="13" w:name="_Toc426387711"/>
      <w:r w:rsidRPr="003107D2">
        <w:t>International programs</w:t>
      </w:r>
      <w:bookmarkEnd w:id="12"/>
      <w:bookmarkEnd w:id="13"/>
    </w:p>
    <w:p w:rsidR="00B601C9" w:rsidRPr="00EC6FB8" w:rsidRDefault="00EC6FB8" w:rsidP="00B601C9">
      <w:pPr>
        <w:pStyle w:val="E3BodyText"/>
      </w:pPr>
      <w:bookmarkStart w:id="14" w:name="_Toc366162119"/>
      <w:r w:rsidRPr="00B601C9">
        <w:rPr>
          <w:bCs/>
        </w:rPr>
        <w:t xml:space="preserve">A </w:t>
      </w:r>
      <w:r w:rsidRPr="00B601C9">
        <w:t>number of countries have already implemented, or are the process of implementing, regulatory or voluntary mecha</w:t>
      </w:r>
      <w:r w:rsidRPr="00B601C9">
        <w:rPr>
          <w:bCs/>
        </w:rPr>
        <w:t xml:space="preserve">nisms for </w:t>
      </w:r>
      <w:r w:rsidR="00B601C9" w:rsidRPr="00B601C9">
        <w:rPr>
          <w:bCs/>
        </w:rPr>
        <w:t xml:space="preserve">LED lighting products including </w:t>
      </w:r>
      <w:r w:rsidR="00F966C3">
        <w:t xml:space="preserve">MEPS, </w:t>
      </w:r>
      <w:r w:rsidR="00F966C3" w:rsidRPr="00EC6FB8">
        <w:t>Comparative</w:t>
      </w:r>
      <w:r w:rsidR="00B601C9" w:rsidRPr="00EC6FB8">
        <w:t xml:space="preserve"> Labelling </w:t>
      </w:r>
      <w:r w:rsidR="00F966C3" w:rsidRPr="00EC6FB8">
        <w:t>Schemes</w:t>
      </w:r>
      <w:r w:rsidR="00F966C3">
        <w:t xml:space="preserve"> and </w:t>
      </w:r>
      <w:r w:rsidR="00F966C3" w:rsidRPr="00EC6FB8">
        <w:t>Endorsement</w:t>
      </w:r>
      <w:r w:rsidR="00B601C9" w:rsidRPr="00EC6FB8">
        <w:t xml:space="preserve"> Labelling Schemes</w:t>
      </w:r>
      <w:r w:rsidR="00925FEE">
        <w:t>.</w:t>
      </w:r>
    </w:p>
    <w:p w:rsidR="00B601C9" w:rsidRDefault="00925FEE" w:rsidP="00EC6FB8">
      <w:r>
        <w:t>This product profile identifies</w:t>
      </w:r>
      <w:r w:rsidR="00EC6FB8" w:rsidRPr="00EC6FB8">
        <w:t xml:space="preserve"> the </w:t>
      </w:r>
      <w:r>
        <w:t>countries</w:t>
      </w:r>
      <w:r w:rsidR="00EC6FB8" w:rsidRPr="00EC6FB8">
        <w:t xml:space="preserve"> that have voluntary and mandatory regulatory regimes for LED lighting products, </w:t>
      </w:r>
      <w:r>
        <w:t xml:space="preserve">including </w:t>
      </w:r>
      <w:r w:rsidR="00EC6FB8" w:rsidRPr="00EC6FB8">
        <w:t xml:space="preserve">the scope of LED products covered and the test methods used, for the purpose of identifying which programs are considered appropriate for further investigation by the Australian and New Zealand governments.  At the time of publication, while several countries have implemented labelling schemes or voluntary measures relating to LED products, mandatory </w:t>
      </w:r>
      <w:r w:rsidR="00F966C3">
        <w:t xml:space="preserve">MEPS </w:t>
      </w:r>
      <w:r w:rsidR="00F966C3" w:rsidRPr="00EC6FB8">
        <w:t>for</w:t>
      </w:r>
      <w:r w:rsidR="00EC6FB8" w:rsidRPr="00EC6FB8">
        <w:t xml:space="preserve"> LED lamps have been implemented in only a </w:t>
      </w:r>
      <w:r w:rsidR="00EC6FB8" w:rsidRPr="00EC6FB8">
        <w:lastRenderedPageBreak/>
        <w:t xml:space="preserve">few economies including the </w:t>
      </w:r>
      <w:r w:rsidR="003D4DF8" w:rsidRPr="00EC6FB8">
        <w:t>EU</w:t>
      </w:r>
      <w:r w:rsidR="003D4DF8">
        <w:t>,</w:t>
      </w:r>
      <w:r w:rsidR="003D4DF8" w:rsidRPr="00EC6FB8">
        <w:t xml:space="preserve"> Mexico</w:t>
      </w:r>
      <w:r w:rsidR="003D4DF8">
        <w:t xml:space="preserve"> and Malaysia</w:t>
      </w:r>
      <w:r w:rsidR="0088623C">
        <w:t xml:space="preserve">. </w:t>
      </w:r>
      <w:r w:rsidR="003D4DF8" w:rsidRPr="00EC6FB8">
        <w:t>In several other countries, including the USA</w:t>
      </w:r>
      <w:r w:rsidR="003D4DF8">
        <w:t>, Jordan</w:t>
      </w:r>
      <w:r w:rsidR="003D4DF8" w:rsidRPr="00EC6FB8">
        <w:t xml:space="preserve"> and </w:t>
      </w:r>
      <w:r w:rsidR="003D4DF8">
        <w:t>Nigeria</w:t>
      </w:r>
      <w:r w:rsidR="003D4DF8" w:rsidRPr="00EC6FB8">
        <w:t>, MEPS requirements are under development.</w:t>
      </w:r>
    </w:p>
    <w:p w:rsidR="00EC6FB8" w:rsidRDefault="00EC6FB8" w:rsidP="00EC6FB8">
      <w:r>
        <w:t xml:space="preserve">The work of the IEA 4E Solid State Lighting Annex, </w:t>
      </w:r>
      <w:r w:rsidR="00B601C9">
        <w:t xml:space="preserve">supported by 9 countries, including Australia, also </w:t>
      </w:r>
      <w:r w:rsidR="00F966C3">
        <w:t>provides a</w:t>
      </w:r>
      <w:r w:rsidR="00B601C9">
        <w:t xml:space="preserve"> source of technical and policy guidance relating to performance </w:t>
      </w:r>
      <w:r w:rsidR="00645B0A">
        <w:t xml:space="preserve">levels </w:t>
      </w:r>
      <w:r w:rsidR="00B601C9">
        <w:t xml:space="preserve">and testing of LED products </w:t>
      </w:r>
      <w:r w:rsidR="00925FEE" w:rsidRPr="00925FEE">
        <w:t xml:space="preserve">and is thus referenced </w:t>
      </w:r>
      <w:r w:rsidR="00925FEE">
        <w:t>in this product profile.</w:t>
      </w:r>
    </w:p>
    <w:p w:rsidR="00EC6FB8" w:rsidRPr="00EC6FB8" w:rsidRDefault="00925FEE" w:rsidP="00EC6FB8">
      <w:r>
        <w:t>R</w:t>
      </w:r>
      <w:r w:rsidR="00EC6FB8" w:rsidRPr="00EC6FB8">
        <w:t>egulatory</w:t>
      </w:r>
      <w:r w:rsidR="00EC6FB8">
        <w:t xml:space="preserve"> and voluntary mechanisms require</w:t>
      </w:r>
      <w:r w:rsidR="00EC6FB8" w:rsidRPr="00EC6FB8">
        <w:t xml:space="preserve"> test methods </w:t>
      </w:r>
      <w:r w:rsidR="001643C2">
        <w:t>by</w:t>
      </w:r>
      <w:r w:rsidR="00EC6FB8" w:rsidRPr="00EC6FB8">
        <w:t xml:space="preserve"> which each nominated parameter shall be measured. </w:t>
      </w:r>
      <w:r w:rsidR="00EC6FB8">
        <w:t>Given the global nature of LED lighting products, international standards, where available, are the preferred source of test methods with</w:t>
      </w:r>
      <w:r w:rsidR="00645B0A">
        <w:t xml:space="preserve"> </w:t>
      </w:r>
      <w:r w:rsidR="00EC6FB8">
        <w:t>the following entities currently providing relevant standards and guidance</w:t>
      </w:r>
      <w:r w:rsidR="00EC6FB8" w:rsidRPr="00EC6FB8">
        <w:t>:</w:t>
      </w:r>
    </w:p>
    <w:p w:rsidR="00EC6FB8" w:rsidRPr="00EC6FB8" w:rsidRDefault="00EC6FB8" w:rsidP="00F1452F">
      <w:pPr>
        <w:numPr>
          <w:ilvl w:val="0"/>
          <w:numId w:val="3"/>
        </w:numPr>
      </w:pPr>
      <w:r w:rsidRPr="00EC6FB8">
        <w:t>International Commission on Illumination (CIE)</w:t>
      </w:r>
    </w:p>
    <w:p w:rsidR="00EC6FB8" w:rsidRPr="00EC6FB8" w:rsidRDefault="00EC6FB8" w:rsidP="00F1452F">
      <w:pPr>
        <w:numPr>
          <w:ilvl w:val="0"/>
          <w:numId w:val="3"/>
        </w:numPr>
      </w:pPr>
      <w:r w:rsidRPr="00EC6FB8">
        <w:t>International Electrotechnical Commission (IEC)</w:t>
      </w:r>
    </w:p>
    <w:p w:rsidR="00EC6FB8" w:rsidRPr="00EC6FB8" w:rsidRDefault="00EC6FB8" w:rsidP="00F1452F">
      <w:pPr>
        <w:numPr>
          <w:ilvl w:val="0"/>
          <w:numId w:val="3"/>
        </w:numPr>
      </w:pPr>
      <w:r w:rsidRPr="00EC6FB8">
        <w:t>Illuminating Engineering Society of North America (IESNA)</w:t>
      </w:r>
    </w:p>
    <w:p w:rsidR="00EC6FB8" w:rsidRPr="00EC6FB8" w:rsidRDefault="00EC6FB8" w:rsidP="00F1452F">
      <w:pPr>
        <w:numPr>
          <w:ilvl w:val="0"/>
          <w:numId w:val="3"/>
        </w:numPr>
      </w:pPr>
      <w:r w:rsidRPr="00EC6FB8">
        <w:t>National Standards organisations (</w:t>
      </w:r>
      <w:r w:rsidR="00B601C9" w:rsidRPr="00EC6FB8">
        <w:t>e.g.</w:t>
      </w:r>
      <w:r w:rsidRPr="00EC6FB8">
        <w:t xml:space="preserve"> Standards Australia, Standards New Zealand)</w:t>
      </w:r>
    </w:p>
    <w:p w:rsidR="00EC6FB8" w:rsidRPr="00EC6FB8" w:rsidRDefault="00B601C9" w:rsidP="00EC6FB8">
      <w:r>
        <w:t>It is proposed that an Australian and New Zealand LED test standard be developed, drawing upon available international standards</w:t>
      </w:r>
      <w:r w:rsidR="001643C2">
        <w:t xml:space="preserve"> where possible</w:t>
      </w:r>
      <w:r>
        <w:t xml:space="preserve">. </w:t>
      </w:r>
    </w:p>
    <w:p w:rsidR="00AD3B67" w:rsidRPr="00487F21" w:rsidRDefault="00AD3B67" w:rsidP="00487F21">
      <w:pPr>
        <w:pStyle w:val="Heading2"/>
      </w:pPr>
      <w:bookmarkStart w:id="15" w:name="_Toc426387712"/>
      <w:r w:rsidRPr="00487F21">
        <w:t>Policy options</w:t>
      </w:r>
      <w:bookmarkEnd w:id="14"/>
      <w:bookmarkEnd w:id="15"/>
    </w:p>
    <w:p w:rsidR="00AC53BD" w:rsidRDefault="00925FEE" w:rsidP="00AC53BD">
      <w:pPr>
        <w:pStyle w:val="E3BodyText"/>
      </w:pPr>
      <w:r w:rsidRPr="00925FEE">
        <w:t>Policy options to further transition from inefficient lighting to quality energy efficient LED lighting are examined in</w:t>
      </w:r>
      <w:r w:rsidR="00487F21">
        <w:t xml:space="preserve"> Chapter</w:t>
      </w:r>
      <w:r w:rsidRPr="00925FEE">
        <w:t xml:space="preserve"> </w:t>
      </w:r>
      <w:r w:rsidR="00487F21">
        <w:fldChar w:fldCharType="begin"/>
      </w:r>
      <w:r w:rsidR="00487F21">
        <w:instrText xml:space="preserve"> REF _Ref426377602 \n \h </w:instrText>
      </w:r>
      <w:r w:rsidR="00487F21">
        <w:fldChar w:fldCharType="separate"/>
      </w:r>
      <w:r w:rsidR="002C13E2">
        <w:t>9</w:t>
      </w:r>
      <w:r w:rsidR="00487F21">
        <w:fldChar w:fldCharType="end"/>
      </w:r>
      <w:r w:rsidR="00487F21">
        <w:t xml:space="preserve"> </w:t>
      </w:r>
      <w:r w:rsidRPr="00925FEE">
        <w:t>and summarised below.</w:t>
      </w:r>
      <w:r w:rsidR="00AC53BD" w:rsidRPr="00AC53BD">
        <w:t xml:space="preserve"> More than one option could be implemented at the same time. Potentially these policy options could be implemented alongside action to further phase out</w:t>
      </w:r>
      <w:r w:rsidR="00C443BC">
        <w:t xml:space="preserve"> (Australia) or improve (New Zealand)</w:t>
      </w:r>
      <w:r w:rsidR="00AC53BD" w:rsidRPr="00AC53BD">
        <w:t xml:space="preserve"> inefficient incandescent lighting by increasing existing MEPS level</w:t>
      </w:r>
      <w:r w:rsidR="0096671D">
        <w:t xml:space="preserve">s to some or all halogen </w:t>
      </w:r>
      <w:r w:rsidR="00AC53BD">
        <w:t>lamps</w:t>
      </w:r>
      <w:r w:rsidR="0096671D">
        <w:t xml:space="preserve"> </w:t>
      </w:r>
      <w:r w:rsidR="00AC53BD">
        <w:t>(</w:t>
      </w:r>
      <w:r w:rsidR="00AC53BD" w:rsidRPr="00AC53BD">
        <w:t>discussed in detail in the Incandescent and CFL Product Profile</w:t>
      </w:r>
      <w:r w:rsidR="00AC53BD">
        <w:t>)</w:t>
      </w:r>
      <w:r w:rsidR="00AC53BD" w:rsidRPr="00AC53BD">
        <w:t>.</w:t>
      </w:r>
    </w:p>
    <w:p w:rsidR="00AC53BD" w:rsidRPr="00AC53BD" w:rsidRDefault="00AC53BD" w:rsidP="00AC53BD">
      <w:pPr>
        <w:pStyle w:val="E3BodyText"/>
        <w:rPr>
          <w:bCs/>
        </w:rPr>
      </w:pPr>
      <w:r w:rsidRPr="00AC53BD">
        <w:rPr>
          <w:bCs/>
        </w:rPr>
        <w:t>Policy options investigated in a Regulation Impact Statement (RIS) would be subject to further consultation in both countries, and to Ministerial approval in New Zealand.</w:t>
      </w:r>
    </w:p>
    <w:p w:rsidR="00AC53BD" w:rsidRPr="00AC53BD" w:rsidRDefault="00AC53BD" w:rsidP="00AC53BD">
      <w:pPr>
        <w:pStyle w:val="E3BodyText"/>
        <w:rPr>
          <w:i/>
        </w:rPr>
      </w:pPr>
      <w:r w:rsidRPr="0096671D">
        <w:rPr>
          <w:b/>
          <w:i/>
        </w:rPr>
        <w:t>Option 1:</w:t>
      </w:r>
      <w:r w:rsidRPr="00AC53BD">
        <w:rPr>
          <w:i/>
        </w:rPr>
        <w:t xml:space="preserve"> Introduce </w:t>
      </w:r>
      <w:r w:rsidR="00925FEE">
        <w:rPr>
          <w:i/>
        </w:rPr>
        <w:t xml:space="preserve">LED </w:t>
      </w:r>
      <w:r w:rsidRPr="00AC53BD">
        <w:rPr>
          <w:i/>
        </w:rPr>
        <w:t>MEPS with a minimum efficacy level set to remove the lower performing lamps in the Australia and New Zealand Market.  Efficacy level to be either:</w:t>
      </w:r>
    </w:p>
    <w:p w:rsidR="00AC53BD" w:rsidRPr="00AC53BD" w:rsidRDefault="00AC53BD" w:rsidP="00F1452F">
      <w:pPr>
        <w:pStyle w:val="E3BodyText"/>
        <w:numPr>
          <w:ilvl w:val="0"/>
          <w:numId w:val="3"/>
        </w:numPr>
        <w:ind w:left="360"/>
        <w:rPr>
          <w:i/>
        </w:rPr>
      </w:pPr>
      <w:r w:rsidRPr="00AC53BD">
        <w:rPr>
          <w:i/>
        </w:rPr>
        <w:t>One or more linear levels; or</w:t>
      </w:r>
    </w:p>
    <w:p w:rsidR="00AC53BD" w:rsidRPr="00AC53BD" w:rsidRDefault="00AC53BD" w:rsidP="00F1452F">
      <w:pPr>
        <w:pStyle w:val="E3BodyText"/>
        <w:numPr>
          <w:ilvl w:val="0"/>
          <w:numId w:val="3"/>
        </w:numPr>
        <w:ind w:left="360"/>
        <w:rPr>
          <w:i/>
        </w:rPr>
      </w:pPr>
      <w:r w:rsidRPr="00AC53BD">
        <w:rPr>
          <w:i/>
        </w:rPr>
        <w:t>A curved level.</w:t>
      </w:r>
    </w:p>
    <w:p w:rsidR="00AC53BD" w:rsidRPr="00AC53BD" w:rsidRDefault="00AC53BD" w:rsidP="00AC53BD">
      <w:pPr>
        <w:pStyle w:val="E3BodyText"/>
        <w:rPr>
          <w:i/>
        </w:rPr>
      </w:pPr>
      <w:r w:rsidRPr="0096671D">
        <w:rPr>
          <w:b/>
          <w:i/>
        </w:rPr>
        <w:t>Option 2:</w:t>
      </w:r>
      <w:r w:rsidRPr="00AC53BD">
        <w:rPr>
          <w:i/>
        </w:rPr>
        <w:t xml:space="preserve"> Set a timetable of increases to minimum efficacy levels</w:t>
      </w:r>
      <w:r w:rsidR="0096671D">
        <w:rPr>
          <w:i/>
        </w:rPr>
        <w:t xml:space="preserve"> via MEPS</w:t>
      </w:r>
      <w:r w:rsidRPr="00AC53BD">
        <w:rPr>
          <w:i/>
        </w:rPr>
        <w:t>.</w:t>
      </w:r>
    </w:p>
    <w:p w:rsidR="00AC53BD" w:rsidRPr="00AC53BD" w:rsidRDefault="00AC53BD" w:rsidP="00AC53BD">
      <w:pPr>
        <w:pStyle w:val="E3BodyText"/>
        <w:rPr>
          <w:i/>
        </w:rPr>
      </w:pPr>
      <w:r w:rsidRPr="0096671D">
        <w:rPr>
          <w:b/>
          <w:i/>
        </w:rPr>
        <w:t>Option 3:</w:t>
      </w:r>
      <w:r w:rsidRPr="00AC53BD">
        <w:rPr>
          <w:i/>
        </w:rPr>
        <w:t xml:space="preserve"> LED MEPS to also include a range of performance parameters (that address important quality and performance issues found in market testing) to ensure that LED lighting provides </w:t>
      </w:r>
      <w:r w:rsidR="00C443BC">
        <w:rPr>
          <w:i/>
        </w:rPr>
        <w:t xml:space="preserve">an </w:t>
      </w:r>
      <w:r w:rsidRPr="00AC53BD">
        <w:rPr>
          <w:i/>
        </w:rPr>
        <w:t>effective as well as efficient lighting alternative.</w:t>
      </w:r>
    </w:p>
    <w:p w:rsidR="00AC53BD" w:rsidRPr="00AC53BD" w:rsidRDefault="00AC53BD" w:rsidP="00AC53BD">
      <w:pPr>
        <w:pStyle w:val="E3BodyText"/>
        <w:rPr>
          <w:bCs/>
        </w:rPr>
      </w:pPr>
      <w:r w:rsidRPr="0096671D">
        <w:rPr>
          <w:b/>
          <w:i/>
        </w:rPr>
        <w:t>Option 4:</w:t>
      </w:r>
      <w:r w:rsidRPr="00AC53BD">
        <w:rPr>
          <w:i/>
        </w:rPr>
        <w:t xml:space="preserve"> Include optional extreme conditions </w:t>
      </w:r>
      <w:r w:rsidR="00F966C3" w:rsidRPr="00AC53BD">
        <w:rPr>
          <w:i/>
        </w:rPr>
        <w:t>performance specifications</w:t>
      </w:r>
      <w:r w:rsidRPr="00AC53BD">
        <w:rPr>
          <w:i/>
        </w:rPr>
        <w:t xml:space="preserve"> in the Australian and New Zealand Standard and/or MEPS.</w:t>
      </w:r>
    </w:p>
    <w:p w:rsidR="00AC53BD" w:rsidRPr="00AC53BD" w:rsidRDefault="00AC53BD" w:rsidP="00AC53BD">
      <w:pPr>
        <w:pStyle w:val="E3BodyText"/>
        <w:rPr>
          <w:i/>
        </w:rPr>
      </w:pPr>
      <w:r w:rsidRPr="0096671D">
        <w:rPr>
          <w:b/>
          <w:i/>
        </w:rPr>
        <w:t>Option 5:</w:t>
      </w:r>
      <w:r w:rsidRPr="00AC53BD">
        <w:rPr>
          <w:i/>
        </w:rPr>
        <w:t xml:space="preserve"> </w:t>
      </w:r>
      <w:r w:rsidR="00FB565A">
        <w:rPr>
          <w:i/>
        </w:rPr>
        <w:t>I</w:t>
      </w:r>
      <w:r w:rsidRPr="00AC53BD">
        <w:rPr>
          <w:i/>
        </w:rPr>
        <w:t xml:space="preserve">n the MEPS </w:t>
      </w:r>
      <w:r w:rsidR="00FB565A">
        <w:rPr>
          <w:i/>
        </w:rPr>
        <w:t xml:space="preserve">include </w:t>
      </w:r>
      <w:r w:rsidRPr="00AC53BD">
        <w:rPr>
          <w:i/>
        </w:rPr>
        <w:t>a preferred range of rated luminous flux values to be used on lamp packaging, along with a requirement for lumens per Watt to be included on packaging</w:t>
      </w:r>
      <w:r w:rsidR="00C443BC">
        <w:rPr>
          <w:i/>
        </w:rPr>
        <w:t xml:space="preserve"> in order to assist consumers in selecting replacement lamps</w:t>
      </w:r>
      <w:r w:rsidRPr="00AC53BD">
        <w:rPr>
          <w:i/>
        </w:rPr>
        <w:t>.</w:t>
      </w:r>
    </w:p>
    <w:p w:rsidR="00AC53BD" w:rsidRPr="00AC53BD" w:rsidRDefault="00AC53BD" w:rsidP="00AC53BD">
      <w:pPr>
        <w:pStyle w:val="E3BodyText"/>
        <w:rPr>
          <w:i/>
        </w:rPr>
      </w:pPr>
      <w:r w:rsidRPr="0096671D">
        <w:rPr>
          <w:b/>
          <w:i/>
        </w:rPr>
        <w:t>Option 6:</w:t>
      </w:r>
      <w:r w:rsidRPr="00AC53BD">
        <w:rPr>
          <w:i/>
        </w:rPr>
        <w:t xml:space="preserve"> Suppliers be required to include efficacy and performance information on LED product packaging and/or the LED product</w:t>
      </w:r>
      <w:r w:rsidR="00C443BC">
        <w:rPr>
          <w:i/>
        </w:rPr>
        <w:t xml:space="preserve"> to enable customers to choose </w:t>
      </w:r>
      <w:r w:rsidR="00F966C3">
        <w:rPr>
          <w:i/>
        </w:rPr>
        <w:t>a</w:t>
      </w:r>
      <w:r w:rsidR="00C443BC">
        <w:rPr>
          <w:i/>
        </w:rPr>
        <w:t xml:space="preserve"> suitable and efficient model</w:t>
      </w:r>
      <w:r w:rsidRPr="00AC53BD">
        <w:rPr>
          <w:i/>
        </w:rPr>
        <w:t>.</w:t>
      </w:r>
    </w:p>
    <w:p w:rsidR="00AC53BD" w:rsidRPr="00AC53BD" w:rsidRDefault="00AC53BD" w:rsidP="00AC53BD">
      <w:pPr>
        <w:pStyle w:val="E3BodyText"/>
        <w:rPr>
          <w:i/>
        </w:rPr>
      </w:pPr>
      <w:r w:rsidRPr="0096671D">
        <w:rPr>
          <w:b/>
          <w:i/>
        </w:rPr>
        <w:t>Option 7:</w:t>
      </w:r>
      <w:r w:rsidRPr="00AC53BD">
        <w:rPr>
          <w:i/>
        </w:rPr>
        <w:t xml:space="preserve"> That Australia adopt and implement the New Zealand specification of </w:t>
      </w:r>
      <w:r w:rsidR="00C443BC">
        <w:rPr>
          <w:i/>
        </w:rPr>
        <w:t xml:space="preserve">voluntary </w:t>
      </w:r>
      <w:r w:rsidRPr="00AC53BD">
        <w:rPr>
          <w:i/>
        </w:rPr>
        <w:t xml:space="preserve">ENERGY STAR </w:t>
      </w:r>
      <w:r w:rsidR="00C443BC">
        <w:rPr>
          <w:i/>
        </w:rPr>
        <w:t xml:space="preserve">labelling </w:t>
      </w:r>
      <w:r w:rsidRPr="00AC53BD">
        <w:rPr>
          <w:i/>
        </w:rPr>
        <w:t xml:space="preserve">for </w:t>
      </w:r>
      <w:r w:rsidR="00C443BC">
        <w:rPr>
          <w:i/>
        </w:rPr>
        <w:t xml:space="preserve">high efficiency </w:t>
      </w:r>
      <w:r w:rsidRPr="00AC53BD">
        <w:rPr>
          <w:i/>
        </w:rPr>
        <w:t>CFL and LED products</w:t>
      </w:r>
      <w:r w:rsidR="00C443BC">
        <w:rPr>
          <w:i/>
        </w:rPr>
        <w:t xml:space="preserve"> to provide guidance on high performance lamps</w:t>
      </w:r>
      <w:r w:rsidRPr="00AC53BD">
        <w:rPr>
          <w:i/>
        </w:rPr>
        <w:t>.</w:t>
      </w:r>
    </w:p>
    <w:p w:rsidR="00AC53BD" w:rsidRPr="00AC53BD" w:rsidRDefault="00AC53BD" w:rsidP="00AC53BD">
      <w:pPr>
        <w:pStyle w:val="E3BodyText"/>
        <w:rPr>
          <w:i/>
        </w:rPr>
      </w:pPr>
      <w:r w:rsidRPr="0096671D">
        <w:rPr>
          <w:b/>
          <w:i/>
        </w:rPr>
        <w:t>Option 8:</w:t>
      </w:r>
      <w:r w:rsidRPr="00AC53BD">
        <w:rPr>
          <w:i/>
        </w:rPr>
        <w:t xml:space="preserve"> </w:t>
      </w:r>
      <w:r w:rsidR="00C443BC">
        <w:rPr>
          <w:i/>
        </w:rPr>
        <w:t>Develop and a</w:t>
      </w:r>
      <w:r w:rsidR="00C443BC" w:rsidRPr="00AC53BD">
        <w:rPr>
          <w:i/>
        </w:rPr>
        <w:t xml:space="preserve">pply </w:t>
      </w:r>
      <w:r w:rsidRPr="00AC53BD">
        <w:rPr>
          <w:i/>
        </w:rPr>
        <w:t>the Australia / New Zealand Energy Rating Label to all lamp technologies available for specified range of lamp applications</w:t>
      </w:r>
      <w:r w:rsidR="00C443BC">
        <w:rPr>
          <w:i/>
        </w:rPr>
        <w:t xml:space="preserve"> to provide customers with comparative </w:t>
      </w:r>
      <w:r w:rsidR="00F966C3">
        <w:rPr>
          <w:i/>
        </w:rPr>
        <w:t>information on</w:t>
      </w:r>
      <w:r w:rsidR="00C443BC">
        <w:rPr>
          <w:i/>
        </w:rPr>
        <w:t xml:space="preserve"> lamp efficacy</w:t>
      </w:r>
      <w:r w:rsidRPr="00AC53BD">
        <w:rPr>
          <w:i/>
        </w:rPr>
        <w:t>.</w:t>
      </w:r>
    </w:p>
    <w:p w:rsidR="00AC53BD" w:rsidRPr="00AC53BD" w:rsidRDefault="0096671D" w:rsidP="00AC53BD">
      <w:pPr>
        <w:pStyle w:val="E3BodyText"/>
        <w:rPr>
          <w:i/>
        </w:rPr>
      </w:pPr>
      <w:r w:rsidRPr="0096671D">
        <w:rPr>
          <w:b/>
          <w:i/>
        </w:rPr>
        <w:t>Option 9:</w:t>
      </w:r>
      <w:r w:rsidR="00AC53BD" w:rsidRPr="00AC53BD">
        <w:rPr>
          <w:i/>
        </w:rPr>
        <w:t xml:space="preserve"> If a regulated MEPS is not implemented, Australia and New Zealand establish the Lighting Facts scheme (or similar program) for LED products</w:t>
      </w:r>
      <w:r w:rsidR="00C443BC">
        <w:rPr>
          <w:i/>
        </w:rPr>
        <w:t xml:space="preserve"> to provide consumers with accurate lamp performance information</w:t>
      </w:r>
      <w:r w:rsidR="00AC53BD" w:rsidRPr="00AC53BD">
        <w:rPr>
          <w:i/>
        </w:rPr>
        <w:t>.</w:t>
      </w:r>
    </w:p>
    <w:p w:rsidR="00AC53BD" w:rsidRPr="00AC53BD" w:rsidRDefault="0096671D" w:rsidP="00AC53BD">
      <w:pPr>
        <w:pStyle w:val="E3BodyText"/>
        <w:rPr>
          <w:i/>
        </w:rPr>
      </w:pPr>
      <w:r w:rsidRPr="0096671D">
        <w:rPr>
          <w:b/>
          <w:i/>
        </w:rPr>
        <w:lastRenderedPageBreak/>
        <w:t>Option 10:</w:t>
      </w:r>
      <w:r w:rsidR="00AC53BD" w:rsidRPr="00AC53BD">
        <w:rPr>
          <w:i/>
        </w:rPr>
        <w:t xml:space="preserve"> An Australian </w:t>
      </w:r>
      <w:r w:rsidR="00F966C3" w:rsidRPr="00AC53BD">
        <w:rPr>
          <w:i/>
        </w:rPr>
        <w:t>- New</w:t>
      </w:r>
      <w:r w:rsidR="00AC53BD" w:rsidRPr="00AC53BD">
        <w:rPr>
          <w:i/>
        </w:rPr>
        <w:t xml:space="preserve"> Zealand LED test standard be developed with reference to available international test standards including CIE S 025.</w:t>
      </w:r>
    </w:p>
    <w:p w:rsidR="00AC53BD" w:rsidRPr="00AC53BD" w:rsidRDefault="00AC53BD" w:rsidP="00AC53BD">
      <w:pPr>
        <w:pStyle w:val="E3BodyText"/>
        <w:rPr>
          <w:i/>
        </w:rPr>
      </w:pPr>
      <w:r w:rsidRPr="0096671D">
        <w:rPr>
          <w:b/>
          <w:i/>
        </w:rPr>
        <w:t xml:space="preserve">Option </w:t>
      </w:r>
      <w:r w:rsidR="0096671D" w:rsidRPr="0096671D">
        <w:rPr>
          <w:b/>
          <w:i/>
        </w:rPr>
        <w:t>11:</w:t>
      </w:r>
      <w:r w:rsidR="0096671D">
        <w:rPr>
          <w:i/>
        </w:rPr>
        <w:t xml:space="preserve"> </w:t>
      </w:r>
      <w:r w:rsidR="00FB565A">
        <w:rPr>
          <w:i/>
        </w:rPr>
        <w:t xml:space="preserve">Implement a </w:t>
      </w:r>
      <w:r w:rsidRPr="00AC53BD">
        <w:rPr>
          <w:i/>
        </w:rPr>
        <w:t>consumer education campaign about LED lighting (in cooperation with the lighting industry and retailers) either:</w:t>
      </w:r>
    </w:p>
    <w:p w:rsidR="00AC53BD" w:rsidRPr="00AC53BD" w:rsidRDefault="00AC53BD" w:rsidP="00F1452F">
      <w:pPr>
        <w:pStyle w:val="E3BodyText"/>
        <w:numPr>
          <w:ilvl w:val="0"/>
          <w:numId w:val="3"/>
        </w:numPr>
        <w:ind w:left="360"/>
        <w:rPr>
          <w:i/>
        </w:rPr>
      </w:pPr>
      <w:r w:rsidRPr="00AC53BD">
        <w:rPr>
          <w:i/>
        </w:rPr>
        <w:t>alongside the introduction of MEPS for LEDs;</w:t>
      </w:r>
    </w:p>
    <w:p w:rsidR="00AC53BD" w:rsidRPr="00AC53BD" w:rsidRDefault="00AC53BD" w:rsidP="00F1452F">
      <w:pPr>
        <w:pStyle w:val="E3BodyText"/>
        <w:numPr>
          <w:ilvl w:val="0"/>
          <w:numId w:val="3"/>
        </w:numPr>
        <w:ind w:left="360"/>
        <w:rPr>
          <w:i/>
        </w:rPr>
      </w:pPr>
      <w:r w:rsidRPr="00AC53BD">
        <w:rPr>
          <w:i/>
        </w:rPr>
        <w:t>alongside the introduction of a labelling scheme; or</w:t>
      </w:r>
    </w:p>
    <w:p w:rsidR="007F01E0" w:rsidRPr="00BE6566" w:rsidRDefault="00AC53BD" w:rsidP="00F1452F">
      <w:pPr>
        <w:pStyle w:val="E3BodyText"/>
        <w:numPr>
          <w:ilvl w:val="0"/>
          <w:numId w:val="3"/>
        </w:numPr>
        <w:ind w:left="360"/>
        <w:rPr>
          <w:i/>
        </w:rPr>
      </w:pPr>
      <w:r w:rsidRPr="00AC53BD">
        <w:rPr>
          <w:i/>
        </w:rPr>
        <w:t>as a stand-alone initiative.</w:t>
      </w:r>
    </w:p>
    <w:bookmarkEnd w:id="7"/>
    <w:p w:rsidR="00A37E0E" w:rsidRPr="003107D2" w:rsidRDefault="00A37E0E" w:rsidP="00AC53BD">
      <w:pPr>
        <w:sectPr w:rsidR="00A37E0E" w:rsidRPr="003107D2" w:rsidSect="00262B5A">
          <w:headerReference w:type="default" r:id="rId21"/>
          <w:footerReference w:type="first" r:id="rId22"/>
          <w:pgSz w:w="11907" w:h="16840" w:code="9"/>
          <w:pgMar w:top="1134" w:right="1134" w:bottom="1418" w:left="1134" w:header="142" w:footer="709" w:gutter="0"/>
          <w:pgNumType w:start="1"/>
          <w:cols w:space="720"/>
          <w:titlePg/>
          <w:docGrid w:linePitch="360"/>
        </w:sectPr>
      </w:pPr>
    </w:p>
    <w:p w:rsidR="00631365" w:rsidRDefault="00631365" w:rsidP="00631365">
      <w:pPr>
        <w:pStyle w:val="Heading1"/>
      </w:pPr>
      <w:bookmarkStart w:id="16" w:name="_Toc322873816"/>
      <w:bookmarkStart w:id="17" w:name="_Toc426387713"/>
      <w:bookmarkStart w:id="18" w:name="_Toc366162121"/>
      <w:r w:rsidRPr="003107D2">
        <w:lastRenderedPageBreak/>
        <w:t>Introduction</w:t>
      </w:r>
      <w:bookmarkEnd w:id="16"/>
      <w:bookmarkEnd w:id="17"/>
    </w:p>
    <w:p w:rsidR="00AD2A5C" w:rsidRPr="003107D2" w:rsidRDefault="00AD2A5C" w:rsidP="00631365">
      <w:pPr>
        <w:pStyle w:val="Heading2"/>
      </w:pPr>
      <w:bookmarkStart w:id="19" w:name="_Toc426387714"/>
      <w:r w:rsidRPr="003107D2">
        <w:t>Purpose</w:t>
      </w:r>
      <w:bookmarkEnd w:id="18"/>
      <w:bookmarkEnd w:id="19"/>
    </w:p>
    <w:p w:rsidR="00AD2A5C" w:rsidRPr="003107D2" w:rsidRDefault="00AD2A5C" w:rsidP="007C5E9F">
      <w:pPr>
        <w:pStyle w:val="E3BodyText"/>
        <w:ind w:left="360"/>
      </w:pPr>
      <w:r w:rsidRPr="003107D2">
        <w:t xml:space="preserve">This consultation document forms part of an investigation into </w:t>
      </w:r>
      <w:r w:rsidR="00D81C63">
        <w:t xml:space="preserve">possible actions to encourage the uptake of energy efficient LED lighting, including </w:t>
      </w:r>
      <w:r w:rsidRPr="003107D2">
        <w:t xml:space="preserve">the feasibility of </w:t>
      </w:r>
      <w:r w:rsidR="00C11BAC">
        <w:t xml:space="preserve">developing </w:t>
      </w:r>
      <w:r w:rsidRPr="003107D2">
        <w:t xml:space="preserve">Minimum Energy Performance Standards (MEPS) </w:t>
      </w:r>
      <w:r w:rsidR="00C11BAC">
        <w:t>for LED lamps</w:t>
      </w:r>
      <w:r w:rsidRPr="003107D2">
        <w:t xml:space="preserve">, under the </w:t>
      </w:r>
      <w:r w:rsidRPr="003107D2">
        <w:rPr>
          <w:i/>
        </w:rPr>
        <w:t xml:space="preserve">Greenhouse and Energy Minimum Standards Act 2012 </w:t>
      </w:r>
      <w:r w:rsidRPr="003107D2">
        <w:t xml:space="preserve">(GEMS) </w:t>
      </w:r>
      <w:r w:rsidRPr="003107D2">
        <w:rPr>
          <w:bCs/>
        </w:rPr>
        <w:t xml:space="preserve">in Australia and the </w:t>
      </w:r>
      <w:r w:rsidRPr="003107D2">
        <w:rPr>
          <w:bCs/>
          <w:i/>
          <w:iCs/>
        </w:rPr>
        <w:t>Energy Efficiency (Energy Using Products) Regulations (2002)</w:t>
      </w:r>
      <w:r w:rsidRPr="003107D2">
        <w:rPr>
          <w:bCs/>
        </w:rPr>
        <w:t xml:space="preserve"> in New Zealand</w:t>
      </w:r>
      <w:r w:rsidRPr="003107D2">
        <w:t>. The document serves two purposes:</w:t>
      </w:r>
    </w:p>
    <w:p w:rsidR="00AD2A5C" w:rsidRPr="003107D2" w:rsidRDefault="00AD2A5C" w:rsidP="00F1452F">
      <w:pPr>
        <w:pStyle w:val="E3BodyText"/>
        <w:numPr>
          <w:ilvl w:val="0"/>
          <w:numId w:val="5"/>
        </w:numPr>
        <w:ind w:left="1080"/>
      </w:pPr>
      <w:r w:rsidRPr="003107D2">
        <w:t xml:space="preserve">To provide an update on the state of </w:t>
      </w:r>
      <w:r w:rsidR="00C11BAC">
        <w:t xml:space="preserve">LED </w:t>
      </w:r>
      <w:r w:rsidRPr="003107D2">
        <w:t xml:space="preserve">technologies, their capacity for improved energy efficiency </w:t>
      </w:r>
      <w:r w:rsidR="002774E4">
        <w:t xml:space="preserve">and performance, </w:t>
      </w:r>
      <w:r w:rsidRPr="003107D2">
        <w:t xml:space="preserve">and the current and projected markets for sales in Australia and New Zealand.  This information has been collected for the benefit of policy </w:t>
      </w:r>
      <w:r w:rsidR="00F966C3" w:rsidRPr="003107D2">
        <w:t>makers;</w:t>
      </w:r>
      <w:r w:rsidRPr="003107D2">
        <w:t xml:space="preserve"> however, stakeholder feedback is sought in verifying the report’s findings.</w:t>
      </w:r>
    </w:p>
    <w:p w:rsidR="00AD2A5C" w:rsidRPr="003107D2" w:rsidRDefault="00AD2A5C" w:rsidP="00F1452F">
      <w:pPr>
        <w:pStyle w:val="E3BodyText"/>
        <w:numPr>
          <w:ilvl w:val="0"/>
          <w:numId w:val="5"/>
        </w:numPr>
        <w:ind w:left="1080"/>
      </w:pPr>
      <w:r w:rsidRPr="003107D2">
        <w:t xml:space="preserve">To signal to stakeholders the options that will likely form the basis of initial stakeholder consultation. Final policy options would be subject to detailed investigation </w:t>
      </w:r>
      <w:r w:rsidR="00CE2C1D">
        <w:t xml:space="preserve">and cost benefit analysis </w:t>
      </w:r>
      <w:r w:rsidRPr="003107D2">
        <w:t>through a Regulation Impact Statement (RIS). In New Zealand, a</w:t>
      </w:r>
      <w:r w:rsidRPr="003107D2">
        <w:rPr>
          <w:bCs/>
        </w:rPr>
        <w:t>pproval of Ministers is required for any proposed regulatory option that might be modelled by a RIS.</w:t>
      </w:r>
    </w:p>
    <w:p w:rsidR="00AD2A5C" w:rsidRPr="003107D2" w:rsidRDefault="00AD2A5C" w:rsidP="00DB0112">
      <w:pPr>
        <w:pStyle w:val="Heading2"/>
      </w:pPr>
      <w:bookmarkStart w:id="20" w:name="_Toc366162123"/>
      <w:bookmarkStart w:id="21" w:name="_Toc426387715"/>
      <w:r w:rsidRPr="003107D2">
        <w:t>Where to from here</w:t>
      </w:r>
      <w:bookmarkEnd w:id="20"/>
      <w:bookmarkEnd w:id="21"/>
    </w:p>
    <w:p w:rsidR="00AD2A5C" w:rsidRPr="003107D2" w:rsidRDefault="00AD2A5C" w:rsidP="00DB0112">
      <w:pPr>
        <w:pStyle w:val="Heading3"/>
      </w:pPr>
      <w:bookmarkStart w:id="22" w:name="_Toc366162124"/>
      <w:bookmarkStart w:id="23" w:name="_Toc426387716"/>
      <w:r w:rsidRPr="003107D2">
        <w:t>Consultation on this Product Profile</w:t>
      </w:r>
      <w:bookmarkEnd w:id="22"/>
      <w:bookmarkEnd w:id="23"/>
    </w:p>
    <w:p w:rsidR="007421DF" w:rsidRDefault="007421DF" w:rsidP="007C5E9F">
      <w:pPr>
        <w:autoSpaceDE w:val="0"/>
        <w:autoSpaceDN w:val="0"/>
        <w:adjustRightInd w:val="0"/>
        <w:spacing w:after="0" w:line="240" w:lineRule="auto"/>
        <w:ind w:left="360"/>
        <w:rPr>
          <w:rFonts w:eastAsiaTheme="minorHAnsi" w:cs="Georgia"/>
          <w:color w:val="000000"/>
          <w:szCs w:val="19"/>
        </w:rPr>
      </w:pPr>
      <w:r w:rsidRPr="007421DF">
        <w:rPr>
          <w:rFonts w:eastAsiaTheme="minorHAnsi" w:cs="Georgia"/>
          <w:color w:val="000000"/>
          <w:szCs w:val="19"/>
        </w:rPr>
        <w:t xml:space="preserve">Readers are asked for feedback on the information and proposed policy options put forward in this document, </w:t>
      </w:r>
      <w:r w:rsidR="00F44349">
        <w:rPr>
          <w:rFonts w:eastAsiaTheme="minorHAnsi" w:cs="Georgia"/>
          <w:color w:val="000000"/>
          <w:szCs w:val="19"/>
        </w:rPr>
        <w:t>and where possible to provide</w:t>
      </w:r>
      <w:r w:rsidRPr="007421DF">
        <w:rPr>
          <w:rFonts w:eastAsiaTheme="minorHAnsi" w:cs="Georgia"/>
          <w:color w:val="000000"/>
          <w:szCs w:val="19"/>
        </w:rPr>
        <w:t xml:space="preserve"> robust data </w:t>
      </w:r>
      <w:r w:rsidR="00F44349">
        <w:rPr>
          <w:rFonts w:eastAsiaTheme="minorHAnsi" w:cs="Georgia"/>
          <w:color w:val="000000"/>
          <w:szCs w:val="19"/>
        </w:rPr>
        <w:t>to support their response</w:t>
      </w:r>
      <w:r w:rsidR="00EB2EF6">
        <w:rPr>
          <w:rFonts w:eastAsiaTheme="minorHAnsi" w:cs="Georgia"/>
          <w:color w:val="000000"/>
          <w:szCs w:val="19"/>
        </w:rPr>
        <w:t xml:space="preserve">. </w:t>
      </w:r>
      <w:r w:rsidRPr="007421DF">
        <w:rPr>
          <w:rFonts w:eastAsiaTheme="minorHAnsi" w:cs="Georgia"/>
          <w:color w:val="000000"/>
          <w:szCs w:val="19"/>
        </w:rPr>
        <w:t>Stakeholder consultation meetings will also be held in Australia and New Zealand.</w:t>
      </w:r>
    </w:p>
    <w:p w:rsidR="007421DF" w:rsidRPr="007421DF" w:rsidRDefault="007421DF" w:rsidP="007C5E9F">
      <w:pPr>
        <w:autoSpaceDE w:val="0"/>
        <w:autoSpaceDN w:val="0"/>
        <w:adjustRightInd w:val="0"/>
        <w:spacing w:after="0" w:line="240" w:lineRule="auto"/>
        <w:ind w:left="360"/>
        <w:rPr>
          <w:rFonts w:eastAsiaTheme="minorHAnsi" w:cs="Georgia"/>
          <w:color w:val="000000"/>
          <w:szCs w:val="19"/>
        </w:rPr>
      </w:pPr>
    </w:p>
    <w:p w:rsidR="00AD2A5C" w:rsidRPr="003107D2" w:rsidRDefault="007421DF" w:rsidP="007C5E9F">
      <w:pPr>
        <w:autoSpaceDE w:val="0"/>
        <w:autoSpaceDN w:val="0"/>
        <w:adjustRightInd w:val="0"/>
        <w:spacing w:after="0" w:line="240" w:lineRule="auto"/>
        <w:ind w:left="360"/>
        <w:rPr>
          <w:rFonts w:eastAsiaTheme="minorHAnsi" w:cs="Georgia"/>
          <w:color w:val="000000"/>
          <w:szCs w:val="19"/>
        </w:rPr>
      </w:pPr>
      <w:r w:rsidRPr="007421DF">
        <w:rPr>
          <w:rFonts w:eastAsiaTheme="minorHAnsi" w:cs="Georgia"/>
          <w:color w:val="000000"/>
          <w:szCs w:val="19"/>
        </w:rPr>
        <w:t>Feedback from industry stakeholders will be important in formulating the mo</w:t>
      </w:r>
      <w:r w:rsidR="00F44349">
        <w:rPr>
          <w:rFonts w:eastAsiaTheme="minorHAnsi" w:cs="Georgia"/>
          <w:color w:val="000000"/>
          <w:szCs w:val="19"/>
        </w:rPr>
        <w:t>st appropriate policy approach. R</w:t>
      </w:r>
      <w:r w:rsidRPr="007421DF">
        <w:rPr>
          <w:rFonts w:eastAsiaTheme="minorHAnsi" w:cs="Georgia"/>
          <w:color w:val="000000"/>
          <w:szCs w:val="19"/>
        </w:rPr>
        <w:t xml:space="preserve">esponses </w:t>
      </w:r>
      <w:r w:rsidR="00F44349">
        <w:rPr>
          <w:rFonts w:eastAsiaTheme="minorHAnsi" w:cs="Georgia"/>
          <w:color w:val="000000"/>
          <w:szCs w:val="19"/>
        </w:rPr>
        <w:t xml:space="preserve">to the Key Questions below would </w:t>
      </w:r>
      <w:r w:rsidRPr="007421DF">
        <w:rPr>
          <w:rFonts w:eastAsiaTheme="minorHAnsi" w:cs="Georgia"/>
          <w:color w:val="000000"/>
          <w:szCs w:val="19"/>
        </w:rPr>
        <w:t>be of particular assistance.</w:t>
      </w:r>
    </w:p>
    <w:p w:rsidR="00AD2A5C" w:rsidRPr="003107D2" w:rsidRDefault="00AD2A5C" w:rsidP="007C5E9F">
      <w:pPr>
        <w:autoSpaceDE w:val="0"/>
        <w:autoSpaceDN w:val="0"/>
        <w:adjustRightInd w:val="0"/>
        <w:spacing w:after="0" w:line="240" w:lineRule="auto"/>
        <w:ind w:left="360"/>
        <w:rPr>
          <w:rFonts w:eastAsiaTheme="minorHAnsi" w:cs="Georgia"/>
          <w:color w:val="000000"/>
          <w:szCs w:val="19"/>
        </w:rPr>
      </w:pPr>
    </w:p>
    <w:p w:rsidR="00AD2A5C" w:rsidRPr="003107D2" w:rsidRDefault="00AD2A5C" w:rsidP="007C5E9F">
      <w:pPr>
        <w:autoSpaceDE w:val="0"/>
        <w:autoSpaceDN w:val="0"/>
        <w:adjustRightInd w:val="0"/>
        <w:spacing w:after="0" w:line="240" w:lineRule="auto"/>
        <w:ind w:left="360"/>
        <w:rPr>
          <w:rFonts w:eastAsiaTheme="minorHAnsi" w:cs="Georgia"/>
          <w:b/>
          <w:color w:val="000000"/>
          <w:szCs w:val="19"/>
        </w:rPr>
      </w:pPr>
      <w:r w:rsidRPr="003107D2">
        <w:rPr>
          <w:rFonts w:eastAsiaTheme="minorHAnsi" w:cs="Georgia"/>
          <w:b/>
          <w:color w:val="000000"/>
          <w:sz w:val="22"/>
          <w:szCs w:val="22"/>
        </w:rPr>
        <w:t xml:space="preserve">Comments should be sent via e-mail and be received by </w:t>
      </w:r>
      <w:r w:rsidR="00D04551">
        <w:rPr>
          <w:rFonts w:eastAsiaTheme="minorHAnsi" w:cs="Georgia"/>
          <w:b/>
          <w:color w:val="000000"/>
          <w:sz w:val="22"/>
          <w:szCs w:val="22"/>
        </w:rPr>
        <w:t>9 October</w:t>
      </w:r>
      <w:r w:rsidRPr="003107D2">
        <w:rPr>
          <w:rFonts w:eastAsiaTheme="minorHAnsi" w:cs="Georgia"/>
          <w:b/>
          <w:bCs/>
          <w:color w:val="000000"/>
          <w:sz w:val="22"/>
          <w:szCs w:val="22"/>
        </w:rPr>
        <w:t xml:space="preserve"> 201</w:t>
      </w:r>
      <w:r w:rsidR="00EB2EF6">
        <w:rPr>
          <w:rFonts w:eastAsiaTheme="minorHAnsi" w:cs="Georgia"/>
          <w:b/>
          <w:bCs/>
          <w:color w:val="000000"/>
          <w:sz w:val="22"/>
          <w:szCs w:val="22"/>
        </w:rPr>
        <w:t>5</w:t>
      </w:r>
      <w:r w:rsidRPr="003107D2">
        <w:rPr>
          <w:rFonts w:eastAsiaTheme="minorHAnsi" w:cs="Georgia"/>
          <w:b/>
          <w:color w:val="000000"/>
          <w:sz w:val="22"/>
          <w:szCs w:val="22"/>
        </w:rPr>
        <w:t>.</w:t>
      </w:r>
    </w:p>
    <w:p w:rsidR="00AD2A5C" w:rsidRPr="003107D2" w:rsidRDefault="00AD2A5C" w:rsidP="007C5E9F">
      <w:pPr>
        <w:pStyle w:val="E3BodyText"/>
        <w:ind w:left="360"/>
      </w:pPr>
      <w:r w:rsidRPr="003107D2">
        <w:t>The subject should be clearly titled ‘</w:t>
      </w:r>
      <w:r w:rsidR="00C11BAC">
        <w:t>LED</w:t>
      </w:r>
      <w:r w:rsidRPr="003107D2">
        <w:t xml:space="preserve"> Lighting Product Profile’ and sent to:</w:t>
      </w:r>
    </w:p>
    <w:p w:rsidR="00443288" w:rsidRPr="00C301A9" w:rsidRDefault="00443288" w:rsidP="00F1452F">
      <w:pPr>
        <w:numPr>
          <w:ilvl w:val="0"/>
          <w:numId w:val="7"/>
        </w:numPr>
        <w:tabs>
          <w:tab w:val="clear" w:pos="1800"/>
          <w:tab w:val="num" w:pos="2160"/>
        </w:tabs>
        <w:ind w:left="2160"/>
        <w:contextualSpacing/>
        <w:rPr>
          <w:b/>
          <w:lang w:val="es-ES_tradnl"/>
        </w:rPr>
      </w:pPr>
      <w:bookmarkStart w:id="24" w:name="_Toc365466586"/>
      <w:bookmarkStart w:id="25" w:name="_Toc366162125"/>
      <w:r w:rsidRPr="00C301A9">
        <w:rPr>
          <w:b/>
          <w:lang w:val="es-ES_tradnl"/>
        </w:rPr>
        <w:t xml:space="preserve">Australia: </w:t>
      </w:r>
      <w:hyperlink r:id="rId23" w:history="1">
        <w:r w:rsidRPr="00C301A9">
          <w:rPr>
            <w:color w:val="0000FF"/>
            <w:sz w:val="18"/>
            <w:szCs w:val="18"/>
            <w:u w:val="single"/>
            <w:lang w:val="es-ES_tradnl"/>
          </w:rPr>
          <w:t>EER-Lighting@industry.gov.au</w:t>
        </w:r>
      </w:hyperlink>
    </w:p>
    <w:p w:rsidR="00443288" w:rsidRPr="00443288" w:rsidRDefault="00443288" w:rsidP="00F1452F">
      <w:pPr>
        <w:numPr>
          <w:ilvl w:val="0"/>
          <w:numId w:val="7"/>
        </w:numPr>
        <w:tabs>
          <w:tab w:val="clear" w:pos="1800"/>
          <w:tab w:val="num" w:pos="2160"/>
        </w:tabs>
        <w:ind w:left="2160"/>
        <w:contextualSpacing/>
        <w:rPr>
          <w:b/>
        </w:rPr>
      </w:pPr>
      <w:r w:rsidRPr="00443288">
        <w:rPr>
          <w:b/>
        </w:rPr>
        <w:t xml:space="preserve">New Zealand: </w:t>
      </w:r>
      <w:hyperlink r:id="rId24" w:history="1">
        <w:r w:rsidRPr="00443288">
          <w:rPr>
            <w:color w:val="0000FF"/>
            <w:sz w:val="18"/>
            <w:szCs w:val="18"/>
            <w:u w:val="single"/>
          </w:rPr>
          <w:t>regs@eeca.govt.nz</w:t>
        </w:r>
      </w:hyperlink>
    </w:p>
    <w:p w:rsidR="006419C1" w:rsidRPr="004A2F4A" w:rsidRDefault="006419C1" w:rsidP="003431D6">
      <w:pPr>
        <w:autoSpaceDE w:val="0"/>
        <w:autoSpaceDN w:val="0"/>
        <w:adjustRightInd w:val="0"/>
        <w:spacing w:after="0" w:line="240" w:lineRule="auto"/>
        <w:rPr>
          <w:rFonts w:eastAsiaTheme="minorHAnsi" w:cs="Georgia"/>
          <w:color w:val="000000"/>
          <w:szCs w:val="19"/>
        </w:rPr>
      </w:pPr>
    </w:p>
    <w:p w:rsidR="00AD2A5C" w:rsidRPr="00DB0112" w:rsidRDefault="00AD2A5C" w:rsidP="00DB0112">
      <w:pPr>
        <w:pStyle w:val="Heading3"/>
      </w:pPr>
      <w:bookmarkStart w:id="26" w:name="_Toc426387717"/>
      <w:r w:rsidRPr="00DB0112">
        <w:t>After consultation on this Product Profile</w:t>
      </w:r>
      <w:bookmarkEnd w:id="24"/>
      <w:bookmarkEnd w:id="25"/>
      <w:bookmarkEnd w:id="26"/>
    </w:p>
    <w:p w:rsidR="00443288" w:rsidRPr="00443288" w:rsidRDefault="00443288" w:rsidP="007C5E9F">
      <w:pPr>
        <w:autoSpaceDE w:val="0"/>
        <w:autoSpaceDN w:val="0"/>
        <w:adjustRightInd w:val="0"/>
        <w:spacing w:line="240" w:lineRule="auto"/>
        <w:ind w:left="360"/>
        <w:rPr>
          <w:rFonts w:eastAsiaTheme="minorHAnsi" w:cs="Georgia"/>
          <w:color w:val="000000"/>
          <w:szCs w:val="19"/>
        </w:rPr>
      </w:pPr>
      <w:r w:rsidRPr="00443288">
        <w:rPr>
          <w:rFonts w:eastAsiaTheme="minorHAnsi" w:cs="Georgia"/>
          <w:color w:val="000000"/>
          <w:szCs w:val="19"/>
        </w:rPr>
        <w:t>The material in this Product Profile, supplemented in light of any written submissions made by stakeholders and/or issues raised at stakeholder meetings, will aid governments in determining:</w:t>
      </w:r>
    </w:p>
    <w:p w:rsidR="00443288" w:rsidRPr="00443288" w:rsidRDefault="00443288" w:rsidP="00F1452F">
      <w:pPr>
        <w:numPr>
          <w:ilvl w:val="0"/>
          <w:numId w:val="8"/>
        </w:numPr>
        <w:tabs>
          <w:tab w:val="clear" w:pos="1440"/>
          <w:tab w:val="num" w:pos="1800"/>
        </w:tabs>
        <w:autoSpaceDE w:val="0"/>
        <w:autoSpaceDN w:val="0"/>
        <w:adjustRightInd w:val="0"/>
        <w:spacing w:line="240" w:lineRule="auto"/>
        <w:ind w:left="1800"/>
        <w:rPr>
          <w:rFonts w:eastAsiaTheme="minorHAnsi" w:cs="Georgia"/>
          <w:color w:val="000000"/>
          <w:szCs w:val="19"/>
        </w:rPr>
      </w:pPr>
      <w:r w:rsidRPr="00443288">
        <w:rPr>
          <w:rFonts w:eastAsiaTheme="minorHAnsi" w:cs="Georgia"/>
          <w:color w:val="000000"/>
          <w:szCs w:val="19"/>
        </w:rPr>
        <w:t xml:space="preserve">whether to proceed with developing options to improve the energy efficiency and performance of </w:t>
      </w:r>
      <w:r>
        <w:rPr>
          <w:rFonts w:eastAsiaTheme="minorHAnsi" w:cs="Georgia"/>
          <w:color w:val="000000"/>
          <w:szCs w:val="19"/>
        </w:rPr>
        <w:t>LED lighting</w:t>
      </w:r>
    </w:p>
    <w:p w:rsidR="00443288" w:rsidRPr="00443288" w:rsidRDefault="00443288" w:rsidP="00F1452F">
      <w:pPr>
        <w:numPr>
          <w:ilvl w:val="0"/>
          <w:numId w:val="8"/>
        </w:numPr>
        <w:tabs>
          <w:tab w:val="clear" w:pos="1440"/>
          <w:tab w:val="num" w:pos="1800"/>
        </w:tabs>
        <w:autoSpaceDE w:val="0"/>
        <w:autoSpaceDN w:val="0"/>
        <w:adjustRightInd w:val="0"/>
        <w:spacing w:line="240" w:lineRule="auto"/>
        <w:ind w:left="1800"/>
        <w:rPr>
          <w:rFonts w:eastAsiaTheme="minorHAnsi" w:cs="Georgia"/>
          <w:color w:val="000000"/>
          <w:szCs w:val="19"/>
        </w:rPr>
      </w:pPr>
      <w:r w:rsidRPr="00443288">
        <w:rPr>
          <w:rFonts w:eastAsiaTheme="minorHAnsi" w:cs="Georgia"/>
          <w:color w:val="000000"/>
          <w:szCs w:val="19"/>
        </w:rPr>
        <w:t>the reliability of the information currently available to consumers, and</w:t>
      </w:r>
    </w:p>
    <w:p w:rsidR="00443288" w:rsidRPr="00443288" w:rsidRDefault="00443288" w:rsidP="00F1452F">
      <w:pPr>
        <w:numPr>
          <w:ilvl w:val="0"/>
          <w:numId w:val="8"/>
        </w:numPr>
        <w:tabs>
          <w:tab w:val="clear" w:pos="1440"/>
          <w:tab w:val="num" w:pos="1800"/>
        </w:tabs>
        <w:autoSpaceDE w:val="0"/>
        <w:autoSpaceDN w:val="0"/>
        <w:adjustRightInd w:val="0"/>
        <w:spacing w:line="240" w:lineRule="auto"/>
        <w:ind w:left="1800"/>
        <w:rPr>
          <w:rFonts w:eastAsiaTheme="minorHAnsi" w:cs="Georgia"/>
          <w:color w:val="000000"/>
          <w:szCs w:val="19"/>
        </w:rPr>
      </w:pPr>
      <w:r w:rsidRPr="00443288">
        <w:rPr>
          <w:rFonts w:eastAsiaTheme="minorHAnsi" w:cs="Georgia"/>
          <w:color w:val="000000"/>
          <w:szCs w:val="19"/>
        </w:rPr>
        <w:t>what other voluntary options may be suitable.</w:t>
      </w:r>
    </w:p>
    <w:p w:rsidR="00443288" w:rsidRPr="00443288" w:rsidRDefault="00F44349" w:rsidP="007C5E9F">
      <w:pPr>
        <w:autoSpaceDE w:val="0"/>
        <w:autoSpaceDN w:val="0"/>
        <w:adjustRightInd w:val="0"/>
        <w:spacing w:line="240" w:lineRule="auto"/>
        <w:ind w:left="360"/>
        <w:rPr>
          <w:rFonts w:eastAsiaTheme="minorHAnsi" w:cs="Georgia"/>
          <w:color w:val="000000"/>
          <w:szCs w:val="19"/>
        </w:rPr>
      </w:pPr>
      <w:r>
        <w:rPr>
          <w:rFonts w:eastAsiaTheme="minorHAnsi" w:cs="Georgia"/>
          <w:color w:val="000000"/>
          <w:szCs w:val="19"/>
        </w:rPr>
        <w:t>I</w:t>
      </w:r>
      <w:r w:rsidR="00443288" w:rsidRPr="00443288">
        <w:rPr>
          <w:rFonts w:eastAsiaTheme="minorHAnsi" w:cs="Georgia"/>
          <w:color w:val="000000"/>
          <w:szCs w:val="19"/>
        </w:rPr>
        <w:t>f the preferred option</w:t>
      </w:r>
      <w:r>
        <w:rPr>
          <w:rFonts w:eastAsiaTheme="minorHAnsi" w:cs="Georgia"/>
          <w:color w:val="000000"/>
          <w:szCs w:val="19"/>
        </w:rPr>
        <w:t>(</w:t>
      </w:r>
      <w:r w:rsidR="00443288" w:rsidRPr="00443288">
        <w:rPr>
          <w:rFonts w:eastAsiaTheme="minorHAnsi" w:cs="Georgia"/>
          <w:color w:val="000000"/>
          <w:szCs w:val="19"/>
        </w:rPr>
        <w:t>s</w:t>
      </w:r>
      <w:r>
        <w:rPr>
          <w:rFonts w:eastAsiaTheme="minorHAnsi" w:cs="Georgia"/>
          <w:color w:val="000000"/>
          <w:szCs w:val="19"/>
        </w:rPr>
        <w:t>)</w:t>
      </w:r>
      <w:r w:rsidR="00443288" w:rsidRPr="00443288">
        <w:rPr>
          <w:rFonts w:eastAsiaTheme="minorHAnsi" w:cs="Georgia"/>
          <w:color w:val="000000"/>
          <w:szCs w:val="19"/>
        </w:rPr>
        <w:t xml:space="preserve"> involve regulation (</w:t>
      </w:r>
      <w:r w:rsidR="00F966C3">
        <w:rPr>
          <w:rFonts w:eastAsiaTheme="minorHAnsi" w:cs="Georgia"/>
          <w:color w:val="000000"/>
          <w:szCs w:val="19"/>
        </w:rPr>
        <w:t xml:space="preserve">e.g. </w:t>
      </w:r>
      <w:r w:rsidR="00443288" w:rsidRPr="00443288">
        <w:rPr>
          <w:rFonts w:eastAsiaTheme="minorHAnsi" w:cs="Georgia"/>
          <w:color w:val="000000"/>
          <w:szCs w:val="19"/>
        </w:rPr>
        <w:t>MEPS and/or labelling)</w:t>
      </w:r>
      <w:r>
        <w:rPr>
          <w:rFonts w:eastAsiaTheme="minorHAnsi" w:cs="Georgia"/>
          <w:color w:val="000000"/>
          <w:szCs w:val="19"/>
        </w:rPr>
        <w:t>,</w:t>
      </w:r>
      <w:r w:rsidR="00443288" w:rsidRPr="00443288">
        <w:rPr>
          <w:rFonts w:eastAsiaTheme="minorHAnsi" w:cs="Georgia"/>
          <w:color w:val="000000"/>
          <w:szCs w:val="19"/>
        </w:rPr>
        <w:t xml:space="preserve"> a RIS will be prepared to analyse the costs, benefits and</w:t>
      </w:r>
      <w:r w:rsidR="005477FA">
        <w:rPr>
          <w:rFonts w:eastAsiaTheme="minorHAnsi" w:cs="Georgia"/>
          <w:color w:val="000000"/>
          <w:szCs w:val="19"/>
        </w:rPr>
        <w:t xml:space="preserve"> other impacts of the proposal.</w:t>
      </w:r>
      <w:r w:rsidR="00443288" w:rsidRPr="00443288">
        <w:rPr>
          <w:rFonts w:eastAsiaTheme="minorHAnsi" w:cs="Georgia"/>
          <w:color w:val="000000"/>
          <w:szCs w:val="19"/>
        </w:rPr>
        <w:t xml:space="preserve"> Consultation will be undertaken with stakeholders prior to a</w:t>
      </w:r>
      <w:r w:rsidR="005477FA">
        <w:rPr>
          <w:rFonts w:eastAsiaTheme="minorHAnsi" w:cs="Georgia"/>
          <w:color w:val="000000"/>
          <w:szCs w:val="19"/>
        </w:rPr>
        <w:t xml:space="preserve">ny final decisions being made. </w:t>
      </w:r>
      <w:r w:rsidR="00443288" w:rsidRPr="00443288">
        <w:rPr>
          <w:rFonts w:eastAsiaTheme="minorHAnsi" w:cs="Georgia"/>
          <w:color w:val="000000"/>
          <w:szCs w:val="19"/>
        </w:rPr>
        <w:t>Final decisions on policy will be made by the relevant Council of Australian Governments (COAG) Ministerial Council in Australia and by the New Zealand Cabinet.</w:t>
      </w:r>
    </w:p>
    <w:p w:rsidR="005477FA" w:rsidRPr="00443288" w:rsidRDefault="00443288" w:rsidP="005477FA">
      <w:pPr>
        <w:autoSpaceDE w:val="0"/>
        <w:autoSpaceDN w:val="0"/>
        <w:adjustRightInd w:val="0"/>
        <w:spacing w:line="240" w:lineRule="auto"/>
        <w:ind w:left="360"/>
        <w:rPr>
          <w:rFonts w:eastAsiaTheme="minorHAnsi" w:cs="Georgia"/>
          <w:color w:val="000000"/>
          <w:szCs w:val="19"/>
        </w:rPr>
      </w:pPr>
      <w:r w:rsidRPr="00443288">
        <w:rPr>
          <w:rFonts w:eastAsiaTheme="minorHAnsi" w:cs="Georgia"/>
          <w:color w:val="000000"/>
          <w:szCs w:val="19"/>
        </w:rPr>
        <w:lastRenderedPageBreak/>
        <w:t>Options for improving energy efficiency and performance of</w:t>
      </w:r>
      <w:r w:rsidR="00804AA0">
        <w:rPr>
          <w:rFonts w:eastAsiaTheme="minorHAnsi" w:cs="Georgia"/>
          <w:color w:val="000000"/>
          <w:szCs w:val="19"/>
        </w:rPr>
        <w:t xml:space="preserve"> LED</w:t>
      </w:r>
      <w:r w:rsidRPr="00443288">
        <w:rPr>
          <w:rFonts w:eastAsiaTheme="minorHAnsi" w:cs="Georgia"/>
          <w:color w:val="000000"/>
          <w:szCs w:val="19"/>
        </w:rPr>
        <w:t xml:space="preserve"> lighting will be considered alongside options for </w:t>
      </w:r>
      <w:r w:rsidR="00804AA0" w:rsidRPr="00443288">
        <w:rPr>
          <w:rFonts w:eastAsiaTheme="minorHAnsi" w:cs="Georgia"/>
          <w:color w:val="000000"/>
          <w:szCs w:val="19"/>
        </w:rPr>
        <w:t>incandescent, halogens and CFL</w:t>
      </w:r>
      <w:r w:rsidR="00804AA0">
        <w:rPr>
          <w:rFonts w:eastAsiaTheme="minorHAnsi" w:cs="Georgia"/>
          <w:color w:val="000000"/>
          <w:szCs w:val="19"/>
        </w:rPr>
        <w:t>s</w:t>
      </w:r>
      <w:r w:rsidR="00F44349">
        <w:rPr>
          <w:rFonts w:eastAsiaTheme="minorHAnsi" w:cs="Georgia"/>
          <w:color w:val="000000"/>
          <w:szCs w:val="19"/>
        </w:rPr>
        <w:t>,</w:t>
      </w:r>
      <w:r w:rsidR="00A13BBA">
        <w:rPr>
          <w:rFonts w:eastAsiaTheme="minorHAnsi" w:cs="Georgia"/>
          <w:color w:val="000000"/>
          <w:szCs w:val="19"/>
        </w:rPr>
        <w:t xml:space="preserve"> </w:t>
      </w:r>
      <w:r w:rsidRPr="00443288">
        <w:rPr>
          <w:rFonts w:eastAsiaTheme="minorHAnsi" w:cs="Georgia"/>
          <w:color w:val="000000"/>
          <w:szCs w:val="19"/>
        </w:rPr>
        <w:t>which</w:t>
      </w:r>
      <w:r w:rsidR="00A13BBA">
        <w:rPr>
          <w:rFonts w:eastAsiaTheme="minorHAnsi" w:cs="Georgia"/>
          <w:color w:val="000000"/>
          <w:szCs w:val="19"/>
        </w:rPr>
        <w:t xml:space="preserve"> </w:t>
      </w:r>
      <w:r w:rsidR="00A54C0D">
        <w:rPr>
          <w:rFonts w:eastAsiaTheme="minorHAnsi" w:cs="Georgia"/>
          <w:color w:val="000000"/>
          <w:szCs w:val="19"/>
        </w:rPr>
        <w:t>are</w:t>
      </w:r>
      <w:r w:rsidRPr="00443288">
        <w:rPr>
          <w:rFonts w:eastAsiaTheme="minorHAnsi" w:cs="Georgia"/>
          <w:color w:val="000000"/>
          <w:szCs w:val="19"/>
        </w:rPr>
        <w:t xml:space="preserve"> the subject of another Product Profile</w:t>
      </w:r>
      <w:r w:rsidR="00A54C0D">
        <w:rPr>
          <w:rFonts w:eastAsiaTheme="minorHAnsi" w:cs="Georgia"/>
          <w:color w:val="000000"/>
          <w:szCs w:val="19"/>
        </w:rPr>
        <w:t xml:space="preserve"> released in November 2014</w:t>
      </w:r>
      <w:r w:rsidRPr="00A54C0D">
        <w:rPr>
          <w:rFonts w:eastAsiaTheme="minorHAnsi" w:cs="Georgia"/>
          <w:color w:val="000000"/>
          <w:szCs w:val="19"/>
        </w:rPr>
        <w:t>.</w:t>
      </w:r>
      <w:r w:rsidR="00804AA0" w:rsidRPr="00A54C0D">
        <w:rPr>
          <w:rFonts w:eastAsiaTheme="minorHAnsi" w:cs="Georgia"/>
          <w:color w:val="000000"/>
          <w:szCs w:val="19"/>
        </w:rPr>
        <w:t xml:space="preserve"> Options for a range of commercial lighting products will be considered in a third product profile.</w:t>
      </w:r>
    </w:p>
    <w:p w:rsidR="00AD2A5C" w:rsidRPr="00DB0112" w:rsidRDefault="00C11BAC" w:rsidP="00DB0112">
      <w:pPr>
        <w:pStyle w:val="Heading3"/>
      </w:pPr>
      <w:bookmarkStart w:id="27" w:name="_Toc365466587"/>
      <w:bookmarkStart w:id="28" w:name="_Toc366162126"/>
      <w:bookmarkStart w:id="29" w:name="_Toc426387718"/>
      <w:r w:rsidRPr="00DB0112">
        <w:t>LED Lighting</w:t>
      </w:r>
      <w:r w:rsidR="00AD2A5C" w:rsidRPr="00DB0112">
        <w:t xml:space="preserve"> Product Profile – key questions</w:t>
      </w:r>
      <w:bookmarkEnd w:id="27"/>
      <w:bookmarkEnd w:id="28"/>
      <w:bookmarkEnd w:id="29"/>
    </w:p>
    <w:p w:rsidR="00DB0112" w:rsidRPr="0050545F" w:rsidRDefault="00804AA0" w:rsidP="0050545F">
      <w:pPr>
        <w:autoSpaceDE w:val="0"/>
        <w:autoSpaceDN w:val="0"/>
        <w:adjustRightInd w:val="0"/>
        <w:spacing w:after="0" w:line="240" w:lineRule="auto"/>
        <w:ind w:left="360"/>
        <w:rPr>
          <w:szCs w:val="19"/>
        </w:rPr>
      </w:pPr>
      <w:r w:rsidRPr="00804AA0">
        <w:rPr>
          <w:szCs w:val="19"/>
        </w:rPr>
        <w:t xml:space="preserve">Readers are invited to comment on any aspect of this Product Profile.  Responses to the key </w:t>
      </w:r>
      <w:r w:rsidR="00F44349">
        <w:rPr>
          <w:szCs w:val="19"/>
        </w:rPr>
        <w:t>questions</w:t>
      </w:r>
      <w:r w:rsidRPr="00804AA0">
        <w:rPr>
          <w:szCs w:val="19"/>
        </w:rPr>
        <w:t xml:space="preserve"> listed in the </w:t>
      </w:r>
      <w:r w:rsidR="0006598C">
        <w:rPr>
          <w:szCs w:val="19"/>
        </w:rPr>
        <w:t>following box</w:t>
      </w:r>
      <w:r w:rsidRPr="00804AA0">
        <w:rPr>
          <w:szCs w:val="19"/>
        </w:rPr>
        <w:t xml:space="preserve"> would be of particular assistance in determining the future direction of the lighting program.</w:t>
      </w:r>
    </w:p>
    <w:p w:rsidR="005477FA" w:rsidRPr="00166DA5" w:rsidRDefault="00405164" w:rsidP="00FC2DFD">
      <w:pPr>
        <w:pStyle w:val="E3Heading4"/>
        <w:keepNext w:val="0"/>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spacing w:after="240" w:line="240" w:lineRule="auto"/>
        <w:ind w:left="360" w:firstLine="227"/>
      </w:pPr>
      <w:r w:rsidRPr="00166DA5">
        <w:t>The Problem</w:t>
      </w:r>
    </w:p>
    <w:p w:rsidR="00405164" w:rsidRPr="00166DA5" w:rsidRDefault="00405164" w:rsidP="00FC2DFD">
      <w:pPr>
        <w:pStyle w:val="E3Bullets"/>
        <w:pBdr>
          <w:top w:val="single" w:sz="4" w:space="1" w:color="auto"/>
          <w:left w:val="single" w:sz="4" w:space="4" w:color="auto"/>
          <w:bottom w:val="single" w:sz="4" w:space="1" w:color="auto"/>
          <w:right w:val="single" w:sz="4" w:space="4" w:color="auto"/>
        </w:pBdr>
        <w:shd w:val="clear" w:color="auto" w:fill="FDE9D9" w:themeFill="accent6" w:themeFillTint="33"/>
        <w:ind w:left="587"/>
      </w:pPr>
      <w:r w:rsidRPr="00166DA5">
        <w:t>To what extent do the market barriers</w:t>
      </w:r>
      <w:r w:rsidR="00E37D4A">
        <w:t>,</w:t>
      </w:r>
      <w:r w:rsidRPr="00166DA5">
        <w:t xml:space="preserve"> ‘principal-agent problem’ and ‘split incentives’ exist</w:t>
      </w:r>
      <w:r w:rsidR="00A54C0D">
        <w:t xml:space="preserve"> for LED lighting</w:t>
      </w:r>
      <w:r w:rsidRPr="00166DA5">
        <w:t xml:space="preserve">? </w:t>
      </w:r>
      <w:r w:rsidR="002774E4">
        <w:t xml:space="preserve">For example, are </w:t>
      </w:r>
      <w:r w:rsidR="002774E4" w:rsidRPr="002774E4">
        <w:t>landlords and property developers not investing in LED lighting</w:t>
      </w:r>
      <w:r w:rsidR="00E37D4A">
        <w:t>?</w:t>
      </w:r>
      <w:r w:rsidR="00723C2B">
        <w:t xml:space="preserve"> </w:t>
      </w:r>
      <w:r w:rsidR="00E37D4A">
        <w:t>A</w:t>
      </w:r>
      <w:r w:rsidR="002774E4">
        <w:t xml:space="preserve">re they </w:t>
      </w:r>
      <w:r w:rsidR="00E37D4A">
        <w:t>having consideration for energy efficiency,</w:t>
      </w:r>
      <w:r w:rsidR="00723C2B">
        <w:t xml:space="preserve"> </w:t>
      </w:r>
      <w:r w:rsidR="002774E4">
        <w:t>product quality and performance?</w:t>
      </w:r>
    </w:p>
    <w:p w:rsidR="00E37D4A" w:rsidRDefault="00E37D4A" w:rsidP="00FC2DFD">
      <w:pPr>
        <w:pStyle w:val="E3Bullets"/>
        <w:pBdr>
          <w:top w:val="single" w:sz="4" w:space="1" w:color="auto"/>
          <w:left w:val="single" w:sz="4" w:space="4" w:color="auto"/>
          <w:bottom w:val="single" w:sz="4" w:space="1" w:color="auto"/>
          <w:right w:val="single" w:sz="4" w:space="4" w:color="auto"/>
        </w:pBdr>
        <w:shd w:val="clear" w:color="auto" w:fill="FDE9D9" w:themeFill="accent6" w:themeFillTint="33"/>
        <w:ind w:left="587"/>
      </w:pPr>
      <w:r>
        <w:t>Are experiences with poor performing (</w:t>
      </w:r>
      <w:r w:rsidR="00CC25CD">
        <w:t>e.g.</w:t>
      </w:r>
      <w:r w:rsidR="008A65AF">
        <w:t xml:space="preserve"> </w:t>
      </w:r>
      <w:r>
        <w:t xml:space="preserve">efficiency, life, quality) LED lighting products </w:t>
      </w:r>
      <w:r w:rsidR="00B81B4E">
        <w:t xml:space="preserve">or uncertainty on appropriate retrofit lamps </w:t>
      </w:r>
      <w:r>
        <w:t>affecting the rate of take u</w:t>
      </w:r>
      <w:r w:rsidR="00B81B4E">
        <w:t>p of this new technology?</w:t>
      </w:r>
    </w:p>
    <w:p w:rsidR="00405164" w:rsidRDefault="00405164" w:rsidP="00FC2DFD">
      <w:pPr>
        <w:pStyle w:val="E3Bullets"/>
        <w:pBdr>
          <w:top w:val="single" w:sz="4" w:space="1" w:color="auto"/>
          <w:left w:val="single" w:sz="4" w:space="4" w:color="auto"/>
          <w:bottom w:val="single" w:sz="4" w:space="1" w:color="auto"/>
          <w:right w:val="single" w:sz="4" w:space="4" w:color="auto"/>
        </w:pBdr>
        <w:shd w:val="clear" w:color="auto" w:fill="FDE9D9" w:themeFill="accent6" w:themeFillTint="33"/>
        <w:ind w:left="587"/>
      </w:pPr>
      <w:r w:rsidRPr="00166DA5">
        <w:t>Can you provide robust supporting data?</w:t>
      </w:r>
    </w:p>
    <w:p w:rsidR="00405164" w:rsidRPr="00166DA5" w:rsidRDefault="00405164" w:rsidP="00FC2DFD">
      <w:pPr>
        <w:pStyle w:val="E3Heading4"/>
        <w:keepNext w:val="0"/>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spacing w:after="240" w:line="240" w:lineRule="auto"/>
        <w:ind w:left="360" w:firstLine="227"/>
      </w:pPr>
      <w:r w:rsidRPr="00166DA5">
        <w:t>Product description</w:t>
      </w:r>
      <w:r>
        <w:t xml:space="preserve"> and Scope</w:t>
      </w:r>
    </w:p>
    <w:p w:rsidR="002757B3" w:rsidRDefault="002757B3" w:rsidP="00FC2DFD">
      <w:pPr>
        <w:pStyle w:val="E3Bullets"/>
        <w:pBdr>
          <w:top w:val="single" w:sz="4" w:space="1" w:color="auto"/>
          <w:left w:val="single" w:sz="4" w:space="4" w:color="auto"/>
          <w:bottom w:val="single" w:sz="4" w:space="1" w:color="auto"/>
          <w:right w:val="single" w:sz="4" w:space="4" w:color="auto"/>
        </w:pBdr>
        <w:shd w:val="clear" w:color="auto" w:fill="FDE9D9" w:themeFill="accent6" w:themeFillTint="33"/>
        <w:ind w:left="587"/>
      </w:pPr>
      <w:r>
        <w:t>Input from industry is requested to assist in developing clear definitions of LED luminaires to avoid ambiguity and not include luminaires outside of the scope of this Product Profile.</w:t>
      </w:r>
      <w:r w:rsidR="00F44349" w:rsidRPr="00F44349">
        <w:t xml:space="preserve"> Can you provide recommended definitions for LED luminaires?</w:t>
      </w:r>
    </w:p>
    <w:p w:rsidR="00405164" w:rsidRDefault="00405164" w:rsidP="00FC2DFD">
      <w:pPr>
        <w:pStyle w:val="E3Bullets"/>
        <w:pBdr>
          <w:top w:val="single" w:sz="4" w:space="1" w:color="auto"/>
          <w:left w:val="single" w:sz="4" w:space="4" w:color="auto"/>
          <w:bottom w:val="single" w:sz="4" w:space="1" w:color="auto"/>
          <w:right w:val="single" w:sz="4" w:space="4" w:color="auto"/>
        </w:pBdr>
        <w:shd w:val="clear" w:color="auto" w:fill="FDE9D9" w:themeFill="accent6" w:themeFillTint="33"/>
        <w:ind w:left="587"/>
      </w:pPr>
      <w:r w:rsidRPr="00166DA5">
        <w:t xml:space="preserve">Can you comment on the key </w:t>
      </w:r>
      <w:r>
        <w:t xml:space="preserve">LED lamp and luminaire </w:t>
      </w:r>
      <w:r w:rsidRPr="00166DA5">
        <w:t xml:space="preserve">types in terms </w:t>
      </w:r>
      <w:r w:rsidR="00F44349">
        <w:t>which</w:t>
      </w:r>
      <w:r w:rsidR="00A13BBA">
        <w:t xml:space="preserve"> </w:t>
      </w:r>
      <w:r>
        <w:t xml:space="preserve">are likely to have a significant market share </w:t>
      </w:r>
      <w:r w:rsidRPr="00166DA5">
        <w:t>in the future?</w:t>
      </w:r>
    </w:p>
    <w:p w:rsidR="00405164" w:rsidRDefault="00405164" w:rsidP="00FC2DFD">
      <w:pPr>
        <w:pStyle w:val="E3Bullets"/>
        <w:pBdr>
          <w:top w:val="single" w:sz="4" w:space="1" w:color="auto"/>
          <w:left w:val="single" w:sz="4" w:space="4" w:color="auto"/>
          <w:bottom w:val="single" w:sz="4" w:space="1" w:color="auto"/>
          <w:right w:val="single" w:sz="4" w:space="4" w:color="auto"/>
        </w:pBdr>
        <w:shd w:val="clear" w:color="auto" w:fill="FDE9D9" w:themeFill="accent6" w:themeFillTint="33"/>
        <w:ind w:left="587"/>
      </w:pPr>
      <w:r>
        <w:t>If a MEPS scheme for LED lighting was to be introduced, what scope of products (including lamps and integrated luminaires) should be subject to the MEPS requirements?</w:t>
      </w:r>
    </w:p>
    <w:p w:rsidR="00B83855" w:rsidRPr="00166DA5" w:rsidRDefault="00B83855" w:rsidP="00FC2DFD">
      <w:pPr>
        <w:pStyle w:val="E3Bullets"/>
        <w:pBdr>
          <w:top w:val="single" w:sz="4" w:space="1" w:color="auto"/>
          <w:left w:val="single" w:sz="4" w:space="4" w:color="auto"/>
          <w:bottom w:val="single" w:sz="4" w:space="1" w:color="auto"/>
          <w:right w:val="single" w:sz="4" w:space="4" w:color="auto"/>
        </w:pBdr>
        <w:shd w:val="clear" w:color="auto" w:fill="FDE9D9" w:themeFill="accent6" w:themeFillTint="33"/>
        <w:ind w:left="587"/>
      </w:pPr>
      <w:r>
        <w:t>Can you suggest</w:t>
      </w:r>
      <w:r w:rsidRPr="00B83855">
        <w:t xml:space="preserve"> way</w:t>
      </w:r>
      <w:r>
        <w:t>s</w:t>
      </w:r>
      <w:r w:rsidRPr="00B83855">
        <w:t xml:space="preserve"> to </w:t>
      </w:r>
      <w:r>
        <w:t xml:space="preserve">better </w:t>
      </w:r>
      <w:r w:rsidRPr="00B83855">
        <w:t>collect product identification data for lighting products during the registration process in order to as</w:t>
      </w:r>
      <w:r>
        <w:t>sist with compliance activities?</w:t>
      </w:r>
    </w:p>
    <w:p w:rsidR="00405164" w:rsidRPr="00B91383" w:rsidRDefault="00405164" w:rsidP="00FC2DFD">
      <w:pPr>
        <w:pStyle w:val="E3Heading4"/>
        <w:keepNext w:val="0"/>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spacing w:after="240" w:line="240" w:lineRule="auto"/>
        <w:ind w:left="360" w:firstLine="227"/>
      </w:pPr>
      <w:r w:rsidRPr="00B91383">
        <w:t>Market profile</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8"/>
      </w:tblGrid>
      <w:tr w:rsidR="0006598C" w:rsidTr="00FC2DFD">
        <w:trPr>
          <w:trHeight w:val="3052"/>
        </w:trPr>
        <w:tc>
          <w:tcPr>
            <w:tcW w:w="9548" w:type="dxa"/>
            <w:shd w:val="clear" w:color="auto" w:fill="FDE9D9" w:themeFill="accent6" w:themeFillTint="33"/>
          </w:tcPr>
          <w:p w:rsidR="0006598C" w:rsidRDefault="0006598C" w:rsidP="0006598C">
            <w:pPr>
              <w:pStyle w:val="E3Bullets"/>
              <w:ind w:left="422"/>
            </w:pPr>
            <w:r w:rsidRPr="00166DA5">
              <w:t xml:space="preserve">Can you provide information on the market share and market trends for LED lighting in the </w:t>
            </w:r>
            <w:r>
              <w:t>Australian and New Zealand markets</w:t>
            </w:r>
            <w:r w:rsidRPr="00166DA5">
              <w:t>?</w:t>
            </w:r>
          </w:p>
          <w:p w:rsidR="0006598C" w:rsidRDefault="0006598C" w:rsidP="0006598C">
            <w:pPr>
              <w:pStyle w:val="E3Bullets"/>
              <w:ind w:left="422"/>
            </w:pPr>
            <w:r w:rsidRPr="00166DA5">
              <w:t xml:space="preserve">Can you provide data to support the anecdotal evidence that </w:t>
            </w:r>
            <w:r>
              <w:t xml:space="preserve">LED lighting is replacing (or could replace in the future) a range of other lighting technologies including: </w:t>
            </w:r>
          </w:p>
          <w:p w:rsidR="0006598C" w:rsidRPr="0093605C" w:rsidRDefault="0006598C" w:rsidP="00FC2DFD">
            <w:pPr>
              <w:pStyle w:val="E3SubSubBullets"/>
              <w:spacing w:line="276" w:lineRule="auto"/>
              <w:ind w:left="1159"/>
            </w:pPr>
            <w:r w:rsidRPr="0093605C">
              <w:t>pilot lamps</w:t>
            </w:r>
          </w:p>
          <w:p w:rsidR="0006598C" w:rsidRPr="0093605C" w:rsidRDefault="0006598C" w:rsidP="00FC2DFD">
            <w:pPr>
              <w:pStyle w:val="E3SubSubBullets"/>
              <w:spacing w:line="276" w:lineRule="auto"/>
              <w:ind w:left="1159"/>
            </w:pPr>
            <w:r w:rsidRPr="0093605C">
              <w:t>Incandescent lamps 25W and below</w:t>
            </w:r>
          </w:p>
          <w:p w:rsidR="0006598C" w:rsidRPr="0093605C" w:rsidRDefault="0006598C" w:rsidP="00FC2DFD">
            <w:pPr>
              <w:pStyle w:val="E3SubSubBullets"/>
              <w:spacing w:line="276" w:lineRule="auto"/>
              <w:ind w:left="1159"/>
            </w:pPr>
            <w:r w:rsidRPr="0093605C">
              <w:t>Mains voltage omnidirectional incandescent lamps</w:t>
            </w:r>
          </w:p>
          <w:p w:rsidR="0006598C" w:rsidRPr="0093605C" w:rsidRDefault="0006598C" w:rsidP="00FC2DFD">
            <w:pPr>
              <w:pStyle w:val="E3SubSubBullets"/>
              <w:spacing w:line="276" w:lineRule="auto"/>
              <w:ind w:left="1159"/>
            </w:pPr>
            <w:r w:rsidRPr="0093605C">
              <w:t>Mains voltage reflector incandescent lamps</w:t>
            </w:r>
          </w:p>
          <w:p w:rsidR="0006598C" w:rsidRDefault="0006598C" w:rsidP="00FC2DFD">
            <w:pPr>
              <w:pStyle w:val="E3SubSubBullets"/>
              <w:spacing w:line="276" w:lineRule="auto"/>
              <w:ind w:left="1159"/>
            </w:pPr>
            <w:r>
              <w:t>Extra l</w:t>
            </w:r>
            <w:r w:rsidRPr="0093605C">
              <w:t>ow volta</w:t>
            </w:r>
            <w:r>
              <w:t>ge reflector incandescent lamps</w:t>
            </w:r>
          </w:p>
          <w:p w:rsidR="0006598C" w:rsidRDefault="0006598C" w:rsidP="00FC2DFD">
            <w:pPr>
              <w:pStyle w:val="E3SubSubBullets"/>
              <w:spacing w:line="276" w:lineRule="auto"/>
              <w:ind w:left="1159"/>
            </w:pPr>
            <w:r>
              <w:t>Linear fluorescent lamps</w:t>
            </w:r>
          </w:p>
          <w:p w:rsidR="0006598C" w:rsidRDefault="0006598C" w:rsidP="00FC2DFD">
            <w:pPr>
              <w:pStyle w:val="E3SubSubBullets"/>
              <w:spacing w:line="276" w:lineRule="auto"/>
              <w:ind w:left="1159"/>
            </w:pPr>
            <w:r>
              <w:t>Existing lighting systems including those with dimming circuits and motion detectors?</w:t>
            </w:r>
          </w:p>
        </w:tc>
      </w:tr>
    </w:tbl>
    <w:p w:rsidR="00405164" w:rsidRPr="00166DA5" w:rsidRDefault="00405164" w:rsidP="00FC2DFD">
      <w:pPr>
        <w:pStyle w:val="E3Heading4"/>
        <w:keepNext w:val="0"/>
        <w:numPr>
          <w:ilvl w:val="0"/>
          <w:numId w:val="0"/>
        </w:numPr>
        <w:pBdr>
          <w:top w:val="single" w:sz="4" w:space="1" w:color="auto"/>
          <w:left w:val="single" w:sz="4" w:space="4" w:color="auto"/>
          <w:bottom w:val="single" w:sz="4" w:space="0" w:color="auto"/>
          <w:right w:val="single" w:sz="4" w:space="4" w:color="auto"/>
        </w:pBdr>
        <w:shd w:val="clear" w:color="auto" w:fill="DBE5F1" w:themeFill="accent1" w:themeFillTint="33"/>
        <w:spacing w:after="240" w:line="240" w:lineRule="auto"/>
        <w:ind w:left="360" w:firstLine="227"/>
      </w:pPr>
      <w:r w:rsidRPr="00166DA5">
        <w:t>Performance and testing standards</w:t>
      </w:r>
    </w:p>
    <w:p w:rsidR="00405164" w:rsidRDefault="00405164" w:rsidP="00FC2DFD">
      <w:pPr>
        <w:pStyle w:val="E3Bullets"/>
        <w:pBdr>
          <w:top w:val="single" w:sz="4" w:space="1" w:color="auto"/>
          <w:left w:val="single" w:sz="4" w:space="4" w:color="auto"/>
          <w:bottom w:val="single" w:sz="4" w:space="1" w:color="auto"/>
          <w:right w:val="single" w:sz="4" w:space="4" w:color="auto"/>
        </w:pBdr>
        <w:shd w:val="clear" w:color="auto" w:fill="FDE9D9" w:themeFill="accent6" w:themeFillTint="33"/>
        <w:ind w:left="587"/>
      </w:pPr>
      <w:r w:rsidRPr="00166DA5">
        <w:t xml:space="preserve">Can you comment </w:t>
      </w:r>
      <w:r>
        <w:t xml:space="preserve">on the options canvassed in Chapter </w:t>
      </w:r>
      <w:r w:rsidR="00A54C0D">
        <w:t>8</w:t>
      </w:r>
      <w:r>
        <w:t xml:space="preserve"> for LED tests standards and minimum performance parameters and levels that could be appli</w:t>
      </w:r>
      <w:r w:rsidR="00F44349">
        <w:t>ed in Australia and New Zealand?</w:t>
      </w:r>
    </w:p>
    <w:p w:rsidR="008A527E" w:rsidRDefault="008A527E" w:rsidP="00FC2DFD">
      <w:pPr>
        <w:pStyle w:val="E3Bullets"/>
        <w:pBdr>
          <w:top w:val="single" w:sz="4" w:space="1" w:color="auto"/>
          <w:left w:val="single" w:sz="4" w:space="4" w:color="auto"/>
          <w:bottom w:val="single" w:sz="4" w:space="1" w:color="auto"/>
          <w:right w:val="single" w:sz="4" w:space="4" w:color="auto"/>
        </w:pBdr>
        <w:shd w:val="clear" w:color="auto" w:fill="FDE9D9" w:themeFill="accent6" w:themeFillTint="33"/>
        <w:ind w:left="587"/>
      </w:pPr>
      <w:r>
        <w:t xml:space="preserve">In setting a possible minimum energy performance level, would </w:t>
      </w:r>
      <w:r>
        <w:rPr>
          <w:lang w:eastAsia="en-AU"/>
        </w:rPr>
        <w:t xml:space="preserve">a lumen-dependent MEPS curve (as per EU MEPS, and AU CFL MEPS) or a </w:t>
      </w:r>
      <w:r w:rsidR="009F0034">
        <w:rPr>
          <w:lang w:eastAsia="en-AU"/>
        </w:rPr>
        <w:t xml:space="preserve">flat </w:t>
      </w:r>
      <w:r>
        <w:rPr>
          <w:lang w:eastAsia="en-AU"/>
        </w:rPr>
        <w:t>cut-off MEPS line (as per IEA 4ESSL) be appropriate?</w:t>
      </w:r>
    </w:p>
    <w:p w:rsidR="00405164" w:rsidRDefault="00405164" w:rsidP="00FC2DFD">
      <w:pPr>
        <w:pStyle w:val="E3Bullets"/>
        <w:pBdr>
          <w:top w:val="single" w:sz="4" w:space="1" w:color="auto"/>
          <w:left w:val="single" w:sz="4" w:space="4" w:color="auto"/>
          <w:bottom w:val="single" w:sz="4" w:space="1" w:color="auto"/>
          <w:right w:val="single" w:sz="4" w:space="4" w:color="auto"/>
        </w:pBdr>
        <w:shd w:val="clear" w:color="auto" w:fill="FDE9D9" w:themeFill="accent6" w:themeFillTint="33"/>
        <w:ind w:left="587"/>
      </w:pPr>
      <w:r w:rsidRPr="00166DA5">
        <w:t xml:space="preserve">Can you comment on the current and likely future availability </w:t>
      </w:r>
      <w:r w:rsidR="00153D05">
        <w:t xml:space="preserve">of </w:t>
      </w:r>
      <w:r>
        <w:t>LED lighting</w:t>
      </w:r>
      <w:r w:rsidRPr="00166DA5">
        <w:t xml:space="preserve"> which would meet </w:t>
      </w:r>
      <w:r>
        <w:t>the proposed regulatory levels?</w:t>
      </w:r>
    </w:p>
    <w:p w:rsidR="00405164" w:rsidRPr="00166DA5" w:rsidRDefault="00405164" w:rsidP="00FC2DFD">
      <w:pPr>
        <w:pStyle w:val="E3Heading4"/>
        <w:keepNext w:val="0"/>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spacing w:after="240" w:line="240" w:lineRule="auto"/>
        <w:ind w:left="360" w:firstLine="227"/>
        <w:rPr>
          <w:rFonts w:eastAsiaTheme="minorHAnsi"/>
        </w:rPr>
      </w:pPr>
      <w:r w:rsidRPr="00B91383">
        <w:t>Technological advances</w:t>
      </w:r>
    </w:p>
    <w:p w:rsidR="00A54C0D" w:rsidRPr="00A54C0D" w:rsidRDefault="00A54C0D" w:rsidP="00FC2DFD">
      <w:pPr>
        <w:pStyle w:val="E3Bullets"/>
        <w:pBdr>
          <w:top w:val="single" w:sz="4" w:space="1" w:color="auto"/>
          <w:left w:val="single" w:sz="4" w:space="4" w:color="auto"/>
          <w:bottom w:val="single" w:sz="4" w:space="1" w:color="auto"/>
          <w:right w:val="single" w:sz="4" w:space="4" w:color="auto"/>
        </w:pBdr>
        <w:shd w:val="clear" w:color="auto" w:fill="FDE9D9" w:themeFill="accent6" w:themeFillTint="33"/>
        <w:ind w:left="587"/>
      </w:pPr>
      <w:r>
        <w:t xml:space="preserve">How can the </w:t>
      </w:r>
      <w:r w:rsidR="009F0034">
        <w:t xml:space="preserve">parasitic </w:t>
      </w:r>
      <w:r>
        <w:t>energy consumption implications of ‘Smart’ lighting be minimised or avoided?</w:t>
      </w:r>
    </w:p>
    <w:p w:rsidR="00405164" w:rsidRPr="00B91383" w:rsidRDefault="00405164" w:rsidP="00FC2DFD">
      <w:pPr>
        <w:pStyle w:val="E3Heading4"/>
        <w:keepNext w:val="0"/>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spacing w:after="240" w:line="240" w:lineRule="auto"/>
        <w:ind w:left="360" w:firstLine="227"/>
      </w:pPr>
      <w:r w:rsidRPr="00B91383">
        <w:lastRenderedPageBreak/>
        <w:t>Policy options</w:t>
      </w:r>
    </w:p>
    <w:p w:rsidR="00405164" w:rsidRDefault="00405164" w:rsidP="00FC2DFD">
      <w:pPr>
        <w:pStyle w:val="E3Bullets"/>
        <w:pBdr>
          <w:top w:val="single" w:sz="4" w:space="1" w:color="auto"/>
          <w:left w:val="single" w:sz="4" w:space="4" w:color="auto"/>
          <w:bottom w:val="single" w:sz="4" w:space="1" w:color="auto"/>
          <w:right w:val="single" w:sz="4" w:space="4" w:color="auto"/>
        </w:pBdr>
        <w:shd w:val="clear" w:color="auto" w:fill="FDE9D9" w:themeFill="accent6" w:themeFillTint="33"/>
        <w:ind w:left="587"/>
      </w:pPr>
      <w:r w:rsidRPr="00444E71">
        <w:t xml:space="preserve">Do you think the policy options discussed in Chapter </w:t>
      </w:r>
      <w:r w:rsidRPr="00A54C0D">
        <w:t>8</w:t>
      </w:r>
      <w:r w:rsidRPr="00444E71">
        <w:t xml:space="preserve"> could feasibly address the Problem outlined in Chapter </w:t>
      </w:r>
      <w:r w:rsidRPr="00A54C0D">
        <w:t>2</w:t>
      </w:r>
      <w:r w:rsidRPr="00444E71">
        <w:t>, in terms of market failures inhibiting improved energy efficiency of residential lighting</w:t>
      </w:r>
      <w:r>
        <w:t xml:space="preserve">? </w:t>
      </w:r>
    </w:p>
    <w:p w:rsidR="00405164" w:rsidRPr="00166DA5" w:rsidRDefault="00405164" w:rsidP="00FC2DFD">
      <w:pPr>
        <w:pStyle w:val="E3Bullets"/>
        <w:pBdr>
          <w:top w:val="single" w:sz="4" w:space="1" w:color="auto"/>
          <w:left w:val="single" w:sz="4" w:space="4" w:color="auto"/>
          <w:bottom w:val="single" w:sz="4" w:space="1" w:color="auto"/>
          <w:right w:val="single" w:sz="4" w:space="4" w:color="auto"/>
        </w:pBdr>
        <w:shd w:val="clear" w:color="auto" w:fill="FDE9D9" w:themeFill="accent6" w:themeFillTint="33"/>
        <w:ind w:left="587"/>
      </w:pPr>
      <w:r w:rsidRPr="00444E71">
        <w:t xml:space="preserve">What additional costs do you think the policy options discussed in Chapter </w:t>
      </w:r>
      <w:r w:rsidRPr="00A54C0D">
        <w:t>8</w:t>
      </w:r>
      <w:r w:rsidRPr="00444E71">
        <w:t xml:space="preserve"> would place on industry compared to the current situation</w:t>
      </w:r>
      <w:r w:rsidRPr="00166DA5">
        <w:t xml:space="preserve">? </w:t>
      </w:r>
    </w:p>
    <w:p w:rsidR="00405164" w:rsidRPr="00166DA5" w:rsidRDefault="00405164" w:rsidP="00FC2DFD">
      <w:pPr>
        <w:pStyle w:val="E3Bullets"/>
        <w:pBdr>
          <w:top w:val="single" w:sz="4" w:space="1" w:color="auto"/>
          <w:left w:val="single" w:sz="4" w:space="4" w:color="auto"/>
          <w:bottom w:val="single" w:sz="4" w:space="1" w:color="auto"/>
          <w:right w:val="single" w:sz="4" w:space="4" w:color="auto"/>
        </w:pBdr>
        <w:shd w:val="clear" w:color="auto" w:fill="FDE9D9" w:themeFill="accent6" w:themeFillTint="33"/>
        <w:ind w:left="587"/>
      </w:pPr>
      <w:r w:rsidRPr="00166DA5">
        <w:t xml:space="preserve">What do you think would be the best way for governments to facilitate an increase in the average energy efficiency of </w:t>
      </w:r>
      <w:r>
        <w:t>lighting in relation to LED lighting</w:t>
      </w:r>
      <w:r w:rsidRPr="00166DA5">
        <w:t xml:space="preserve">? </w:t>
      </w:r>
    </w:p>
    <w:p w:rsidR="00B91383" w:rsidRPr="0006598C" w:rsidRDefault="00405164" w:rsidP="00FC2DFD">
      <w:pPr>
        <w:pStyle w:val="E3Bullets"/>
        <w:pBdr>
          <w:top w:val="single" w:sz="4" w:space="1" w:color="auto"/>
          <w:left w:val="single" w:sz="4" w:space="4" w:color="auto"/>
          <w:bottom w:val="single" w:sz="4" w:space="1" w:color="auto"/>
          <w:right w:val="single" w:sz="4" w:space="4" w:color="auto"/>
        </w:pBdr>
        <w:shd w:val="clear" w:color="auto" w:fill="FDE9D9" w:themeFill="accent6" w:themeFillTint="33"/>
        <w:ind w:left="587"/>
        <w:rPr>
          <w:szCs w:val="19"/>
        </w:rPr>
      </w:pPr>
      <w:r w:rsidRPr="00444E71">
        <w:t xml:space="preserve">Stakeholders are asked to provide data to support in-depth cost-benefit analyses of the policy options discussed in Chapter </w:t>
      </w:r>
      <w:r w:rsidRPr="00A54C0D">
        <w:t>8</w:t>
      </w:r>
      <w:r w:rsidR="00F44349">
        <w:t>?</w:t>
      </w:r>
    </w:p>
    <w:p w:rsidR="000B5003" w:rsidRDefault="003431D6" w:rsidP="003013BC">
      <w:pPr>
        <w:pStyle w:val="E3Heading4"/>
        <w:keepNext w:val="0"/>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spacing w:after="240" w:line="240" w:lineRule="auto"/>
        <w:ind w:left="360" w:firstLine="227"/>
      </w:pPr>
      <w:r w:rsidRPr="00B91383">
        <w:t>Incandescent and Halogen Phase-out</w:t>
      </w:r>
      <w:r w:rsidR="00194DE3" w:rsidRPr="00B91383">
        <w:t xml:space="preserve"> (Australia)</w:t>
      </w:r>
      <w:r w:rsidR="0006598C">
        <w:t xml:space="preserve"> </w:t>
      </w:r>
      <w:bookmarkStart w:id="30" w:name="_Ref425166737"/>
    </w:p>
    <w:p w:rsidR="003013BC" w:rsidRDefault="003013BC" w:rsidP="003013BC">
      <w:pPr>
        <w:pStyle w:val="E3Bullets"/>
        <w:pBdr>
          <w:top w:val="single" w:sz="4" w:space="1" w:color="auto"/>
          <w:left w:val="single" w:sz="4" w:space="4" w:color="auto"/>
          <w:bottom w:val="single" w:sz="4" w:space="1" w:color="auto"/>
          <w:right w:val="single" w:sz="4" w:space="4" w:color="auto"/>
        </w:pBdr>
        <w:shd w:val="clear" w:color="auto" w:fill="FDE9D9" w:themeFill="accent6" w:themeFillTint="33"/>
        <w:ind w:left="587"/>
      </w:pPr>
      <w:r w:rsidRPr="003431D6">
        <w:t xml:space="preserve">Stakeholder views are also invited on an option considered in the Incandescent, Halogen and Compact Fluorescent Lamps Product Profile regarding the development of MEPS in Australia to phase out incandescent and halogen lamps and replace with CFL/LED technology, with a staged implementation in different lamp categories as and when LED technology has matured sufficiently.  Stakeholders are encouraged to consider and comment on that option further in the context of this LED product profile, and in particular provide advice on the timing of the implementation of such a MEPS in Australia. Following the analysis in the previous product profile and given the advances in LED lighting, </w:t>
      </w:r>
      <w:r w:rsidR="00F93265">
        <w:rPr>
          <w:highlight w:val="yellow"/>
        </w:rPr>
        <w:fldChar w:fldCharType="begin"/>
      </w:r>
      <w:r w:rsidR="00F93265">
        <w:instrText xml:space="preserve"> REF _Ref427335171 \h </w:instrText>
      </w:r>
      <w:r w:rsidR="00F93265">
        <w:rPr>
          <w:highlight w:val="yellow"/>
        </w:rPr>
      </w:r>
      <w:r w:rsidR="00F93265">
        <w:rPr>
          <w:highlight w:val="yellow"/>
        </w:rPr>
        <w:fldChar w:fldCharType="separate"/>
      </w:r>
      <w:r w:rsidR="00F93265">
        <w:t xml:space="preserve">Table </w:t>
      </w:r>
      <w:r w:rsidR="00F93265">
        <w:rPr>
          <w:noProof/>
        </w:rPr>
        <w:t>1</w:t>
      </w:r>
      <w:r w:rsidR="00F93265">
        <w:rPr>
          <w:highlight w:val="yellow"/>
        </w:rPr>
        <w:fldChar w:fldCharType="end"/>
      </w:r>
      <w:r w:rsidR="00F93265">
        <w:t xml:space="preserve"> </w:t>
      </w:r>
      <w:r w:rsidRPr="003431D6">
        <w:t>outlines a phase-out timetable for a range of incandescent and halogen lamps.  Scope and exclusions would be generally consistent with those specified in AS 4934.2 with the exception of reinforced construction (rough use) lamps, which would no longer be excluded.</w:t>
      </w:r>
      <w:r>
        <w:t xml:space="preserve"> </w:t>
      </w:r>
      <w:r w:rsidRPr="003431D6">
        <w:t>Further advice from industry stakeholders is required, in particular regarding the compatibility issues related to the timing of the phase-out of low v</w:t>
      </w:r>
      <w:r>
        <w:t>oltage halogen reflector lamps.</w:t>
      </w:r>
    </w:p>
    <w:p w:rsidR="003013BC" w:rsidRPr="003013BC" w:rsidRDefault="003013BC" w:rsidP="003013BC"/>
    <w:p w:rsidR="003431D6" w:rsidRPr="000B6B18" w:rsidRDefault="003431D6" w:rsidP="00DB0112">
      <w:pPr>
        <w:pStyle w:val="Caption"/>
        <w:keepNext/>
        <w:tabs>
          <w:tab w:val="left" w:pos="4820"/>
        </w:tabs>
        <w:ind w:left="587"/>
      </w:pPr>
      <w:bookmarkStart w:id="31" w:name="_Ref427335171"/>
      <w:bookmarkStart w:id="32" w:name="_Toc426387816"/>
      <w:r>
        <w:t xml:space="preserve">Table </w:t>
      </w:r>
      <w:r>
        <w:fldChar w:fldCharType="begin"/>
      </w:r>
      <w:r>
        <w:instrText xml:space="preserve"> SEQ Table \* ARABIC </w:instrText>
      </w:r>
      <w:r>
        <w:fldChar w:fldCharType="separate"/>
      </w:r>
      <w:r w:rsidR="002C13E2">
        <w:rPr>
          <w:noProof/>
        </w:rPr>
        <w:t>1</w:t>
      </w:r>
      <w:r>
        <w:fldChar w:fldCharType="end"/>
      </w:r>
      <w:bookmarkEnd w:id="30"/>
      <w:bookmarkEnd w:id="31"/>
      <w:r>
        <w:t>. Proposed Incandescent Lamp Phase-out Dates</w:t>
      </w:r>
      <w:r w:rsidR="00194DE3">
        <w:t xml:space="preserve"> </w:t>
      </w:r>
      <w:r w:rsidR="006540A8">
        <w:t>in Australia</w:t>
      </w:r>
      <w:bookmarkEnd w:id="32"/>
    </w:p>
    <w:tbl>
      <w:tblPr>
        <w:tblW w:w="9027" w:type="dxa"/>
        <w:jc w:val="center"/>
        <w:tblInd w:w="720" w:type="dxa"/>
        <w:tblCellMar>
          <w:left w:w="0" w:type="dxa"/>
          <w:right w:w="0" w:type="dxa"/>
        </w:tblCellMar>
        <w:tblLook w:val="04A0" w:firstRow="1" w:lastRow="0" w:firstColumn="1" w:lastColumn="0" w:noHBand="0" w:noVBand="1"/>
      </w:tblPr>
      <w:tblGrid>
        <w:gridCol w:w="7610"/>
        <w:gridCol w:w="1417"/>
      </w:tblGrid>
      <w:tr w:rsidR="003431D6" w:rsidRPr="006818B9" w:rsidTr="000B5003">
        <w:trPr>
          <w:jc w:val="center"/>
        </w:trPr>
        <w:tc>
          <w:tcPr>
            <w:tcW w:w="76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431D6" w:rsidRPr="009928B5" w:rsidRDefault="003431D6" w:rsidP="004502B7">
            <w:pPr>
              <w:pStyle w:val="TableParagraph"/>
              <w:rPr>
                <w:rFonts w:ascii="Georgia" w:hAnsi="Georgia"/>
                <w:b/>
                <w:lang w:eastAsia="en-AU"/>
              </w:rPr>
            </w:pPr>
            <w:r w:rsidRPr="009928B5">
              <w:rPr>
                <w:rFonts w:ascii="Georgia" w:hAnsi="Georgia"/>
                <w:b/>
                <w:lang w:eastAsia="en-AU"/>
              </w:rPr>
              <w:t>Product Category</w:t>
            </w:r>
          </w:p>
        </w:tc>
        <w:tc>
          <w:tcPr>
            <w:tcW w:w="1417"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431D6" w:rsidRPr="009928B5" w:rsidRDefault="003431D6" w:rsidP="004502B7">
            <w:pPr>
              <w:pStyle w:val="TableParagraph"/>
              <w:rPr>
                <w:rFonts w:ascii="Georgia" w:hAnsi="Georgia"/>
                <w:b/>
                <w:lang w:eastAsia="en-AU"/>
              </w:rPr>
            </w:pPr>
            <w:r w:rsidRPr="009928B5">
              <w:rPr>
                <w:rFonts w:ascii="Georgia" w:hAnsi="Georgia"/>
                <w:b/>
                <w:lang w:eastAsia="en-AU"/>
              </w:rPr>
              <w:t>Phase-out Date</w:t>
            </w:r>
          </w:p>
        </w:tc>
      </w:tr>
      <w:tr w:rsidR="003431D6" w:rsidRPr="006818B9" w:rsidTr="000B5003">
        <w:trPr>
          <w:jc w:val="center"/>
        </w:trPr>
        <w:tc>
          <w:tcPr>
            <w:tcW w:w="7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31D6" w:rsidRPr="006818B9" w:rsidRDefault="003431D6" w:rsidP="004502B7">
            <w:pPr>
              <w:pStyle w:val="TableParagraph"/>
              <w:rPr>
                <w:rFonts w:ascii="Georgia" w:hAnsi="Georgia"/>
                <w:lang w:eastAsia="en-AU"/>
              </w:rPr>
            </w:pPr>
            <w:r w:rsidRPr="006818B9">
              <w:rPr>
                <w:rFonts w:ascii="Georgia" w:hAnsi="Georgia"/>
                <w:lang w:eastAsia="en-AU"/>
              </w:rPr>
              <w:t xml:space="preserve">Decorative, fancy round and candle incandescent and halogen lamps ≥10W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3431D6" w:rsidRPr="006818B9" w:rsidRDefault="003431D6" w:rsidP="004502B7">
            <w:pPr>
              <w:pStyle w:val="TableParagraph"/>
              <w:rPr>
                <w:rFonts w:ascii="Georgia" w:hAnsi="Georgia"/>
                <w:lang w:eastAsia="en-AU"/>
              </w:rPr>
            </w:pPr>
            <w:r w:rsidRPr="006818B9">
              <w:rPr>
                <w:rFonts w:ascii="Georgia" w:hAnsi="Georgia"/>
                <w:lang w:eastAsia="en-AU"/>
              </w:rPr>
              <w:t>2017</w:t>
            </w:r>
          </w:p>
        </w:tc>
      </w:tr>
      <w:tr w:rsidR="003431D6" w:rsidRPr="006818B9" w:rsidTr="000B5003">
        <w:trPr>
          <w:jc w:val="center"/>
        </w:trPr>
        <w:tc>
          <w:tcPr>
            <w:tcW w:w="7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31D6" w:rsidRPr="006818B9" w:rsidRDefault="003431D6" w:rsidP="004502B7">
            <w:pPr>
              <w:pStyle w:val="TableParagraph"/>
              <w:rPr>
                <w:rFonts w:ascii="Georgia" w:hAnsi="Georgia"/>
                <w:lang w:eastAsia="en-AU"/>
              </w:rPr>
            </w:pPr>
            <w:r w:rsidRPr="006818B9">
              <w:rPr>
                <w:rFonts w:ascii="Georgia" w:hAnsi="Georgia"/>
                <w:lang w:eastAsia="en-AU"/>
              </w:rPr>
              <w:t>GLS mains voltage omnidirectional halogen lamps</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3431D6" w:rsidRPr="006818B9" w:rsidRDefault="003431D6" w:rsidP="004502B7">
            <w:pPr>
              <w:pStyle w:val="TableParagraph"/>
              <w:rPr>
                <w:rFonts w:ascii="Georgia" w:hAnsi="Georgia"/>
                <w:lang w:eastAsia="en-AU"/>
              </w:rPr>
            </w:pPr>
            <w:r w:rsidRPr="006818B9">
              <w:rPr>
                <w:rFonts w:ascii="Georgia" w:hAnsi="Georgia"/>
                <w:lang w:eastAsia="en-AU"/>
              </w:rPr>
              <w:t>2018</w:t>
            </w:r>
          </w:p>
        </w:tc>
      </w:tr>
      <w:tr w:rsidR="003431D6" w:rsidRPr="006818B9" w:rsidTr="000B5003">
        <w:trPr>
          <w:jc w:val="center"/>
        </w:trPr>
        <w:tc>
          <w:tcPr>
            <w:tcW w:w="7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31D6" w:rsidRPr="006818B9" w:rsidRDefault="003431D6" w:rsidP="004502B7">
            <w:pPr>
              <w:pStyle w:val="TableParagraph"/>
              <w:rPr>
                <w:rFonts w:ascii="Georgia" w:hAnsi="Georgia"/>
                <w:lang w:eastAsia="en-AU"/>
              </w:rPr>
            </w:pPr>
            <w:r w:rsidRPr="006818B9">
              <w:rPr>
                <w:rFonts w:ascii="Georgia" w:hAnsi="Georgia"/>
                <w:lang w:eastAsia="en-AU"/>
              </w:rPr>
              <w:t>Mains voltage reflector incandescent and halogen lamps &lt; 150W</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3431D6" w:rsidRPr="006818B9" w:rsidRDefault="003431D6" w:rsidP="004502B7">
            <w:pPr>
              <w:pStyle w:val="TableParagraph"/>
              <w:rPr>
                <w:rFonts w:ascii="Georgia" w:hAnsi="Georgia"/>
                <w:lang w:eastAsia="en-AU"/>
              </w:rPr>
            </w:pPr>
            <w:r w:rsidRPr="006818B9">
              <w:rPr>
                <w:rFonts w:ascii="Georgia" w:hAnsi="Georgia"/>
                <w:lang w:eastAsia="en-AU"/>
              </w:rPr>
              <w:t>2018</w:t>
            </w:r>
          </w:p>
        </w:tc>
      </w:tr>
      <w:tr w:rsidR="003431D6" w:rsidRPr="006818B9" w:rsidTr="000B5003">
        <w:trPr>
          <w:jc w:val="center"/>
        </w:trPr>
        <w:tc>
          <w:tcPr>
            <w:tcW w:w="7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31D6" w:rsidRPr="006818B9" w:rsidRDefault="003431D6" w:rsidP="004502B7">
            <w:pPr>
              <w:pStyle w:val="TableParagraph"/>
              <w:rPr>
                <w:rFonts w:ascii="Georgia" w:hAnsi="Georgia"/>
                <w:lang w:eastAsia="en-AU"/>
              </w:rPr>
            </w:pPr>
            <w:r w:rsidRPr="006818B9">
              <w:rPr>
                <w:rFonts w:ascii="Georgia" w:hAnsi="Georgia"/>
                <w:lang w:eastAsia="en-AU"/>
              </w:rPr>
              <w:t>Extra low voltage halogen reflector lamps</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3431D6" w:rsidRPr="006818B9" w:rsidRDefault="003431D6" w:rsidP="004502B7">
            <w:pPr>
              <w:pStyle w:val="TableParagraph"/>
              <w:rPr>
                <w:rFonts w:ascii="Georgia" w:hAnsi="Georgia"/>
                <w:lang w:eastAsia="en-AU"/>
              </w:rPr>
            </w:pPr>
            <w:r w:rsidRPr="006818B9">
              <w:rPr>
                <w:rFonts w:ascii="Georgia" w:hAnsi="Georgia"/>
                <w:lang w:eastAsia="en-AU"/>
              </w:rPr>
              <w:t>2018</w:t>
            </w:r>
          </w:p>
        </w:tc>
      </w:tr>
      <w:tr w:rsidR="003431D6" w:rsidRPr="006818B9" w:rsidTr="000B5003">
        <w:trPr>
          <w:jc w:val="center"/>
        </w:trPr>
        <w:tc>
          <w:tcPr>
            <w:tcW w:w="7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31D6" w:rsidRPr="006818B9" w:rsidRDefault="003431D6" w:rsidP="004502B7">
            <w:pPr>
              <w:pStyle w:val="TableParagraph"/>
              <w:rPr>
                <w:rFonts w:ascii="Georgia" w:hAnsi="Georgia"/>
                <w:lang w:eastAsia="en-AU"/>
              </w:rPr>
            </w:pPr>
            <w:r w:rsidRPr="006818B9">
              <w:rPr>
                <w:rFonts w:ascii="Georgia" w:hAnsi="Georgia"/>
                <w:lang w:eastAsia="en-AU"/>
              </w:rPr>
              <w:t>Extra low voltage halogen omnidirectional lamps</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3431D6" w:rsidRPr="006818B9" w:rsidRDefault="003431D6" w:rsidP="004502B7">
            <w:pPr>
              <w:pStyle w:val="TableParagraph"/>
              <w:rPr>
                <w:rFonts w:ascii="Georgia" w:hAnsi="Georgia"/>
                <w:lang w:eastAsia="en-AU"/>
              </w:rPr>
            </w:pPr>
            <w:r w:rsidRPr="006818B9">
              <w:rPr>
                <w:rFonts w:ascii="Georgia" w:hAnsi="Georgia"/>
                <w:lang w:eastAsia="en-AU"/>
              </w:rPr>
              <w:t>2018</w:t>
            </w:r>
          </w:p>
        </w:tc>
      </w:tr>
      <w:tr w:rsidR="003431D6" w:rsidRPr="006818B9" w:rsidTr="000B5003">
        <w:trPr>
          <w:jc w:val="center"/>
        </w:trPr>
        <w:tc>
          <w:tcPr>
            <w:tcW w:w="7610" w:type="dxa"/>
            <w:tcBorders>
              <w:top w:val="single" w:sz="8" w:space="0" w:color="auto"/>
              <w:left w:val="single" w:sz="8" w:space="0" w:color="auto"/>
              <w:bottom w:val="nil"/>
              <w:right w:val="single" w:sz="8" w:space="0" w:color="auto"/>
            </w:tcBorders>
            <w:tcMar>
              <w:top w:w="0" w:type="dxa"/>
              <w:left w:w="108" w:type="dxa"/>
              <w:bottom w:w="0" w:type="dxa"/>
              <w:right w:w="108" w:type="dxa"/>
            </w:tcMar>
          </w:tcPr>
          <w:p w:rsidR="003431D6" w:rsidRPr="006818B9" w:rsidRDefault="003431D6" w:rsidP="004502B7">
            <w:pPr>
              <w:pStyle w:val="TableParagraph"/>
              <w:rPr>
                <w:rFonts w:ascii="Georgia" w:hAnsi="Georgia"/>
                <w:lang w:eastAsia="en-AU"/>
              </w:rPr>
            </w:pPr>
            <w:r w:rsidRPr="006818B9">
              <w:rPr>
                <w:rFonts w:ascii="Georgia" w:hAnsi="Georgia"/>
                <w:lang w:eastAsia="en-AU"/>
              </w:rPr>
              <w:t>Luminaires – may not be supplied with an incandescent or halogen lamp</w:t>
            </w:r>
          </w:p>
        </w:tc>
        <w:tc>
          <w:tcPr>
            <w:tcW w:w="1417" w:type="dxa"/>
            <w:tcBorders>
              <w:top w:val="single" w:sz="8" w:space="0" w:color="auto"/>
              <w:left w:val="nil"/>
              <w:bottom w:val="nil"/>
              <w:right w:val="single" w:sz="8" w:space="0" w:color="auto"/>
            </w:tcBorders>
            <w:tcMar>
              <w:top w:w="0" w:type="dxa"/>
              <w:left w:w="108" w:type="dxa"/>
              <w:bottom w:w="0" w:type="dxa"/>
              <w:right w:w="108" w:type="dxa"/>
            </w:tcMar>
          </w:tcPr>
          <w:p w:rsidR="003431D6" w:rsidRPr="006818B9" w:rsidRDefault="003431D6" w:rsidP="004502B7">
            <w:pPr>
              <w:pStyle w:val="TableParagraph"/>
              <w:rPr>
                <w:rFonts w:ascii="Georgia" w:hAnsi="Georgia"/>
                <w:lang w:eastAsia="en-AU"/>
              </w:rPr>
            </w:pPr>
            <w:r w:rsidRPr="006818B9">
              <w:rPr>
                <w:rFonts w:ascii="Georgia" w:hAnsi="Georgia"/>
                <w:lang w:eastAsia="en-AU"/>
              </w:rPr>
              <w:t>2017</w:t>
            </w:r>
          </w:p>
        </w:tc>
      </w:tr>
      <w:tr w:rsidR="003431D6" w:rsidRPr="006818B9" w:rsidTr="000B5003">
        <w:trPr>
          <w:jc w:val="center"/>
        </w:trPr>
        <w:tc>
          <w:tcPr>
            <w:tcW w:w="76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431D6" w:rsidRPr="006818B9" w:rsidRDefault="003431D6" w:rsidP="004502B7">
            <w:pPr>
              <w:pStyle w:val="TableParagraph"/>
              <w:rPr>
                <w:rFonts w:ascii="Georgia" w:hAnsi="Georgia"/>
                <w:lang w:eastAsia="en-AU"/>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3431D6" w:rsidRPr="006818B9" w:rsidRDefault="003431D6" w:rsidP="004502B7">
            <w:pPr>
              <w:pStyle w:val="TableParagraph"/>
              <w:rPr>
                <w:rFonts w:ascii="Georgia" w:hAnsi="Georgia"/>
                <w:lang w:eastAsia="en-AU"/>
              </w:rPr>
            </w:pPr>
          </w:p>
        </w:tc>
      </w:tr>
    </w:tbl>
    <w:p w:rsidR="00AD3B67" w:rsidRDefault="00AD3B67" w:rsidP="007C5E9F">
      <w:pPr>
        <w:ind w:left="360"/>
      </w:pPr>
    </w:p>
    <w:p w:rsidR="005477FA" w:rsidRDefault="005477FA" w:rsidP="007C5E9F">
      <w:pPr>
        <w:ind w:left="360"/>
      </w:pPr>
    </w:p>
    <w:p w:rsidR="00846804" w:rsidRPr="003107D2" w:rsidRDefault="00846804" w:rsidP="007C5E9F">
      <w:pPr>
        <w:ind w:left="360"/>
        <w:sectPr w:rsidR="00846804" w:rsidRPr="003107D2" w:rsidSect="00AD2A5C">
          <w:headerReference w:type="default" r:id="rId25"/>
          <w:footerReference w:type="first" r:id="rId26"/>
          <w:pgSz w:w="11907" w:h="16840" w:code="9"/>
          <w:pgMar w:top="1134" w:right="1134" w:bottom="1418" w:left="1134" w:header="142" w:footer="709" w:gutter="0"/>
          <w:cols w:space="720"/>
          <w:titlePg/>
          <w:docGrid w:linePitch="360"/>
        </w:sectPr>
      </w:pPr>
    </w:p>
    <w:p w:rsidR="00631365" w:rsidRDefault="00631365" w:rsidP="00631365">
      <w:pPr>
        <w:pStyle w:val="Heading1"/>
      </w:pPr>
      <w:bookmarkStart w:id="33" w:name="_Toc426387719"/>
      <w:bookmarkStart w:id="34" w:name="_Toc366162128"/>
      <w:r w:rsidRPr="003107D2">
        <w:lastRenderedPageBreak/>
        <w:t>The problem</w:t>
      </w:r>
      <w:bookmarkEnd w:id="33"/>
    </w:p>
    <w:p w:rsidR="00AD2A5C" w:rsidRPr="003107D2" w:rsidRDefault="00AD2A5C" w:rsidP="00631365">
      <w:pPr>
        <w:pStyle w:val="Heading2"/>
      </w:pPr>
      <w:bookmarkStart w:id="35" w:name="_Toc426387720"/>
      <w:r w:rsidRPr="003107D2">
        <w:t>Scope</w:t>
      </w:r>
      <w:bookmarkEnd w:id="34"/>
      <w:bookmarkEnd w:id="35"/>
    </w:p>
    <w:p w:rsidR="00F51101" w:rsidRDefault="00A2293A" w:rsidP="007C5E9F">
      <w:pPr>
        <w:pStyle w:val="E3BodyText"/>
        <w:ind w:left="360"/>
      </w:pPr>
      <w:r>
        <w:t xml:space="preserve">This </w:t>
      </w:r>
      <w:r w:rsidR="00F44349">
        <w:t>scope of this product profile is</w:t>
      </w:r>
      <w:r>
        <w:t xml:space="preserve"> LED lighting, which encompasses LED light sources including omnidirectional and reflector lamps (including those with integral and non-integral drivers) and luminaires</w:t>
      </w:r>
      <w:r w:rsidR="00F51101">
        <w:t xml:space="preserve"> in Australia and New Zealand</w:t>
      </w:r>
      <w:r>
        <w:t>.</w:t>
      </w:r>
      <w:r w:rsidR="002E4AFD">
        <w:t xml:space="preserve"> </w:t>
      </w:r>
      <w:r w:rsidR="00F51101" w:rsidRPr="00F51101">
        <w:t>This includes those of a non-standard form and those intended to replace standard general service incandescent, decorative, reflector and linear fluorescent lamps. Organic LEDs are not within the scope of this product profile</w:t>
      </w:r>
      <w:r w:rsidR="00F51101">
        <w:t xml:space="preserve">. The range of LED products </w:t>
      </w:r>
      <w:r w:rsidR="00F44349">
        <w:t>is</w:t>
      </w:r>
      <w:r w:rsidR="0062503D">
        <w:t xml:space="preserve"> further described in</w:t>
      </w:r>
      <w:r w:rsidR="006839CA">
        <w:t xml:space="preserve"> Chapter</w:t>
      </w:r>
      <w:r w:rsidR="005C2E93">
        <w:t xml:space="preserve"> </w:t>
      </w:r>
      <w:r w:rsidR="006839CA">
        <w:fldChar w:fldCharType="begin"/>
      </w:r>
      <w:r w:rsidR="006839CA">
        <w:instrText xml:space="preserve"> REF _Ref426379747 \n \h </w:instrText>
      </w:r>
      <w:r w:rsidR="006839CA">
        <w:fldChar w:fldCharType="separate"/>
      </w:r>
      <w:r w:rsidR="002C13E2">
        <w:t>4</w:t>
      </w:r>
      <w:r w:rsidR="006839CA">
        <w:fldChar w:fldCharType="end"/>
      </w:r>
      <w:r w:rsidR="006839CA">
        <w:t>.</w:t>
      </w:r>
    </w:p>
    <w:p w:rsidR="00AD2A5C" w:rsidRPr="003107D2" w:rsidRDefault="00AD2A5C" w:rsidP="00631365">
      <w:pPr>
        <w:pStyle w:val="Heading2"/>
      </w:pPr>
      <w:bookmarkStart w:id="36" w:name="_Toc366162129"/>
      <w:bookmarkStart w:id="37" w:name="_Toc426387721"/>
      <w:r w:rsidRPr="003107D2">
        <w:t>Objective</w:t>
      </w:r>
      <w:bookmarkEnd w:id="36"/>
      <w:bookmarkEnd w:id="37"/>
    </w:p>
    <w:p w:rsidR="00AD2A5C" w:rsidRDefault="00AD2A5C" w:rsidP="007C5E9F">
      <w:pPr>
        <w:pStyle w:val="BodyText"/>
        <w:ind w:left="360"/>
      </w:pPr>
      <w:r w:rsidRPr="003107D2">
        <w:t>The objective is to</w:t>
      </w:r>
      <w:r w:rsidR="00065C70">
        <w:t xml:space="preserve"> consider options to</w:t>
      </w:r>
      <w:r w:rsidR="00C67FA5" w:rsidRPr="00C67FA5">
        <w:t xml:space="preserve"> increase uptake of quality energy efficient LED lighting </w:t>
      </w:r>
      <w:r w:rsidR="00C67FA5">
        <w:t xml:space="preserve">products </w:t>
      </w:r>
      <w:r w:rsidR="00C67FA5" w:rsidRPr="003107D2">
        <w:t xml:space="preserve">supplied in the Australian and </w:t>
      </w:r>
      <w:r w:rsidR="00C67FA5" w:rsidRPr="00B76206">
        <w:t xml:space="preserve">New Zealand markets </w:t>
      </w:r>
      <w:r w:rsidR="00C67FA5" w:rsidRPr="00C67FA5">
        <w:t>to reduce energy consumption and emissions</w:t>
      </w:r>
      <w:r w:rsidR="008A65AF">
        <w:t xml:space="preserve"> </w:t>
      </w:r>
      <w:r w:rsidRPr="00B150F0">
        <w:t>by addressing market failures such as information failure and principal-agent problems</w:t>
      </w:r>
      <w:r w:rsidRPr="00B76206">
        <w:t>.</w:t>
      </w:r>
      <w:r w:rsidR="008A65AF">
        <w:t xml:space="preserve"> </w:t>
      </w:r>
      <w:r w:rsidR="00065C70">
        <w:t>This includes:</w:t>
      </w:r>
    </w:p>
    <w:p w:rsidR="00065C70" w:rsidRDefault="00065C70" w:rsidP="007C5E9F">
      <w:pPr>
        <w:pStyle w:val="E3Bullets"/>
        <w:ind w:left="587"/>
      </w:pPr>
      <w:r>
        <w:t>Consideration of measures such as consumer information, voluntary standards, Minimum and/or High Energy Performance Standards and product labelling that do not increase the life-cycle cost of appliances and deliver net public economic benefits to Australia and New Zealand.</w:t>
      </w:r>
    </w:p>
    <w:p w:rsidR="00065C70" w:rsidRDefault="00065C70" w:rsidP="007C5E9F">
      <w:pPr>
        <w:pStyle w:val="E3Bullets"/>
        <w:ind w:left="587"/>
      </w:pPr>
      <w:r>
        <w:t>Development of robust photometric and electrical performance standards and associated test methods in Australian/New Zealand Standards to determine individual product energy efficiency and quality performance.</w:t>
      </w:r>
    </w:p>
    <w:p w:rsidR="00065C70" w:rsidRDefault="00065C70" w:rsidP="007C5E9F">
      <w:pPr>
        <w:pStyle w:val="E3Bullets"/>
        <w:ind w:left="587"/>
      </w:pPr>
      <w:r>
        <w:t xml:space="preserve">Ensure that any approach is harmonised between Australia and New Zealand, </w:t>
      </w:r>
      <w:r w:rsidR="00C67FA5">
        <w:t xml:space="preserve">and with available international standards, </w:t>
      </w:r>
      <w:r>
        <w:t>to the extent possible.</w:t>
      </w:r>
    </w:p>
    <w:p w:rsidR="00065C70" w:rsidRPr="003107D2" w:rsidRDefault="00065C70" w:rsidP="007C5E9F">
      <w:pPr>
        <w:pStyle w:val="E3Bullets"/>
        <w:ind w:left="587"/>
      </w:pPr>
      <w:r>
        <w:t>Ensure that stakeholders and consumers are consulted regarding proposed measures and informed of measures prior to implementation.</w:t>
      </w:r>
    </w:p>
    <w:p w:rsidR="00AD2A5C" w:rsidRPr="003107D2" w:rsidRDefault="00AD2A5C" w:rsidP="00631365">
      <w:pPr>
        <w:pStyle w:val="Heading2"/>
      </w:pPr>
      <w:bookmarkStart w:id="38" w:name="_Toc366162130"/>
      <w:bookmarkStart w:id="39" w:name="_Toc426387722"/>
      <w:r w:rsidRPr="003107D2">
        <w:t>The problem</w:t>
      </w:r>
      <w:bookmarkEnd w:id="38"/>
      <w:bookmarkEnd w:id="39"/>
    </w:p>
    <w:p w:rsidR="00333C0B" w:rsidRDefault="00333C0B" w:rsidP="007C5E9F">
      <w:pPr>
        <w:pStyle w:val="BodyText"/>
        <w:ind w:left="360"/>
      </w:pPr>
      <w:r>
        <w:t>Individual lamps do not consu</w:t>
      </w:r>
      <w:r w:rsidR="00EB2EF6">
        <w:t xml:space="preserve">me large quantities of energy. </w:t>
      </w:r>
      <w:r>
        <w:t>However, the average Australian home has 48 lamps (E3 2013) and the average New Zealand hom</w:t>
      </w:r>
      <w:r w:rsidR="00EB2EF6">
        <w:t xml:space="preserve">e has 34.5 lamps (Ipsos 2012). </w:t>
      </w:r>
      <w:r>
        <w:t xml:space="preserve">When aggregated, lighting accounts for a significant proportion of the average household’s electricity use in Australia and New Zealand - typically around 12% (EES 2008; current </w:t>
      </w:r>
      <w:hyperlink r:id="rId27" w:history="1">
        <w:r w:rsidRPr="00EB2EF6">
          <w:rPr>
            <w:rStyle w:val="Hyperlink"/>
          </w:rPr>
          <w:t>EECA End Use Database</w:t>
        </w:r>
      </w:hyperlink>
      <w:r>
        <w:t xml:space="preserve"> (enduse.eeca.govt.nz))</w:t>
      </w:r>
      <w:r w:rsidR="00E50998">
        <w:rPr>
          <w:rStyle w:val="FootnoteReference"/>
        </w:rPr>
        <w:footnoteReference w:id="2"/>
      </w:r>
      <w:r>
        <w:t xml:space="preserve">. </w:t>
      </w:r>
    </w:p>
    <w:p w:rsidR="00333C0B" w:rsidRDefault="00333C0B" w:rsidP="007C5E9F">
      <w:pPr>
        <w:pStyle w:val="BodyText"/>
        <w:ind w:left="360"/>
      </w:pPr>
      <w:r>
        <w:t>MEPS and technology improvements have increased the efficiency of lamps in recent years with average households now using 27% (300 kWh p.a.) le</w:t>
      </w:r>
      <w:r w:rsidR="00EB2EF6">
        <w:t>ss energy to light their homes</w:t>
      </w:r>
      <w:r w:rsidR="008E4A02">
        <w:t xml:space="preserve"> (E3 2014)</w:t>
      </w:r>
      <w:r w:rsidR="00EB2EF6">
        <w:t xml:space="preserve">. </w:t>
      </w:r>
      <w:r>
        <w:t>However, significant numbers of consumers and businesses continue to be exposed to unnecessarily high lighting energy costs because their lamps and lighting systems are not as efficie</w:t>
      </w:r>
      <w:r w:rsidR="00EB2EF6">
        <w:t xml:space="preserve">nt as they could be.  </w:t>
      </w:r>
      <w:r>
        <w:t>Market failures, including principal-agent problems and information failures, are inhibiting the uptake of more efficient lighting and government intervention may be justified.</w:t>
      </w:r>
    </w:p>
    <w:p w:rsidR="00333C0B" w:rsidRDefault="00333C0B" w:rsidP="007C5E9F">
      <w:pPr>
        <w:pStyle w:val="BodyText"/>
        <w:ind w:left="360"/>
      </w:pPr>
      <w:r>
        <w:t>Principal-agent problems exist when an agent does not act in the best interests of the princi</w:t>
      </w:r>
      <w:r w:rsidR="00EB2EF6">
        <w:t xml:space="preserve">pal due to “split incentives”. </w:t>
      </w:r>
      <w:r>
        <w:t xml:space="preserve">For example, a builder (the agent) may choose cheaper, less efficient lighting to minimise their build costs. Even in cases where the builder may select LED lighting, they may choose </w:t>
      </w:r>
      <w:r w:rsidR="009707F8">
        <w:t xml:space="preserve">relatively </w:t>
      </w:r>
      <w:r>
        <w:t xml:space="preserve">cheaper models that are comparatively less efficient or of poor quality and reliability when compared to other efficient lighting alternatives. This is not always in the best interest of the building occupant (the principal) who is exposed to the operating costs of the lighting system installed. In the case of LED lighting, the exposure to higher operating costs </w:t>
      </w:r>
      <w:r w:rsidR="001D3887">
        <w:t xml:space="preserve">or poor quality </w:t>
      </w:r>
      <w:r>
        <w:t xml:space="preserve">may occur over a </w:t>
      </w:r>
      <w:r w:rsidR="00E66EB8">
        <w:t>long</w:t>
      </w:r>
      <w:r>
        <w:t xml:space="preserve"> lifetime.</w:t>
      </w:r>
    </w:p>
    <w:p w:rsidR="00EB2EF6" w:rsidRDefault="00333C0B" w:rsidP="007C5E9F">
      <w:pPr>
        <w:pStyle w:val="BodyText"/>
        <w:ind w:left="360"/>
      </w:pPr>
      <w:r>
        <w:lastRenderedPageBreak/>
        <w:t xml:space="preserve">Information failure can also be a problem when buyers are not able to compare the lifetime costs </w:t>
      </w:r>
      <w:r w:rsidR="008216A0">
        <w:t xml:space="preserve">or comparative quality and performance </w:t>
      </w:r>
      <w:r>
        <w:t>of different lamp technologies</w:t>
      </w:r>
      <w:r w:rsidR="00104F63">
        <w:t xml:space="preserve">, </w:t>
      </w:r>
      <w:r>
        <w:t>and therefore make s</w:t>
      </w:r>
      <w:r w:rsidR="00EB2EF6">
        <w:t xml:space="preserve">ub-optimal purchase decisions. </w:t>
      </w:r>
      <w:r>
        <w:t>For example, market research (Winton Sustainable Research Strategies 2011) has shown that consumers often lack knowledge about estimating the energy use, equivalency and running costs for di</w:t>
      </w:r>
      <w:r w:rsidR="00EB2EF6">
        <w:t xml:space="preserve">fferent lighting technologies. </w:t>
      </w:r>
      <w:r>
        <w:t>They may also make decisions based on incorrect information or limited understanding, for example that low voltage halogen lighting is efficient (“low energy”)</w:t>
      </w:r>
      <w:r w:rsidR="008216A0">
        <w:t>, or that LED lighting is always the most efficient alternative</w:t>
      </w:r>
      <w:r>
        <w:t>. The low unit cost of lamps also makes it less likely that consumers will invest the time required to make an informed decision.</w:t>
      </w:r>
    </w:p>
    <w:p w:rsidR="00E66EB8" w:rsidRDefault="00E66EB8" w:rsidP="007C5E9F">
      <w:pPr>
        <w:pStyle w:val="BodyText"/>
        <w:ind w:left="360"/>
        <w:rPr>
          <w:bCs/>
        </w:rPr>
      </w:pPr>
      <w:r>
        <w:rPr>
          <w:bCs/>
        </w:rPr>
        <w:t>In the case of commercial lighting</w:t>
      </w:r>
      <w:r w:rsidRPr="00E66EB8">
        <w:rPr>
          <w:bCs/>
        </w:rPr>
        <w:t>, both suppliers and specifiers of lighting systems may lack sufficient knowledge of new linear lamp technologies and their costs and benefits, to select the optimal equipment for the purpose of the lighting system.</w:t>
      </w:r>
      <w:r>
        <w:rPr>
          <w:bCs/>
        </w:rPr>
        <w:t xml:space="preserve"> The entry of LED lighting alternatives in the commercial lighting market has increased the complexity of these decisions.</w:t>
      </w:r>
    </w:p>
    <w:p w:rsidR="00AD3B67" w:rsidRDefault="002612CD" w:rsidP="007C5E9F">
      <w:pPr>
        <w:pStyle w:val="BodyText"/>
        <w:ind w:left="360"/>
      </w:pPr>
      <w:r>
        <w:t xml:space="preserve">While it can be expected that the market may make a natural shift towards LEDs over the next few years, the experience with the uptake of CFLs has shown that there is a risk of a consumer backlash due to variation in quality, performance, lifetime, light output and inaccurate equivalency claims.  With LED lighting, the relatively higher purchase cost of these products may exacerbate consumer reaction to poor experience with these potentially efficient </w:t>
      </w:r>
      <w:r w:rsidR="00EE21E7">
        <w:t>alternatives. If</w:t>
      </w:r>
      <w:r>
        <w:t xml:space="preserve"> this occurs, the transition to efficient lighting may remain incomplete</w:t>
      </w:r>
      <w:r w:rsidR="009707F8">
        <w:t>,</w:t>
      </w:r>
      <w:r>
        <w:t xml:space="preserve"> with missed opportunities in terms of energy savings</w:t>
      </w:r>
      <w:r w:rsidR="00104E94">
        <w:t>.</w:t>
      </w:r>
    </w:p>
    <w:p w:rsidR="00104E94" w:rsidRPr="003107D2" w:rsidRDefault="00EE21E7" w:rsidP="007C5E9F">
      <w:pPr>
        <w:ind w:left="360"/>
        <w:sectPr w:rsidR="00104E94" w:rsidRPr="003107D2" w:rsidSect="00AD2A5C">
          <w:headerReference w:type="default" r:id="rId28"/>
          <w:pgSz w:w="11907" w:h="16840" w:code="9"/>
          <w:pgMar w:top="1134" w:right="1134" w:bottom="1418" w:left="1134" w:header="142" w:footer="709" w:gutter="0"/>
          <w:cols w:space="720"/>
          <w:titlePg/>
          <w:docGrid w:linePitch="360"/>
        </w:sectPr>
      </w:pPr>
      <w:r w:rsidRPr="009F7FBA">
        <w:t>The Incandescent, Halogen and Compact Fluorescent Lamps Product Profile</w:t>
      </w:r>
      <w:r>
        <w:t xml:space="preserve"> report (E3 2014) identified</w:t>
      </w:r>
      <w:r w:rsidRPr="00104E94">
        <w:t xml:space="preserve"> further </w:t>
      </w:r>
      <w:r>
        <w:t xml:space="preserve">steps in making the transition to efficient lighting </w:t>
      </w:r>
      <w:r w:rsidRPr="00104E94">
        <w:t>that could result in potential savings of up to approximately 1 TWh (3.4 petajoules (PJ) p.a.) in New Zealand and 5.4 T</w:t>
      </w:r>
      <w:r>
        <w:t xml:space="preserve">Wh (19.3 PJ p.a.) in Australia. </w:t>
      </w:r>
      <w:r w:rsidR="009F7FBA">
        <w:t>T</w:t>
      </w:r>
      <w:r w:rsidR="00104E94" w:rsidRPr="00104E94">
        <w:t>his is the approximate potential of energy savings available from fully transitioning from incandescent and halogen lamps to CFLs and LEDs</w:t>
      </w:r>
      <w:r w:rsidR="009F7FBA">
        <w:t>. Measure</w:t>
      </w:r>
      <w:r w:rsidR="009707F8">
        <w:t>s</w:t>
      </w:r>
      <w:r w:rsidR="009F7FBA">
        <w:t xml:space="preserve"> to remove barriers and encourage the uptake of efficient quality LED lighting will contribute to ach</w:t>
      </w:r>
      <w:r w:rsidR="009707F8">
        <w:t xml:space="preserve">ieving these identified savings by ensuring minimum performance levels for LED lighting </w:t>
      </w:r>
      <w:r w:rsidR="005E6950">
        <w:t xml:space="preserve">efficacy and quality </w:t>
      </w:r>
      <w:r w:rsidR="009707F8">
        <w:t>and assisting consumers in selecting effective and efficient products.</w:t>
      </w:r>
    </w:p>
    <w:p w:rsidR="00631365" w:rsidRDefault="00631365" w:rsidP="00631365">
      <w:pPr>
        <w:pStyle w:val="Heading1"/>
      </w:pPr>
      <w:bookmarkStart w:id="40" w:name="_Ref426379747"/>
      <w:bookmarkStart w:id="41" w:name="_Toc426387723"/>
      <w:r w:rsidRPr="003107D2">
        <w:lastRenderedPageBreak/>
        <w:t>Product description</w:t>
      </w:r>
      <w:bookmarkEnd w:id="40"/>
      <w:bookmarkEnd w:id="41"/>
    </w:p>
    <w:p w:rsidR="00A5198A" w:rsidRDefault="00F51101" w:rsidP="00CF028E">
      <w:pPr>
        <w:pStyle w:val="E3BodyText"/>
        <w:ind w:left="360"/>
      </w:pPr>
      <w:r w:rsidRPr="005250D7">
        <w:t>LED</w:t>
      </w:r>
      <w:r w:rsidR="00C67FA5">
        <w:t>s, or Solid State Lighting (SSL),</w:t>
      </w:r>
      <w:r w:rsidRPr="005250D7">
        <w:t xml:space="preserve"> use one or more semiconductor diodes (solid state chip) to emit non-coherent optical radiation (light) in the visible spectrum.  This radiation can either be in the visible spectrum (i.e. the LED directly produces visible light), or the visible light can be produced indirectly, e.g. with the radiation exciting phosphor which in turns emits the visible light in a similar way to CFLs.  LEDs are currently available to replace many types of lamps and continue to evolve rapidly to cover many different lighting applications.  The performance of LED lamps is variable, </w:t>
      </w:r>
      <w:r w:rsidR="00DB493F">
        <w:t>and while</w:t>
      </w:r>
      <w:r w:rsidRPr="005250D7">
        <w:t xml:space="preserve"> in the last 2-3 years significant improvements in performance </w:t>
      </w:r>
      <w:r w:rsidR="00994AC1">
        <w:t xml:space="preserve">of good quality lamps </w:t>
      </w:r>
      <w:r w:rsidRPr="005250D7">
        <w:t>have been observed</w:t>
      </w:r>
      <w:r w:rsidR="00DB493F">
        <w:t>, testing indicates that poor quality lamps are still present in the market</w:t>
      </w:r>
      <w:r w:rsidRPr="005250D7">
        <w:t xml:space="preserve">.  LED lighting is sometimes referred to as solid state lighting (SSL) – this refers to the fact that the light is emitted from a solid object rather than a vacuum or gas tube. </w:t>
      </w:r>
      <w:r w:rsidR="00B525E0">
        <w:rPr>
          <w:highlight w:val="yellow"/>
        </w:rPr>
        <w:fldChar w:fldCharType="begin"/>
      </w:r>
      <w:r w:rsidR="00CF028E">
        <w:instrText xml:space="preserve"> REF _Ref424113556 \h </w:instrText>
      </w:r>
      <w:r w:rsidR="00B525E0">
        <w:rPr>
          <w:highlight w:val="yellow"/>
        </w:rPr>
      </w:r>
      <w:r w:rsidR="00B525E0">
        <w:rPr>
          <w:highlight w:val="yellow"/>
        </w:rPr>
        <w:fldChar w:fldCharType="separate"/>
      </w:r>
      <w:r w:rsidR="002C13E2">
        <w:t xml:space="preserve">Figure </w:t>
      </w:r>
      <w:r w:rsidR="002C13E2">
        <w:rPr>
          <w:noProof/>
        </w:rPr>
        <w:t>1</w:t>
      </w:r>
      <w:r w:rsidR="00B525E0">
        <w:rPr>
          <w:highlight w:val="yellow"/>
        </w:rPr>
        <w:fldChar w:fldCharType="end"/>
      </w:r>
      <w:r w:rsidR="000818EA">
        <w:t xml:space="preserve"> </w:t>
      </w:r>
      <w:r w:rsidRPr="005250D7">
        <w:t xml:space="preserve">shows examples of </w:t>
      </w:r>
      <w:r w:rsidR="004D3364">
        <w:t xml:space="preserve">integrated and semi-integrated </w:t>
      </w:r>
      <w:r w:rsidRPr="005250D7">
        <w:t>LED lamps (with integral power supply electronics).</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2"/>
        <w:gridCol w:w="2977"/>
        <w:gridCol w:w="3446"/>
      </w:tblGrid>
      <w:tr w:rsidR="00A5198A" w:rsidRPr="00A5198A" w:rsidTr="006224FD">
        <w:trPr>
          <w:tblHeader/>
        </w:trPr>
        <w:tc>
          <w:tcPr>
            <w:tcW w:w="3432" w:type="dxa"/>
          </w:tcPr>
          <w:p w:rsidR="00A5198A" w:rsidRPr="00A5198A" w:rsidRDefault="00CF028E" w:rsidP="00A5198A">
            <w:pPr>
              <w:tabs>
                <w:tab w:val="left" w:pos="3293"/>
              </w:tabs>
              <w:spacing w:before="60" w:after="60" w:line="240" w:lineRule="auto"/>
              <w:jc w:val="center"/>
              <w:rPr>
                <w:rFonts w:eastAsia="Times New Roman"/>
                <w:sz w:val="14"/>
                <w:szCs w:val="14"/>
              </w:rPr>
            </w:pPr>
            <w:r w:rsidRPr="0093605C">
              <w:rPr>
                <w:rFonts w:ascii="Helvetica" w:eastAsiaTheme="minorHAnsi" w:hAnsi="Helvetica" w:cs="Helvetica"/>
                <w:noProof/>
              </w:rPr>
              <w:drawing>
                <wp:inline distT="0" distB="0" distL="0" distR="0" wp14:anchorId="2FEBA8DA" wp14:editId="7EB98CCE">
                  <wp:extent cx="1440000" cy="1440000"/>
                  <wp:effectExtent l="0" t="0" r="8255" b="8255"/>
                  <wp:docPr id="3" name="Picture 3" descr="An omnidirectional (hemispherical) LED lamp used as a replacement for a traditional pear-shaped halogen or general use C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Pr>
                <w:rFonts w:eastAsia="Times New Roman"/>
                <w:sz w:val="14"/>
                <w:szCs w:val="14"/>
              </w:rPr>
              <w:br/>
            </w:r>
            <w:r w:rsidR="00A5198A" w:rsidRPr="00A5198A">
              <w:rPr>
                <w:rFonts w:eastAsia="Times New Roman"/>
                <w:sz w:val="14"/>
                <w:szCs w:val="14"/>
              </w:rPr>
              <w:t>Omnidirectional-replacement LED</w:t>
            </w:r>
          </w:p>
        </w:tc>
        <w:tc>
          <w:tcPr>
            <w:tcW w:w="2977" w:type="dxa"/>
          </w:tcPr>
          <w:p w:rsidR="00A5198A" w:rsidRPr="00A5198A" w:rsidRDefault="00CF028E" w:rsidP="004D3364">
            <w:pPr>
              <w:tabs>
                <w:tab w:val="left" w:pos="3293"/>
              </w:tabs>
              <w:spacing w:before="60" w:after="60" w:line="240" w:lineRule="auto"/>
              <w:jc w:val="center"/>
              <w:rPr>
                <w:rFonts w:eastAsia="Times New Roman"/>
                <w:sz w:val="14"/>
                <w:szCs w:val="14"/>
              </w:rPr>
            </w:pPr>
            <w:r w:rsidRPr="0093605C">
              <w:rPr>
                <w:rFonts w:ascii="Helvetica" w:eastAsiaTheme="minorHAnsi" w:hAnsi="Helvetica" w:cs="Helvetica"/>
                <w:noProof/>
              </w:rPr>
              <w:drawing>
                <wp:inline distT="0" distB="0" distL="0" distR="0" wp14:anchorId="2F5BC455" wp14:editId="6E87B057">
                  <wp:extent cx="1440000" cy="1440000"/>
                  <wp:effectExtent l="0" t="0" r="8255" b="8255"/>
                  <wp:docPr id="5" name="Picture 5" descr="An LED mains voltage directional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Pr>
                <w:rFonts w:eastAsia="Times New Roman"/>
                <w:sz w:val="14"/>
                <w:szCs w:val="14"/>
              </w:rPr>
              <w:br/>
            </w:r>
            <w:r w:rsidR="004D3364" w:rsidRPr="00A5198A">
              <w:rPr>
                <w:rFonts w:eastAsia="Times New Roman"/>
                <w:sz w:val="14"/>
                <w:szCs w:val="14"/>
              </w:rPr>
              <w:t xml:space="preserve">Directional LED lamp </w:t>
            </w:r>
          </w:p>
        </w:tc>
        <w:tc>
          <w:tcPr>
            <w:tcW w:w="3446" w:type="dxa"/>
          </w:tcPr>
          <w:p w:rsidR="00A5198A" w:rsidRPr="00A5198A" w:rsidRDefault="00CF028E" w:rsidP="00CF028E">
            <w:pPr>
              <w:keepNext/>
              <w:tabs>
                <w:tab w:val="left" w:pos="3293"/>
              </w:tabs>
              <w:spacing w:before="60" w:after="60" w:line="240" w:lineRule="auto"/>
              <w:jc w:val="center"/>
              <w:rPr>
                <w:rFonts w:eastAsia="Times New Roman"/>
                <w:sz w:val="14"/>
                <w:szCs w:val="14"/>
              </w:rPr>
            </w:pPr>
            <w:r w:rsidRPr="0093605C">
              <w:rPr>
                <w:rFonts w:ascii="Helvetica" w:eastAsiaTheme="minorHAnsi" w:hAnsi="Helvetica" w:cs="Helvetica"/>
                <w:noProof/>
              </w:rPr>
              <w:drawing>
                <wp:inline distT="0" distB="0" distL="0" distR="0" wp14:anchorId="6684F409" wp14:editId="1592F5D5">
                  <wp:extent cx="1261800" cy="1440000"/>
                  <wp:effectExtent l="0" t="0" r="0" b="8255"/>
                  <wp:docPr id="4" name="Picture 4" descr="An LED low voltage replacement M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00" cy="1440000"/>
                          </a:xfrm>
                          <a:prstGeom prst="rect">
                            <a:avLst/>
                          </a:prstGeom>
                          <a:noFill/>
                          <a:ln>
                            <a:noFill/>
                          </a:ln>
                        </pic:spPr>
                      </pic:pic>
                    </a:graphicData>
                  </a:graphic>
                </wp:inline>
              </w:drawing>
            </w:r>
            <w:r>
              <w:rPr>
                <w:rFonts w:eastAsia="Times New Roman"/>
                <w:sz w:val="14"/>
                <w:szCs w:val="14"/>
              </w:rPr>
              <w:br/>
            </w:r>
            <w:r w:rsidR="004D3364" w:rsidRPr="00A5198A">
              <w:rPr>
                <w:rFonts w:eastAsia="Times New Roman"/>
                <w:sz w:val="14"/>
                <w:szCs w:val="14"/>
              </w:rPr>
              <w:t>LED MR16</w:t>
            </w:r>
          </w:p>
        </w:tc>
      </w:tr>
    </w:tbl>
    <w:p w:rsidR="00A5198A" w:rsidRDefault="00CF028E" w:rsidP="00CF028E">
      <w:pPr>
        <w:pStyle w:val="Caption"/>
      </w:pPr>
      <w:bookmarkStart w:id="42" w:name="_Ref424113556"/>
      <w:bookmarkStart w:id="43" w:name="_Toc426387840"/>
      <w:r>
        <w:t xml:space="preserve">Figure </w:t>
      </w:r>
      <w:r w:rsidR="00B525E0">
        <w:fldChar w:fldCharType="begin"/>
      </w:r>
      <w:r>
        <w:instrText xml:space="preserve"> SEQ Figure \* ARABIC </w:instrText>
      </w:r>
      <w:r w:rsidR="00B525E0">
        <w:fldChar w:fldCharType="separate"/>
      </w:r>
      <w:r w:rsidR="002C13E2">
        <w:rPr>
          <w:noProof/>
        </w:rPr>
        <w:t>1</w:t>
      </w:r>
      <w:r w:rsidR="00B525E0">
        <w:fldChar w:fldCharType="end"/>
      </w:r>
      <w:bookmarkEnd w:id="42"/>
      <w:r>
        <w:t>.</w:t>
      </w:r>
      <w:r w:rsidRPr="005D7372">
        <w:t>Examples of integrated (left, middle) and semi-integrated (right) LED integral lamps (images courtesy Barryjoosen and Lee, E.G. via Wikimedia Commons)</w:t>
      </w:r>
      <w:bookmarkEnd w:id="43"/>
    </w:p>
    <w:p w:rsidR="008861F5" w:rsidRDefault="008861F5" w:rsidP="007C5E9F">
      <w:pPr>
        <w:pStyle w:val="E3BodyText"/>
        <w:ind w:left="360"/>
      </w:pPr>
    </w:p>
    <w:p w:rsidR="00F51101" w:rsidRPr="00F51101" w:rsidRDefault="00F51101" w:rsidP="007C5E9F">
      <w:pPr>
        <w:pStyle w:val="E3BodyText"/>
        <w:ind w:left="360"/>
      </w:pPr>
      <w:r w:rsidRPr="00F51101">
        <w:t xml:space="preserve">An </w:t>
      </w:r>
      <w:r w:rsidRPr="00D86D33">
        <w:rPr>
          <w:b/>
        </w:rPr>
        <w:t>LED light source</w:t>
      </w:r>
      <w:r w:rsidRPr="00F51101">
        <w:t xml:space="preserve"> is a lamp based on LED technology, </w:t>
      </w:r>
      <w:r w:rsidR="0004429F">
        <w:t xml:space="preserve">either </w:t>
      </w:r>
      <w:r w:rsidRPr="00F51101">
        <w:t xml:space="preserve">provided with a lamp-cap according to IEC 60061, or </w:t>
      </w:r>
      <w:r w:rsidR="0004429F">
        <w:t xml:space="preserve">manufactured as a </w:t>
      </w:r>
      <w:r w:rsidRPr="00F51101">
        <w:t xml:space="preserve">module (LED) or other component, made in order to produce an optical visible radiation to be used or incorporated into a luminaire (IEC </w:t>
      </w:r>
      <w:r w:rsidR="004D3364">
        <w:t>62504:2014</w:t>
      </w:r>
      <w:r w:rsidRPr="00F51101">
        <w:t>).</w:t>
      </w:r>
    </w:p>
    <w:p w:rsidR="00EB1C77" w:rsidRDefault="00F51101" w:rsidP="00EB1C77">
      <w:pPr>
        <w:pStyle w:val="E3BodyText"/>
        <w:ind w:left="360"/>
      </w:pPr>
      <w:r w:rsidRPr="00F51101">
        <w:t xml:space="preserve">An </w:t>
      </w:r>
      <w:r w:rsidRPr="00D86D33">
        <w:rPr>
          <w:b/>
        </w:rPr>
        <w:t>LED luminaire</w:t>
      </w:r>
      <w:r w:rsidRPr="00F51101">
        <w:t xml:space="preserve"> is a complete lighting unit consisting of LED-based light emitting elements and a matched driver together with parts to distribute light, to position and protect the light emitting elements, and connect the unit to a branch circuit (IES RP-16-10; Energy Star® Program Requirements for Luminaires – Version 1.1).</w:t>
      </w:r>
    </w:p>
    <w:p w:rsidR="00D86D33" w:rsidRDefault="00D86D33" w:rsidP="00D86D33">
      <w:pPr>
        <w:ind w:left="360"/>
      </w:pPr>
      <w:r>
        <w:t xml:space="preserve">LED lamps and module products can be broken into three basic groups in relation to how they are connected to electrical power. This terminology can be applied </w:t>
      </w:r>
      <w:r w:rsidR="0021396B">
        <w:t xml:space="preserve">to </w:t>
      </w:r>
      <w:r>
        <w:t>both lamps and modules:</w:t>
      </w:r>
    </w:p>
    <w:p w:rsidR="00D86D33" w:rsidRPr="00D86D33" w:rsidRDefault="00D86D33" w:rsidP="00F1452F">
      <w:pPr>
        <w:pStyle w:val="ListParagraph"/>
        <w:numPr>
          <w:ilvl w:val="0"/>
          <w:numId w:val="30"/>
        </w:numPr>
        <w:contextualSpacing/>
        <w:rPr>
          <w:rFonts w:ascii="Georgia" w:eastAsia="Cambria" w:hAnsi="Georgia" w:cs="Times New Roman"/>
          <w:sz w:val="19"/>
          <w:szCs w:val="24"/>
        </w:rPr>
      </w:pPr>
      <w:r w:rsidRPr="00D86D33">
        <w:rPr>
          <w:rFonts w:ascii="Georgia" w:eastAsia="Cambria" w:hAnsi="Georgia" w:cs="Times New Roman"/>
          <w:sz w:val="19"/>
          <w:szCs w:val="24"/>
        </w:rPr>
        <w:t>Integrated LED (LEDi)</w:t>
      </w:r>
    </w:p>
    <w:p w:rsidR="00D86D33" w:rsidRPr="00D86D33" w:rsidRDefault="00D86D33" w:rsidP="00F1452F">
      <w:pPr>
        <w:pStyle w:val="ListParagraph"/>
        <w:numPr>
          <w:ilvl w:val="0"/>
          <w:numId w:val="30"/>
        </w:numPr>
        <w:contextualSpacing/>
        <w:rPr>
          <w:rFonts w:ascii="Georgia" w:eastAsia="Cambria" w:hAnsi="Georgia" w:cs="Times New Roman"/>
          <w:sz w:val="19"/>
          <w:szCs w:val="24"/>
        </w:rPr>
      </w:pPr>
      <w:r w:rsidRPr="00D86D33">
        <w:rPr>
          <w:rFonts w:ascii="Georgia" w:eastAsia="Cambria" w:hAnsi="Georgia" w:cs="Times New Roman"/>
          <w:sz w:val="19"/>
          <w:szCs w:val="24"/>
        </w:rPr>
        <w:t>Semi-integrated LED (LEDsi)</w:t>
      </w:r>
    </w:p>
    <w:p w:rsidR="00D86D33" w:rsidRPr="00D86D33" w:rsidRDefault="00D86D33" w:rsidP="00F1452F">
      <w:pPr>
        <w:pStyle w:val="ListParagraph"/>
        <w:numPr>
          <w:ilvl w:val="0"/>
          <w:numId w:val="30"/>
        </w:numPr>
        <w:contextualSpacing/>
        <w:rPr>
          <w:rFonts w:ascii="Georgia" w:eastAsia="Cambria" w:hAnsi="Georgia" w:cs="Times New Roman"/>
          <w:sz w:val="19"/>
          <w:szCs w:val="24"/>
        </w:rPr>
      </w:pPr>
      <w:r w:rsidRPr="00D86D33">
        <w:rPr>
          <w:rFonts w:ascii="Georgia" w:eastAsia="Cambria" w:hAnsi="Georgia" w:cs="Times New Roman"/>
          <w:sz w:val="19"/>
          <w:szCs w:val="24"/>
        </w:rPr>
        <w:t>Non-integrated LED (LEDn) or (LEDni)</w:t>
      </w:r>
    </w:p>
    <w:p w:rsidR="00D86D33" w:rsidRDefault="00D86D33" w:rsidP="007C5E9F">
      <w:pPr>
        <w:pStyle w:val="E3BodyText"/>
        <w:ind w:left="360"/>
      </w:pPr>
    </w:p>
    <w:p w:rsidR="00D86D33" w:rsidRDefault="00D86D33" w:rsidP="00D86D33">
      <w:pPr>
        <w:pStyle w:val="E3BodyText"/>
        <w:ind w:left="360"/>
      </w:pPr>
      <w:r w:rsidRPr="00D86D33">
        <w:t xml:space="preserve">The International Commission on Illumination (CIE) </w:t>
      </w:r>
      <w:r>
        <w:t>Test Method for LED Lamps, LED Luminaires and LED modules, (</w:t>
      </w:r>
      <w:r w:rsidRPr="00D86D33">
        <w:t>CIE TC 2-71</w:t>
      </w:r>
      <w:r>
        <w:t xml:space="preserve">) </w:t>
      </w:r>
      <w:r w:rsidRPr="0014676F">
        <w:t xml:space="preserve">defines an </w:t>
      </w:r>
      <w:r w:rsidRPr="00511CC8">
        <w:rPr>
          <w:b/>
        </w:rPr>
        <w:t>integrated</w:t>
      </w:r>
      <w:r w:rsidRPr="0014676F">
        <w:t xml:space="preserve"> LED </w:t>
      </w:r>
      <w:r>
        <w:t xml:space="preserve">lamp or module </w:t>
      </w:r>
      <w:r w:rsidRPr="0014676F">
        <w:t xml:space="preserve">(LEDi) as </w:t>
      </w:r>
      <w:r>
        <w:t xml:space="preserve">an </w:t>
      </w:r>
      <w:r w:rsidRPr="0014676F">
        <w:t>“</w:t>
      </w:r>
      <w:r>
        <w:t xml:space="preserve">LED lamp/module </w:t>
      </w:r>
      <w:r w:rsidRPr="0014676F">
        <w:t>incorporating LED control gear, and any additional elements necessary for stable operation of the light source, designed for direct connection to the supply voltage”</w:t>
      </w:r>
      <w:r>
        <w:t xml:space="preserve">. Typical examples of this will be LED lamps which have a cap designed to be plugged directly into 240V power. </w:t>
      </w:r>
    </w:p>
    <w:p w:rsidR="00D86D33" w:rsidRPr="0013383C" w:rsidRDefault="00D86D33" w:rsidP="00D86D33">
      <w:pPr>
        <w:pStyle w:val="E3BodyText"/>
        <w:ind w:left="360"/>
      </w:pPr>
      <w:r w:rsidRPr="0013383C">
        <w:t xml:space="preserve">A </w:t>
      </w:r>
      <w:r w:rsidRPr="00511CC8">
        <w:rPr>
          <w:b/>
        </w:rPr>
        <w:t>semi-integrated</w:t>
      </w:r>
      <w:r w:rsidRPr="0013383C">
        <w:t xml:space="preserve"> LED (LEDsi) is defined as an “LED lamp/module </w:t>
      </w:r>
      <w:r>
        <w:t>which</w:t>
      </w:r>
      <w:r w:rsidRPr="0013383C">
        <w:t xml:space="preserve"> carries the control unit of the LED control gear, and is operated by the separated power supply of the control gear”. Examples include MR16, </w:t>
      </w:r>
      <w:r w:rsidRPr="0013383C">
        <w:lastRenderedPageBreak/>
        <w:t xml:space="preserve">MR11 </w:t>
      </w:r>
      <w:r>
        <w:t xml:space="preserve">(with bi-pin bases GU5.3, GU4 respectively) </w:t>
      </w:r>
      <w:r w:rsidRPr="0013383C">
        <w:t>which have an integrated dri</w:t>
      </w:r>
      <w:r>
        <w:t xml:space="preserve">ver </w:t>
      </w:r>
      <w:r w:rsidRPr="0013383C">
        <w:t xml:space="preserve">and though they are attached to a transformer to step down 240VAC to 12VAC/DC, the transformer is not </w:t>
      </w:r>
      <w:r w:rsidR="0021396B">
        <w:t>the</w:t>
      </w:r>
      <w:r w:rsidRPr="0013383C">
        <w:t xml:space="preserve"> driver, even though by its nature it restricts current flow. </w:t>
      </w:r>
    </w:p>
    <w:p w:rsidR="00D86D33" w:rsidRDefault="00D86D33" w:rsidP="00D86D33">
      <w:pPr>
        <w:pStyle w:val="E3BodyText"/>
        <w:ind w:left="360"/>
      </w:pPr>
      <w:r>
        <w:t xml:space="preserve">A </w:t>
      </w:r>
      <w:r w:rsidRPr="00511CC8">
        <w:rPr>
          <w:b/>
        </w:rPr>
        <w:t>non-integrated</w:t>
      </w:r>
      <w:r w:rsidR="0021396B">
        <w:t xml:space="preserve"> LED lamp or module (LEDni) i</w:t>
      </w:r>
      <w:r>
        <w:t>s an “LED lamp/module which needs separate control circuitry or LED control gear to operate”.</w:t>
      </w:r>
    </w:p>
    <w:p w:rsidR="004D3A9D" w:rsidRDefault="004D3A9D" w:rsidP="004D3A9D">
      <w:pPr>
        <w:pStyle w:val="E3BodyText"/>
        <w:ind w:left="360"/>
      </w:pPr>
      <w:r>
        <w:t>LED luminaires are e</w:t>
      </w:r>
      <w:r w:rsidR="0021396B">
        <w:t>merging as a</w:t>
      </w:r>
      <w:r>
        <w:t xml:space="preserve"> cost effective non-directional and directional lighting solution for domestic and commercial applications.</w:t>
      </w:r>
    </w:p>
    <w:p w:rsidR="004D3A9D" w:rsidRDefault="004D3A9D" w:rsidP="004D3A9D">
      <w:pPr>
        <w:pStyle w:val="E3BodyText"/>
        <w:ind w:left="360"/>
      </w:pPr>
      <w:r>
        <w:t xml:space="preserve">LED luminaires can replace traditional luminaires (that have lamp holders that potentially allow lamps of different technologies to be used).  Purpose-designed LED luminaires provide the opportunity for better optical efficiency due to the removal of the physical size/shape, light distribution, </w:t>
      </w:r>
      <w:r w:rsidR="002D7B8E">
        <w:t xml:space="preserve">and </w:t>
      </w:r>
      <w:r>
        <w:t>restrictions of traditional lamp classes (</w:t>
      </w:r>
      <w:r w:rsidR="0021396B">
        <w:t>e.g.</w:t>
      </w:r>
      <w:r>
        <w:t xml:space="preserve"> A19 shape lamp). However, this also means that, for some luminaires, the LED chip is an integral and permanent part of the luminaire (unless in module form) and any improvement in energy efficiency of the luminaire requires the replacement of the entire luminaire, at a higher cost than the replacement of a non-integrated lamp (this would be expected to occur at the end of life, which is typically declared as greater than 25,000 hours of operation). Market research of lamps sold in Australia shows that the average retail price of LEDn luminaires</w:t>
      </w:r>
      <w:r w:rsidR="00C02635">
        <w:t xml:space="preserve"> is approximately AUD$39</w:t>
      </w:r>
      <w:r>
        <w:t>,</w:t>
      </w:r>
      <w:r w:rsidR="00C02635">
        <w:t xml:space="preserve"> and for LEDi lamps it is AUD$27</w:t>
      </w:r>
      <w:r>
        <w:t xml:space="preserve">. Thus the initial purchase decision for an LED </w:t>
      </w:r>
      <w:r w:rsidR="0021396B">
        <w:t xml:space="preserve">luminaire has more significant </w:t>
      </w:r>
      <w:r>
        <w:t>and longer lasting operational life implications than a non-integrated lamp</w:t>
      </w:r>
      <w:r w:rsidR="00511CC8">
        <w:t>.</w:t>
      </w:r>
    </w:p>
    <w:p w:rsidR="00511CC8" w:rsidRDefault="00511CC8" w:rsidP="00511CC8">
      <w:pPr>
        <w:pStyle w:val="E3BodyText"/>
        <w:ind w:left="360"/>
      </w:pPr>
      <w:r>
        <w:t xml:space="preserve">LED luminaires are penetrating both domestic and non-domestic markets. If there is to be implementation of regulation for LED luminaires, the regulation may need to define an appropriate restriction point for the scope of LED luminaires to be included, due to the fast development of a very wide range of LED alternative products. </w:t>
      </w:r>
      <w:r w:rsidR="00337BD0">
        <w:rPr>
          <w:lang w:eastAsia="en-AU"/>
        </w:rPr>
        <w:t xml:space="preserve">The key markets that may require protection from low performing products will be those which typically do not engage professional lighting designers. </w:t>
      </w:r>
      <w:r>
        <w:t>Options include</w:t>
      </w:r>
      <w:r w:rsidR="008A65AF">
        <w:t xml:space="preserve"> </w:t>
      </w:r>
      <w:r>
        <w:t>limiting to:</w:t>
      </w:r>
    </w:p>
    <w:p w:rsidR="00511CC8" w:rsidRDefault="00511CC8" w:rsidP="00F1452F">
      <w:pPr>
        <w:pStyle w:val="E3BodyText"/>
        <w:numPr>
          <w:ilvl w:val="0"/>
          <w:numId w:val="31"/>
        </w:numPr>
      </w:pPr>
      <w:r>
        <w:t xml:space="preserve">domestic style LED luminaires only (this would be achieved most effectively by limiting the </w:t>
      </w:r>
      <w:r w:rsidR="00062549">
        <w:t xml:space="preserve">initial lumen output </w:t>
      </w:r>
      <w:r>
        <w:t>of products covered);</w:t>
      </w:r>
    </w:p>
    <w:p w:rsidR="00511CC8" w:rsidRDefault="00511CC8" w:rsidP="00F1452F">
      <w:pPr>
        <w:pStyle w:val="E3BodyText"/>
        <w:numPr>
          <w:ilvl w:val="0"/>
          <w:numId w:val="31"/>
        </w:numPr>
      </w:pPr>
      <w:r>
        <w:t xml:space="preserve">common interior commercial and domestic LED luminaires (limited by </w:t>
      </w:r>
      <w:r w:rsidR="00062549">
        <w:t>initial lumen output</w:t>
      </w:r>
      <w:r>
        <w:t>);</w:t>
      </w:r>
    </w:p>
    <w:p w:rsidR="00511CC8" w:rsidRDefault="00511CC8" w:rsidP="00F1452F">
      <w:pPr>
        <w:pStyle w:val="E3BodyText"/>
        <w:numPr>
          <w:ilvl w:val="0"/>
          <w:numId w:val="31"/>
        </w:numPr>
      </w:pPr>
      <w:r>
        <w:t xml:space="preserve">common (interior and exterior) commercial and domestic LED luminaires (limited by </w:t>
      </w:r>
      <w:r w:rsidR="00062549">
        <w:t>initial lumen output</w:t>
      </w:r>
      <w:r>
        <w:t>);</w:t>
      </w:r>
    </w:p>
    <w:p w:rsidR="00511CC8" w:rsidRDefault="00511CC8" w:rsidP="00F1452F">
      <w:pPr>
        <w:pStyle w:val="E3BodyText"/>
        <w:numPr>
          <w:ilvl w:val="0"/>
          <w:numId w:val="31"/>
        </w:numPr>
      </w:pPr>
      <w:r>
        <w:t xml:space="preserve">common industrial, (interior and exterior) commercial and domestic LED </w:t>
      </w:r>
      <w:r w:rsidR="00337BD0">
        <w:t xml:space="preserve">luminaires (limited by </w:t>
      </w:r>
      <w:r w:rsidR="00062549">
        <w:t>initial lumen output</w:t>
      </w:r>
      <w:r w:rsidR="00337BD0">
        <w:t>).</w:t>
      </w:r>
    </w:p>
    <w:p w:rsidR="00337BD0" w:rsidRDefault="00337BD0" w:rsidP="00337BD0">
      <w:pPr>
        <w:pStyle w:val="E3BodyText"/>
      </w:pPr>
    </w:p>
    <w:p w:rsidR="00EB1C77" w:rsidRPr="003107D2" w:rsidRDefault="00EB1C77" w:rsidP="00DB0112">
      <w:pPr>
        <w:pStyle w:val="Heading2"/>
      </w:pPr>
      <w:bookmarkStart w:id="44" w:name="_Toc366162122"/>
      <w:bookmarkStart w:id="45" w:name="_Toc426387724"/>
      <w:r w:rsidRPr="003107D2">
        <w:t>Context</w:t>
      </w:r>
      <w:bookmarkEnd w:id="44"/>
      <w:bookmarkEnd w:id="45"/>
    </w:p>
    <w:p w:rsidR="00EB1C77" w:rsidRPr="00F12439" w:rsidRDefault="00EB1C77" w:rsidP="00EB1C77">
      <w:pPr>
        <w:pStyle w:val="E3BodyText"/>
        <w:ind w:left="360"/>
      </w:pPr>
      <w:r w:rsidRPr="00F12439">
        <w:t>Energy efficiency is widely accepted as a low cost approach to reducing greenhouse gas emissions.  Modelling by the International Energy Agency (IEA) shows that as much as half the savings in greenhouse gas emissions required by 2050 can be achieved by adopting energy efficiency measures.  Improvements to energy efficiency can also help to reduce demand on electricity supply systems (such as during peak periods) with consequent savings in capacity requirements.</w:t>
      </w:r>
    </w:p>
    <w:p w:rsidR="00EB1C77" w:rsidRPr="00F12439" w:rsidRDefault="00EB1C77" w:rsidP="00EB1C77">
      <w:pPr>
        <w:pStyle w:val="E3BodyText"/>
        <w:ind w:left="360"/>
      </w:pPr>
      <w:r w:rsidRPr="00F12439">
        <w:t>The following benefits arise from use of more energy efficient technology:</w:t>
      </w:r>
    </w:p>
    <w:p w:rsidR="00EB1C77" w:rsidRPr="00F12439" w:rsidRDefault="00EB1C77" w:rsidP="00F1452F">
      <w:pPr>
        <w:pStyle w:val="E3BodyText"/>
        <w:numPr>
          <w:ilvl w:val="0"/>
          <w:numId w:val="3"/>
        </w:numPr>
        <w:ind w:left="1080"/>
      </w:pPr>
      <w:r w:rsidRPr="00F12439">
        <w:t>Enhanced economic growth through increased productivity</w:t>
      </w:r>
    </w:p>
    <w:p w:rsidR="00EB1C77" w:rsidRPr="00F12439" w:rsidRDefault="00EB1C77" w:rsidP="00F1452F">
      <w:pPr>
        <w:pStyle w:val="E3BodyText"/>
        <w:numPr>
          <w:ilvl w:val="0"/>
          <w:numId w:val="3"/>
        </w:numPr>
        <w:ind w:left="1080"/>
      </w:pPr>
      <w:r w:rsidRPr="00F12439">
        <w:t>Improved energy security by reducing energy demand</w:t>
      </w:r>
    </w:p>
    <w:p w:rsidR="00EB1C77" w:rsidRPr="00F12439" w:rsidRDefault="00EB1C77" w:rsidP="00F1452F">
      <w:pPr>
        <w:pStyle w:val="E3BodyText"/>
        <w:numPr>
          <w:ilvl w:val="0"/>
          <w:numId w:val="3"/>
        </w:numPr>
        <w:ind w:left="1080"/>
      </w:pPr>
      <w:r w:rsidRPr="00F12439">
        <w:t>Improved energy affordability by reducing consumer energy costs</w:t>
      </w:r>
    </w:p>
    <w:p w:rsidR="00EB1C77" w:rsidRPr="00F12439" w:rsidRDefault="00EB1C77" w:rsidP="00F1452F">
      <w:pPr>
        <w:pStyle w:val="E3BodyText"/>
        <w:numPr>
          <w:ilvl w:val="0"/>
          <w:numId w:val="3"/>
        </w:numPr>
        <w:ind w:left="1080"/>
      </w:pPr>
      <w:r w:rsidRPr="00F12439">
        <w:t>Deferred need for more expensive energy supply by making better use of existing energy resources</w:t>
      </w:r>
    </w:p>
    <w:p w:rsidR="00EB1C77" w:rsidRPr="00F12439" w:rsidRDefault="00EB1C77" w:rsidP="00F1452F">
      <w:pPr>
        <w:pStyle w:val="E3BodyText"/>
        <w:numPr>
          <w:ilvl w:val="0"/>
          <w:numId w:val="3"/>
        </w:numPr>
        <w:ind w:left="1080"/>
      </w:pPr>
      <w:r w:rsidRPr="00F12439">
        <w:t>Reduced greenhouse gas emissions from energy consumption.</w:t>
      </w:r>
    </w:p>
    <w:p w:rsidR="00EB1C77" w:rsidRDefault="00EB1C77" w:rsidP="00EB1C77">
      <w:pPr>
        <w:pStyle w:val="E3BodyText"/>
        <w:ind w:left="360"/>
      </w:pPr>
      <w:r>
        <w:t>In Australia, r</w:t>
      </w:r>
      <w:r w:rsidRPr="00F12439">
        <w:t xml:space="preserve">esidential lighting energy consumption, per dwelling, </w:t>
      </w:r>
      <w:r>
        <w:t>was</w:t>
      </w:r>
      <w:r w:rsidRPr="00F12439">
        <w:t xml:space="preserve"> estimated at around 1100 kilowatt-hours (kWh) in 2010.  For New Zealand, this was estimated at around 1020 kWh in 2012 (noting that these estimates do contain some weaknesses).  In both countries, more than 75% of residential lighting energy consumption is estimated to come from incandescent and halogen lamps</w:t>
      </w:r>
      <w:r>
        <w:t xml:space="preserve"> (E3 2014B)</w:t>
      </w:r>
      <w:r w:rsidRPr="00F12439">
        <w:t>.</w:t>
      </w:r>
    </w:p>
    <w:p w:rsidR="00EB1C77" w:rsidRDefault="00EB1C77" w:rsidP="00EB1C77">
      <w:pPr>
        <w:pStyle w:val="E3BodyText"/>
        <w:ind w:left="360"/>
      </w:pPr>
      <w:r w:rsidRPr="00F12439">
        <w:lastRenderedPageBreak/>
        <w:t>Australia was one of the first countries in the world to announce regulations aimed at eliminating inefficient incandescent lamps from its market.  This announcement occurred in February 2007 and was followed by the development of a MEPS program for incandescent, halogen and compact fluorescent lamps along with MEPS for low voltage halogen lighting transformers.</w:t>
      </w:r>
    </w:p>
    <w:p w:rsidR="00EB1C77" w:rsidRDefault="00EB1C77" w:rsidP="00EB1C77">
      <w:pPr>
        <w:pStyle w:val="E3BodyText"/>
        <w:ind w:left="360"/>
      </w:pPr>
      <w:r w:rsidRPr="00F12439">
        <w:t>The program was implemented in a staged fashion, commencing with an Australian import restriction on tungsten filament incandescent lamps used for general lighting service (GLS; traditional A-shaped (pear shaped) “light bulb”) lamps on 1 February 2009.  In November 2009 GLS tungsten filament and extra-low voltage halogen non-reflector lamps were subject to the more traditional “point of sale” MEPS in Australia.  The scope of MEPS for incandescent and halogen lamps was then broadened regularly until October 2012.   CFLs have been subject to MEPS in Australia since November 2009, and in New Zealand from October 2012.   The New Zealand Government does not wish to limit consumer choice, and prefers to provide energy efficiency information.  For this reason incandescent lamps are likely to remain for sale in New Zealand.  However MEPS is supported for products where there is a range of efficiencies and room for improvement, for example, CFLs.</w:t>
      </w:r>
    </w:p>
    <w:p w:rsidR="00EB1C77" w:rsidRDefault="00EB1C77" w:rsidP="00EB1C77">
      <w:pPr>
        <w:pStyle w:val="E3BodyText"/>
        <w:ind w:left="360"/>
      </w:pPr>
      <w:r w:rsidRPr="00FD38D0">
        <w:t xml:space="preserve">Voluntary ENERGY STAR® labelling for high efficiency CFL and LED lamps is available in New Zealand so that consumers can choose a high performance lamp.  </w:t>
      </w:r>
    </w:p>
    <w:p w:rsidR="00EB1C77" w:rsidRPr="00F12439" w:rsidRDefault="00EB1C77" w:rsidP="00EB1C77">
      <w:pPr>
        <w:pStyle w:val="E3BodyText"/>
        <w:ind w:left="360"/>
      </w:pPr>
      <w:r>
        <w:t>MEPS have</w:t>
      </w:r>
      <w:r w:rsidRPr="00F12439">
        <w:t xml:space="preserve"> been a key mechanism to drive performance improvements for lighting products manufactured in or imported into Australia.</w:t>
      </w:r>
      <w:r w:rsidRPr="00A2293A">
        <w:t xml:space="preserve"> To date it is estimated that the phase-out of incandescent light bulbs (along with state based energy efficiency obligations schemes) is </w:t>
      </w:r>
      <w:r>
        <w:t>saving</w:t>
      </w:r>
      <w:r w:rsidRPr="00A2293A">
        <w:t xml:space="preserve"> around 2.6 terawatt-hours (</w:t>
      </w:r>
      <w:r w:rsidR="00991F2B">
        <w:t xml:space="preserve">TWh) of electricity each year. </w:t>
      </w:r>
      <w:r w:rsidRPr="00A2293A">
        <w:t>This saving is equivalent to the total annual electricity consumption of 150,000 homes. The average household is estimated to be saving 300 kWh and $60 per annum</w:t>
      </w:r>
      <w:r>
        <w:t xml:space="preserve"> (E3 2014)</w:t>
      </w:r>
      <w:r w:rsidRPr="00A2293A">
        <w:t>.</w:t>
      </w:r>
    </w:p>
    <w:p w:rsidR="00EB1C77" w:rsidRPr="00F12439" w:rsidRDefault="00EB1C77" w:rsidP="00EB1C77">
      <w:pPr>
        <w:pStyle w:val="E3BodyText"/>
        <w:ind w:left="360"/>
      </w:pPr>
      <w:r w:rsidRPr="00F12439">
        <w:t xml:space="preserve">It is projected that a revised MEPS for incandescent, halogen and compact fluorescent lamps, by shifting the market from incandescent </w:t>
      </w:r>
      <w:r>
        <w:t xml:space="preserve">and halogen </w:t>
      </w:r>
      <w:r w:rsidRPr="00F12439">
        <w:t>lamps to efficient lighting such as compact fluorescent lamps (CFLs) an</w:t>
      </w:r>
      <w:r w:rsidR="00991F2B">
        <w:t>d light emitting diodes (LEDs),</w:t>
      </w:r>
      <w:r w:rsidRPr="00F12439">
        <w:t xml:space="preserve"> could help reduce residential lighting energy use in Australia by approximately 65% by ensuring inefficient lighting is not available on the market.</w:t>
      </w:r>
    </w:p>
    <w:p w:rsidR="00EB1C77" w:rsidRDefault="00EB1C77" w:rsidP="00EB1C77">
      <w:pPr>
        <w:pStyle w:val="E3BodyText"/>
        <w:ind w:left="360"/>
      </w:pPr>
      <w:r>
        <w:t xml:space="preserve">MEPS for incandescent lamps and CFLs are currently under review, the </w:t>
      </w:r>
      <w:hyperlink r:id="rId32" w:history="1">
        <w:r w:rsidRPr="008E2F48">
          <w:rPr>
            <w:rStyle w:val="Hyperlink"/>
          </w:rPr>
          <w:t>Incandescent, Halogen and Compact Fluorescent Lamps Product Profile Product Profile</w:t>
        </w:r>
      </w:hyperlink>
      <w:r>
        <w:t xml:space="preserve"> (</w:t>
      </w:r>
      <w:hyperlink r:id="rId33" w:history="1">
        <w:r w:rsidR="00991F2B" w:rsidRPr="00654C41">
          <w:rPr>
            <w:rStyle w:val="Hyperlink"/>
          </w:rPr>
          <w:t>www.energyrating.gov.au/for-industry/consultations/incandescent-halogen-and-compact-fluorescent-lamps-product-profile-consultation/</w:t>
        </w:r>
      </w:hyperlink>
      <w:r>
        <w:t>)</w:t>
      </w:r>
      <w:r w:rsidR="00991F2B">
        <w:t xml:space="preserve"> </w:t>
      </w:r>
      <w:r>
        <w:t>was released for stakeholder comment in November 2014.</w:t>
      </w:r>
      <w:r w:rsidR="00991F2B">
        <w:t xml:space="preserve"> </w:t>
      </w:r>
      <w:r>
        <w:t>That</w:t>
      </w:r>
      <w:r w:rsidR="00991F2B">
        <w:t xml:space="preserve"> </w:t>
      </w:r>
      <w:r>
        <w:t xml:space="preserve">Product Profile discusses </w:t>
      </w:r>
      <w:r w:rsidRPr="00883DAC">
        <w:t xml:space="preserve">the </w:t>
      </w:r>
      <w:r>
        <w:t xml:space="preserve">importance of the </w:t>
      </w:r>
      <w:r w:rsidRPr="00883DAC">
        <w:t>availability of viable, efficient alternatives for each class of lamp</w:t>
      </w:r>
      <w:r>
        <w:t xml:space="preserve">. The timing of the availability of these alternative products will help determine further revision to existing Lighting MEPS. The </w:t>
      </w:r>
      <w:r w:rsidRPr="00916AF1">
        <w:t xml:space="preserve">Incandescent, Halogen and Compact Fluorescent Lamps Product Profile </w:t>
      </w:r>
      <w:r>
        <w:t>sought stakeholder advice regarding the timing of the availability of these efficient lighting alternatives including LED lighting.  An option considered in that product profile was the d</w:t>
      </w:r>
      <w:r w:rsidRPr="00F574DB">
        <w:t>evelopment of MEPS in Australia to phase out incandescent and halogen lamps and replace with CFL/LED technology, with a staged implementation in different lamp categories as and when LED technology has matured sufficiently</w:t>
      </w:r>
      <w:r>
        <w:t>.  Stakeholders may wish to consider and comment on that option further in the context of this LED product profile.</w:t>
      </w:r>
    </w:p>
    <w:p w:rsidR="00EB1C77" w:rsidRPr="00F12439" w:rsidRDefault="00EB1C77" w:rsidP="00EB1C77">
      <w:pPr>
        <w:pStyle w:val="E3BodyText"/>
        <w:ind w:left="360"/>
      </w:pPr>
      <w:r w:rsidRPr="00883DAC">
        <w:t>Available energy efficiency measures include the use of new technologies and processes to reduce energy use in residential, business, industry a</w:t>
      </w:r>
      <w:r w:rsidR="00991F2B">
        <w:t xml:space="preserve">nd manufacturing applications. </w:t>
      </w:r>
      <w:r w:rsidRPr="00883DAC">
        <w:t>Further transition to high efficiency lamps would reduce greenhouse gas emissions by up to 2219 kilotonne CO</w:t>
      </w:r>
      <w:r w:rsidRPr="00883DAC">
        <w:rPr>
          <w:vertAlign w:val="subscript"/>
        </w:rPr>
        <w:t>2</w:t>
      </w:r>
      <w:r w:rsidRPr="00883DAC">
        <w:t>-e p.a. for Australia and 966 kilotonne CO</w:t>
      </w:r>
      <w:r w:rsidRPr="00883DAC">
        <w:rPr>
          <w:vertAlign w:val="subscript"/>
        </w:rPr>
        <w:t>2</w:t>
      </w:r>
      <w:r w:rsidRPr="00883DAC">
        <w:t>-e p.a. for New Zealand and therefore the cost of carbon abatement</w:t>
      </w:r>
      <w:r>
        <w:t xml:space="preserve"> (E3 2014)</w:t>
      </w:r>
      <w:r w:rsidR="00991F2B">
        <w:t>.</w:t>
      </w:r>
      <w:r w:rsidRPr="00883DAC">
        <w:t xml:space="preserve"> Improvements to residential lighting have a significant negative abatement cost, at about negative $40 per tonne of CO</w:t>
      </w:r>
      <w:r w:rsidRPr="00883DAC">
        <w:rPr>
          <w:vertAlign w:val="subscript"/>
        </w:rPr>
        <w:t>2</w:t>
      </w:r>
      <w:r w:rsidRPr="00883DAC">
        <w:t>-e (Lewis and Gomer 2008).</w:t>
      </w:r>
    </w:p>
    <w:p w:rsidR="00EB1C77" w:rsidRDefault="00EB1C77" w:rsidP="00EB1C77">
      <w:pPr>
        <w:pStyle w:val="E3BodyText"/>
        <w:ind w:left="360"/>
      </w:pPr>
      <w:r w:rsidRPr="00F12439">
        <w:t xml:space="preserve">Since </w:t>
      </w:r>
      <w:r>
        <w:t>the commencement of the Australian phase-out of inefficient lighting, t</w:t>
      </w:r>
      <w:r w:rsidRPr="00F12439">
        <w:t>he global lighting market has changed considerably, particularly with the introduction of LED lighting</w:t>
      </w:r>
      <w:r w:rsidR="00991F2B">
        <w:t xml:space="preserve">, </w:t>
      </w:r>
      <w:r>
        <w:t>which</w:t>
      </w:r>
      <w:r w:rsidRPr="007D03A0">
        <w:t xml:space="preserve"> has the potential to broaden the range of energy efficient lighting </w:t>
      </w:r>
      <w:r>
        <w:t>options available to consumers and remove the need for inefficient lighting to remain in the market.</w:t>
      </w:r>
    </w:p>
    <w:p w:rsidR="00EB1C77" w:rsidRDefault="00EB1C77" w:rsidP="00EB1C77">
      <w:pPr>
        <w:pStyle w:val="E3BodyText"/>
        <w:ind w:left="360"/>
      </w:pPr>
      <w:r w:rsidRPr="007D03A0">
        <w:t>Monitoring of LED lighting in the market indicates that technology is developing rapidly</w:t>
      </w:r>
      <w:r>
        <w:t>, improving in efficacy and light output level and at lower cost</w:t>
      </w:r>
      <w:r w:rsidRPr="007D03A0">
        <w:t xml:space="preserve">. However, testing of a range of LED products available in Australia and overseas has shown significant variation in quality and efficacy, and between claimed and measured performance. In some cases, consumers who choose LED lighting may find they achieve increased efficacy at the cost of light levels, light quality and higher </w:t>
      </w:r>
      <w:r>
        <w:t>purchase price</w:t>
      </w:r>
      <w:r w:rsidRPr="007D03A0">
        <w:t xml:space="preserve">. In the worst cases even the </w:t>
      </w:r>
      <w:r>
        <w:t xml:space="preserve">expected </w:t>
      </w:r>
      <w:r w:rsidRPr="007D03A0">
        <w:t>efficacy benefits may not be achieved.</w:t>
      </w:r>
    </w:p>
    <w:p w:rsidR="00EB1C77" w:rsidRPr="007D03A0" w:rsidRDefault="00EB1C77" w:rsidP="00EB1C77">
      <w:pPr>
        <w:pStyle w:val="E3BodyText"/>
        <w:ind w:left="360"/>
      </w:pPr>
      <w:r>
        <w:lastRenderedPageBreak/>
        <w:t>Variations in efficacy and quality across the market and also between claimed and actual performance may lead to consumers purchasing LED lighting products that do not fully realise the potential energy savings that efficient lighting can achieve.</w:t>
      </w:r>
    </w:p>
    <w:p w:rsidR="00EB1C77" w:rsidRPr="003107D2" w:rsidRDefault="00EB1C77" w:rsidP="00EB1C77">
      <w:pPr>
        <w:pStyle w:val="E3BodyText"/>
        <w:ind w:left="360"/>
      </w:pPr>
      <w:r w:rsidRPr="007D03A0">
        <w:t xml:space="preserve">There is a concern that consumer experience of </w:t>
      </w:r>
      <w:r>
        <w:t xml:space="preserve">relatively </w:t>
      </w:r>
      <w:r w:rsidRPr="007D03A0">
        <w:t xml:space="preserve">expensive, poor quality LEDs will impact upon their willingness to buy </w:t>
      </w:r>
      <w:r>
        <w:t>LED products</w:t>
      </w:r>
      <w:r w:rsidRPr="007D03A0">
        <w:t xml:space="preserve"> in the future. Negative consumer </w:t>
      </w:r>
      <w:r>
        <w:t>experience that leads to</w:t>
      </w:r>
      <w:r w:rsidRPr="007D03A0">
        <w:t xml:space="preserve"> decreased consumer uptake would reduce the energy savings that could be gained from adoption of this new technology as a replacement for inefficient lighting.</w:t>
      </w:r>
    </w:p>
    <w:p w:rsidR="00D93A8D" w:rsidRPr="00F51101" w:rsidRDefault="00D93A8D" w:rsidP="00DB0112">
      <w:pPr>
        <w:pStyle w:val="Heading2"/>
      </w:pPr>
      <w:bookmarkStart w:id="46" w:name="_Toc426387725"/>
      <w:r>
        <w:t>Product Scope</w:t>
      </w:r>
      <w:bookmarkEnd w:id="46"/>
    </w:p>
    <w:p w:rsidR="00F51101" w:rsidRPr="00F51101" w:rsidRDefault="00F51101" w:rsidP="007C5E9F">
      <w:pPr>
        <w:pStyle w:val="E3BodyText"/>
        <w:ind w:left="360"/>
      </w:pPr>
      <w:r w:rsidRPr="00F51101">
        <w:t>LED lamps and luminaires included in the scope of this product profile are:</w:t>
      </w:r>
    </w:p>
    <w:p w:rsidR="00F51101" w:rsidRPr="00F51101" w:rsidRDefault="00F51101" w:rsidP="00F1452F">
      <w:pPr>
        <w:pStyle w:val="E3BodyText"/>
        <w:numPr>
          <w:ilvl w:val="0"/>
          <w:numId w:val="3"/>
        </w:numPr>
      </w:pPr>
      <w:r w:rsidRPr="00F51101">
        <w:t xml:space="preserve">Integral LED lamps that are considered </w:t>
      </w:r>
      <w:r w:rsidR="00D93A8D">
        <w:t xml:space="preserve">alternative or </w:t>
      </w:r>
      <w:r w:rsidRPr="00F51101">
        <w:t>replacement lamps for currently regulated domestic lamps (integral compact fluorescent, incandescent and halogen lamps</w:t>
      </w:r>
      <w:r w:rsidR="00D93A8D">
        <w:t xml:space="preserve"> as set out in </w:t>
      </w:r>
      <w:r w:rsidR="00D93A8D" w:rsidRPr="00EC2A01">
        <w:t>AS4934.2</w:t>
      </w:r>
      <w:r w:rsidR="00D93A8D">
        <w:t xml:space="preserve"> and AS/NZS</w:t>
      </w:r>
      <w:r w:rsidR="00D93A8D" w:rsidRPr="00EC2A01">
        <w:t>AS4847.2</w:t>
      </w:r>
      <w:r w:rsidRPr="00F51101">
        <w:t>)</w:t>
      </w:r>
      <w:r w:rsidR="00337BD0">
        <w:t>:</w:t>
      </w:r>
    </w:p>
    <w:p w:rsidR="00F51101" w:rsidRPr="00F51101" w:rsidRDefault="00F51101" w:rsidP="00F1452F">
      <w:pPr>
        <w:pStyle w:val="E3BodyText"/>
        <w:numPr>
          <w:ilvl w:val="0"/>
          <w:numId w:val="2"/>
        </w:numPr>
        <w:tabs>
          <w:tab w:val="clear" w:pos="360"/>
          <w:tab w:val="num" w:pos="1440"/>
        </w:tabs>
        <w:ind w:left="1080"/>
      </w:pPr>
      <w:r w:rsidRPr="00F51101">
        <w:t>all shapes</w:t>
      </w:r>
    </w:p>
    <w:p w:rsidR="00F51101" w:rsidRDefault="00337BD0" w:rsidP="00F1452F">
      <w:pPr>
        <w:pStyle w:val="E3BodyText"/>
        <w:numPr>
          <w:ilvl w:val="0"/>
          <w:numId w:val="2"/>
        </w:numPr>
        <w:tabs>
          <w:tab w:val="clear" w:pos="360"/>
          <w:tab w:val="num" w:pos="720"/>
        </w:tabs>
        <w:ind w:left="1080"/>
      </w:pPr>
      <w:r>
        <w:t xml:space="preserve">nominal </w:t>
      </w:r>
      <w:r w:rsidR="00F51101" w:rsidRPr="00F51101">
        <w:t>wattage ≥ 1 watt</w:t>
      </w:r>
      <w:r>
        <w:t xml:space="preserve"> (no upper limit)</w:t>
      </w:r>
    </w:p>
    <w:p w:rsidR="00D93A8D" w:rsidRPr="00854D0B" w:rsidRDefault="00EE21E7" w:rsidP="00F1452F">
      <w:pPr>
        <w:pStyle w:val="E3BodyText"/>
        <w:numPr>
          <w:ilvl w:val="0"/>
          <w:numId w:val="2"/>
        </w:numPr>
        <w:tabs>
          <w:tab w:val="clear" w:pos="360"/>
          <w:tab w:val="num" w:pos="720"/>
        </w:tabs>
        <w:ind w:left="1080"/>
        <w:rPr>
          <w:lang w:val="es-ES"/>
        </w:rPr>
      </w:pPr>
      <w:r>
        <w:rPr>
          <w:lang w:val="es-ES"/>
        </w:rPr>
        <w:t>Mains Voltage</w:t>
      </w:r>
      <w:r w:rsidR="00D93A8D">
        <w:rPr>
          <w:lang w:val="es-ES"/>
        </w:rPr>
        <w:t xml:space="preserve"> (MV), c</w:t>
      </w:r>
      <w:r w:rsidR="00D93A8D" w:rsidRPr="00E52EAB">
        <w:rPr>
          <w:lang w:val="es-ES"/>
        </w:rPr>
        <w:t>aps: E14, E26, E27, B15, B22d, GU10, GX53</w:t>
      </w:r>
      <w:r w:rsidR="00E90BF7">
        <w:rPr>
          <w:lang w:val="es-ES"/>
        </w:rPr>
        <w:t>, GU24</w:t>
      </w:r>
    </w:p>
    <w:p w:rsidR="00D93A8D" w:rsidRPr="00F51101" w:rsidRDefault="00D93A8D" w:rsidP="00F1452F">
      <w:pPr>
        <w:pStyle w:val="E3BodyText"/>
        <w:numPr>
          <w:ilvl w:val="0"/>
          <w:numId w:val="2"/>
        </w:numPr>
        <w:tabs>
          <w:tab w:val="clear" w:pos="360"/>
          <w:tab w:val="num" w:pos="720"/>
        </w:tabs>
        <w:ind w:left="1080"/>
      </w:pPr>
      <w:r w:rsidRPr="00854D0B">
        <w:t>Extra Low Voltage (ELV), caps: GU5.3, GU4</w:t>
      </w:r>
    </w:p>
    <w:p w:rsidR="00F51101" w:rsidRPr="00F51101" w:rsidRDefault="00F51101" w:rsidP="00F1452F">
      <w:pPr>
        <w:pStyle w:val="E3BodyText"/>
        <w:numPr>
          <w:ilvl w:val="0"/>
          <w:numId w:val="3"/>
        </w:numPr>
      </w:pPr>
      <w:r w:rsidRPr="00F51101">
        <w:t>LED linear lamp</w:t>
      </w:r>
      <w:r w:rsidR="00D93A8D">
        <w:t>s, including</w:t>
      </w:r>
      <w:r w:rsidRPr="00F51101">
        <w:t xml:space="preserve"> replacements for currently regulated tubular fluorescent lamps</w:t>
      </w:r>
      <w:r w:rsidR="00337BD0">
        <w:t>.</w:t>
      </w:r>
    </w:p>
    <w:p w:rsidR="00F51101" w:rsidRPr="00F51101" w:rsidRDefault="00F51101" w:rsidP="00F1452F">
      <w:pPr>
        <w:pStyle w:val="E3BodyText"/>
        <w:numPr>
          <w:ilvl w:val="0"/>
          <w:numId w:val="3"/>
        </w:numPr>
      </w:pPr>
      <w:r w:rsidRPr="00F51101">
        <w:t xml:space="preserve">LED replacement lamps for </w:t>
      </w:r>
      <w:r w:rsidR="00337BD0">
        <w:t xml:space="preserve">other </w:t>
      </w:r>
      <w:r w:rsidRPr="00F51101">
        <w:t>fluorescent lamps currently under consideration for regulation (e.g. circular fluorescent lamps)</w:t>
      </w:r>
      <w:r w:rsidR="00337BD0">
        <w:t>.</w:t>
      </w:r>
    </w:p>
    <w:p w:rsidR="00F51101" w:rsidRPr="00F51101" w:rsidRDefault="00F51101" w:rsidP="00F1452F">
      <w:pPr>
        <w:pStyle w:val="E3BodyText"/>
        <w:numPr>
          <w:ilvl w:val="0"/>
          <w:numId w:val="3"/>
        </w:numPr>
      </w:pPr>
      <w:r w:rsidRPr="00F51101">
        <w:t>LED luminaires with an integrated LED-based light emitting element other than a</w:t>
      </w:r>
      <w:r w:rsidR="00511CC8">
        <w:t xml:space="preserve"> replaceable</w:t>
      </w:r>
      <w:r w:rsidRPr="00F51101">
        <w:t xml:space="preserve"> LED lamp (i.e. LED packages, LED arrays, LED light engines) connected to the mains supply</w:t>
      </w:r>
    </w:p>
    <w:p w:rsidR="00F51101" w:rsidRPr="00F51101" w:rsidRDefault="00F51101" w:rsidP="00F1452F">
      <w:pPr>
        <w:pStyle w:val="E3BodyText"/>
        <w:numPr>
          <w:ilvl w:val="0"/>
          <w:numId w:val="2"/>
        </w:numPr>
        <w:tabs>
          <w:tab w:val="clear" w:pos="360"/>
          <w:tab w:val="num" w:pos="1080"/>
        </w:tabs>
        <w:ind w:left="1080"/>
      </w:pPr>
      <w:r w:rsidRPr="00F51101">
        <w:t>Includes integrated downlights, suspended and surface mounted, recessed, panels, battens, high-bay and low-bay LED luminaires</w:t>
      </w:r>
    </w:p>
    <w:p w:rsidR="00F51101" w:rsidRPr="00F51101" w:rsidRDefault="00F51101" w:rsidP="00F1452F">
      <w:pPr>
        <w:pStyle w:val="E3BodyText"/>
        <w:numPr>
          <w:ilvl w:val="0"/>
          <w:numId w:val="2"/>
        </w:numPr>
        <w:ind w:left="1080"/>
      </w:pPr>
      <w:r w:rsidRPr="00F51101">
        <w:t>All shapes</w:t>
      </w:r>
    </w:p>
    <w:p w:rsidR="00F51101" w:rsidRPr="00F51101" w:rsidRDefault="00F51101" w:rsidP="00F1452F">
      <w:pPr>
        <w:pStyle w:val="E3BodyText"/>
        <w:numPr>
          <w:ilvl w:val="0"/>
          <w:numId w:val="2"/>
        </w:numPr>
        <w:ind w:left="1080"/>
      </w:pPr>
      <w:r w:rsidRPr="00F51101">
        <w:t xml:space="preserve">Nominal </w:t>
      </w:r>
      <w:r w:rsidR="0076320F">
        <w:t>initial lumen output</w:t>
      </w:r>
    </w:p>
    <w:p w:rsidR="00276C46" w:rsidRDefault="00F51101" w:rsidP="00F1452F">
      <w:pPr>
        <w:pStyle w:val="E3BodyText"/>
        <w:numPr>
          <w:ilvl w:val="0"/>
          <w:numId w:val="2"/>
        </w:numPr>
        <w:tabs>
          <w:tab w:val="clear" w:pos="360"/>
          <w:tab w:val="num" w:pos="720"/>
        </w:tabs>
        <w:ind w:left="1440"/>
      </w:pPr>
      <w:r w:rsidRPr="00F51101">
        <w:t xml:space="preserve">If domestic products only ≥ </w:t>
      </w:r>
      <w:r w:rsidR="00B03B01">
        <w:t>30 lumens</w:t>
      </w:r>
      <w:r w:rsidR="002101CC">
        <w:t xml:space="preserve"> </w:t>
      </w:r>
      <w:r w:rsidRPr="00F51101">
        <w:t xml:space="preserve">and ≤ </w:t>
      </w:r>
      <w:r w:rsidR="00B03B01">
        <w:t>3000 lumens</w:t>
      </w:r>
      <w:r w:rsidR="002101CC">
        <w:t xml:space="preserve"> (equates to an incandescent range of approximately 5W to 149W)</w:t>
      </w:r>
    </w:p>
    <w:p w:rsidR="00276C46" w:rsidRDefault="00F51101" w:rsidP="00F1452F">
      <w:pPr>
        <w:pStyle w:val="E3BodyText"/>
        <w:numPr>
          <w:ilvl w:val="0"/>
          <w:numId w:val="2"/>
        </w:numPr>
        <w:tabs>
          <w:tab w:val="clear" w:pos="360"/>
          <w:tab w:val="num" w:pos="720"/>
        </w:tabs>
        <w:ind w:left="1440"/>
      </w:pPr>
      <w:r w:rsidRPr="00F51101">
        <w:t>All applications (except high-bay and low-bay</w:t>
      </w:r>
      <w:r w:rsidR="00B03B01">
        <w:t xml:space="preserve"> and street lights</w:t>
      </w:r>
      <w:r w:rsidRPr="00F51101">
        <w:t xml:space="preserve">) ≥ </w:t>
      </w:r>
      <w:r w:rsidR="00B03B01">
        <w:t>30 lumens</w:t>
      </w:r>
      <w:r w:rsidR="002101CC">
        <w:t xml:space="preserve"> </w:t>
      </w:r>
      <w:r w:rsidRPr="00F51101">
        <w:t xml:space="preserve">and ≤ </w:t>
      </w:r>
      <w:r w:rsidR="00B03B01">
        <w:t>10000 lumens</w:t>
      </w:r>
    </w:p>
    <w:p w:rsidR="00276C46" w:rsidRDefault="00F51101" w:rsidP="00F1452F">
      <w:pPr>
        <w:pStyle w:val="E3BodyText"/>
        <w:numPr>
          <w:ilvl w:val="0"/>
          <w:numId w:val="2"/>
        </w:numPr>
        <w:tabs>
          <w:tab w:val="clear" w:pos="360"/>
          <w:tab w:val="num" w:pos="720"/>
        </w:tabs>
        <w:ind w:left="1440"/>
      </w:pPr>
      <w:r w:rsidRPr="00F51101">
        <w:t>High-bay and low-bay – no limits</w:t>
      </w:r>
    </w:p>
    <w:p w:rsidR="002D68D3" w:rsidRDefault="002D68D3" w:rsidP="0013098C">
      <w:pPr>
        <w:pStyle w:val="E3BodyText"/>
        <w:ind w:left="360"/>
      </w:pPr>
      <w:r>
        <w:t>Colour: all colour temperatures.  ‘Coloured’ lamps not intended for general lighting excluded.  Scope would need to define this exclusion and also specify how colour adjustable lamps would be tested and evaluated agains</w:t>
      </w:r>
      <w:r w:rsidR="003A2D6F">
        <w:t>t</w:t>
      </w:r>
      <w:r>
        <w:t xml:space="preserve"> MEPS</w:t>
      </w:r>
      <w:r w:rsidR="002101CC">
        <w:t xml:space="preserve"> (may need to state efficacy at more than one colour temperature)</w:t>
      </w:r>
      <w:r>
        <w:t>.</w:t>
      </w:r>
    </w:p>
    <w:p w:rsidR="0013098C" w:rsidRDefault="0013098C" w:rsidP="0013098C">
      <w:pPr>
        <w:pStyle w:val="E3BodyText"/>
        <w:ind w:left="360"/>
      </w:pPr>
      <w:r>
        <w:t>Exclusions:</w:t>
      </w:r>
    </w:p>
    <w:p w:rsidR="00966DC2" w:rsidRDefault="00966DC2" w:rsidP="00F1452F">
      <w:pPr>
        <w:pStyle w:val="E3BodyText"/>
        <w:numPr>
          <w:ilvl w:val="0"/>
          <w:numId w:val="32"/>
        </w:numPr>
      </w:pPr>
      <w:r>
        <w:t>lamps having the following chromaticity coordinates x and y:</w:t>
      </w:r>
    </w:p>
    <w:p w:rsidR="000A0A93" w:rsidRDefault="00966DC2" w:rsidP="00F1452F">
      <w:pPr>
        <w:pStyle w:val="E3BodyText"/>
        <w:numPr>
          <w:ilvl w:val="1"/>
          <w:numId w:val="32"/>
        </w:numPr>
      </w:pPr>
      <w:r>
        <w:t>x &lt; 0.200 or x &gt; 0.600</w:t>
      </w:r>
    </w:p>
    <w:p w:rsidR="000A0A93" w:rsidRDefault="00966DC2" w:rsidP="00F1452F">
      <w:pPr>
        <w:pStyle w:val="E3BodyText"/>
        <w:numPr>
          <w:ilvl w:val="1"/>
          <w:numId w:val="32"/>
        </w:numPr>
      </w:pPr>
      <w:r>
        <w:t>y &lt; -2.3172 x² + 2.3653 x – 0.2800 or</w:t>
      </w:r>
    </w:p>
    <w:p w:rsidR="000A0A93" w:rsidRDefault="00966DC2" w:rsidP="00F1452F">
      <w:pPr>
        <w:pStyle w:val="E3BodyText"/>
        <w:numPr>
          <w:ilvl w:val="1"/>
          <w:numId w:val="32"/>
        </w:numPr>
      </w:pPr>
      <w:r>
        <w:t>y &gt; -2.3172 x² + 2.3653 x -0.1000</w:t>
      </w:r>
    </w:p>
    <w:p w:rsidR="00B625F1" w:rsidRDefault="00B625F1" w:rsidP="00F1452F">
      <w:pPr>
        <w:pStyle w:val="E3BodyText"/>
        <w:numPr>
          <w:ilvl w:val="0"/>
          <w:numId w:val="32"/>
        </w:numPr>
      </w:pPr>
      <w:r>
        <w:t>lamps having:</w:t>
      </w:r>
    </w:p>
    <w:p w:rsidR="000A0A93" w:rsidRDefault="00B625F1" w:rsidP="00F1452F">
      <w:pPr>
        <w:pStyle w:val="E3BodyText"/>
        <w:numPr>
          <w:ilvl w:val="1"/>
          <w:numId w:val="32"/>
        </w:numPr>
      </w:pPr>
      <w:r>
        <w:t>6% or more of total radiation of the range 250-780 nm in the range of 250-400 nm (UVA),</w:t>
      </w:r>
    </w:p>
    <w:p w:rsidR="000A0A93" w:rsidRDefault="00B625F1" w:rsidP="00F1452F">
      <w:pPr>
        <w:pStyle w:val="E3BodyText"/>
        <w:numPr>
          <w:ilvl w:val="1"/>
          <w:numId w:val="32"/>
        </w:numPr>
      </w:pPr>
      <w:r>
        <w:t>The peak of the radiation between 315-400 nm (UVB)</w:t>
      </w:r>
      <w:r w:rsidR="002101CC">
        <w:rPr>
          <w:rStyle w:val="FootnoteReference"/>
        </w:rPr>
        <w:footnoteReference w:id="3"/>
      </w:r>
    </w:p>
    <w:p w:rsidR="0013098C" w:rsidRDefault="0013098C" w:rsidP="00F1452F">
      <w:pPr>
        <w:pStyle w:val="E3BodyText"/>
        <w:numPr>
          <w:ilvl w:val="0"/>
          <w:numId w:val="32"/>
        </w:numPr>
      </w:pPr>
      <w:r>
        <w:lastRenderedPageBreak/>
        <w:t>linear strip/rope;</w:t>
      </w:r>
    </w:p>
    <w:p w:rsidR="0013098C" w:rsidRDefault="0013098C" w:rsidP="00F1452F">
      <w:pPr>
        <w:pStyle w:val="E3BodyText"/>
        <w:numPr>
          <w:ilvl w:val="0"/>
          <w:numId w:val="32"/>
        </w:numPr>
      </w:pPr>
      <w:r>
        <w:t>Road lighting fixtures (included in the current review of AS/NZS1158 Lighting for roads and public spaces series)</w:t>
      </w:r>
    </w:p>
    <w:p w:rsidR="00374172" w:rsidRPr="00374172" w:rsidRDefault="00374172" w:rsidP="00F1452F">
      <w:pPr>
        <w:pStyle w:val="ListParagraph"/>
        <w:numPr>
          <w:ilvl w:val="0"/>
          <w:numId w:val="32"/>
        </w:numPr>
        <w:rPr>
          <w:rFonts w:ascii="Georgia" w:eastAsia="Cambria" w:hAnsi="Georgia" w:cs="Times New Roman"/>
          <w:sz w:val="19"/>
          <w:szCs w:val="24"/>
        </w:rPr>
      </w:pPr>
      <w:r w:rsidRPr="00374172">
        <w:rPr>
          <w:rFonts w:ascii="Georgia" w:eastAsia="Cambria" w:hAnsi="Georgia" w:cs="Times New Roman"/>
          <w:sz w:val="19"/>
          <w:szCs w:val="24"/>
        </w:rPr>
        <w:t>Note: a threshold minimum wattage is recommended so as to not include novelty/decorative lights not intended for general lighting applications.</w:t>
      </w:r>
    </w:p>
    <w:p w:rsidR="007C5E9F" w:rsidRDefault="007C5E9F" w:rsidP="007C5E9F">
      <w:pPr>
        <w:pStyle w:val="E3BodyText"/>
        <w:ind w:left="604"/>
      </w:pPr>
    </w:p>
    <w:p w:rsidR="00D16E40" w:rsidRDefault="00D16E40" w:rsidP="00D16E40">
      <w:pPr>
        <w:pStyle w:val="E3BodyText"/>
        <w:ind w:left="360"/>
      </w:pPr>
      <w:r>
        <w:t>The definitions for each type of luminaire within the scope will have to be carefully worded so as to not be ambiguous and include luminaires not intended for possible MEPS regulation. Support/input from industry will be required to make these definitions clear.  Where possible, definitions should align to available international standards.</w:t>
      </w:r>
    </w:p>
    <w:p w:rsidR="00CF028E" w:rsidRDefault="00CF028E" w:rsidP="00CF028E">
      <w:pPr>
        <w:pStyle w:val="Caption"/>
        <w:keepNext/>
      </w:pPr>
      <w:bookmarkStart w:id="47" w:name="_Toc426387817"/>
      <w:r>
        <w:t xml:space="preserve">Table </w:t>
      </w:r>
      <w:r w:rsidR="00B525E0">
        <w:fldChar w:fldCharType="begin"/>
      </w:r>
      <w:r>
        <w:instrText xml:space="preserve"> SEQ Table \* ARABIC </w:instrText>
      </w:r>
      <w:r w:rsidR="00B525E0">
        <w:fldChar w:fldCharType="separate"/>
      </w:r>
      <w:r w:rsidR="002C13E2">
        <w:rPr>
          <w:noProof/>
        </w:rPr>
        <w:t>2</w:t>
      </w:r>
      <w:r w:rsidR="00B525E0">
        <w:fldChar w:fldCharType="end"/>
      </w:r>
      <w:r>
        <w:t>.</w:t>
      </w:r>
      <w:r w:rsidR="00E702FA">
        <w:t xml:space="preserve"> </w:t>
      </w:r>
      <w:r w:rsidRPr="00CB1DD6">
        <w:t>LED Components and Concepts</w:t>
      </w:r>
      <w:bookmarkEnd w:id="47"/>
    </w:p>
    <w:tbl>
      <w:tblPr>
        <w:tblStyle w:val="TableGrid"/>
        <w:tblW w:w="0" w:type="auto"/>
        <w:tblLook w:val="04A0" w:firstRow="1" w:lastRow="0" w:firstColumn="1" w:lastColumn="0" w:noHBand="0" w:noVBand="1"/>
      </w:tblPr>
      <w:tblGrid>
        <w:gridCol w:w="3510"/>
        <w:gridCol w:w="5732"/>
      </w:tblGrid>
      <w:tr w:rsidR="00EE4CA4" w:rsidTr="006224FD">
        <w:trPr>
          <w:tblHeader/>
        </w:trPr>
        <w:tc>
          <w:tcPr>
            <w:tcW w:w="3510" w:type="dxa"/>
          </w:tcPr>
          <w:p w:rsidR="00EE4CA4" w:rsidRDefault="00EE4CA4" w:rsidP="00B51E71">
            <w:pPr>
              <w:pStyle w:val="E3BodyText"/>
            </w:pPr>
            <w:r>
              <w:t>LED Heat sink</w:t>
            </w:r>
          </w:p>
        </w:tc>
        <w:tc>
          <w:tcPr>
            <w:tcW w:w="5732" w:type="dxa"/>
          </w:tcPr>
          <w:p w:rsidR="00EE4CA4" w:rsidRDefault="00EE4CA4" w:rsidP="00B51E71">
            <w:pPr>
              <w:pStyle w:val="E3BodyText"/>
            </w:pPr>
            <w:r w:rsidRPr="00994DA6">
              <w:t>A part of the thermal system that conducts or convects heat away from se</w:t>
            </w:r>
            <w:r>
              <w:t>nsitive components, such as LED dies</w:t>
            </w:r>
            <w:r w:rsidRPr="00994DA6">
              <w:t xml:space="preserve"> and electronics.</w:t>
            </w:r>
          </w:p>
        </w:tc>
      </w:tr>
      <w:tr w:rsidR="00EE4CA4" w:rsidTr="006224FD">
        <w:trPr>
          <w:tblHeader/>
        </w:trPr>
        <w:tc>
          <w:tcPr>
            <w:tcW w:w="3510" w:type="dxa"/>
          </w:tcPr>
          <w:p w:rsidR="00EE4CA4" w:rsidRDefault="00EE4CA4" w:rsidP="00B51E71">
            <w:pPr>
              <w:pStyle w:val="E3BodyText"/>
            </w:pPr>
            <w:r>
              <w:t>LED Die (or Chip)</w:t>
            </w:r>
          </w:p>
          <w:p w:rsidR="00EE4CA4" w:rsidRDefault="00EE4CA4" w:rsidP="00B51E71">
            <w:pPr>
              <w:pStyle w:val="E3BodyText"/>
            </w:pPr>
          </w:p>
          <w:p w:rsidR="00EE4CA4" w:rsidRDefault="00EE4CA4" w:rsidP="00B51E71">
            <w:pPr>
              <w:pStyle w:val="E3BodyText"/>
            </w:pPr>
          </w:p>
        </w:tc>
        <w:tc>
          <w:tcPr>
            <w:tcW w:w="5732" w:type="dxa"/>
          </w:tcPr>
          <w:p w:rsidR="00EE4CA4" w:rsidRDefault="00EE4CA4" w:rsidP="00B51E71">
            <w:pPr>
              <w:pStyle w:val="E3BodyText"/>
            </w:pPr>
            <w:r>
              <w:t xml:space="preserve">A small block of light-emitting semiconducting material on which a functional LED circuit is fabricated. </w:t>
            </w:r>
          </w:p>
        </w:tc>
      </w:tr>
      <w:tr w:rsidR="00EE4CA4" w:rsidTr="006224FD">
        <w:trPr>
          <w:tblHeader/>
        </w:trPr>
        <w:tc>
          <w:tcPr>
            <w:tcW w:w="3510" w:type="dxa"/>
          </w:tcPr>
          <w:p w:rsidR="00EE4CA4" w:rsidRDefault="00EE4CA4" w:rsidP="00B51E71">
            <w:pPr>
              <w:pStyle w:val="E3BodyText"/>
            </w:pPr>
            <w:r>
              <w:t>LED Package</w:t>
            </w:r>
          </w:p>
          <w:p w:rsidR="00EE4CA4" w:rsidRDefault="00EE4CA4" w:rsidP="00B51E71">
            <w:pPr>
              <w:pStyle w:val="E3BodyText"/>
            </w:pPr>
          </w:p>
          <w:p w:rsidR="00EE4CA4" w:rsidRDefault="00EE4CA4" w:rsidP="00B51E71">
            <w:pPr>
              <w:pStyle w:val="E3BodyText"/>
            </w:pPr>
            <w:r>
              <w:rPr>
                <w:noProof/>
              </w:rPr>
              <w:drawing>
                <wp:inline distT="0" distB="0" distL="0" distR="0" wp14:anchorId="089F9828" wp14:editId="6D9CF997">
                  <wp:extent cx="1815612" cy="1000125"/>
                  <wp:effectExtent l="0" t="0" r="0" b="0"/>
                  <wp:docPr id="7" name="Picture 1" descr="Diagram displaying 10 parts to a LED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9_May_A3_Figure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5612" cy="1000125"/>
                          </a:xfrm>
                          <a:prstGeom prst="rect">
                            <a:avLst/>
                          </a:prstGeom>
                          <a:noFill/>
                          <a:ln>
                            <a:noFill/>
                          </a:ln>
                        </pic:spPr>
                      </pic:pic>
                    </a:graphicData>
                  </a:graphic>
                </wp:inline>
              </w:drawing>
            </w:r>
          </w:p>
          <w:p w:rsidR="00EE4CA4" w:rsidRDefault="00EE4CA4" w:rsidP="00B51E71">
            <w:pPr>
              <w:pStyle w:val="E3BodyText"/>
            </w:pPr>
          </w:p>
          <w:p w:rsidR="00EE4CA4" w:rsidRDefault="00EE4CA4" w:rsidP="00B51E71">
            <w:pPr>
              <w:pStyle w:val="E3BodyText"/>
            </w:pPr>
            <w:r>
              <w:rPr>
                <w:noProof/>
              </w:rPr>
              <w:drawing>
                <wp:inline distT="0" distB="0" distL="0" distR="0" wp14:anchorId="3A200580" wp14:editId="797FCBB3">
                  <wp:extent cx="1981200" cy="1187263"/>
                  <wp:effectExtent l="0" t="0" r="0" b="0"/>
                  <wp:docPr id="25" name="Picture 2" descr="Diagram displaying 10 parts to a LED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How0oWVKQEgzwMzK2LupLo1L6q8L38EL0pgvOakSIyoD6CTvuh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1200" cy="1187263"/>
                          </a:xfrm>
                          <a:prstGeom prst="rect">
                            <a:avLst/>
                          </a:prstGeom>
                          <a:noFill/>
                          <a:ln>
                            <a:noFill/>
                          </a:ln>
                        </pic:spPr>
                      </pic:pic>
                    </a:graphicData>
                  </a:graphic>
                </wp:inline>
              </w:drawing>
            </w:r>
          </w:p>
          <w:p w:rsidR="00EE4CA4" w:rsidRDefault="00EE4CA4" w:rsidP="00B51E71">
            <w:pPr>
              <w:pStyle w:val="E3BodyText"/>
            </w:pPr>
          </w:p>
        </w:tc>
        <w:tc>
          <w:tcPr>
            <w:tcW w:w="5732" w:type="dxa"/>
          </w:tcPr>
          <w:p w:rsidR="00EE4CA4" w:rsidRPr="00B51E71" w:rsidRDefault="00EE4CA4" w:rsidP="00B51E71">
            <w:pPr>
              <w:pStyle w:val="E3BodyText"/>
            </w:pPr>
            <w:r w:rsidRPr="00B51E71">
              <w:t xml:space="preserve">A single </w:t>
            </w:r>
            <w:r w:rsidR="00C44800">
              <w:t>discrete</w:t>
            </w:r>
            <w:r w:rsidR="008A65AF">
              <w:t xml:space="preserve"> </w:t>
            </w:r>
            <w:r w:rsidRPr="00B51E71">
              <w:t>component encapsulating one or more LED die</w:t>
            </w:r>
            <w:r w:rsidR="00C44800">
              <w:t>(</w:t>
            </w:r>
            <w:r w:rsidRPr="00B51E71">
              <w:t>s</w:t>
            </w:r>
            <w:r w:rsidR="00C44800">
              <w:t>)</w:t>
            </w:r>
            <w:r w:rsidRPr="00B51E71">
              <w:t xml:space="preserve">, possibly </w:t>
            </w:r>
            <w:r w:rsidR="00C44800">
              <w:t>with</w:t>
            </w:r>
            <w:r w:rsidR="008A65AF">
              <w:t xml:space="preserve"> </w:t>
            </w:r>
            <w:r w:rsidRPr="00B51E71">
              <w:t>optical elements and thermal, mechanical and electrical interfaces.</w:t>
            </w:r>
          </w:p>
          <w:p w:rsidR="00EE4CA4" w:rsidRDefault="00EE4CA4" w:rsidP="00C51E9D">
            <w:pPr>
              <w:pStyle w:val="E3BodyText"/>
            </w:pPr>
            <w:r>
              <w:t xml:space="preserve">Power source and standardised bases </w:t>
            </w:r>
            <w:r w:rsidR="00EE21E7">
              <w:t>(per</w:t>
            </w:r>
            <w:r w:rsidR="008A65AF">
              <w:t xml:space="preserve"> </w:t>
            </w:r>
            <w:r w:rsidR="00C51E9D">
              <w:t>IEC 62560</w:t>
            </w:r>
            <w:r>
              <w:t>) and are not incorporated into the device.  The device cannot be connected directly to the branch circuit.</w:t>
            </w:r>
          </w:p>
        </w:tc>
      </w:tr>
      <w:tr w:rsidR="00EE4CA4" w:rsidTr="006224FD">
        <w:trPr>
          <w:tblHeader/>
        </w:trPr>
        <w:tc>
          <w:tcPr>
            <w:tcW w:w="3510" w:type="dxa"/>
          </w:tcPr>
          <w:p w:rsidR="00EE4CA4" w:rsidRDefault="00EE4CA4" w:rsidP="00B51E71">
            <w:pPr>
              <w:pStyle w:val="E3BodyText"/>
            </w:pPr>
            <w:r>
              <w:lastRenderedPageBreak/>
              <w:t>LED Array or Module</w:t>
            </w:r>
          </w:p>
          <w:p w:rsidR="00EE4CA4" w:rsidRDefault="00EE4CA4" w:rsidP="00B51E71">
            <w:pPr>
              <w:pStyle w:val="E3BodyText"/>
            </w:pPr>
          </w:p>
          <w:p w:rsidR="00EE4CA4" w:rsidRDefault="00EE4CA4" w:rsidP="00B51E71">
            <w:pPr>
              <w:pStyle w:val="E3BodyText"/>
            </w:pPr>
            <w:r>
              <w:rPr>
                <w:noProof/>
              </w:rPr>
              <w:drawing>
                <wp:inline distT="0" distB="0" distL="0" distR="0" wp14:anchorId="36B687D1" wp14:editId="13852516">
                  <wp:extent cx="1152525" cy="1152525"/>
                  <wp:effectExtent l="0" t="0" r="9525" b="9525"/>
                  <wp:docPr id="26" name="Picture 3" descr="Diagram of LED Array or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SlpUXu5Ic0w7plJkkx2sYJN70AehBXXZGLH2jGsdNocMKaUqO7M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EE4CA4" w:rsidRDefault="00EE4CA4" w:rsidP="00B51E71">
            <w:pPr>
              <w:pStyle w:val="E3BodyText"/>
            </w:pPr>
          </w:p>
          <w:p w:rsidR="00EE4CA4" w:rsidRDefault="00EE4CA4" w:rsidP="00B51E71">
            <w:pPr>
              <w:pStyle w:val="E3BodyText"/>
            </w:pPr>
            <w:r>
              <w:rPr>
                <w:noProof/>
              </w:rPr>
              <w:drawing>
                <wp:inline distT="0" distB="0" distL="0" distR="0" wp14:anchorId="75EC6D65" wp14:editId="0A2DA292">
                  <wp:extent cx="1266825" cy="1266825"/>
                  <wp:effectExtent l="0" t="0" r="9525" b="9525"/>
                  <wp:docPr id="27" name="Picture 4" descr="Photo of a square shaped electronic Array/Modulewith two wires entering and exiting th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RJK2ab5LzLcbCUGbmKyKWlHgdm3eOJvnO-tRz6tClyRCd7bf_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rsidR="00EE4CA4" w:rsidRDefault="00EE4CA4" w:rsidP="00B51E71">
            <w:pPr>
              <w:pStyle w:val="E3BodyText"/>
            </w:pPr>
          </w:p>
        </w:tc>
        <w:tc>
          <w:tcPr>
            <w:tcW w:w="5732" w:type="dxa"/>
          </w:tcPr>
          <w:p w:rsidR="00EE4CA4" w:rsidRDefault="00EE4CA4" w:rsidP="00B51E71">
            <w:pPr>
              <w:pStyle w:val="E3BodyText"/>
            </w:pPr>
            <w:r w:rsidRPr="00ED6462">
              <w:t>LED light source having no cap, incorporating one or more LED package(s) on a printed circuit board, and possibly including one or more of the following: electrical, optical, mechanical and thermal components, interfaces and control</w:t>
            </w:r>
            <w:r w:rsidR="008A65AF">
              <w:t xml:space="preserve"> </w:t>
            </w:r>
            <w:r w:rsidRPr="00ED6462">
              <w:t>gear</w:t>
            </w:r>
            <w:r>
              <w:t>.  A power source and ANSI standard base are not incorporated into the device.  The device cannot be connected directly to the branch circuit.</w:t>
            </w:r>
          </w:p>
          <w:p w:rsidR="00EE4CA4" w:rsidRDefault="00EE4CA4" w:rsidP="00B51E71">
            <w:pPr>
              <w:pStyle w:val="E3BodyText"/>
            </w:pPr>
          </w:p>
          <w:p w:rsidR="00EE4CA4" w:rsidRDefault="00EE4CA4" w:rsidP="00B51E71">
            <w:pPr>
              <w:pStyle w:val="E3BodyText"/>
            </w:pPr>
            <w:r w:rsidRPr="00ED6462">
              <w:t>Built-in LED module</w:t>
            </w:r>
            <w:r>
              <w:t>s</w:t>
            </w:r>
            <w:r w:rsidR="008A65AF">
              <w:t xml:space="preserve"> </w:t>
            </w:r>
            <w:r>
              <w:t>are</w:t>
            </w:r>
            <w:r w:rsidRPr="00ED6462">
              <w:t xml:space="preserve"> generally designed to form a replaceable part to be built into a luminaire, a box, an enclosure or the like and not intended to be mounted outside a luminaire, etc. without special precautions.</w:t>
            </w:r>
          </w:p>
          <w:p w:rsidR="00EE4CA4" w:rsidRDefault="00EE4CA4" w:rsidP="00B51E71">
            <w:pPr>
              <w:pStyle w:val="E3BodyText"/>
            </w:pPr>
          </w:p>
        </w:tc>
      </w:tr>
      <w:tr w:rsidR="00EE4CA4" w:rsidTr="006224FD">
        <w:trPr>
          <w:tblHeader/>
        </w:trPr>
        <w:tc>
          <w:tcPr>
            <w:tcW w:w="3510" w:type="dxa"/>
          </w:tcPr>
          <w:p w:rsidR="00EE4CA4" w:rsidRDefault="00EE4CA4" w:rsidP="00B51E71">
            <w:pPr>
              <w:pStyle w:val="E3BodyText"/>
            </w:pPr>
            <w:r>
              <w:t>LED ‘Circuit On Board’ COB</w:t>
            </w:r>
          </w:p>
          <w:p w:rsidR="00EE4CA4" w:rsidRDefault="00EE4CA4" w:rsidP="00B51E71">
            <w:pPr>
              <w:pStyle w:val="E3BodyText"/>
            </w:pPr>
          </w:p>
          <w:p w:rsidR="00EE4CA4" w:rsidRDefault="00EE4CA4" w:rsidP="00B51E71">
            <w:pPr>
              <w:pStyle w:val="E3BodyText"/>
            </w:pPr>
            <w:r w:rsidRPr="00955D89">
              <w:rPr>
                <w:noProof/>
              </w:rPr>
              <w:drawing>
                <wp:inline distT="0" distB="0" distL="0" distR="0" wp14:anchorId="13C27DA7" wp14:editId="275B3581">
                  <wp:extent cx="1413119" cy="876300"/>
                  <wp:effectExtent l="0" t="0" r="0" b="0"/>
                  <wp:docPr id="28" name="Picture 5" descr="Two round shapes circuit 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eb.tradekorea.com/upload_file2/product/177/P00265177/cbe9caa6_62b11fc2_6c68_434d_99f0_91710f28487c.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8471" cy="879619"/>
                          </a:xfrm>
                          <a:prstGeom prst="rect">
                            <a:avLst/>
                          </a:prstGeom>
                          <a:noFill/>
                          <a:ln>
                            <a:noFill/>
                          </a:ln>
                        </pic:spPr>
                      </pic:pic>
                    </a:graphicData>
                  </a:graphic>
                </wp:inline>
              </w:drawing>
            </w:r>
          </w:p>
          <w:p w:rsidR="00EE4CA4" w:rsidRDefault="00EE4CA4" w:rsidP="00B51E71">
            <w:pPr>
              <w:pStyle w:val="E3BodyText"/>
            </w:pPr>
          </w:p>
        </w:tc>
        <w:tc>
          <w:tcPr>
            <w:tcW w:w="5732" w:type="dxa"/>
          </w:tcPr>
          <w:p w:rsidR="00EE4CA4" w:rsidRDefault="00EE4CA4" w:rsidP="00B51E71">
            <w:pPr>
              <w:pStyle w:val="E3BodyText"/>
            </w:pPr>
            <w:r w:rsidRPr="00E6674B">
              <w:t>LED arrays constructed as an assembly of LED dies on a printed circuit board (PCB)</w:t>
            </w:r>
          </w:p>
        </w:tc>
      </w:tr>
      <w:tr w:rsidR="00EE4CA4" w:rsidTr="006224FD">
        <w:trPr>
          <w:tblHeader/>
        </w:trPr>
        <w:tc>
          <w:tcPr>
            <w:tcW w:w="3510" w:type="dxa"/>
          </w:tcPr>
          <w:p w:rsidR="00EE4CA4" w:rsidRDefault="00EE4CA4" w:rsidP="00B51E71">
            <w:pPr>
              <w:pStyle w:val="E3BodyText"/>
            </w:pPr>
            <w:r>
              <w:t>LED Control Gear</w:t>
            </w:r>
          </w:p>
          <w:p w:rsidR="00EE4CA4" w:rsidRDefault="00EE4CA4" w:rsidP="00B51E71">
            <w:pPr>
              <w:pStyle w:val="E3BodyText"/>
            </w:pPr>
          </w:p>
          <w:p w:rsidR="00EE4CA4" w:rsidRDefault="00EE4CA4" w:rsidP="00B51E71">
            <w:pPr>
              <w:pStyle w:val="E3BodyText"/>
            </w:pPr>
            <w:r w:rsidRPr="00955D89">
              <w:rPr>
                <w:noProof/>
              </w:rPr>
              <w:drawing>
                <wp:inline distT="0" distB="0" distL="0" distR="0" wp14:anchorId="7120546D" wp14:editId="0053CD24">
                  <wp:extent cx="1581150" cy="607127"/>
                  <wp:effectExtent l="0" t="0" r="0" b="2540"/>
                  <wp:docPr id="29" name="Picture 6" descr="Small black box with text decribing the component. 2 Wires enter and exit control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1.gstatic.com/images?q=tbn:ANd9GcToXmWrGQZtEwRE_HDykZarg8zcCtQU6wvuBB_iS0XFtYmlJCVOM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81150" cy="607127"/>
                          </a:xfrm>
                          <a:prstGeom prst="rect">
                            <a:avLst/>
                          </a:prstGeom>
                          <a:noFill/>
                          <a:ln>
                            <a:noFill/>
                          </a:ln>
                        </pic:spPr>
                      </pic:pic>
                    </a:graphicData>
                  </a:graphic>
                </wp:inline>
              </w:drawing>
            </w:r>
          </w:p>
          <w:p w:rsidR="00EE4CA4" w:rsidRDefault="00EE4CA4" w:rsidP="00B51E71">
            <w:pPr>
              <w:pStyle w:val="E3BodyText"/>
            </w:pPr>
          </w:p>
          <w:p w:rsidR="00EE4CA4" w:rsidRDefault="00EE4CA4" w:rsidP="00B51E71">
            <w:pPr>
              <w:pStyle w:val="E3BodyText"/>
            </w:pPr>
          </w:p>
          <w:p w:rsidR="00EE4CA4" w:rsidRDefault="00EE4CA4" w:rsidP="00B51E71">
            <w:pPr>
              <w:pStyle w:val="E3BodyText"/>
            </w:pPr>
          </w:p>
        </w:tc>
        <w:tc>
          <w:tcPr>
            <w:tcW w:w="5732" w:type="dxa"/>
          </w:tcPr>
          <w:p w:rsidR="00EE4CA4" w:rsidRDefault="00EE4CA4" w:rsidP="00B51E71">
            <w:pPr>
              <w:pStyle w:val="E3BodyText"/>
            </w:pPr>
            <w:r>
              <w:t>Electronic components designed to control a power source by adjusting output voltage, current or duty cycle to switch or otherwise control the amount and characteristics of the electrical energy delivered to a LED package (component) or an LED array (module).  LED control circuitry does not include a power source.</w:t>
            </w:r>
          </w:p>
        </w:tc>
      </w:tr>
      <w:tr w:rsidR="00EE4CA4" w:rsidTr="006224FD">
        <w:trPr>
          <w:tblHeader/>
        </w:trPr>
        <w:tc>
          <w:tcPr>
            <w:tcW w:w="3510" w:type="dxa"/>
          </w:tcPr>
          <w:p w:rsidR="00EE4CA4" w:rsidRDefault="00EE4CA4" w:rsidP="00B51E71">
            <w:pPr>
              <w:pStyle w:val="E3BodyText"/>
            </w:pPr>
            <w:r>
              <w:t>LED Light Engine</w:t>
            </w:r>
          </w:p>
          <w:p w:rsidR="00EE4CA4" w:rsidRDefault="00EE4CA4" w:rsidP="00B51E71">
            <w:pPr>
              <w:pStyle w:val="E3BodyText"/>
            </w:pPr>
            <w:r>
              <w:rPr>
                <w:noProof/>
              </w:rPr>
              <w:drawing>
                <wp:inline distT="0" distB="0" distL="0" distR="0" wp14:anchorId="29F19501" wp14:editId="33EE0050">
                  <wp:extent cx="1200150" cy="781393"/>
                  <wp:effectExtent l="0" t="0" r="0" b="0"/>
                  <wp:docPr id="30" name="Picture 8" descr="Photo of a round LED light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RgahfvUfkcHd4F6AgfkSit6gki_R1AMvyOS8a9ReM_XxU7FXYi"/>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0150" cy="781393"/>
                          </a:xfrm>
                          <a:prstGeom prst="rect">
                            <a:avLst/>
                          </a:prstGeom>
                          <a:noFill/>
                          <a:ln>
                            <a:noFill/>
                          </a:ln>
                        </pic:spPr>
                      </pic:pic>
                    </a:graphicData>
                  </a:graphic>
                </wp:inline>
              </w:drawing>
            </w:r>
          </w:p>
          <w:p w:rsidR="00EE4CA4" w:rsidRDefault="00EE4CA4" w:rsidP="00B51E71">
            <w:pPr>
              <w:pStyle w:val="E3BodyText"/>
            </w:pPr>
          </w:p>
          <w:p w:rsidR="00EE4CA4" w:rsidRDefault="00EE4CA4" w:rsidP="00B51E71">
            <w:pPr>
              <w:pStyle w:val="E3BodyText"/>
            </w:pPr>
          </w:p>
          <w:p w:rsidR="00EE4CA4" w:rsidRDefault="00EE4CA4" w:rsidP="00B51E71">
            <w:pPr>
              <w:pStyle w:val="E3BodyText"/>
            </w:pPr>
          </w:p>
        </w:tc>
        <w:tc>
          <w:tcPr>
            <w:tcW w:w="5732" w:type="dxa"/>
          </w:tcPr>
          <w:p w:rsidR="00EE4CA4" w:rsidRPr="00B51E71" w:rsidRDefault="00EE4CA4" w:rsidP="00B51E71">
            <w:pPr>
              <w:pStyle w:val="E3BodyText"/>
            </w:pPr>
            <w:r w:rsidRPr="00B51E71">
              <w:t>An integrated assembly comprised of LED packages (components) or LED arrays (modules), LED driver, and other optical, thermal, mechanical and electrical components. The device is intended to connect directly to the branch circuit through a custom connector compatible with the LED luminaire for which it was designed and does not use an ANSI standard base.</w:t>
            </w:r>
          </w:p>
        </w:tc>
      </w:tr>
      <w:tr w:rsidR="00EE4CA4" w:rsidTr="006224FD">
        <w:trPr>
          <w:tblHeader/>
        </w:trPr>
        <w:tc>
          <w:tcPr>
            <w:tcW w:w="3510" w:type="dxa"/>
          </w:tcPr>
          <w:p w:rsidR="00EE4CA4" w:rsidRDefault="00EE4CA4" w:rsidP="00B51E71">
            <w:pPr>
              <w:pStyle w:val="E3BodyText"/>
            </w:pPr>
            <w:r>
              <w:lastRenderedPageBreak/>
              <w:t>LED Driver</w:t>
            </w:r>
          </w:p>
          <w:p w:rsidR="00EE4CA4" w:rsidRDefault="00EE4CA4" w:rsidP="00B51E71">
            <w:pPr>
              <w:pStyle w:val="E3BodyText"/>
            </w:pPr>
          </w:p>
          <w:p w:rsidR="00EE4CA4" w:rsidRDefault="00EE4CA4" w:rsidP="00B51E71">
            <w:pPr>
              <w:pStyle w:val="E3BodyText"/>
            </w:pPr>
            <w:r>
              <w:rPr>
                <w:noProof/>
              </w:rPr>
              <w:drawing>
                <wp:inline distT="0" distB="0" distL="0" distR="0" wp14:anchorId="4C8EC0B9" wp14:editId="1B8453DF">
                  <wp:extent cx="1278536" cy="847725"/>
                  <wp:effectExtent l="0" t="0" r="0" b="0"/>
                  <wp:docPr id="38" name="Picture 7" descr="Photo of LED 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2.gstatic.com/images?q=tbn:ANd9GcT3K6rxHrCFsBPIrOed60w3Bx66sBn5xaLpBLxLybqtU_etvjm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78536" cy="847725"/>
                          </a:xfrm>
                          <a:prstGeom prst="rect">
                            <a:avLst/>
                          </a:prstGeom>
                          <a:noFill/>
                          <a:ln>
                            <a:noFill/>
                          </a:ln>
                        </pic:spPr>
                      </pic:pic>
                    </a:graphicData>
                  </a:graphic>
                </wp:inline>
              </w:drawing>
            </w:r>
          </w:p>
        </w:tc>
        <w:tc>
          <w:tcPr>
            <w:tcW w:w="5732" w:type="dxa"/>
          </w:tcPr>
          <w:p w:rsidR="00EE4CA4" w:rsidRPr="00B51E71" w:rsidRDefault="00EE4CA4" w:rsidP="00B51E71">
            <w:pPr>
              <w:pStyle w:val="E3BodyText"/>
            </w:pPr>
            <w:r w:rsidRPr="00B51E71">
              <w:t>A device comprised of a power source and LED control circuitry designed to operate a LED package (component), or an LED array (module) or an LED lamp.</w:t>
            </w:r>
          </w:p>
        </w:tc>
      </w:tr>
      <w:tr w:rsidR="00EE4CA4" w:rsidTr="006224FD">
        <w:trPr>
          <w:tblHeader/>
        </w:trPr>
        <w:tc>
          <w:tcPr>
            <w:tcW w:w="3510" w:type="dxa"/>
          </w:tcPr>
          <w:p w:rsidR="00EE4CA4" w:rsidRDefault="00EE4CA4" w:rsidP="00B51E71">
            <w:pPr>
              <w:pStyle w:val="E3BodyText"/>
            </w:pPr>
            <w:r>
              <w:t>LED Lamp</w:t>
            </w:r>
            <w:r w:rsidR="00D86D33">
              <w:t xml:space="preserve"> integrated</w:t>
            </w:r>
            <w:r w:rsidR="00515F1E">
              <w:t xml:space="preserve"> (LEDi Lamp</w:t>
            </w:r>
            <w:r w:rsidR="00C44800">
              <w:t>, self-ballasted LED lamp</w:t>
            </w:r>
            <w:r w:rsidR="00515F1E">
              <w:t>)</w:t>
            </w:r>
          </w:p>
          <w:p w:rsidR="00EE4CA4" w:rsidRDefault="00EE4CA4" w:rsidP="00B51E71">
            <w:pPr>
              <w:pStyle w:val="E3BodyText"/>
            </w:pPr>
          </w:p>
          <w:p w:rsidR="00EE4CA4" w:rsidRDefault="00EE4CA4" w:rsidP="00B51E71">
            <w:pPr>
              <w:pStyle w:val="E3BodyText"/>
            </w:pPr>
            <w:r>
              <w:rPr>
                <w:noProof/>
              </w:rPr>
              <w:drawing>
                <wp:inline distT="0" distB="0" distL="0" distR="0" wp14:anchorId="3E92639C" wp14:editId="11042A19">
                  <wp:extent cx="838200" cy="838200"/>
                  <wp:effectExtent l="0" t="0" r="0" b="0"/>
                  <wp:docPr id="39" name="Picture 9" descr="White Frosted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uncel.com.au/wp-content/uploads/2013/07/led-gls-lamp.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sidR="000A0A93">
              <w:rPr>
                <w:noProof/>
              </w:rPr>
              <w:drawing>
                <wp:inline distT="0" distB="0" distL="0" distR="0" wp14:anchorId="67CFAD10" wp14:editId="252F308E">
                  <wp:extent cx="1053694" cy="611822"/>
                  <wp:effectExtent l="0" t="0" r="0" b="0"/>
                  <wp:docPr id="62" name="Picture 62" descr="Clear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ng"/>
                          <pic:cNvPicPr/>
                        </pic:nvPicPr>
                        <pic:blipFill rotWithShape="1">
                          <a:blip r:embed="rId43">
                            <a:extLst>
                              <a:ext uri="{28A0092B-C50C-407E-A947-70E740481C1C}">
                                <a14:useLocalDpi xmlns:a14="http://schemas.microsoft.com/office/drawing/2010/main" val="0"/>
                              </a:ext>
                            </a:extLst>
                          </a:blip>
                          <a:srcRect l="18980" t="24440" r="25860" b="18673"/>
                          <a:stretch/>
                        </pic:blipFill>
                        <pic:spPr bwMode="auto">
                          <a:xfrm>
                            <a:off x="0" y="0"/>
                            <a:ext cx="1054209" cy="612121"/>
                          </a:xfrm>
                          <a:prstGeom prst="rect">
                            <a:avLst/>
                          </a:prstGeom>
                          <a:ln>
                            <a:noFill/>
                          </a:ln>
                          <a:extLst>
                            <a:ext uri="{53640926-AAD7-44D8-BBD7-CCE9431645EC}">
                              <a14:shadowObscured xmlns:a14="http://schemas.microsoft.com/office/drawing/2010/main"/>
                            </a:ext>
                          </a:extLst>
                        </pic:spPr>
                      </pic:pic>
                    </a:graphicData>
                  </a:graphic>
                </wp:inline>
              </w:drawing>
            </w:r>
          </w:p>
          <w:p w:rsidR="00EE4CA4" w:rsidRDefault="00EE4CA4" w:rsidP="00B51E71">
            <w:pPr>
              <w:pStyle w:val="E3BodyText"/>
            </w:pPr>
          </w:p>
          <w:p w:rsidR="00EE4CA4" w:rsidRDefault="00EE4CA4" w:rsidP="00B51E71">
            <w:pPr>
              <w:pStyle w:val="E3BodyText"/>
            </w:pPr>
          </w:p>
        </w:tc>
        <w:tc>
          <w:tcPr>
            <w:tcW w:w="5732" w:type="dxa"/>
          </w:tcPr>
          <w:p w:rsidR="00EE4CA4" w:rsidRDefault="00C44800" w:rsidP="00B51E71">
            <w:pPr>
              <w:pStyle w:val="E3BodyText"/>
              <w:rPr>
                <w:rFonts w:ascii="Arial" w:hAnsi="Arial" w:cs="Arial"/>
                <w:color w:val="000000"/>
                <w:sz w:val="20"/>
                <w:szCs w:val="20"/>
              </w:rPr>
            </w:pPr>
            <w:r>
              <w:t xml:space="preserve"> LED lamp, incorporating LED control gear, and any additional elements necessary for stable operation of the light source, designed for direct connection to the supply voltage.</w:t>
            </w:r>
          </w:p>
          <w:p w:rsidR="00EE4CA4" w:rsidRDefault="00EE4CA4" w:rsidP="00B51E71">
            <w:pPr>
              <w:pStyle w:val="E3BodyText"/>
            </w:pPr>
          </w:p>
        </w:tc>
      </w:tr>
      <w:tr w:rsidR="00EE4CA4" w:rsidTr="006224FD">
        <w:trPr>
          <w:tblHeader/>
        </w:trPr>
        <w:tc>
          <w:tcPr>
            <w:tcW w:w="3510" w:type="dxa"/>
          </w:tcPr>
          <w:p w:rsidR="00EE4CA4" w:rsidRDefault="00EE4CA4" w:rsidP="00B51E71">
            <w:pPr>
              <w:pStyle w:val="E3BodyText"/>
            </w:pPr>
            <w:r w:rsidRPr="00ED6462">
              <w:t>Retrofit LED lamp</w:t>
            </w:r>
          </w:p>
        </w:tc>
        <w:tc>
          <w:tcPr>
            <w:tcW w:w="5732" w:type="dxa"/>
          </w:tcPr>
          <w:p w:rsidR="00EE4CA4" w:rsidRDefault="00EE4CA4" w:rsidP="00B51E71">
            <w:pPr>
              <w:pStyle w:val="E3BodyText"/>
            </w:pPr>
            <w:r w:rsidRPr="00ED6462">
              <w:t>LED lamp intended as a replacement for a non-LED lamp without requiring internal modification of the luminaire.</w:t>
            </w:r>
          </w:p>
          <w:p w:rsidR="00EE4CA4" w:rsidRDefault="00EE4CA4" w:rsidP="00B51E71">
            <w:pPr>
              <w:pStyle w:val="E3BodyText"/>
              <w:rPr>
                <w:rFonts w:ascii="Arial" w:hAnsi="Arial" w:cs="Arial"/>
                <w:color w:val="000000"/>
                <w:sz w:val="20"/>
                <w:szCs w:val="20"/>
              </w:rPr>
            </w:pPr>
          </w:p>
        </w:tc>
      </w:tr>
      <w:tr w:rsidR="00EE4CA4" w:rsidTr="006224FD">
        <w:trPr>
          <w:tblHeader/>
        </w:trPr>
        <w:tc>
          <w:tcPr>
            <w:tcW w:w="3510" w:type="dxa"/>
          </w:tcPr>
          <w:p w:rsidR="00EE4CA4" w:rsidRDefault="00EE4CA4" w:rsidP="00B51E71">
            <w:pPr>
              <w:pStyle w:val="E3BodyText"/>
            </w:pPr>
            <w:r>
              <w:t>LED Lamp (</w:t>
            </w:r>
            <w:r w:rsidR="00EE21E7">
              <w:t>non-integrated</w:t>
            </w:r>
            <w:r>
              <w:t>)</w:t>
            </w:r>
          </w:p>
          <w:p w:rsidR="00EE4CA4" w:rsidRDefault="000A0A93" w:rsidP="00B51E71">
            <w:pPr>
              <w:pStyle w:val="E3BodyText"/>
            </w:pPr>
            <w:r>
              <w:rPr>
                <w:noProof/>
              </w:rPr>
              <w:drawing>
                <wp:inline distT="0" distB="0" distL="0" distR="0" wp14:anchorId="1E668716" wp14:editId="5E59261D">
                  <wp:extent cx="1979526" cy="917215"/>
                  <wp:effectExtent l="0" t="0" r="1905" b="0"/>
                  <wp:docPr id="61" name="Picture 61" descr="Photo of LED lamp connected to a trans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brightnessContrast contrast="20000"/>
                                    </a14:imgEffect>
                                  </a14:imgLayer>
                                </a14:imgProps>
                              </a:ext>
                            </a:extLst>
                          </a:blip>
                          <a:stretch>
                            <a:fillRect/>
                          </a:stretch>
                        </pic:blipFill>
                        <pic:spPr>
                          <a:xfrm>
                            <a:off x="0" y="0"/>
                            <a:ext cx="1980095" cy="917479"/>
                          </a:xfrm>
                          <a:prstGeom prst="rect">
                            <a:avLst/>
                          </a:prstGeom>
                        </pic:spPr>
                      </pic:pic>
                    </a:graphicData>
                  </a:graphic>
                </wp:inline>
              </w:drawing>
            </w:r>
          </w:p>
          <w:p w:rsidR="00EE4CA4" w:rsidRPr="00ED6462" w:rsidRDefault="00EE4CA4" w:rsidP="00B51E71">
            <w:pPr>
              <w:pStyle w:val="E3BodyText"/>
            </w:pPr>
          </w:p>
        </w:tc>
        <w:tc>
          <w:tcPr>
            <w:tcW w:w="5732" w:type="dxa"/>
          </w:tcPr>
          <w:p w:rsidR="00EE4CA4" w:rsidRDefault="00EE4CA4" w:rsidP="00B51E71">
            <w:pPr>
              <w:pStyle w:val="E3BodyText"/>
            </w:pPr>
            <w:r w:rsidRPr="00B51E71">
              <w:t>An assembly comprised of an LED array (module) or LED packages (components) and ANSI standard base. The device is intended to connect to the LED driver of an LED luminaire through an ANSI standard lamp-holder (socket). The device cannot be connected directly to the branch circuit.</w:t>
            </w:r>
          </w:p>
          <w:p w:rsidR="00D54B99" w:rsidRPr="00B51E71" w:rsidRDefault="00D54B99" w:rsidP="00B51E71">
            <w:pPr>
              <w:pStyle w:val="E3BodyText"/>
            </w:pPr>
            <w:r>
              <w:t>This may include LED replacement lamps for low voltage halogen lamps.</w:t>
            </w:r>
          </w:p>
        </w:tc>
      </w:tr>
      <w:tr w:rsidR="00EE4CA4" w:rsidTr="006224FD">
        <w:trPr>
          <w:tblHeader/>
        </w:trPr>
        <w:tc>
          <w:tcPr>
            <w:tcW w:w="3510" w:type="dxa"/>
          </w:tcPr>
          <w:p w:rsidR="00EE4CA4" w:rsidRDefault="00EE4CA4" w:rsidP="00B51E71">
            <w:pPr>
              <w:pStyle w:val="E3BodyText"/>
            </w:pPr>
            <w:r w:rsidRPr="00ED6462">
              <w:t>Semi-integrated LED lamp (LEDsi</w:t>
            </w:r>
            <w:r w:rsidR="00C44800">
              <w:t>, semi-self-ballasted LED lamp</w:t>
            </w:r>
            <w:r w:rsidRPr="00ED6462">
              <w:t>)</w:t>
            </w:r>
          </w:p>
          <w:p w:rsidR="00C44800" w:rsidRPr="00ED6462" w:rsidRDefault="000A0A93" w:rsidP="00B51E71">
            <w:pPr>
              <w:pStyle w:val="E3BodyText"/>
            </w:pPr>
            <w:r>
              <w:rPr>
                <w:noProof/>
              </w:rPr>
              <w:drawing>
                <wp:inline distT="0" distB="0" distL="0" distR="0" wp14:anchorId="1D181F8C" wp14:editId="417EFEBF">
                  <wp:extent cx="704850" cy="764655"/>
                  <wp:effectExtent l="0" t="0" r="0" b="0"/>
                  <wp:docPr id="57" name="Picture 10" descr="Photo of LED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a.gov.au/upload/franchise/Water,%20energy%20and%20environment/energy/energy_efficiency/images/LED_downlight_lamp.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4850" cy="764655"/>
                          </a:xfrm>
                          <a:prstGeom prst="rect">
                            <a:avLst/>
                          </a:prstGeom>
                          <a:noFill/>
                          <a:ln>
                            <a:noFill/>
                          </a:ln>
                        </pic:spPr>
                      </pic:pic>
                    </a:graphicData>
                  </a:graphic>
                </wp:inline>
              </w:drawing>
            </w:r>
          </w:p>
        </w:tc>
        <w:tc>
          <w:tcPr>
            <w:tcW w:w="5732" w:type="dxa"/>
          </w:tcPr>
          <w:p w:rsidR="00EE4CA4" w:rsidRDefault="00EE4CA4" w:rsidP="00B51E71">
            <w:pPr>
              <w:pStyle w:val="E3BodyText"/>
            </w:pPr>
            <w:r w:rsidRPr="00ED6462">
              <w:t>LED lamp which carries the control unit of the</w:t>
            </w:r>
            <w:r w:rsidR="009A0976">
              <w:t xml:space="preserve"> LED</w:t>
            </w:r>
            <w:r w:rsidRPr="00ED6462">
              <w:t xml:space="preserve"> control</w:t>
            </w:r>
            <w:r w:rsidR="008A65AF">
              <w:t xml:space="preserve"> </w:t>
            </w:r>
            <w:r w:rsidRPr="00ED6462">
              <w:t>gear, and is operated by the separated power supply of the control</w:t>
            </w:r>
            <w:r w:rsidR="008A65AF">
              <w:t xml:space="preserve"> </w:t>
            </w:r>
            <w:r w:rsidRPr="00ED6462">
              <w:t>gear.</w:t>
            </w:r>
          </w:p>
          <w:p w:rsidR="009A0976" w:rsidRDefault="009A0976" w:rsidP="00B51E71">
            <w:pPr>
              <w:pStyle w:val="E3BodyText"/>
            </w:pPr>
            <w:r>
              <w:t>This may include LED replacement lamps for low voltage halogen lamps.</w:t>
            </w:r>
          </w:p>
          <w:p w:rsidR="00EE4CA4" w:rsidRPr="00ED6462" w:rsidRDefault="00EE4CA4" w:rsidP="00B51E71">
            <w:pPr>
              <w:pStyle w:val="E3BodyText"/>
            </w:pPr>
          </w:p>
        </w:tc>
      </w:tr>
      <w:tr w:rsidR="00EE4CA4" w:rsidTr="006224FD">
        <w:trPr>
          <w:tblHeader/>
        </w:trPr>
        <w:tc>
          <w:tcPr>
            <w:tcW w:w="3510" w:type="dxa"/>
          </w:tcPr>
          <w:p w:rsidR="00EE4CA4" w:rsidRDefault="00EE4CA4" w:rsidP="00B51E71">
            <w:pPr>
              <w:pStyle w:val="E3BodyText"/>
            </w:pPr>
            <w:r>
              <w:lastRenderedPageBreak/>
              <w:t>LED Luminaire</w:t>
            </w:r>
          </w:p>
          <w:p w:rsidR="00EE4CA4" w:rsidRDefault="00EE4CA4" w:rsidP="00B51E71">
            <w:pPr>
              <w:pStyle w:val="E3BodyText"/>
            </w:pPr>
          </w:p>
          <w:p w:rsidR="00EE4CA4" w:rsidRDefault="00EE4CA4" w:rsidP="00B51E71">
            <w:pPr>
              <w:pStyle w:val="E3BodyText"/>
            </w:pPr>
            <w:r>
              <w:rPr>
                <w:noProof/>
              </w:rPr>
              <w:drawing>
                <wp:inline distT="0" distB="0" distL="0" distR="0" wp14:anchorId="3FFFCAC4" wp14:editId="531291D3">
                  <wp:extent cx="1047750" cy="905247"/>
                  <wp:effectExtent l="0" t="0" r="0" b="9525"/>
                  <wp:docPr id="43" name="Picture 11" descr="Round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archiexpo.com/images_ae/photo-g/round-suspended-led-luminaire-85606-216599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48684" cy="906054"/>
                          </a:xfrm>
                          <a:prstGeom prst="rect">
                            <a:avLst/>
                          </a:prstGeom>
                          <a:noFill/>
                          <a:ln>
                            <a:noFill/>
                          </a:ln>
                        </pic:spPr>
                      </pic:pic>
                    </a:graphicData>
                  </a:graphic>
                </wp:inline>
              </w:drawing>
            </w:r>
          </w:p>
          <w:p w:rsidR="00EE4CA4" w:rsidRDefault="00EE4CA4" w:rsidP="00B51E71">
            <w:pPr>
              <w:pStyle w:val="E3BodyText"/>
            </w:pPr>
          </w:p>
          <w:p w:rsidR="00EE4CA4" w:rsidRDefault="00EE4CA4" w:rsidP="00B51E71">
            <w:pPr>
              <w:pStyle w:val="E3BodyText"/>
            </w:pPr>
            <w:r>
              <w:rPr>
                <w:noProof/>
              </w:rPr>
              <w:drawing>
                <wp:inline distT="0" distB="0" distL="0" distR="0" wp14:anchorId="0A713694" wp14:editId="344786F6">
                  <wp:extent cx="1104900" cy="1104900"/>
                  <wp:effectExtent l="0" t="0" r="0" b="0"/>
                  <wp:docPr id="45" name="Picture 12" descr="Square shaped LED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la.net.au/sites/default/files/Ilia%20Midi%20LED_LR.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EE4CA4" w:rsidRDefault="00EE4CA4" w:rsidP="00B51E71">
            <w:pPr>
              <w:pStyle w:val="E3BodyText"/>
            </w:pPr>
          </w:p>
        </w:tc>
        <w:tc>
          <w:tcPr>
            <w:tcW w:w="5732" w:type="dxa"/>
          </w:tcPr>
          <w:p w:rsidR="00EE4CA4" w:rsidRPr="00B51E71" w:rsidRDefault="00EE4CA4" w:rsidP="00B51E71">
            <w:pPr>
              <w:pStyle w:val="E3BodyText"/>
            </w:pPr>
            <w:r w:rsidRPr="00B51E71">
              <w:t>A complete lighting unit consisting of LED-based light emitting elements and a matched driver together with parts to distribute light, to position and protect the light emitting elements, and to connect the unit to a branch circuit.  The LED based light emitting elements may take the form of LED packages (components), LED arrays (modules), LED Light Engine, or LED lamps</w:t>
            </w:r>
            <w:r w:rsidR="005B43CC">
              <w:t xml:space="preserve"> (including panels)</w:t>
            </w:r>
            <w:r w:rsidRPr="00B51E71">
              <w:t>.  The LED luminaire is intended to connect directly to a branch circuit.</w:t>
            </w:r>
          </w:p>
          <w:p w:rsidR="00EE4CA4" w:rsidRPr="00B51E71" w:rsidRDefault="00EE4CA4" w:rsidP="00B51E71">
            <w:pPr>
              <w:pStyle w:val="E3BodyText"/>
            </w:pPr>
          </w:p>
          <w:p w:rsidR="00EE4CA4" w:rsidRDefault="00EE4CA4" w:rsidP="00B51E71">
            <w:pPr>
              <w:pStyle w:val="E3BodyText"/>
            </w:pPr>
            <w:r w:rsidRPr="00B51E71">
              <w:t>Some luminaires may be non-repairable, factory-sealed LED luminaires which cannot be dismantled without being permanently damaged.</w:t>
            </w:r>
          </w:p>
        </w:tc>
      </w:tr>
    </w:tbl>
    <w:p w:rsidR="007C5E9F" w:rsidRDefault="007C5E9F" w:rsidP="007C5E9F">
      <w:pPr>
        <w:pStyle w:val="E3BodyText"/>
      </w:pPr>
    </w:p>
    <w:p w:rsidR="00894B43" w:rsidRDefault="00894B43" w:rsidP="00412DB0">
      <w:pPr>
        <w:pStyle w:val="E3BodyText"/>
      </w:pPr>
    </w:p>
    <w:p w:rsidR="00894B43" w:rsidRDefault="00760A23" w:rsidP="00DB0112">
      <w:pPr>
        <w:pStyle w:val="Heading2"/>
      </w:pPr>
      <w:bookmarkStart w:id="48" w:name="_Toc426387726"/>
      <w:r>
        <w:t xml:space="preserve">Omnidirectional and </w:t>
      </w:r>
      <w:r w:rsidR="00894B43">
        <w:t xml:space="preserve">Directional </w:t>
      </w:r>
      <w:r>
        <w:t xml:space="preserve">LED </w:t>
      </w:r>
      <w:r w:rsidR="00894B43">
        <w:t>Lamps</w:t>
      </w:r>
      <w:bookmarkEnd w:id="48"/>
    </w:p>
    <w:p w:rsidR="00760A23" w:rsidRDefault="00760A23" w:rsidP="00760A23">
      <w:r>
        <w:t xml:space="preserve">Unlike an incandescent filament or the tube of a compact fluorescent lamp, an LED is an inherently </w:t>
      </w:r>
      <w:r w:rsidRPr="00760A23">
        <w:t>directional</w:t>
      </w:r>
      <w:r>
        <w:t xml:space="preserve"> light source.  However, with individual optics and arrangement in arrays, LEDs can be made to approximate the broader light distribution of an incandescent or CFL A-shaped omni-directional lamp. The problem with many of the A-shape LED bulbs that have emerged on the market is they do not necessarily provide any light beyond a 180° hemisphere, some even less; others throw the majority of light outward in an orthogonal direction to the nadir/zenith axis (</w:t>
      </w:r>
      <w:r w:rsidR="00B525E0">
        <w:fldChar w:fldCharType="begin"/>
      </w:r>
      <w:r w:rsidR="00D717C0">
        <w:instrText xml:space="preserve"> REF _Ref424117408 \h </w:instrText>
      </w:r>
      <w:r w:rsidR="00B525E0">
        <w:fldChar w:fldCharType="separate"/>
      </w:r>
      <w:r w:rsidR="002C13E2">
        <w:t xml:space="preserve">Figure </w:t>
      </w:r>
      <w:r w:rsidR="002C13E2">
        <w:rPr>
          <w:noProof/>
        </w:rPr>
        <w:t>2</w:t>
      </w:r>
      <w:r w:rsidR="00B525E0">
        <w:fldChar w:fldCharType="end"/>
      </w:r>
      <w:r>
        <w:t>). So despite these lamps being designed to look like a traditional incandescent bulb, their light output distribution is very different, and in some applications will be quite inappropriate for a direct retrofit into existing fittings or lamp shades.</w:t>
      </w:r>
    </w:p>
    <w:p w:rsidR="002D7783" w:rsidRDefault="00656464" w:rsidP="002D7783">
      <w:pPr>
        <w:keepNext/>
      </w:pPr>
      <w:r>
        <w:rPr>
          <w:noProof/>
          <w:lang w:eastAsia="en-AU"/>
        </w:rPr>
        <w:drawing>
          <wp:inline distT="0" distB="0" distL="0" distR="0" wp14:anchorId="027F3192" wp14:editId="649D6BDA">
            <wp:extent cx="1435608" cy="1214459"/>
            <wp:effectExtent l="0" t="0" r="0" b="5080"/>
            <wp:docPr id="8" name="Picture 8" descr="Two round Reflector lamps with two p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gan O\AppData\Local\Microsoft\Windows\Temporary Internet Files\Content.Word\GX53-LED-lamp.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5502" cy="1214369"/>
                    </a:xfrm>
                    <a:prstGeom prst="rect">
                      <a:avLst/>
                    </a:prstGeom>
                    <a:noFill/>
                    <a:ln>
                      <a:noFill/>
                    </a:ln>
                  </pic:spPr>
                </pic:pic>
              </a:graphicData>
            </a:graphic>
          </wp:inline>
        </w:drawing>
      </w:r>
      <w:r>
        <w:rPr>
          <w:noProof/>
          <w:lang w:eastAsia="en-AU"/>
        </w:rPr>
        <w:drawing>
          <wp:inline distT="0" distB="0" distL="0" distR="0" wp14:anchorId="063F84C9" wp14:editId="4DD5BD6E">
            <wp:extent cx="1280077" cy="969264"/>
            <wp:effectExtent l="0" t="0" r="0" b="2540"/>
            <wp:docPr id="9" name="Picture 9" descr="round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lbilder.de/produkte/orig/6e3413155e6216b2e8f6fff8077a1e0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80077" cy="969264"/>
                    </a:xfrm>
                    <a:prstGeom prst="rect">
                      <a:avLst/>
                    </a:prstGeom>
                    <a:noFill/>
                    <a:ln>
                      <a:noFill/>
                    </a:ln>
                  </pic:spPr>
                </pic:pic>
              </a:graphicData>
            </a:graphic>
          </wp:inline>
        </w:drawing>
      </w:r>
    </w:p>
    <w:p w:rsidR="00760A23" w:rsidRDefault="00EE21E7" w:rsidP="002D7783">
      <w:pPr>
        <w:pStyle w:val="Caption"/>
      </w:pPr>
      <w:bookmarkStart w:id="49" w:name="_Ref424117408"/>
      <w:bookmarkStart w:id="50" w:name="_Toc426387841"/>
      <w:r>
        <w:t xml:space="preserve">Figure </w:t>
      </w:r>
      <w:r>
        <w:fldChar w:fldCharType="begin"/>
      </w:r>
      <w:r>
        <w:instrText xml:space="preserve"> SEQ Figure \* ARABIC </w:instrText>
      </w:r>
      <w:r>
        <w:fldChar w:fldCharType="separate"/>
      </w:r>
      <w:r w:rsidR="002C13E2">
        <w:rPr>
          <w:noProof/>
        </w:rPr>
        <w:t>2</w:t>
      </w:r>
      <w:r>
        <w:fldChar w:fldCharType="end"/>
      </w:r>
      <w:bookmarkEnd w:id="49"/>
      <w:r>
        <w:t xml:space="preserve">. </w:t>
      </w:r>
      <w:r w:rsidRPr="00267AD0">
        <w:t xml:space="preserve">Reflector lamp with GX53 cap. </w:t>
      </w:r>
      <w:r w:rsidR="002D7783" w:rsidRPr="00267AD0">
        <w:t>These are ‘reflector’ shape with GX53 cap, informally known as a ‘puck’ light (creative commons; sourced from http://leds.beleuchtung-mit-led.de/led-gx53-lamp)</w:t>
      </w:r>
      <w:bookmarkEnd w:id="50"/>
    </w:p>
    <w:p w:rsidR="002D7783" w:rsidRDefault="002D7783" w:rsidP="002D7783">
      <w:pPr>
        <w:pStyle w:val="E3Caption"/>
      </w:pPr>
    </w:p>
    <w:p w:rsidR="00760A23" w:rsidRDefault="00760A23" w:rsidP="00760A23"/>
    <w:p w:rsidR="002D7783" w:rsidRDefault="00656464" w:rsidP="002D7783">
      <w:pPr>
        <w:keepNext/>
      </w:pPr>
      <w:r>
        <w:rPr>
          <w:noProof/>
          <w:lang w:eastAsia="en-AU"/>
        </w:rPr>
        <w:drawing>
          <wp:inline distT="0" distB="0" distL="0" distR="0" wp14:anchorId="1BD0F776" wp14:editId="3AB21CD2">
            <wp:extent cx="1271016" cy="1271016"/>
            <wp:effectExtent l="0" t="0" r="5715" b="5715"/>
            <wp:docPr id="2" name="Picture 31" descr="Frosted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lampsplus.com/is/image/2H924.fpx?qlt=75&amp;wid=460&amp;hei=460&amp;fmt=jpe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271090" cy="1271090"/>
                    </a:xfrm>
                    <a:prstGeom prst="rect">
                      <a:avLst/>
                    </a:prstGeom>
                    <a:noFill/>
                    <a:ln>
                      <a:noFill/>
                    </a:ln>
                  </pic:spPr>
                </pic:pic>
              </a:graphicData>
            </a:graphic>
          </wp:inline>
        </w:drawing>
      </w:r>
    </w:p>
    <w:p w:rsidR="00760A23" w:rsidRDefault="002D7783" w:rsidP="002D7783">
      <w:pPr>
        <w:pStyle w:val="Caption"/>
      </w:pPr>
      <w:bookmarkStart w:id="51" w:name="_Toc426387842"/>
      <w:r>
        <w:t xml:space="preserve">Figure </w:t>
      </w:r>
      <w:r w:rsidR="00B525E0">
        <w:fldChar w:fldCharType="begin"/>
      </w:r>
      <w:r>
        <w:instrText xml:space="preserve"> SEQ Figure \* ARABIC </w:instrText>
      </w:r>
      <w:r w:rsidR="00B525E0">
        <w:fldChar w:fldCharType="separate"/>
      </w:r>
      <w:r w:rsidR="002C13E2">
        <w:rPr>
          <w:noProof/>
        </w:rPr>
        <w:t>3</w:t>
      </w:r>
      <w:r w:rsidR="00B525E0">
        <w:fldChar w:fldCharType="end"/>
      </w:r>
      <w:r>
        <w:t>.</w:t>
      </w:r>
      <w:r w:rsidRPr="001359FC">
        <w:t>A shape LED lamp a GU24 cap. This cap is being used in 110V-240V systems. (creative commons. Sourced from www.halcolighting.com/index.jsp?path=product&amp;part=7534&amp;ds=dept&amp;process=search&amp;ID=,Lamps,LED,A.Shape&amp;prev=find)</w:t>
      </w:r>
      <w:bookmarkEnd w:id="51"/>
    </w:p>
    <w:p w:rsidR="002D7783" w:rsidRDefault="00E90BF7" w:rsidP="002D7783">
      <w:pPr>
        <w:keepNext/>
      </w:pPr>
      <w:r>
        <w:rPr>
          <w:noProof/>
          <w:lang w:eastAsia="en-AU"/>
        </w:rPr>
        <w:lastRenderedPageBreak/>
        <w:drawing>
          <wp:inline distT="0" distB="0" distL="0" distR="0" wp14:anchorId="5E086B8B" wp14:editId="0412A9BD">
            <wp:extent cx="6120765" cy="2097405"/>
            <wp:effectExtent l="0" t="0" r="0" b="0"/>
            <wp:docPr id="20" name="Picture 20" descr="6 Lamps of various colours and shapes. All lamps are screw fitting with a plastic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2097405"/>
                    </a:xfrm>
                    <a:prstGeom prst="rect">
                      <a:avLst/>
                    </a:prstGeom>
                    <a:noFill/>
                  </pic:spPr>
                </pic:pic>
              </a:graphicData>
            </a:graphic>
          </wp:inline>
        </w:drawing>
      </w:r>
    </w:p>
    <w:p w:rsidR="00760A23" w:rsidRDefault="002D7783" w:rsidP="002D7783">
      <w:pPr>
        <w:pStyle w:val="Caption"/>
      </w:pPr>
      <w:bookmarkStart w:id="52" w:name="_Toc426387843"/>
      <w:r>
        <w:t xml:space="preserve">Figure </w:t>
      </w:r>
      <w:r w:rsidR="00B525E0">
        <w:fldChar w:fldCharType="begin"/>
      </w:r>
      <w:r>
        <w:instrText xml:space="preserve"> SEQ Figure \* ARABIC </w:instrText>
      </w:r>
      <w:r w:rsidR="00B525E0">
        <w:fldChar w:fldCharType="separate"/>
      </w:r>
      <w:r w:rsidR="002C13E2">
        <w:rPr>
          <w:noProof/>
        </w:rPr>
        <w:t>4</w:t>
      </w:r>
      <w:r w:rsidR="00B525E0">
        <w:fldChar w:fldCharType="end"/>
      </w:r>
      <w:r>
        <w:t>.</w:t>
      </w:r>
      <w:r w:rsidRPr="00F223EB">
        <w:t>'Omnidirectional' LED lamp. (Licensed image. http://en.wikipedia.org/wiki/File:LED_bulbs_2012.jpg)</w:t>
      </w:r>
      <w:bookmarkEnd w:id="52"/>
    </w:p>
    <w:p w:rsidR="00A857B2" w:rsidRDefault="00A857B2" w:rsidP="004E2E4F"/>
    <w:p w:rsidR="004E2E4F" w:rsidRDefault="004E2E4F" w:rsidP="00760A23">
      <w:r>
        <w:t xml:space="preserve">Without a reasonable definition for an ‘omnidirectional’ lamp included as part of a standard, it could be permissible to have an A-shape LED lamp be marketed as an incandescent retrofit lamp, yet to have the lamp emit zero direct light into zones expected for an omnidirectional lamp. For example, a lamp with incomplete light distribution may fail to emit light below the bottom of a table lamp light shade, which happens to be where the bulk of the illumination is supposed to be provided by the luminaire. This issue provides a reason for a clear definition of an omnidirectional lamp. </w:t>
      </w:r>
    </w:p>
    <w:p w:rsidR="005E447A" w:rsidRDefault="00F3206D" w:rsidP="00412DB0">
      <w:pPr>
        <w:pStyle w:val="E3BodyText"/>
      </w:pPr>
      <w:r>
        <w:t>Definitions for directional</w:t>
      </w:r>
      <w:r w:rsidR="005E447A">
        <w:t>,</w:t>
      </w:r>
      <w:r>
        <w:t xml:space="preserve"> non-directional </w:t>
      </w:r>
      <w:r w:rsidR="005E447A">
        <w:t xml:space="preserve">and omnidirectional </w:t>
      </w:r>
      <w:r>
        <w:t>LED</w:t>
      </w:r>
      <w:r w:rsidR="005E447A">
        <w:t>i</w:t>
      </w:r>
      <w:r>
        <w:t xml:space="preserve"> lamps </w:t>
      </w:r>
      <w:r w:rsidR="00745E97">
        <w:t>va</w:t>
      </w:r>
      <w:r w:rsidR="005E447A">
        <w:t>ry</w:t>
      </w:r>
      <w:r>
        <w:t xml:space="preserve"> between international </w:t>
      </w:r>
      <w:r w:rsidR="005E447A">
        <w:t>organisations</w:t>
      </w:r>
      <w:r>
        <w:t>, to allow for different efficacy requirements</w:t>
      </w:r>
      <w:r w:rsidR="005E447A">
        <w:t xml:space="preserve"> (e.g. US Energy Star, Europe, IEA 4E SSL). For this Product Profile the following definitions of LEDi lamp classifications are proposed</w:t>
      </w:r>
      <w:r w:rsidR="00671F1C">
        <w:t xml:space="preserve"> (modified from</w:t>
      </w:r>
      <w:r w:rsidR="005B43CC">
        <w:t xml:space="preserve"> </w:t>
      </w:r>
      <w:r w:rsidR="005B43CC" w:rsidRPr="005B43CC">
        <w:t>CIE S 025</w:t>
      </w:r>
      <w:r w:rsidR="005B43CC">
        <w:t xml:space="preserve"> and</w:t>
      </w:r>
      <w:r w:rsidR="00671F1C">
        <w:t xml:space="preserve"> IEA 4E SSL)</w:t>
      </w:r>
      <w:r w:rsidR="005E447A">
        <w:t>:</w:t>
      </w:r>
    </w:p>
    <w:p w:rsidR="008B377C" w:rsidRDefault="000A0A93" w:rsidP="005E447A">
      <w:pPr>
        <w:pStyle w:val="E3Bullets"/>
      </w:pPr>
      <w:r>
        <w:rPr>
          <w:noProof/>
          <w:lang w:eastAsia="en-AU"/>
        </w:rPr>
        <w:drawing>
          <wp:inline distT="0" distB="0" distL="0" distR="0" wp14:anchorId="5B065CE6" wp14:editId="1E26C7F6">
            <wp:extent cx="312057" cy="323865"/>
            <wp:effectExtent l="0" t="0" r="0" b="0"/>
            <wp:docPr id="296" name="Picture 296" descr="Lamp displaying direct sharp with high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12294" cy="324111"/>
                    </a:xfrm>
                    <a:prstGeom prst="rect">
                      <a:avLst/>
                    </a:prstGeom>
                  </pic:spPr>
                </pic:pic>
              </a:graphicData>
            </a:graphic>
          </wp:inline>
        </w:drawing>
      </w:r>
      <w:r w:rsidR="00EE21E7">
        <w:t>Directional LEDi</w:t>
      </w:r>
      <w:r w:rsidR="005E447A">
        <w:t xml:space="preserve"> lamp – 50% of flux shall be in declared beam angle which is </w:t>
      </w:r>
      <w:r w:rsidR="00671F1C">
        <w:t>≤ 120˚</w:t>
      </w:r>
      <w:r w:rsidR="005E447A">
        <w:t>.</w:t>
      </w:r>
    </w:p>
    <w:p w:rsidR="005E447A" w:rsidRDefault="000A0A93" w:rsidP="005E447A">
      <w:pPr>
        <w:pStyle w:val="E3Bullets"/>
      </w:pPr>
      <w:r>
        <w:rPr>
          <w:noProof/>
          <w:lang w:eastAsia="en-AU"/>
        </w:rPr>
        <w:drawing>
          <wp:inline distT="0" distB="0" distL="0" distR="0" wp14:anchorId="50D1EB21" wp14:editId="203624C3">
            <wp:extent cx="312057" cy="318525"/>
            <wp:effectExtent l="0" t="0" r="0" b="5715"/>
            <wp:docPr id="294" name="Picture 294" descr="Lamp with a black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17528" cy="324109"/>
                    </a:xfrm>
                    <a:prstGeom prst="rect">
                      <a:avLst/>
                    </a:prstGeom>
                  </pic:spPr>
                </pic:pic>
              </a:graphicData>
            </a:graphic>
          </wp:inline>
        </w:drawing>
      </w:r>
      <w:r w:rsidR="005E447A">
        <w:t>Non-directional LEDi lamp – those lamps which are not directional lamps.</w:t>
      </w:r>
    </w:p>
    <w:p w:rsidR="0007420A" w:rsidRDefault="000A0A93" w:rsidP="0007420A">
      <w:pPr>
        <w:pStyle w:val="E3Bullets"/>
      </w:pPr>
      <w:r>
        <w:rPr>
          <w:noProof/>
          <w:lang w:eastAsia="en-AU"/>
        </w:rPr>
        <w:drawing>
          <wp:inline distT="0" distB="0" distL="0" distR="0" wp14:anchorId="582D0329" wp14:editId="51DF302F">
            <wp:extent cx="312057" cy="341980"/>
            <wp:effectExtent l="0" t="0" r="0" b="1270"/>
            <wp:docPr id="293" name="Picture 293" descr="Lamp with no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10639" cy="340426"/>
                    </a:xfrm>
                    <a:prstGeom prst="rect">
                      <a:avLst/>
                    </a:prstGeom>
                  </pic:spPr>
                </pic:pic>
              </a:graphicData>
            </a:graphic>
          </wp:inline>
        </w:drawing>
      </w:r>
      <w:r w:rsidR="005E447A">
        <w:t>Omnidirectional LEDi lamp (for A-shape incande</w:t>
      </w:r>
      <w:r w:rsidR="0007420A">
        <w:t xml:space="preserve">scent lamp equivalence claim) – </w:t>
      </w:r>
      <w:r w:rsidR="0007420A" w:rsidRPr="00590E2C">
        <w:t>Products shall have an even distribution of luminous intensity within the 0° to 135° zone (symmetrical about the vertical axis).  Luminous intensity at any angle within this zone shall not differ from the mean luminous intensity for the entire 0° to 135° zone by more than 20%.  At least 5% of total flux must be emitted in the 135° -180° zone.  Distribution shall be vertically symmetric in three vertical planes, 0°, 45°, 90°.</w:t>
      </w:r>
    </w:p>
    <w:p w:rsidR="00853EBC" w:rsidRDefault="00853EBC" w:rsidP="00DB0112">
      <w:pPr>
        <w:pStyle w:val="Heading2"/>
      </w:pPr>
      <w:bookmarkStart w:id="53" w:name="_Ref426385822"/>
      <w:bookmarkStart w:id="54" w:name="_Toc426387727"/>
      <w:r>
        <w:t>Linear LED lamps</w:t>
      </w:r>
      <w:r w:rsidR="00515F1E">
        <w:t xml:space="preserve"> - Equivalency</w:t>
      </w:r>
      <w:bookmarkEnd w:id="53"/>
      <w:bookmarkEnd w:id="54"/>
    </w:p>
    <w:p w:rsidR="00894B43" w:rsidRDefault="00894B43" w:rsidP="00894B43">
      <w:r>
        <w:t xml:space="preserve">LED linear lamp replacements for tubular fluorescent lamps have become very popular recently with many brands now available. These are designed to replace the T8 (T26 in metric) fluorescent lamps as there is currently limited (or no energy) saving potential in replacing T5 fluorescent lamps. </w:t>
      </w:r>
    </w:p>
    <w:p w:rsidR="00894B43" w:rsidRPr="00EC2A01" w:rsidRDefault="00894B43" w:rsidP="00894B43">
      <w:r>
        <w:t>There is also a more recent trend in LED circular lamp replacements for circular fluorescent lamps.</w:t>
      </w:r>
    </w:p>
    <w:p w:rsidR="00894B43" w:rsidRDefault="00894B43" w:rsidP="00894B43">
      <w:r>
        <w:t>The actual method of retrofit varies between products and two main features are critical points for discussion. As a retrofit lamp, the expectation is that the LED replacement lamp will provide the same luminous flux output and luminous intensity distribution from the fixture as the replaced fluorescent lamp. In addition, the electrical configuration is expected to remain the same (</w:t>
      </w:r>
      <w:r w:rsidR="00EE21E7">
        <w:t>i.e.</w:t>
      </w:r>
      <w:r>
        <w:t xml:space="preserve"> the ballast) or will be modified such as not to provide an electrical hazard (particularly if the previous lamp technology is returned at a later date). These issues apply to both the linear and the circular LED replacement lamps.</w:t>
      </w:r>
    </w:p>
    <w:p w:rsidR="00671F1C" w:rsidRDefault="00F95673" w:rsidP="00671F1C">
      <w:pPr>
        <w:pStyle w:val="E3BodyText"/>
      </w:pPr>
      <w:r>
        <w:t>Most currently available l</w:t>
      </w:r>
      <w:r w:rsidR="00745E97">
        <w:t xml:space="preserve">inear LED lamps generally do not have the same 360˚ intensity distribution about the centre line of the tube as linear fluorescent lamps do – </w:t>
      </w:r>
      <w:r>
        <w:t xml:space="preserve">instead </w:t>
      </w:r>
      <w:r w:rsidR="00745E97">
        <w:t xml:space="preserve">they emit light in a hemisphere (180˚) or less (e.g. 120˚). Therefore, a linear fluorescent lamp luminaire that has optical </w:t>
      </w:r>
      <w:r w:rsidR="00745E97" w:rsidRPr="00745E97">
        <w:t>elements, particularly in the back of the fixture (such as reflectors for direct lighting or refractors for indirect lighting applications)</w:t>
      </w:r>
      <w:r w:rsidR="00515F1E">
        <w:t>,</w:t>
      </w:r>
      <w:r w:rsidR="00745E97" w:rsidRPr="00745E97">
        <w:t xml:space="preserve"> to produce a specific </w:t>
      </w:r>
      <w:r w:rsidR="00745E97" w:rsidRPr="00745E97">
        <w:lastRenderedPageBreak/>
        <w:t>intensity distribution will not have the same or even similar distribution once the LED lamp is installed</w:t>
      </w:r>
      <w:r w:rsidR="00745E97">
        <w:t>.</w:t>
      </w:r>
      <w:r w:rsidR="00674C28">
        <w:rPr>
          <w:lang w:eastAsia="en-AU"/>
        </w:rPr>
        <w:t xml:space="preserve"> This may i</w:t>
      </w:r>
      <w:r w:rsidR="0021396B">
        <w:rPr>
          <w:lang w:eastAsia="en-AU"/>
        </w:rPr>
        <w:t xml:space="preserve">mpact upon lighting quality or </w:t>
      </w:r>
      <w:r w:rsidR="00674C28">
        <w:rPr>
          <w:lang w:eastAsia="en-AU"/>
        </w:rPr>
        <w:t xml:space="preserve">illumination levels </w:t>
      </w:r>
      <w:r w:rsidR="00EE21E7">
        <w:rPr>
          <w:lang w:eastAsia="en-AU"/>
        </w:rPr>
        <w:t>in;</w:t>
      </w:r>
      <w:r w:rsidR="00674C28">
        <w:rPr>
          <w:lang w:eastAsia="en-AU"/>
        </w:rPr>
        <w:t xml:space="preserve"> for example, office space and retail premises; in which case, areas which are subject to illuminance, glare and uniformity design standards (</w:t>
      </w:r>
      <w:r w:rsidR="00EE21E7">
        <w:rPr>
          <w:lang w:eastAsia="en-AU"/>
        </w:rPr>
        <w:t>i.e.</w:t>
      </w:r>
      <w:r w:rsidR="00674C28">
        <w:rPr>
          <w:lang w:eastAsia="en-AU"/>
        </w:rPr>
        <w:t xml:space="preserve"> AS/NZS 1680) would be required to provide a new assessment of compliance. </w:t>
      </w:r>
    </w:p>
    <w:p w:rsidR="00745E97" w:rsidRDefault="00745E97" w:rsidP="00745E97">
      <w:pPr>
        <w:pStyle w:val="E3BodyText"/>
      </w:pPr>
      <w:r>
        <w:t>In order to make consumers aware of the potential variation in light distribution between the linear LED and fluorescent lamps it is proposed that there be a differentiation. For the purposes of this Product Profile, a</w:t>
      </w:r>
      <w:r w:rsidR="00F95673">
        <w:t xml:space="preserve"> retrofit</w:t>
      </w:r>
      <w:r>
        <w:t xml:space="preserve"> linear LED lamp</w:t>
      </w:r>
      <w:r w:rsidR="008A65AF">
        <w:t xml:space="preserve"> will be defined as having “om</w:t>
      </w:r>
      <w:r>
        <w:t>nid</w:t>
      </w:r>
      <w:r w:rsidR="008A65AF">
        <w:t>i</w:t>
      </w:r>
      <w:r>
        <w:t>rectional distribution with even luminous intensity distribution 360˚ around the lamp”</w:t>
      </w:r>
      <w:r w:rsidR="002757B3">
        <w:t xml:space="preserve"> (</w:t>
      </w:r>
      <w:hyperlink r:id="rId56" w:history="1">
        <w:r w:rsidR="002757B3" w:rsidRPr="002757B3">
          <w:rPr>
            <w:rStyle w:val="Hyperlink"/>
          </w:rPr>
          <w:t>IEA 4E SSL</w:t>
        </w:r>
      </w:hyperlink>
      <w:r w:rsidR="002757B3">
        <w:t xml:space="preserve"> (www.</w:t>
      </w:r>
      <w:r w:rsidR="002757B3" w:rsidRPr="00745E97">
        <w:t>ssl.iea-4e.org/task-1-quality-assurance</w:t>
      </w:r>
      <w:r w:rsidR="002757B3">
        <w:t>))</w:t>
      </w:r>
      <w:r w:rsidR="00F95673">
        <w:t xml:space="preserve">in order </w:t>
      </w:r>
      <w:r>
        <w:t>to claim equivalence to a linear fluorescent lamp.</w:t>
      </w:r>
    </w:p>
    <w:p w:rsidR="00EB54F8" w:rsidRDefault="00F95673" w:rsidP="00853EBC">
      <w:pPr>
        <w:pStyle w:val="E3BodyText"/>
      </w:pPr>
      <w:r>
        <w:t>LED linear lamps not meeting this definition may still provide an acceptable lighting service in non-retrofit situations provided the more limited light distribution is taken into account in the selection of luminaires and the lighting design.</w:t>
      </w:r>
    </w:p>
    <w:p w:rsidR="0089726B" w:rsidRPr="00301106" w:rsidRDefault="0089726B" w:rsidP="00E47788">
      <w:r>
        <w:t>While safety issues are not the responsibility of the Equipment Energy Efficiency program, it should be noted that there have been electrical safety concerns in relation to the design of some LED fluorescent replacement products and that these have been the su</w:t>
      </w:r>
      <w:r w:rsidR="0021396B">
        <w:t xml:space="preserve">bject of a safety </w:t>
      </w:r>
      <w:r w:rsidR="00E47788">
        <w:t xml:space="preserve">information bulletin </w:t>
      </w:r>
      <w:r w:rsidR="0021396B">
        <w:t>issued</w:t>
      </w:r>
      <w:r>
        <w:t xml:space="preserve"> by Electrical Regulatory Authority Council (</w:t>
      </w:r>
      <w:hyperlink r:id="rId57" w:history="1">
        <w:r w:rsidRPr="00BD66DF">
          <w:rPr>
            <w:rStyle w:val="Hyperlink"/>
          </w:rPr>
          <w:t>ERAC</w:t>
        </w:r>
      </w:hyperlink>
      <w:r>
        <w:t>).</w:t>
      </w:r>
    </w:p>
    <w:p w:rsidR="0089726B" w:rsidRDefault="0089726B" w:rsidP="00DB0112">
      <w:pPr>
        <w:pStyle w:val="E3SubBullets"/>
        <w:numPr>
          <w:ilvl w:val="0"/>
          <w:numId w:val="0"/>
        </w:numPr>
      </w:pPr>
      <w:r w:rsidRPr="00301106">
        <w:t xml:space="preserve">If the luminaire has been modified then the Electrical Regulatory Authorities Council recommends that the luminaire should be marked with a warning label that is visible whilst replacing lamps. This warning label should be legible and indelible and show the intent of: </w:t>
      </w:r>
      <w:r w:rsidRPr="00301106">
        <w:rPr>
          <w:i/>
          <w:iCs/>
        </w:rPr>
        <w:t>‘Warning - not for use with any fluorescent lamps, use only &lt;Brand&gt;&lt;Model Number&gt;&lt;Type&gt; Lamp’</w:t>
      </w:r>
      <w:r w:rsidRPr="00301106">
        <w:rPr>
          <w:iCs/>
        </w:rPr>
        <w:t>.</w:t>
      </w:r>
    </w:p>
    <w:p w:rsidR="00301106" w:rsidRPr="00853EBC" w:rsidRDefault="007A3233" w:rsidP="00DB0112">
      <w:pPr>
        <w:pStyle w:val="Heading2"/>
      </w:pPr>
      <w:bookmarkStart w:id="55" w:name="_Toc426387728"/>
      <w:r>
        <w:t>LED</w:t>
      </w:r>
      <w:r w:rsidR="00301106">
        <w:t xml:space="preserve"> Performance and </w:t>
      </w:r>
      <w:r>
        <w:t xml:space="preserve">Known </w:t>
      </w:r>
      <w:r w:rsidR="00301106">
        <w:t>Quality Issues for LED products</w:t>
      </w:r>
      <w:bookmarkEnd w:id="55"/>
    </w:p>
    <w:p w:rsidR="001B5F29" w:rsidRDefault="00301106" w:rsidP="00301106">
      <w:pPr>
        <w:pStyle w:val="E3Bullets"/>
        <w:numPr>
          <w:ilvl w:val="0"/>
          <w:numId w:val="0"/>
        </w:numPr>
      </w:pPr>
      <w:r>
        <w:t xml:space="preserve">Currently </w:t>
      </w:r>
      <w:r w:rsidR="00186B22" w:rsidRPr="00301106">
        <w:t xml:space="preserve">LED lamps have a higher initial cost that </w:t>
      </w:r>
      <w:r>
        <w:t>is expected to be</w:t>
      </w:r>
      <w:r w:rsidR="00186B22" w:rsidRPr="00301106">
        <w:t xml:space="preserve"> paid back via lower energy consumption and low</w:t>
      </w:r>
      <w:r w:rsidR="00520699">
        <w:t>er cost</w:t>
      </w:r>
      <w:r w:rsidR="00186B22" w:rsidRPr="00301106">
        <w:t xml:space="preserve"> replacement and maintenance schedules</w:t>
      </w:r>
      <w:r>
        <w:t xml:space="preserve"> over a longer </w:t>
      </w:r>
      <w:r w:rsidR="00EE21E7">
        <w:t>life</w:t>
      </w:r>
      <w:r w:rsidR="00EE21E7" w:rsidRPr="00301106">
        <w:t>.</w:t>
      </w:r>
      <w:r w:rsidR="00EE21E7">
        <w:t xml:space="preserve"> Good</w:t>
      </w:r>
      <w:r w:rsidR="00520699">
        <w:t xml:space="preserve"> quality LED lamps currently equal or exceed the efficacy of CFLs, and the point source nature of LED light make them more suitable for directional lighting.  </w:t>
      </w:r>
      <w:r w:rsidR="001D3887">
        <w:t>Testing in Australia</w:t>
      </w:r>
      <w:r w:rsidR="001B5F29">
        <w:t xml:space="preserve"> and New Zealand</w:t>
      </w:r>
      <w:r w:rsidR="001D3887">
        <w:t xml:space="preserve"> and overseas shows that LED products continue to improve in terms of light output, efficacy and compatibility, while rapidly reducing in </w:t>
      </w:r>
      <w:r w:rsidR="00EE21E7">
        <w:t>price. However</w:t>
      </w:r>
      <w:r>
        <w:t xml:space="preserve"> there have </w:t>
      </w:r>
      <w:r w:rsidR="007A3233">
        <w:t>also been</w:t>
      </w:r>
      <w:r w:rsidR="00FA3B91">
        <w:t xml:space="preserve"> a </w:t>
      </w:r>
      <w:r>
        <w:t xml:space="preserve">number of quality </w:t>
      </w:r>
      <w:r w:rsidR="008D48AA">
        <w:t xml:space="preserve">and performance </w:t>
      </w:r>
      <w:r>
        <w:t>issues identified with LED lighting.</w:t>
      </w:r>
    </w:p>
    <w:p w:rsidR="001B5F29" w:rsidRDefault="001B5F29" w:rsidP="00301106">
      <w:pPr>
        <w:pStyle w:val="E3Bullets"/>
        <w:numPr>
          <w:ilvl w:val="0"/>
          <w:numId w:val="0"/>
        </w:numPr>
      </w:pPr>
    </w:p>
    <w:p w:rsidR="00186B22" w:rsidRDefault="001D3887" w:rsidP="00301106">
      <w:pPr>
        <w:pStyle w:val="E3Bullets"/>
        <w:numPr>
          <w:ilvl w:val="0"/>
          <w:numId w:val="0"/>
        </w:numPr>
      </w:pPr>
      <w:r>
        <w:t xml:space="preserve">This section examines </w:t>
      </w:r>
      <w:r w:rsidR="001B5F29">
        <w:t>some of the known challenges with LED lighting.  It should be noted however that these issues relate to some, not all LED products available in the market place.</w:t>
      </w:r>
    </w:p>
    <w:p w:rsidR="008D48AA" w:rsidRDefault="008D48AA" w:rsidP="00301106">
      <w:pPr>
        <w:pStyle w:val="E3Bullets"/>
        <w:numPr>
          <w:ilvl w:val="0"/>
          <w:numId w:val="0"/>
        </w:numPr>
      </w:pPr>
    </w:p>
    <w:p w:rsidR="00A41CA8" w:rsidRDefault="00A41CA8" w:rsidP="00DB0112">
      <w:pPr>
        <w:pStyle w:val="Heading3"/>
      </w:pPr>
      <w:bookmarkStart w:id="56" w:name="_Toc426387729"/>
      <w:r>
        <w:t>Light Output and Efficacy</w:t>
      </w:r>
      <w:bookmarkEnd w:id="56"/>
    </w:p>
    <w:p w:rsidR="00B82B9F" w:rsidRDefault="00EE21E7" w:rsidP="00301106">
      <w:pPr>
        <w:pStyle w:val="E3Bullets"/>
        <w:numPr>
          <w:ilvl w:val="0"/>
          <w:numId w:val="0"/>
        </w:numPr>
      </w:pPr>
      <w:r>
        <w:t xml:space="preserve">Testing of LED products available in the market has shown significant improvements in efficacy over the last few years as indicated in </w:t>
      </w:r>
      <w:r>
        <w:fldChar w:fldCharType="begin"/>
      </w:r>
      <w:r>
        <w:instrText xml:space="preserve"> REF _Ref424117606 \h </w:instrText>
      </w:r>
      <w:r>
        <w:fldChar w:fldCharType="separate"/>
      </w:r>
      <w:r w:rsidR="002C13E2">
        <w:t xml:space="preserve">Figure </w:t>
      </w:r>
      <w:r w:rsidR="002C13E2">
        <w:rPr>
          <w:noProof/>
        </w:rPr>
        <w:t>5</w:t>
      </w:r>
      <w:r>
        <w:fldChar w:fldCharType="end"/>
      </w:r>
      <w:r>
        <w:t xml:space="preserve">, Omnidirectional product purchased for testing provided lumen output equivalent to 20W and 40W incandescent omnidirectional lamps, with equivalent products also emerging in 60W and higher categories.  </w:t>
      </w:r>
      <w:r w:rsidR="00B82B9F">
        <w:t>Directional LED products tested also offered equivalency to standard 35W halogen MR16 lamps</w:t>
      </w:r>
      <w:r w:rsidR="00C8686A">
        <w:t xml:space="preserve"> for ≤ 63.5 mm </w:t>
      </w:r>
      <w:r w:rsidR="00E2033B">
        <w:t>(</w:t>
      </w:r>
      <w:r>
        <w:t xml:space="preserve">see </w:t>
      </w:r>
      <w:r>
        <w:fldChar w:fldCharType="begin"/>
      </w:r>
      <w:r>
        <w:instrText xml:space="preserve"> REF _Ref424117621 \h </w:instrText>
      </w:r>
      <w:r>
        <w:fldChar w:fldCharType="separate"/>
      </w:r>
      <w:r w:rsidR="002C13E2">
        <w:t xml:space="preserve">Figure </w:t>
      </w:r>
      <w:r w:rsidR="002C13E2">
        <w:rPr>
          <w:noProof/>
        </w:rPr>
        <w:t>6</w:t>
      </w:r>
      <w:r>
        <w:fldChar w:fldCharType="end"/>
      </w:r>
      <w:r w:rsidR="00C8686A">
        <w:t xml:space="preserve">) and equivalency to tungsten filament PAR lamps &gt; 63.5 mm (see </w:t>
      </w:r>
      <w:r w:rsidR="00B525E0">
        <w:fldChar w:fldCharType="begin"/>
      </w:r>
      <w:r w:rsidR="00C8686A">
        <w:instrText xml:space="preserve"> REF _Ref424290889 \h </w:instrText>
      </w:r>
      <w:r w:rsidR="00B525E0">
        <w:fldChar w:fldCharType="separate"/>
      </w:r>
      <w:r w:rsidR="002C13E2">
        <w:t xml:space="preserve">Figure </w:t>
      </w:r>
      <w:r w:rsidR="002C13E2">
        <w:rPr>
          <w:noProof/>
        </w:rPr>
        <w:t>7</w:t>
      </w:r>
      <w:r w:rsidR="00B525E0">
        <w:fldChar w:fldCharType="end"/>
      </w:r>
      <w:r w:rsidR="00E2033B">
        <w:t xml:space="preserve">). There are currently </w:t>
      </w:r>
      <w:r w:rsidR="00C8686A">
        <w:t xml:space="preserve">few </w:t>
      </w:r>
      <w:r w:rsidR="00E2033B">
        <w:t xml:space="preserve">small profile directional LED lamps that can offer a similar lumen package to </w:t>
      </w:r>
      <w:r w:rsidR="00DD712C">
        <w:t>50W and 35W IRC lamps</w:t>
      </w:r>
      <w:r w:rsidR="00BD66DF">
        <w:t>.</w:t>
      </w:r>
      <w:r w:rsidR="008A65AF">
        <w:t xml:space="preserve"> </w:t>
      </w:r>
      <w:r w:rsidR="00BD66DF">
        <w:t xml:space="preserve">Many LED lamps sold as replacements for </w:t>
      </w:r>
      <w:r w:rsidR="00BD66DF" w:rsidRPr="00BD66DF">
        <w:t xml:space="preserve">50W and 35W IRC lamps </w:t>
      </w:r>
      <w:r w:rsidR="00DD712C">
        <w:t>generally have an extended physical profile which may not fit in some existing fixtures.</w:t>
      </w:r>
    </w:p>
    <w:p w:rsidR="00B82B9F" w:rsidRDefault="00B82B9F" w:rsidP="00301106">
      <w:pPr>
        <w:pStyle w:val="E3Bullets"/>
        <w:numPr>
          <w:ilvl w:val="0"/>
          <w:numId w:val="0"/>
        </w:numPr>
      </w:pPr>
    </w:p>
    <w:p w:rsidR="00B82B9F" w:rsidRDefault="00BD66DF" w:rsidP="00301106">
      <w:pPr>
        <w:pStyle w:val="E3Bullets"/>
        <w:numPr>
          <w:ilvl w:val="0"/>
          <w:numId w:val="0"/>
        </w:numPr>
      </w:pPr>
      <w:r>
        <w:t>Similarly, testing by the</w:t>
      </w:r>
      <w:r w:rsidR="00B82B9F" w:rsidRPr="00B82B9F">
        <w:t xml:space="preserve"> U.S. Department of Energy (DOE) CALiPER program </w:t>
      </w:r>
      <w:r w:rsidR="00B82B9F">
        <w:t>concluded that in the US market t</w:t>
      </w:r>
      <w:r w:rsidR="00B82B9F" w:rsidRPr="00B82B9F">
        <w:t xml:space="preserve">here are now very good LED options to compete with 60 W, 75 W, and 100 W incandescent </w:t>
      </w:r>
      <w:r w:rsidR="00B82B9F">
        <w:t>GLS</w:t>
      </w:r>
      <w:r w:rsidR="00B82B9F" w:rsidRPr="00B82B9F">
        <w:t xml:space="preserve"> lamps, and 75 W halogen PAR30 lamps</w:t>
      </w:r>
      <w:r w:rsidR="009B0680">
        <w:t xml:space="preserve"> (US DOE </w:t>
      </w:r>
      <w:r w:rsidR="00C961CF">
        <w:t>Feb 2014</w:t>
      </w:r>
      <w:r w:rsidR="009B0680">
        <w:t>)</w:t>
      </w:r>
      <w:r w:rsidR="00B82B9F" w:rsidRPr="00B82B9F">
        <w:t xml:space="preserve">. </w:t>
      </w:r>
      <w:r w:rsidR="000818EA">
        <w:t>While CALi</w:t>
      </w:r>
      <w:r w:rsidR="00B82B9F">
        <w:t xml:space="preserve">PER testing found that </w:t>
      </w:r>
      <w:r w:rsidR="00B82B9F" w:rsidRPr="00B82B9F">
        <w:t xml:space="preserve">MR16 </w:t>
      </w:r>
      <w:r w:rsidR="00040ACB">
        <w:t xml:space="preserve">replacement </w:t>
      </w:r>
      <w:r w:rsidR="00B82B9F" w:rsidRPr="00B82B9F">
        <w:t>lamps have shown less progress, acceptable alternatives</w:t>
      </w:r>
      <w:r w:rsidR="00040ACB">
        <w:t xml:space="preserve"> were available for </w:t>
      </w:r>
      <w:r w:rsidR="00B82B9F" w:rsidRPr="00B82B9F">
        <w:t>35 W, 12 V halogen MR16 lamps and 50 W, 120 V halogen MR1</w:t>
      </w:r>
      <w:r w:rsidR="00824E5B">
        <w:t>6 lamps for some applications while o</w:t>
      </w:r>
      <w:r w:rsidR="00B82B9F" w:rsidRPr="00B82B9F">
        <w:t>ther uses, such as in enclosed luminaires</w:t>
      </w:r>
      <w:r w:rsidR="00EC37F0">
        <w:t>, may require more development.</w:t>
      </w:r>
    </w:p>
    <w:p w:rsidR="001B5F29" w:rsidRDefault="001B5F29" w:rsidP="00301106">
      <w:pPr>
        <w:pStyle w:val="E3Bullets"/>
        <w:numPr>
          <w:ilvl w:val="0"/>
          <w:numId w:val="0"/>
        </w:numPr>
      </w:pPr>
    </w:p>
    <w:p w:rsidR="001B5F29" w:rsidRDefault="00040ACB" w:rsidP="00301106">
      <w:pPr>
        <w:pStyle w:val="E3Bullets"/>
        <w:numPr>
          <w:ilvl w:val="0"/>
          <w:numId w:val="0"/>
        </w:numPr>
      </w:pPr>
      <w:r>
        <w:t>In addition r</w:t>
      </w:r>
      <w:r w:rsidR="001B5F29">
        <w:t xml:space="preserve">ecent assessment of products sold in the European market has shown that </w:t>
      </w:r>
      <w:r w:rsidR="00D9473A">
        <w:t>there has been a rapid improvement in light output and efficacy, and significant drops in cost per lumens, exceeding previous predictions (Bennich et al 2015).</w:t>
      </w:r>
    </w:p>
    <w:p w:rsidR="00B82B9F" w:rsidRDefault="00B82B9F" w:rsidP="00301106">
      <w:pPr>
        <w:pStyle w:val="E3Bullets"/>
        <w:numPr>
          <w:ilvl w:val="0"/>
          <w:numId w:val="0"/>
        </w:numPr>
      </w:pPr>
    </w:p>
    <w:p w:rsidR="007A3233" w:rsidRDefault="00040ACB" w:rsidP="00301106">
      <w:pPr>
        <w:pStyle w:val="E3Bullets"/>
        <w:numPr>
          <w:ilvl w:val="0"/>
          <w:numId w:val="0"/>
        </w:numPr>
      </w:pPr>
      <w:r>
        <w:lastRenderedPageBreak/>
        <w:t xml:space="preserve">In contrast, </w:t>
      </w:r>
      <w:r w:rsidR="0034571F">
        <w:t xml:space="preserve">at the other end of the performance scale, </w:t>
      </w:r>
      <w:r w:rsidR="00FA3B91">
        <w:t>this testing indicates that even some recently purchased products would not meet the minimum efficacy requirements currently applied to CFLs under MEPS.</w:t>
      </w:r>
      <w:r w:rsidR="00A41CA8">
        <w:t xml:space="preserve">  This is demonstrated in </w:t>
      </w:r>
      <w:r w:rsidR="00B525E0">
        <w:fldChar w:fldCharType="begin"/>
      </w:r>
      <w:r w:rsidR="00D717C0">
        <w:instrText xml:space="preserve"> REF _Ref424117606 \h </w:instrText>
      </w:r>
      <w:r w:rsidR="00B525E0">
        <w:fldChar w:fldCharType="separate"/>
      </w:r>
      <w:r w:rsidR="002C13E2">
        <w:t xml:space="preserve">Figure </w:t>
      </w:r>
      <w:r w:rsidR="002C13E2">
        <w:rPr>
          <w:noProof/>
        </w:rPr>
        <w:t>5</w:t>
      </w:r>
      <w:r w:rsidR="00B525E0">
        <w:fldChar w:fldCharType="end"/>
      </w:r>
      <w:r w:rsidR="000818EA">
        <w:t xml:space="preserve"> </w:t>
      </w:r>
      <w:r w:rsidR="00A41CA8">
        <w:t>where several lamps, including some purchased as recently as 2014, fall under the Australian/New Zealand CFL MEPS efficacy curve.</w:t>
      </w:r>
    </w:p>
    <w:p w:rsidR="002D7783" w:rsidRDefault="000D6629" w:rsidP="002D7783">
      <w:pPr>
        <w:pStyle w:val="E3TableTitles"/>
        <w:keepNext/>
      </w:pPr>
      <w:r>
        <w:rPr>
          <w:noProof/>
          <w:lang w:val="en-AU" w:eastAsia="en-AU"/>
        </w:rPr>
        <w:drawing>
          <wp:inline distT="0" distB="0" distL="0" distR="0" wp14:anchorId="323F8DEB" wp14:editId="4B344963">
            <wp:extent cx="6120000" cy="3997263"/>
            <wp:effectExtent l="0" t="0" r="0" b="3810"/>
            <wp:docPr id="297" name="Picture 297" descr="Line and Dot graph displaying Y Axis - Efficacy (Lm/W) against X - Axis Luminous Flux (LM) of lamp types in Aus, Uk, USA and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000" cy="3997263"/>
                    </a:xfrm>
                    <a:prstGeom prst="rect">
                      <a:avLst/>
                    </a:prstGeom>
                    <a:noFill/>
                  </pic:spPr>
                </pic:pic>
              </a:graphicData>
            </a:graphic>
          </wp:inline>
        </w:drawing>
      </w:r>
    </w:p>
    <w:p w:rsidR="007A3233" w:rsidRDefault="00EE21E7" w:rsidP="002D7783">
      <w:pPr>
        <w:pStyle w:val="Caption"/>
      </w:pPr>
      <w:bookmarkStart w:id="57" w:name="_Ref424117606"/>
      <w:bookmarkStart w:id="58" w:name="_Toc426387844"/>
      <w:r>
        <w:t xml:space="preserve">Figure </w:t>
      </w:r>
      <w:r>
        <w:fldChar w:fldCharType="begin"/>
      </w:r>
      <w:r>
        <w:instrText xml:space="preserve"> SEQ Figure \* ARABIC </w:instrText>
      </w:r>
      <w:r>
        <w:fldChar w:fldCharType="separate"/>
      </w:r>
      <w:r w:rsidR="002C13E2">
        <w:rPr>
          <w:noProof/>
        </w:rPr>
        <w:t>5</w:t>
      </w:r>
      <w:r>
        <w:fldChar w:fldCharType="end"/>
      </w:r>
      <w:bookmarkEnd w:id="57"/>
      <w:r>
        <w:t xml:space="preserve">. </w:t>
      </w:r>
      <w:r w:rsidRPr="001D1874">
        <w:t>Lamp Performance (luminous Flux and Efficacy) of Omnidirectional Purchased in Australia 2009-2014.</w:t>
      </w:r>
      <w:r>
        <w:t xml:space="preserve"> </w:t>
      </w:r>
      <w:r w:rsidRPr="001D1874">
        <w:t>Equivalence levels as per IEA 4ESSL 2012.</w:t>
      </w:r>
      <w:bookmarkEnd w:id="58"/>
    </w:p>
    <w:p w:rsidR="007A3233" w:rsidRDefault="007A3233" w:rsidP="00301106">
      <w:pPr>
        <w:pStyle w:val="E3Bullets"/>
        <w:numPr>
          <w:ilvl w:val="0"/>
          <w:numId w:val="0"/>
        </w:numPr>
      </w:pPr>
    </w:p>
    <w:p w:rsidR="002D7783" w:rsidRDefault="0022723A" w:rsidP="002D7783">
      <w:pPr>
        <w:pStyle w:val="E3Bullets"/>
        <w:keepNext/>
        <w:numPr>
          <w:ilvl w:val="0"/>
          <w:numId w:val="0"/>
        </w:numPr>
      </w:pPr>
      <w:r>
        <w:rPr>
          <w:noProof/>
          <w:lang w:eastAsia="en-AU"/>
        </w:rPr>
        <w:lastRenderedPageBreak/>
        <w:drawing>
          <wp:inline distT="0" distB="0" distL="0" distR="0" wp14:anchorId="2FF02CB7" wp14:editId="2BF0227A">
            <wp:extent cx="6120000" cy="3854738"/>
            <wp:effectExtent l="0" t="0" r="0" b="0"/>
            <wp:docPr id="299" name="Picture 299" descr="Line and Dot graph displaying Y Axis - Efficacy (Lm/W) against X - Axis Luminous Flux (LM) of lamp types in Aus, Uk, USA and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000" cy="3854738"/>
                    </a:xfrm>
                    <a:prstGeom prst="rect">
                      <a:avLst/>
                    </a:prstGeom>
                    <a:noFill/>
                  </pic:spPr>
                </pic:pic>
              </a:graphicData>
            </a:graphic>
          </wp:inline>
        </w:drawing>
      </w:r>
    </w:p>
    <w:p w:rsidR="00B82B9F" w:rsidRDefault="002D7783" w:rsidP="002D7783">
      <w:pPr>
        <w:pStyle w:val="Caption"/>
      </w:pPr>
      <w:bookmarkStart w:id="59" w:name="_Ref424117621"/>
      <w:bookmarkStart w:id="60" w:name="_Toc426387845"/>
      <w:r>
        <w:t xml:space="preserve">Figure </w:t>
      </w:r>
      <w:r w:rsidR="00B525E0">
        <w:fldChar w:fldCharType="begin"/>
      </w:r>
      <w:r>
        <w:instrText xml:space="preserve"> SEQ Figure \* ARABIC </w:instrText>
      </w:r>
      <w:r w:rsidR="00B525E0">
        <w:fldChar w:fldCharType="separate"/>
      </w:r>
      <w:r w:rsidR="002C13E2">
        <w:rPr>
          <w:noProof/>
        </w:rPr>
        <w:t>6</w:t>
      </w:r>
      <w:r w:rsidR="00B525E0">
        <w:fldChar w:fldCharType="end"/>
      </w:r>
      <w:bookmarkEnd w:id="59"/>
      <w:r>
        <w:t>.</w:t>
      </w:r>
      <w:r w:rsidRPr="003720A1">
        <w:t xml:space="preserve">Lamp Performance (luminous Flux and Efficacy) of Directional lamps </w:t>
      </w:r>
      <w:r w:rsidR="00E80A02">
        <w:t>of diameter ≤ 63.5mm tested internationally between 2010 and 2014.</w:t>
      </w:r>
      <w:bookmarkEnd w:id="60"/>
    </w:p>
    <w:p w:rsidR="00B82B9F" w:rsidRDefault="00B82B9F" w:rsidP="00301106">
      <w:pPr>
        <w:pStyle w:val="E3Bullets"/>
        <w:numPr>
          <w:ilvl w:val="0"/>
          <w:numId w:val="0"/>
        </w:numPr>
      </w:pPr>
    </w:p>
    <w:p w:rsidR="00414F72" w:rsidRDefault="006445B5" w:rsidP="00414F72">
      <w:pPr>
        <w:pStyle w:val="E3Bullets"/>
        <w:keepNext/>
        <w:numPr>
          <w:ilvl w:val="0"/>
          <w:numId w:val="0"/>
        </w:numPr>
      </w:pPr>
      <w:r>
        <w:rPr>
          <w:noProof/>
          <w:lang w:eastAsia="en-AU"/>
        </w:rPr>
        <w:drawing>
          <wp:inline distT="0" distB="0" distL="0" distR="0" wp14:anchorId="36676C6D" wp14:editId="38B75DBA">
            <wp:extent cx="6120000" cy="3980574"/>
            <wp:effectExtent l="0" t="0" r="0" b="1270"/>
            <wp:docPr id="301" name="Picture 301" descr="Line and Dot graph displaying Y Axis - Efficacy (Lm/W) against X - Axis Luminous Flux (LM) of lamp types in Aus, Uk, USA and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000" cy="3980574"/>
                    </a:xfrm>
                    <a:prstGeom prst="rect">
                      <a:avLst/>
                    </a:prstGeom>
                    <a:noFill/>
                  </pic:spPr>
                </pic:pic>
              </a:graphicData>
            </a:graphic>
          </wp:inline>
        </w:drawing>
      </w:r>
    </w:p>
    <w:p w:rsidR="00414F72" w:rsidRDefault="00414F72" w:rsidP="00414F72">
      <w:pPr>
        <w:pStyle w:val="Caption"/>
      </w:pPr>
      <w:bookmarkStart w:id="61" w:name="_Ref424290889"/>
      <w:bookmarkStart w:id="62" w:name="_Toc426387846"/>
      <w:r>
        <w:t xml:space="preserve">Figure </w:t>
      </w:r>
      <w:r w:rsidR="00B525E0">
        <w:fldChar w:fldCharType="begin"/>
      </w:r>
      <w:r>
        <w:instrText xml:space="preserve"> SEQ Figure \* ARABIC </w:instrText>
      </w:r>
      <w:r w:rsidR="00B525E0">
        <w:fldChar w:fldCharType="separate"/>
      </w:r>
      <w:r w:rsidR="002C13E2">
        <w:rPr>
          <w:noProof/>
        </w:rPr>
        <w:t>7</w:t>
      </w:r>
      <w:r w:rsidR="00B525E0">
        <w:fldChar w:fldCharType="end"/>
      </w:r>
      <w:bookmarkEnd w:id="61"/>
      <w:r>
        <w:t>.</w:t>
      </w:r>
      <w:r w:rsidRPr="009E6586">
        <w:t xml:space="preserve">Lamp Performance (luminous Flux and Efficacy) of </w:t>
      </w:r>
      <w:r>
        <w:t>Directional lamps of diameter &gt;</w:t>
      </w:r>
      <w:r w:rsidRPr="009E6586">
        <w:t>63.5mm tested internationally between 2010 and 2014.</w:t>
      </w:r>
      <w:bookmarkEnd w:id="62"/>
    </w:p>
    <w:p w:rsidR="00D01790" w:rsidRDefault="00C8686A" w:rsidP="00717BE0">
      <w:pPr>
        <w:pStyle w:val="E3Bullets"/>
        <w:numPr>
          <w:ilvl w:val="0"/>
          <w:numId w:val="0"/>
        </w:numPr>
      </w:pPr>
      <w:r>
        <w:br/>
      </w:r>
      <w:r w:rsidR="00E631F9">
        <w:t xml:space="preserve">In terms of </w:t>
      </w:r>
      <w:r w:rsidR="00717BE0">
        <w:t>linear LED lamps</w:t>
      </w:r>
      <w:r w:rsidR="00E631F9">
        <w:t>,</w:t>
      </w:r>
      <w:r w:rsidR="008A65AF">
        <w:t xml:space="preserve"> </w:t>
      </w:r>
      <w:r w:rsidR="00E631F9">
        <w:t>less testing has been conducted to date</w:t>
      </w:r>
      <w:r w:rsidR="00717BE0">
        <w:t xml:space="preserve">.  Anecdotally it is understood that in </w:t>
      </w:r>
      <w:r w:rsidR="00717BE0">
        <w:lastRenderedPageBreak/>
        <w:t xml:space="preserve">previous years </w:t>
      </w:r>
      <w:r w:rsidR="00E631F9">
        <w:t>some linear LED products claiming</w:t>
      </w:r>
      <w:r w:rsidR="00717BE0">
        <w:t xml:space="preserve"> to be more efficient than linear fluorescent lamps have actually been less efficient or comparable, resulting in commercial office retrofits that did little to save energy. Four models purchased in 2014 exceeded the Australian and New Zealand linear fluorescent MEPS efficacy level and met or exceeded the more recent EU T5 MEPS (</w:t>
      </w:r>
      <w:r w:rsidR="00B525E0">
        <w:fldChar w:fldCharType="begin"/>
      </w:r>
      <w:r w:rsidR="00517362">
        <w:instrText xml:space="preserve"> REF _Ref424117860 \h </w:instrText>
      </w:r>
      <w:r w:rsidR="00B525E0">
        <w:fldChar w:fldCharType="separate"/>
      </w:r>
      <w:r w:rsidR="002C13E2">
        <w:t xml:space="preserve">Figure </w:t>
      </w:r>
      <w:r w:rsidR="002C13E2">
        <w:rPr>
          <w:noProof/>
        </w:rPr>
        <w:t>8</w:t>
      </w:r>
      <w:r w:rsidR="00B525E0">
        <w:fldChar w:fldCharType="end"/>
      </w:r>
      <w:r w:rsidR="00717BE0">
        <w:t xml:space="preserve">).  Measurement of luminous flux and efficacy does not however take into account possible loss of light output </w:t>
      </w:r>
      <w:r w:rsidR="00E56D2C">
        <w:t xml:space="preserve">and appropriate light distribution </w:t>
      </w:r>
      <w:r w:rsidR="00717BE0">
        <w:t>when retrofitted into existing fluorescent luminaires, as outlined in the section above on equivalency.</w:t>
      </w:r>
      <w:r w:rsidR="008E4A02">
        <w:t xml:space="preserve"> </w:t>
      </w:r>
      <w:r w:rsidR="00EE21E7">
        <w:t>In louvered (low brightness) style luminaires, the directional linear LED light can offer significant advantages in comparison to linear fluorescent lamps. Linear fluorescent luminaires which provide more non-directional lighting will not perform well when retrofitted with typical directional linear LED.</w:t>
      </w:r>
    </w:p>
    <w:p w:rsidR="00717BE0" w:rsidRDefault="00717BE0" w:rsidP="00717BE0">
      <w:pPr>
        <w:pStyle w:val="E3Bullets"/>
        <w:numPr>
          <w:ilvl w:val="0"/>
          <w:numId w:val="0"/>
        </w:numPr>
      </w:pPr>
    </w:p>
    <w:p w:rsidR="005759A6" w:rsidRDefault="00AE6AA7" w:rsidP="005759A6">
      <w:pPr>
        <w:pStyle w:val="E3Figuretitles"/>
        <w:keepNext/>
      </w:pPr>
      <w:r>
        <w:rPr>
          <w:noProof/>
          <w:lang w:val="en-AU" w:eastAsia="en-AU"/>
        </w:rPr>
        <w:drawing>
          <wp:inline distT="0" distB="0" distL="0" distR="0" wp14:anchorId="6D937106" wp14:editId="4C63E5D2">
            <wp:extent cx="6071191" cy="3981251"/>
            <wp:effectExtent l="0" t="0" r="6350" b="635"/>
            <wp:docPr id="68" name="Picture 68" descr="Line graph comparing the Efficacy (Lm/W) and Luminous Flux (Lm) of 6 Lamp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78449" cy="3986010"/>
                    </a:xfrm>
                    <a:prstGeom prst="rect">
                      <a:avLst/>
                    </a:prstGeom>
                    <a:noFill/>
                  </pic:spPr>
                </pic:pic>
              </a:graphicData>
            </a:graphic>
          </wp:inline>
        </w:drawing>
      </w:r>
    </w:p>
    <w:p w:rsidR="00084A57" w:rsidRDefault="00EE21E7" w:rsidP="005759A6">
      <w:pPr>
        <w:pStyle w:val="Caption"/>
      </w:pPr>
      <w:bookmarkStart w:id="63" w:name="_Ref424117860"/>
      <w:bookmarkStart w:id="64" w:name="_Toc426387847"/>
      <w:r>
        <w:t xml:space="preserve">Figure </w:t>
      </w:r>
      <w:r>
        <w:fldChar w:fldCharType="begin"/>
      </w:r>
      <w:r>
        <w:instrText xml:space="preserve"> SEQ Figure \* ARABIC </w:instrText>
      </w:r>
      <w:r>
        <w:fldChar w:fldCharType="separate"/>
      </w:r>
      <w:r w:rsidR="002C13E2">
        <w:rPr>
          <w:noProof/>
        </w:rPr>
        <w:t>8</w:t>
      </w:r>
      <w:r>
        <w:fldChar w:fldCharType="end"/>
      </w:r>
      <w:bookmarkEnd w:id="63"/>
      <w:r>
        <w:t xml:space="preserve">. </w:t>
      </w:r>
      <w:r w:rsidRPr="008D62F4">
        <w:t>LED Replacement Lamp Performance against Fluorescent Lamp MEPS (Lamps Purchased in Australia and New Zealand 2014)</w:t>
      </w:r>
      <w:bookmarkEnd w:id="64"/>
    </w:p>
    <w:p w:rsidR="00717BE0" w:rsidRDefault="00717BE0" w:rsidP="00301106">
      <w:pPr>
        <w:pStyle w:val="E3Bullets"/>
        <w:numPr>
          <w:ilvl w:val="0"/>
          <w:numId w:val="0"/>
        </w:numPr>
      </w:pPr>
    </w:p>
    <w:p w:rsidR="000A0A93" w:rsidRDefault="00D01790" w:rsidP="006D3F93">
      <w:pPr>
        <w:pStyle w:val="E3BodyText"/>
      </w:pPr>
      <w:r>
        <w:t xml:space="preserve">While LED lighting already equals or exceeds </w:t>
      </w:r>
      <w:r w:rsidR="00250F0D">
        <w:t>the efficacy of other technologies in many applications, there is potential for continued improvement in LED efficacy, and therefore further energy savings opportunities.  Currently commercial LED packages can achieve around 200 lm/W, although this is reduced significantly</w:t>
      </w:r>
      <w:r w:rsidR="008A65AF">
        <w:t xml:space="preserve"> </w:t>
      </w:r>
      <w:r w:rsidR="00250F0D">
        <w:t>when incorpor</w:t>
      </w:r>
      <w:r w:rsidR="00EC37F0">
        <w:t>ated into lamps and luminaires.</w:t>
      </w:r>
      <w:r w:rsidR="00250F0D">
        <w:t xml:space="preserve"> Research by the US National Institute of Standards and Technology has indicated that the </w:t>
      </w:r>
      <w:r w:rsidR="00250F0D" w:rsidRPr="00250F0D">
        <w:t xml:space="preserve">LED emission spectra with good colour quality and LER </w:t>
      </w:r>
      <w:r w:rsidR="00250F0D">
        <w:t xml:space="preserve">could theoretically achieve </w:t>
      </w:r>
      <w:r w:rsidR="00250F0D" w:rsidRPr="00250F0D">
        <w:t>values in the range of 350 to 450 lm/W</w:t>
      </w:r>
      <w:r w:rsidR="00250F0D">
        <w:t>, with the estimated practical achievable efficacy</w:t>
      </w:r>
      <w:r w:rsidR="008A65AF">
        <w:t xml:space="preserve"> </w:t>
      </w:r>
      <w:r w:rsidR="00250F0D">
        <w:t>for LED packages at closer to 250 lm/W with furth</w:t>
      </w:r>
      <w:r w:rsidR="00B67AE7">
        <w:t>er research (US DOE</w:t>
      </w:r>
      <w:r w:rsidR="00EC37F0">
        <w:t xml:space="preserve"> 2015).</w:t>
      </w:r>
      <w:r w:rsidR="00B67AE7">
        <w:t xml:space="preserve"> This indicates that in addition to the current opportunities in addressing the range of less efficient LED lighting, there will also be significant opportunities to continue to drive the uptake of progressively more efficient LED lighting as these become available on the market.</w:t>
      </w:r>
    </w:p>
    <w:p w:rsidR="000A0A93" w:rsidRDefault="000A0A93" w:rsidP="006D3F93"/>
    <w:p w:rsidR="00460A5A" w:rsidRDefault="00460A5A" w:rsidP="00DB0112">
      <w:pPr>
        <w:pStyle w:val="Heading3"/>
      </w:pPr>
      <w:bookmarkStart w:id="65" w:name="_Toc426387730"/>
      <w:r>
        <w:t>Power Consumption</w:t>
      </w:r>
      <w:bookmarkEnd w:id="65"/>
    </w:p>
    <w:p w:rsidR="00460A5A" w:rsidRDefault="009A2ECD" w:rsidP="00460A5A">
      <w:pPr>
        <w:pStyle w:val="E3BodyText"/>
      </w:pPr>
      <w:r>
        <w:t>Test results of power (Watts) have also shown some significant variations from rated wattage</w:t>
      </w:r>
      <w:r w:rsidR="00717BE0">
        <w:t xml:space="preserve"> with variations of 20-50% in products tested in 2013 and 201</w:t>
      </w:r>
      <w:r w:rsidR="008F146B">
        <w:t>4</w:t>
      </w:r>
      <w:r w:rsidR="00717BE0">
        <w:t xml:space="preserve"> as shown in </w:t>
      </w:r>
      <w:r w:rsidR="00B525E0">
        <w:fldChar w:fldCharType="begin"/>
      </w:r>
      <w:r w:rsidR="00517362">
        <w:instrText xml:space="preserve"> REF _Ref424117882 \h </w:instrText>
      </w:r>
      <w:r w:rsidR="00B525E0">
        <w:fldChar w:fldCharType="separate"/>
      </w:r>
      <w:r w:rsidR="002C13E2">
        <w:t xml:space="preserve">Figure </w:t>
      </w:r>
      <w:r w:rsidR="002C13E2">
        <w:rPr>
          <w:noProof/>
        </w:rPr>
        <w:t>9</w:t>
      </w:r>
      <w:r w:rsidR="00B525E0">
        <w:fldChar w:fldCharType="end"/>
      </w:r>
      <w:r w:rsidR="006D3F93">
        <w:t xml:space="preserve">. </w:t>
      </w:r>
      <w:r w:rsidR="002B365B">
        <w:t>Incorrect reporting of power use prevents consumers from accurately comparing products in terms of energy use and efficacy.</w:t>
      </w:r>
    </w:p>
    <w:p w:rsidR="005759A6" w:rsidRDefault="00717BE0" w:rsidP="005759A6">
      <w:pPr>
        <w:pStyle w:val="E3BodyText"/>
        <w:keepNext/>
      </w:pPr>
      <w:r w:rsidRPr="00717BE0">
        <w:rPr>
          <w:noProof/>
          <w:lang w:eastAsia="en-AU"/>
        </w:rPr>
        <w:lastRenderedPageBreak/>
        <w:drawing>
          <wp:inline distT="0" distB="0" distL="0" distR="0" wp14:anchorId="2F747FAF" wp14:editId="2353209C">
            <wp:extent cx="6117771" cy="3793273"/>
            <wp:effectExtent l="0" t="0" r="0" b="0"/>
            <wp:docPr id="337" name="Picture 2" descr="Line and Dot Graph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6276"/>
                    <a:stretch/>
                  </pic:blipFill>
                  <pic:spPr bwMode="auto">
                    <a:xfrm>
                      <a:off x="0" y="0"/>
                      <a:ext cx="6120765" cy="3795129"/>
                    </a:xfrm>
                    <a:prstGeom prst="rect">
                      <a:avLst/>
                    </a:prstGeom>
                    <a:noFill/>
                    <a:ln>
                      <a:noFill/>
                    </a:ln>
                    <a:extLst>
                      <a:ext uri="{53640926-AAD7-44D8-BBD7-CCE9431645EC}">
                        <a14:shadowObscured xmlns:a14="http://schemas.microsoft.com/office/drawing/2010/main"/>
                      </a:ext>
                    </a:extLst>
                  </pic:spPr>
                </pic:pic>
              </a:graphicData>
            </a:graphic>
          </wp:inline>
        </w:drawing>
      </w:r>
    </w:p>
    <w:p w:rsidR="005759A6" w:rsidRDefault="00EE21E7" w:rsidP="005759A6">
      <w:pPr>
        <w:pStyle w:val="Caption"/>
      </w:pPr>
      <w:bookmarkStart w:id="66" w:name="_Ref424117882"/>
      <w:bookmarkStart w:id="67" w:name="_Toc426387848"/>
      <w:r>
        <w:t xml:space="preserve">Figure </w:t>
      </w:r>
      <w:r>
        <w:fldChar w:fldCharType="begin"/>
      </w:r>
      <w:r>
        <w:instrText xml:space="preserve"> SEQ Figure \* ARABIC </w:instrText>
      </w:r>
      <w:r>
        <w:fldChar w:fldCharType="separate"/>
      </w:r>
      <w:r w:rsidR="002C13E2">
        <w:rPr>
          <w:noProof/>
        </w:rPr>
        <w:t>9</w:t>
      </w:r>
      <w:r>
        <w:fldChar w:fldCharType="end"/>
      </w:r>
      <w:bookmarkEnd w:id="66"/>
      <w:r>
        <w:t xml:space="preserve">. </w:t>
      </w:r>
      <w:r w:rsidRPr="00437858">
        <w:t>LED Power Consumption – Variation between Rated and Test Values.</w:t>
      </w:r>
      <w:bookmarkEnd w:id="67"/>
    </w:p>
    <w:p w:rsidR="00717BE0" w:rsidRDefault="00717BE0" w:rsidP="00460A5A">
      <w:pPr>
        <w:pStyle w:val="E3BodyText"/>
      </w:pPr>
    </w:p>
    <w:p w:rsidR="002B365B" w:rsidRDefault="002B365B" w:rsidP="00460A5A">
      <w:pPr>
        <w:pStyle w:val="E3BodyText"/>
      </w:pPr>
    </w:p>
    <w:p w:rsidR="00B82B9F" w:rsidRDefault="001372AE" w:rsidP="00DB0112">
      <w:pPr>
        <w:pStyle w:val="Heading3"/>
      </w:pPr>
      <w:bookmarkStart w:id="68" w:name="_Toc426387731"/>
      <w:r>
        <w:t>Lamp Cost</w:t>
      </w:r>
      <w:bookmarkEnd w:id="68"/>
    </w:p>
    <w:p w:rsidR="001C183C" w:rsidRDefault="001C183C" w:rsidP="00301106">
      <w:pPr>
        <w:pStyle w:val="E3Bullets"/>
        <w:numPr>
          <w:ilvl w:val="0"/>
          <w:numId w:val="0"/>
        </w:numPr>
      </w:pPr>
      <w:r>
        <w:t xml:space="preserve">While the cost of LED lighting is still significantly higher than halogen or even CFL products, this cost has reduced </w:t>
      </w:r>
      <w:r w:rsidR="008A2895">
        <w:t>rapidly</w:t>
      </w:r>
      <w:r>
        <w:t xml:space="preserve"> over the last several </w:t>
      </w:r>
      <w:r w:rsidR="00EE21E7">
        <w:t>years (</w:t>
      </w:r>
      <w:r w:rsidR="00B525E0">
        <w:fldChar w:fldCharType="begin"/>
      </w:r>
      <w:r w:rsidR="00517362">
        <w:instrText xml:space="preserve"> REF _Ref424117985 \h </w:instrText>
      </w:r>
      <w:r w:rsidR="00B525E0">
        <w:fldChar w:fldCharType="separate"/>
      </w:r>
      <w:r w:rsidR="002C13E2">
        <w:t xml:space="preserve">Figure </w:t>
      </w:r>
      <w:r w:rsidR="002C13E2">
        <w:rPr>
          <w:noProof/>
        </w:rPr>
        <w:t>10</w:t>
      </w:r>
      <w:r w:rsidR="00B525E0">
        <w:fldChar w:fldCharType="end"/>
      </w:r>
      <w:r w:rsidR="00656464">
        <w:t>)</w:t>
      </w:r>
      <w:r w:rsidR="00EC37F0">
        <w:t xml:space="preserve">. </w:t>
      </w:r>
      <w:r>
        <w:t xml:space="preserve">As shown </w:t>
      </w:r>
      <w:r w:rsidR="00EE21E7">
        <w:t xml:space="preserve">in </w:t>
      </w:r>
      <w:r w:rsidR="00EE21E7">
        <w:fldChar w:fldCharType="begin"/>
      </w:r>
      <w:r w:rsidR="00EE21E7">
        <w:instrText xml:space="preserve"> REF _Ref424118009 \h </w:instrText>
      </w:r>
      <w:r w:rsidR="00EE21E7">
        <w:fldChar w:fldCharType="separate"/>
      </w:r>
      <w:r w:rsidR="002C13E2">
        <w:t xml:space="preserve">Figure </w:t>
      </w:r>
      <w:r w:rsidR="002C13E2">
        <w:rPr>
          <w:noProof/>
        </w:rPr>
        <w:t>11</w:t>
      </w:r>
      <w:r w:rsidR="00EE21E7">
        <w:fldChar w:fldCharType="end"/>
      </w:r>
      <w:r>
        <w:t xml:space="preserve">, of the products tested, the cost per 100 lumens of light output has reduced from </w:t>
      </w:r>
      <w:r w:rsidR="00DB702D">
        <w:t>$33</w:t>
      </w:r>
      <w:r w:rsidR="00B82B9F">
        <w:t xml:space="preserve"> in </w:t>
      </w:r>
      <w:r w:rsidR="00DB702D">
        <w:t>2009</w:t>
      </w:r>
      <w:r w:rsidR="00B82B9F">
        <w:t xml:space="preserve"> to </w:t>
      </w:r>
      <w:r w:rsidR="00DB702D">
        <w:t>$</w:t>
      </w:r>
      <w:r w:rsidR="006F5F88">
        <w:t>7</w:t>
      </w:r>
      <w:r w:rsidR="00B82B9F">
        <w:t xml:space="preserve"> in 2014.</w:t>
      </w:r>
      <w:r w:rsidR="006F5F88">
        <w:t xml:space="preserve"> </w:t>
      </w:r>
      <w:r w:rsidR="006F5F88" w:rsidRPr="006F5F88">
        <w:t>Note that the 2014 value excludes multiple lamps of the same brand/model and the smart lamps also tested.</w:t>
      </w:r>
      <w:r w:rsidR="006F5F88">
        <w:t xml:space="preserve"> </w:t>
      </w:r>
      <w:r w:rsidR="001372AE">
        <w:t xml:space="preserve">The higher cost of efficient lighting such as CFL and LEDs can be expected to be recovered through savings over the life of the lamp, which is expected to be significantly longer than incandescent lamps.  </w:t>
      </w:r>
      <w:r w:rsidR="0052024B">
        <w:t xml:space="preserve">This is a particular attraction for commercial and other applications where lamps are left on for long durations and maintenance costs </w:t>
      </w:r>
      <w:r w:rsidR="002D68D3">
        <w:t>are</w:t>
      </w:r>
      <w:r w:rsidR="0052024B">
        <w:t xml:space="preserve"> actively taken into account</w:t>
      </w:r>
      <w:r w:rsidR="002D68D3">
        <w:t xml:space="preserve"> in evaluation of overall lighting costs</w:t>
      </w:r>
      <w:r w:rsidR="0052024B">
        <w:t xml:space="preserve">. </w:t>
      </w:r>
      <w:r w:rsidR="001372AE">
        <w:t>However significant differences in purchase prices may pose a barrier to uptake, particularly in lower income sectors of the community.</w:t>
      </w:r>
    </w:p>
    <w:p w:rsidR="0052024B" w:rsidRDefault="0052024B" w:rsidP="00301106">
      <w:pPr>
        <w:pStyle w:val="E3Bullets"/>
        <w:numPr>
          <w:ilvl w:val="0"/>
          <w:numId w:val="0"/>
        </w:numPr>
      </w:pPr>
    </w:p>
    <w:p w:rsidR="0052024B" w:rsidRDefault="0052024B" w:rsidP="00301106">
      <w:pPr>
        <w:pStyle w:val="E3Bullets"/>
        <w:numPr>
          <w:ilvl w:val="0"/>
          <w:numId w:val="0"/>
        </w:numPr>
      </w:pPr>
      <w:r>
        <w:t xml:space="preserve">One possible issue with decreasing costs </w:t>
      </w:r>
      <w:r w:rsidR="00FA6CC4">
        <w:t xml:space="preserve">suggested by the US Department of Energy (US DOE 2015) </w:t>
      </w:r>
      <w:r>
        <w:t>is that</w:t>
      </w:r>
      <w:r w:rsidRPr="0052024B">
        <w:t xml:space="preserve"> product quality could become a concern</w:t>
      </w:r>
      <w:r w:rsidR="00FA6CC4">
        <w:t xml:space="preserve"> as a result of decreasing cost</w:t>
      </w:r>
      <w:r w:rsidRPr="0052024B">
        <w:t>. As thermal management materials, such as aluminium</w:t>
      </w:r>
      <w:r w:rsidR="00FA6CC4">
        <w:t xml:space="preserve"> heat sinks are </w:t>
      </w:r>
      <w:r w:rsidR="00424894">
        <w:t xml:space="preserve">reduced </w:t>
      </w:r>
      <w:r w:rsidRPr="0052024B">
        <w:t xml:space="preserve">or eliminated to save cost, the efficiency, lifetime, and </w:t>
      </w:r>
      <w:r w:rsidR="00424894" w:rsidRPr="0052024B">
        <w:t>colour</w:t>
      </w:r>
      <w:r w:rsidRPr="0052024B">
        <w:t xml:space="preserve"> shift of LED lamps may be impacted. </w:t>
      </w:r>
      <w:r w:rsidR="00424894">
        <w:t>In cases where</w:t>
      </w:r>
      <w:r w:rsidRPr="0052024B">
        <w:t xml:space="preserve"> fewer LEDs are used </w:t>
      </w:r>
      <w:r w:rsidR="00FA6CC4">
        <w:t>in order</w:t>
      </w:r>
      <w:r w:rsidR="00424894">
        <w:t xml:space="preserve"> to reduce costs, </w:t>
      </w:r>
      <w:r w:rsidRPr="0052024B">
        <w:t xml:space="preserve">each individual LED component </w:t>
      </w:r>
      <w:r w:rsidR="00424894">
        <w:t>may be driven harder</w:t>
      </w:r>
      <w:r w:rsidR="00FA6CC4">
        <w:t>,</w:t>
      </w:r>
      <w:r w:rsidR="00424894">
        <w:t xml:space="preserve"> impacting on</w:t>
      </w:r>
      <w:r w:rsidR="008A65AF">
        <w:t xml:space="preserve"> </w:t>
      </w:r>
      <w:r w:rsidR="00424894" w:rsidRPr="0052024B">
        <w:t>colour</w:t>
      </w:r>
      <w:r w:rsidRPr="0052024B">
        <w:t xml:space="preserve"> shift, lifetime, and efficiency. Lower cost assembly techniques may</w:t>
      </w:r>
      <w:r w:rsidR="00424894">
        <w:t xml:space="preserve"> also</w:t>
      </w:r>
      <w:r w:rsidRPr="0052024B">
        <w:t xml:space="preserve"> lead to a compromise in quality and an increased early </w:t>
      </w:r>
      <w:r w:rsidR="00424894">
        <w:t>failure</w:t>
      </w:r>
      <w:r w:rsidRPr="0052024B">
        <w:t xml:space="preserve"> rate. </w:t>
      </w:r>
      <w:r w:rsidR="00FA6CC4">
        <w:t>The US DOE notes that i</w:t>
      </w:r>
      <w:r w:rsidRPr="0052024B">
        <w:t>t is important that the drive for lower first cost does not cause performance or lifetime deficiencies or it will reduce consumer confidence in LED technology, reduce adoption, and limit the total energy saved.</w:t>
      </w:r>
    </w:p>
    <w:p w:rsidR="00D66216" w:rsidRDefault="00D66216" w:rsidP="00301106">
      <w:pPr>
        <w:pStyle w:val="E3Bullets"/>
        <w:numPr>
          <w:ilvl w:val="0"/>
          <w:numId w:val="0"/>
        </w:numPr>
      </w:pPr>
    </w:p>
    <w:p w:rsidR="005759A6" w:rsidRDefault="00656464" w:rsidP="005759A6">
      <w:pPr>
        <w:pStyle w:val="E3Bullets"/>
        <w:keepNext/>
        <w:numPr>
          <w:ilvl w:val="0"/>
          <w:numId w:val="0"/>
        </w:numPr>
      </w:pPr>
      <w:r w:rsidRPr="00656464">
        <w:rPr>
          <w:noProof/>
          <w:lang w:eastAsia="en-AU"/>
        </w:rPr>
        <w:lastRenderedPageBreak/>
        <w:drawing>
          <wp:inline distT="0" distB="0" distL="0" distR="0" wp14:anchorId="4716D7D0" wp14:editId="526229EB">
            <wp:extent cx="5767754" cy="3940862"/>
            <wp:effectExtent l="19050" t="19050" r="23495" b="21590"/>
            <wp:docPr id="308" name="Picture 27" descr="Dot Graph displaying the costs of lamps in relation to their relative Luminous Flux from 2009-2014.&#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035" t="6530" r="874" b="1020"/>
                    <a:stretch/>
                  </pic:blipFill>
                  <pic:spPr bwMode="auto">
                    <a:xfrm>
                      <a:off x="0" y="0"/>
                      <a:ext cx="5771645" cy="3943521"/>
                    </a:xfrm>
                    <a:prstGeom prst="rect">
                      <a:avLst/>
                    </a:prstGeom>
                    <a:noFill/>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56464" w:rsidRDefault="005759A6" w:rsidP="005759A6">
      <w:pPr>
        <w:pStyle w:val="Caption"/>
      </w:pPr>
      <w:bookmarkStart w:id="69" w:name="_Ref424117985"/>
      <w:bookmarkStart w:id="70" w:name="_Toc426387849"/>
      <w:r>
        <w:t xml:space="preserve">Figure </w:t>
      </w:r>
      <w:r w:rsidR="00B525E0">
        <w:fldChar w:fldCharType="begin"/>
      </w:r>
      <w:r>
        <w:instrText xml:space="preserve"> SEQ Figure \* ARABIC </w:instrText>
      </w:r>
      <w:r w:rsidR="00B525E0">
        <w:fldChar w:fldCharType="separate"/>
      </w:r>
      <w:r w:rsidR="002C13E2">
        <w:rPr>
          <w:noProof/>
        </w:rPr>
        <w:t>10</w:t>
      </w:r>
      <w:r w:rsidR="00B525E0">
        <w:fldChar w:fldCharType="end"/>
      </w:r>
      <w:bookmarkEnd w:id="69"/>
      <w:r>
        <w:t>.</w:t>
      </w:r>
      <w:r w:rsidRPr="004D79A4">
        <w:t>Normalised purchase price of LED Lamps as a function of Luminous Flux output (lamps purchased in Australia, New Zealand, United Kingdom, United States 2009-2014)</w:t>
      </w:r>
      <w:bookmarkEnd w:id="70"/>
    </w:p>
    <w:p w:rsidR="006F5F88" w:rsidRPr="006F5F88" w:rsidRDefault="006F5F88" w:rsidP="006F5F88"/>
    <w:p w:rsidR="005759A6" w:rsidRDefault="006F5F88" w:rsidP="006F5F88">
      <w:r>
        <w:rPr>
          <w:noProof/>
          <w:lang w:eastAsia="en-AU"/>
        </w:rPr>
        <w:drawing>
          <wp:inline distT="0" distB="0" distL="0" distR="0" wp14:anchorId="1AEEF0AB" wp14:editId="5B9390DC">
            <wp:extent cx="5779770" cy="3797935"/>
            <wp:effectExtent l="0" t="0" r="0" b="0"/>
            <wp:docPr id="33" name="Picture 33" descr="&#10;Dot and Line Graph displaying the cost per 100 lamp luments relative to their luminous flux from 20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79770" cy="3797935"/>
                    </a:xfrm>
                    <a:prstGeom prst="rect">
                      <a:avLst/>
                    </a:prstGeom>
                    <a:noFill/>
                  </pic:spPr>
                </pic:pic>
              </a:graphicData>
            </a:graphic>
          </wp:inline>
        </w:drawing>
      </w:r>
    </w:p>
    <w:p w:rsidR="00D66216" w:rsidRDefault="00EE21E7" w:rsidP="005759A6">
      <w:pPr>
        <w:pStyle w:val="Caption"/>
      </w:pPr>
      <w:bookmarkStart w:id="71" w:name="_Ref424118009"/>
      <w:bookmarkStart w:id="72" w:name="_Toc426387850"/>
      <w:r>
        <w:t xml:space="preserve">Figure </w:t>
      </w:r>
      <w:r>
        <w:fldChar w:fldCharType="begin"/>
      </w:r>
      <w:r>
        <w:instrText xml:space="preserve"> SEQ Figure \* ARABIC </w:instrText>
      </w:r>
      <w:r>
        <w:fldChar w:fldCharType="separate"/>
      </w:r>
      <w:r w:rsidR="002C13E2">
        <w:rPr>
          <w:noProof/>
        </w:rPr>
        <w:t>11</w:t>
      </w:r>
      <w:r>
        <w:fldChar w:fldCharType="end"/>
      </w:r>
      <w:bookmarkEnd w:id="71"/>
      <w:r>
        <w:t>.</w:t>
      </w:r>
      <w:r w:rsidRPr="00552C84">
        <w:t>LED Lamp normalised cost per 100 Lumens (lamps purchased in Australi</w:t>
      </w:r>
      <w:r>
        <w:t xml:space="preserve">a, New Zealand, United Kingdom and </w:t>
      </w:r>
      <w:r w:rsidRPr="00552C84">
        <w:t>United States 2009-2014)</w:t>
      </w:r>
      <w:bookmarkEnd w:id="72"/>
    </w:p>
    <w:p w:rsidR="00D66216" w:rsidRDefault="00D66216" w:rsidP="00301106">
      <w:pPr>
        <w:pStyle w:val="E3Bullets"/>
        <w:numPr>
          <w:ilvl w:val="0"/>
          <w:numId w:val="0"/>
        </w:numPr>
      </w:pPr>
    </w:p>
    <w:p w:rsidR="008D0F92" w:rsidRDefault="008D0F92" w:rsidP="00DB0112">
      <w:pPr>
        <w:pStyle w:val="Heading3"/>
      </w:pPr>
      <w:bookmarkStart w:id="73" w:name="_Toc426387732"/>
      <w:r>
        <w:lastRenderedPageBreak/>
        <w:t>Claims of Equivalency</w:t>
      </w:r>
      <w:bookmarkEnd w:id="73"/>
    </w:p>
    <w:p w:rsidR="007A3233" w:rsidRPr="00A41CA8" w:rsidRDefault="00A41CA8" w:rsidP="00A41CA8">
      <w:pPr>
        <w:pStyle w:val="E3BodyText"/>
        <w:rPr>
          <w:rFonts w:ascii="Calibri" w:eastAsiaTheme="minorHAnsi" w:hAnsi="Calibri" w:cs="Calibri"/>
          <w:sz w:val="22"/>
          <w:szCs w:val="22"/>
        </w:rPr>
      </w:pPr>
      <w:r w:rsidRPr="00A41CA8">
        <w:t xml:space="preserve">Acceptable light output levels are of </w:t>
      </w:r>
      <w:r>
        <w:t xml:space="preserve">the </w:t>
      </w:r>
      <w:r w:rsidRPr="00A41CA8">
        <w:t xml:space="preserve">highest importance for safe working and living conditions. </w:t>
      </w:r>
      <w:r w:rsidR="008D0F92" w:rsidRPr="00A41CA8">
        <w:t xml:space="preserve">As with compact fluorescent lighting, </w:t>
      </w:r>
      <w:r>
        <w:t xml:space="preserve">currently </w:t>
      </w:r>
      <w:r w:rsidR="008D0F92" w:rsidRPr="00A41CA8">
        <w:t>most LEDi lamps are intended to replace other lighting technology such as tungsten</w:t>
      </w:r>
      <w:r w:rsidR="008D0F92">
        <w:t xml:space="preserve"> filament and incandescent lighting.  In order for consumers to correctly select a replacement</w:t>
      </w:r>
      <w:r w:rsidR="008A65AF">
        <w:t xml:space="preserve"> </w:t>
      </w:r>
      <w:r w:rsidR="008D0F92">
        <w:t xml:space="preserve">lamp, they must be able to accurately compare the performance of the LEDi lamp with the lamp to be replaced. This </w:t>
      </w:r>
      <w:r w:rsidR="0034571F">
        <w:t>may</w:t>
      </w:r>
      <w:r w:rsidR="008D0F92">
        <w:t xml:space="preserve"> be based on a comparison between the performance in</w:t>
      </w:r>
      <w:r w:rsidR="008A2895">
        <w:t>formation on the LEDi packaging</w:t>
      </w:r>
      <w:r w:rsidR="008A65AF">
        <w:t xml:space="preserve"> </w:t>
      </w:r>
      <w:r w:rsidR="008A2895">
        <w:t>(</w:t>
      </w:r>
      <w:r w:rsidR="008D0F92">
        <w:t>or perhaps supplier website</w:t>
      </w:r>
      <w:r w:rsidR="008A2895">
        <w:t>)</w:t>
      </w:r>
      <w:r w:rsidR="008D0F92">
        <w:t>, with what the consumer knows about the performance of the lamp to be replaced (this knowledge may be incomplete</w:t>
      </w:r>
      <w:r w:rsidR="0034571F">
        <w:t xml:space="preserve"> and often limited to the wattage of the lamp</w:t>
      </w:r>
      <w:r w:rsidR="008D0F92">
        <w:t xml:space="preserve">); or based on specific claims of equivalency on the LEDi packaging. </w:t>
      </w:r>
    </w:p>
    <w:p w:rsidR="007A3233" w:rsidRDefault="007A3233" w:rsidP="00301106">
      <w:pPr>
        <w:pStyle w:val="E3Bullets"/>
        <w:numPr>
          <w:ilvl w:val="0"/>
          <w:numId w:val="0"/>
        </w:numPr>
      </w:pPr>
      <w:r>
        <w:t xml:space="preserve">Testing of LEDi lamps selected from the </w:t>
      </w:r>
      <w:r w:rsidR="008A2895">
        <w:t xml:space="preserve">Australian and New Zealand </w:t>
      </w:r>
      <w:r>
        <w:t xml:space="preserve">market indicates </w:t>
      </w:r>
      <w:r w:rsidR="00D61565">
        <w:t>there are</w:t>
      </w:r>
      <w:r w:rsidR="00520699">
        <w:t>,</w:t>
      </w:r>
      <w:r w:rsidR="00D61565">
        <w:t xml:space="preserve"> for some products</w:t>
      </w:r>
      <w:r w:rsidR="00520699">
        <w:t>,</w:t>
      </w:r>
      <w:r w:rsidR="008A65AF">
        <w:t xml:space="preserve"> </w:t>
      </w:r>
      <w:r>
        <w:t>significant variations between claimed performance and test results including</w:t>
      </w:r>
      <w:r w:rsidR="008A65AF">
        <w:t xml:space="preserve"> </w:t>
      </w:r>
      <w:r w:rsidR="00D61565">
        <w:t>in some cases</w:t>
      </w:r>
      <w:r>
        <w:t>:</w:t>
      </w:r>
    </w:p>
    <w:p w:rsidR="007A3233" w:rsidRPr="007A3233" w:rsidRDefault="007A3233" w:rsidP="007A3233">
      <w:pPr>
        <w:pStyle w:val="E3Bullets"/>
        <w:numPr>
          <w:ilvl w:val="0"/>
          <w:numId w:val="0"/>
        </w:numPr>
        <w:ind w:left="227"/>
      </w:pPr>
    </w:p>
    <w:p w:rsidR="007A3233" w:rsidRDefault="007A3233" w:rsidP="007A3233">
      <w:pPr>
        <w:pStyle w:val="E3Bullets"/>
        <w:rPr>
          <w:szCs w:val="40"/>
        </w:rPr>
      </w:pPr>
      <w:r>
        <w:t>t</w:t>
      </w:r>
      <w:r w:rsidR="00C061F0" w:rsidRPr="007A3233">
        <w:t xml:space="preserve">ested lumen output </w:t>
      </w:r>
      <w:r w:rsidR="00520699">
        <w:t xml:space="preserve">found to be </w:t>
      </w:r>
      <w:r w:rsidR="00C061F0" w:rsidRPr="007A3233">
        <w:t xml:space="preserve">close to half </w:t>
      </w:r>
      <w:r w:rsidR="0034571F">
        <w:t xml:space="preserve">the </w:t>
      </w:r>
      <w:r w:rsidR="00C061F0" w:rsidRPr="007A3233">
        <w:t>rated value</w:t>
      </w:r>
      <w:r>
        <w:rPr>
          <w:szCs w:val="40"/>
        </w:rPr>
        <w:t>;</w:t>
      </w:r>
    </w:p>
    <w:p w:rsidR="007A3233" w:rsidRPr="007A3233" w:rsidRDefault="007A3233" w:rsidP="007A3233">
      <w:pPr>
        <w:pStyle w:val="E3Bullets"/>
        <w:rPr>
          <w:szCs w:val="40"/>
        </w:rPr>
      </w:pPr>
      <w:r>
        <w:rPr>
          <w:szCs w:val="40"/>
        </w:rPr>
        <w:t>inaccurate claims of equivalency to light out</w:t>
      </w:r>
      <w:r w:rsidR="00A41CA8">
        <w:rPr>
          <w:szCs w:val="40"/>
        </w:rPr>
        <w:t>put of other lamps.</w:t>
      </w:r>
    </w:p>
    <w:p w:rsidR="00486354" w:rsidRDefault="00486354" w:rsidP="007A3233">
      <w:pPr>
        <w:pStyle w:val="E3Bullets"/>
        <w:numPr>
          <w:ilvl w:val="0"/>
          <w:numId w:val="0"/>
        </w:numPr>
        <w:ind w:left="1440"/>
      </w:pPr>
    </w:p>
    <w:p w:rsidR="008A2895" w:rsidRPr="008A2895" w:rsidRDefault="008A2895" w:rsidP="008A2895">
      <w:pPr>
        <w:pStyle w:val="Default"/>
        <w:rPr>
          <w:rFonts w:ascii="Georgia" w:eastAsia="Cambria" w:hAnsi="Georgia" w:cs="Times New Roman"/>
          <w:color w:val="auto"/>
          <w:sz w:val="19"/>
        </w:rPr>
      </w:pPr>
      <w:r w:rsidRPr="008A2895">
        <w:rPr>
          <w:rFonts w:ascii="Georgia" w:eastAsia="Cambria" w:hAnsi="Georgia" w:cs="Times New Roman"/>
          <w:color w:val="auto"/>
          <w:sz w:val="19"/>
        </w:rPr>
        <w:t>The 2014 US DOE CALiPER study also found that of the lamps tested</w:t>
      </w:r>
      <w:r w:rsidR="00E631F9">
        <w:rPr>
          <w:rFonts w:ascii="Georgia" w:eastAsia="Cambria" w:hAnsi="Georgia" w:cs="Times New Roman"/>
          <w:color w:val="auto"/>
          <w:sz w:val="19"/>
        </w:rPr>
        <w:t>, 43% of tested products failed</w:t>
      </w:r>
      <w:r w:rsidRPr="008A2895">
        <w:rPr>
          <w:rFonts w:ascii="Georgia" w:eastAsia="Cambria" w:hAnsi="Georgia" w:cs="Times New Roman"/>
          <w:color w:val="auto"/>
          <w:sz w:val="19"/>
        </w:rPr>
        <w:t xml:space="preserve"> to completely meet their equivalency claim and 20% of products fail</w:t>
      </w:r>
      <w:r>
        <w:rPr>
          <w:rFonts w:ascii="Georgia" w:eastAsia="Cambria" w:hAnsi="Georgia" w:cs="Times New Roman"/>
          <w:color w:val="auto"/>
          <w:sz w:val="19"/>
        </w:rPr>
        <w:t>ed</w:t>
      </w:r>
      <w:r w:rsidRPr="008A2895">
        <w:rPr>
          <w:rFonts w:ascii="Georgia" w:eastAsia="Cambria" w:hAnsi="Georgia" w:cs="Times New Roman"/>
          <w:color w:val="auto"/>
          <w:sz w:val="19"/>
        </w:rPr>
        <w:t xml:space="preserve"> to match the manufacturer’s performance data</w:t>
      </w:r>
      <w:r>
        <w:rPr>
          <w:rFonts w:ascii="Georgia" w:eastAsia="Cambria" w:hAnsi="Georgia" w:cs="Times New Roman"/>
          <w:color w:val="auto"/>
          <w:sz w:val="19"/>
        </w:rPr>
        <w:t>.</w:t>
      </w:r>
    </w:p>
    <w:p w:rsidR="008A2895" w:rsidRPr="007A3233" w:rsidRDefault="008A2895" w:rsidP="008A2895">
      <w:pPr>
        <w:pStyle w:val="E3Bullets"/>
        <w:numPr>
          <w:ilvl w:val="0"/>
          <w:numId w:val="0"/>
        </w:numPr>
      </w:pPr>
    </w:p>
    <w:p w:rsidR="007A3233" w:rsidRDefault="00B525E0" w:rsidP="00301106">
      <w:pPr>
        <w:pStyle w:val="E3Bullets"/>
        <w:numPr>
          <w:ilvl w:val="0"/>
          <w:numId w:val="0"/>
        </w:numPr>
      </w:pPr>
      <w:r>
        <w:fldChar w:fldCharType="begin"/>
      </w:r>
      <w:r w:rsidR="00517362">
        <w:instrText xml:space="preserve"> REF _Ref424118064 \h </w:instrText>
      </w:r>
      <w:r>
        <w:fldChar w:fldCharType="separate"/>
      </w:r>
      <w:r w:rsidR="002C13E2">
        <w:t xml:space="preserve">Figure </w:t>
      </w:r>
      <w:r w:rsidR="002C13E2">
        <w:rPr>
          <w:noProof/>
        </w:rPr>
        <w:t>12</w:t>
      </w:r>
      <w:r>
        <w:fldChar w:fldCharType="end"/>
      </w:r>
      <w:r w:rsidR="00F61D0D">
        <w:t xml:space="preserve"> </w:t>
      </w:r>
      <w:r w:rsidR="008A2895">
        <w:t>shows the difference between claimed efficacy (based on claimed luminous flux and wattage</w:t>
      </w:r>
      <w:r w:rsidR="00EE21E7">
        <w:t>) and</w:t>
      </w:r>
      <w:r w:rsidR="008A2895">
        <w:t xml:space="preserve"> tested efficacy from products purchased between 2009 and 2014.  While in recent years of testing the difference between claim and tested values has lessened (and in some cases </w:t>
      </w:r>
      <w:r w:rsidR="00D96C2D">
        <w:t>indicated</w:t>
      </w:r>
      <w:r w:rsidR="008A2895">
        <w:t xml:space="preserve"> under claims), a revised approach to </w:t>
      </w:r>
      <w:r w:rsidR="00D96C2D">
        <w:t xml:space="preserve">product </w:t>
      </w:r>
      <w:r w:rsidR="008A2895">
        <w:t xml:space="preserve">sampling in 2014 (to capture a broader range of product quality) has </w:t>
      </w:r>
      <w:r w:rsidR="00520699">
        <w:t>shown that</w:t>
      </w:r>
      <w:r w:rsidR="008A2895">
        <w:t xml:space="preserve"> over claiming products </w:t>
      </w:r>
      <w:r w:rsidR="00520699">
        <w:t xml:space="preserve">are </w:t>
      </w:r>
      <w:r w:rsidR="008A2895">
        <w:t xml:space="preserve">still in the market.  </w:t>
      </w:r>
      <w:r w:rsidR="00520699">
        <w:t>M</w:t>
      </w:r>
      <w:r w:rsidR="008A2895">
        <w:t xml:space="preserve">any of the differences between claimed and tested luminous flux </w:t>
      </w:r>
      <w:r w:rsidR="00520699">
        <w:t>are</w:t>
      </w:r>
      <w:r w:rsidR="008A2895">
        <w:t xml:space="preserve"> so significant as to </w:t>
      </w:r>
      <w:r w:rsidR="00520699">
        <w:t>potentially guide</w:t>
      </w:r>
      <w:r w:rsidR="008A2895">
        <w:t xml:space="preserve"> consumers </w:t>
      </w:r>
      <w:r w:rsidR="00520699">
        <w:t>to purchase</w:t>
      </w:r>
      <w:r w:rsidR="008A2895">
        <w:t xml:space="preserve"> lamps that would not provide equivalent light output in comparison to incandescent lamps that they may be intended to replace, th</w:t>
      </w:r>
      <w:r w:rsidR="00D96C2D">
        <w:t>u</w:t>
      </w:r>
      <w:r w:rsidR="008A2895">
        <w:t>s resulting in consumer disappointment and loss of confidence in LED products.</w:t>
      </w:r>
      <w:r w:rsidR="00D96C2D">
        <w:t xml:space="preserve"> For example, an LED omnidirectional lamp rated at 600lm could be expected to provide a similar level of light output as a 40W tungst</w:t>
      </w:r>
      <w:r w:rsidR="00F61D0D">
        <w:t>en filament lamp.</w:t>
      </w:r>
      <w:r w:rsidR="00D96C2D">
        <w:t xml:space="preserve"> When six samples of one such lamp was purchased and tested in 2014, the samples were consistently found to have a light output of </w:t>
      </w:r>
      <w:r w:rsidR="00EE21E7">
        <w:t>less than</w:t>
      </w:r>
      <w:r w:rsidR="00D96C2D">
        <w:t xml:space="preserve"> 300 lm, which is towards the lower end of the light output that could be expected of a 25W tungsten filament lamp.</w:t>
      </w:r>
    </w:p>
    <w:p w:rsidR="008A2895" w:rsidRDefault="008A2895" w:rsidP="00301106">
      <w:pPr>
        <w:pStyle w:val="E3Bullets"/>
        <w:numPr>
          <w:ilvl w:val="0"/>
          <w:numId w:val="0"/>
        </w:numPr>
      </w:pPr>
    </w:p>
    <w:p w:rsidR="008A2895" w:rsidRDefault="008A2895" w:rsidP="00301106">
      <w:pPr>
        <w:pStyle w:val="E3Bullets"/>
        <w:numPr>
          <w:ilvl w:val="0"/>
          <w:numId w:val="0"/>
        </w:numPr>
      </w:pPr>
      <w:r>
        <w:t xml:space="preserve">Anecdotally we understand that some </w:t>
      </w:r>
      <w:r w:rsidR="00CE791F">
        <w:t>over claims</w:t>
      </w:r>
      <w:r>
        <w:t xml:space="preserve"> of luminous flux levels (and thus efficacy) may result from </w:t>
      </w:r>
      <w:r w:rsidR="008D47D2">
        <w:t xml:space="preserve">LEDi packaging performance information being derived from original </w:t>
      </w:r>
      <w:r>
        <w:t xml:space="preserve">bench test reports of the luminous flux of the LED </w:t>
      </w:r>
      <w:r w:rsidR="00D96C2D">
        <w:t>d</w:t>
      </w:r>
      <w:r>
        <w:t xml:space="preserve">ie </w:t>
      </w:r>
      <w:r w:rsidR="008D47D2">
        <w:t xml:space="preserve">contained in the lamp. </w:t>
      </w:r>
      <w:r w:rsidR="00CE791F">
        <w:t xml:space="preserve">This is unlikely to be accurate as it does not take into account performance constraints imposed by other components </w:t>
      </w:r>
      <w:r w:rsidR="000829F4">
        <w:t>of the LEDi</w:t>
      </w:r>
      <w:r w:rsidR="008A65AF">
        <w:t xml:space="preserve"> </w:t>
      </w:r>
      <w:r w:rsidR="00CE791F">
        <w:t xml:space="preserve">such as the </w:t>
      </w:r>
      <w:r w:rsidR="000829F4">
        <w:t xml:space="preserve">electronics, </w:t>
      </w:r>
      <w:r w:rsidR="00CE791F">
        <w:t>heat sink or reflector.</w:t>
      </w:r>
    </w:p>
    <w:p w:rsidR="007A3233" w:rsidRDefault="007A3233" w:rsidP="00301106">
      <w:pPr>
        <w:pStyle w:val="E3Bullets"/>
        <w:numPr>
          <w:ilvl w:val="0"/>
          <w:numId w:val="0"/>
        </w:numPr>
      </w:pPr>
    </w:p>
    <w:p w:rsidR="005759A6" w:rsidRDefault="008D6F95" w:rsidP="005759A6">
      <w:pPr>
        <w:pStyle w:val="E3Bullets"/>
        <w:keepNext/>
        <w:numPr>
          <w:ilvl w:val="0"/>
          <w:numId w:val="0"/>
        </w:numPr>
      </w:pPr>
      <w:r>
        <w:rPr>
          <w:noProof/>
          <w:lang w:eastAsia="en-AU"/>
        </w:rPr>
        <w:lastRenderedPageBreak/>
        <w:drawing>
          <wp:inline distT="0" distB="0" distL="0" distR="0" wp14:anchorId="47291F5D" wp14:editId="0FA50BA7">
            <wp:extent cx="5711483" cy="3751186"/>
            <wp:effectExtent l="0" t="0" r="3810" b="1905"/>
            <wp:docPr id="312" name="Picture 312" descr="Line graph displaying the Efficacy and Luminous Flux of 5 Lamps:&#10;&#10;25W, 40W, 60W, 75W, 1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985" cy="3754143"/>
                    </a:xfrm>
                    <a:prstGeom prst="rect">
                      <a:avLst/>
                    </a:prstGeom>
                    <a:noFill/>
                  </pic:spPr>
                </pic:pic>
              </a:graphicData>
            </a:graphic>
          </wp:inline>
        </w:drawing>
      </w:r>
    </w:p>
    <w:p w:rsidR="008A2895" w:rsidRDefault="005759A6" w:rsidP="005759A6">
      <w:pPr>
        <w:pStyle w:val="Caption"/>
      </w:pPr>
      <w:bookmarkStart w:id="74" w:name="_Ref424118064"/>
      <w:bookmarkStart w:id="75" w:name="_Toc426387851"/>
      <w:r>
        <w:t xml:space="preserve">Figure </w:t>
      </w:r>
      <w:r w:rsidR="00B525E0">
        <w:fldChar w:fldCharType="begin"/>
      </w:r>
      <w:r>
        <w:instrText xml:space="preserve"> SEQ Figure \* ARABIC </w:instrText>
      </w:r>
      <w:r w:rsidR="00B525E0">
        <w:fldChar w:fldCharType="separate"/>
      </w:r>
      <w:r w:rsidR="002C13E2">
        <w:rPr>
          <w:noProof/>
        </w:rPr>
        <w:t>12</w:t>
      </w:r>
      <w:r w:rsidR="00B525E0">
        <w:fldChar w:fldCharType="end"/>
      </w:r>
      <w:bookmarkEnd w:id="74"/>
      <w:r>
        <w:t>.</w:t>
      </w:r>
      <w:r w:rsidRPr="00A910AC">
        <w:t>Variance Between Rated and Tested LED Lamp Efficacy (lamps Purchased in Australia 2009-2014)</w:t>
      </w:r>
      <w:bookmarkEnd w:id="75"/>
    </w:p>
    <w:p w:rsidR="008A2895" w:rsidRDefault="008A2895" w:rsidP="00301106">
      <w:pPr>
        <w:pStyle w:val="E3Bullets"/>
        <w:numPr>
          <w:ilvl w:val="0"/>
          <w:numId w:val="0"/>
        </w:numPr>
      </w:pPr>
    </w:p>
    <w:p w:rsidR="00731C4C" w:rsidRDefault="00731C4C" w:rsidP="00301106">
      <w:pPr>
        <w:pStyle w:val="E3Bullets"/>
        <w:numPr>
          <w:ilvl w:val="0"/>
          <w:numId w:val="0"/>
        </w:numPr>
      </w:pPr>
      <w:r>
        <w:t xml:space="preserve">Fewer linear LED lamps have been tested.  </w:t>
      </w:r>
      <w:r w:rsidR="00B525E0">
        <w:fldChar w:fldCharType="begin"/>
      </w:r>
      <w:r w:rsidR="00517362">
        <w:instrText xml:space="preserve"> REF _Ref424118096 \h </w:instrText>
      </w:r>
      <w:r w:rsidR="00B525E0">
        <w:fldChar w:fldCharType="separate"/>
      </w:r>
      <w:r w:rsidR="002C13E2">
        <w:t xml:space="preserve">Figure </w:t>
      </w:r>
      <w:r w:rsidR="002C13E2">
        <w:rPr>
          <w:noProof/>
        </w:rPr>
        <w:t>13</w:t>
      </w:r>
      <w:r w:rsidR="00B525E0">
        <w:fldChar w:fldCharType="end"/>
      </w:r>
      <w:r w:rsidR="00F61D0D">
        <w:t xml:space="preserve"> </w:t>
      </w:r>
      <w:r>
        <w:t xml:space="preserve">shows that rated claims for these products are if anything, under-claims, with the four products purchased in 2014 found to have higher than rated efficacy levels.  </w:t>
      </w:r>
    </w:p>
    <w:p w:rsidR="00811502" w:rsidRDefault="00811502" w:rsidP="00301106">
      <w:pPr>
        <w:pStyle w:val="E3Bullets"/>
        <w:numPr>
          <w:ilvl w:val="0"/>
          <w:numId w:val="0"/>
        </w:numPr>
      </w:pPr>
    </w:p>
    <w:p w:rsidR="005759A6" w:rsidRDefault="008D6F95" w:rsidP="005759A6">
      <w:pPr>
        <w:pStyle w:val="E3Bullets"/>
        <w:keepNext/>
        <w:numPr>
          <w:ilvl w:val="0"/>
          <w:numId w:val="0"/>
        </w:numPr>
      </w:pPr>
      <w:r>
        <w:rPr>
          <w:noProof/>
          <w:lang w:eastAsia="en-AU"/>
        </w:rPr>
        <w:drawing>
          <wp:inline distT="0" distB="0" distL="0" distR="0" wp14:anchorId="49BCC97A" wp14:editId="6A8A35EB">
            <wp:extent cx="5873262" cy="3857439"/>
            <wp:effectExtent l="0" t="0" r="0" b="0"/>
            <wp:docPr id="303" name="Picture 303" descr="Line Graph displaying the Efficacy and Luminous Flux of Tubular Fluroescent Replacement LED L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77890" cy="3860479"/>
                    </a:xfrm>
                    <a:prstGeom prst="rect">
                      <a:avLst/>
                    </a:prstGeom>
                    <a:noFill/>
                  </pic:spPr>
                </pic:pic>
              </a:graphicData>
            </a:graphic>
          </wp:inline>
        </w:drawing>
      </w:r>
    </w:p>
    <w:p w:rsidR="005759A6" w:rsidRDefault="005759A6" w:rsidP="005759A6">
      <w:pPr>
        <w:pStyle w:val="Caption"/>
      </w:pPr>
      <w:bookmarkStart w:id="76" w:name="_Ref424118096"/>
      <w:bookmarkStart w:id="77" w:name="_Toc426387852"/>
      <w:r>
        <w:t xml:space="preserve">Figure </w:t>
      </w:r>
      <w:r w:rsidR="00B525E0">
        <w:fldChar w:fldCharType="begin"/>
      </w:r>
      <w:r>
        <w:instrText xml:space="preserve"> SEQ Figure \* ARABIC </w:instrText>
      </w:r>
      <w:r w:rsidR="00B525E0">
        <w:fldChar w:fldCharType="separate"/>
      </w:r>
      <w:r w:rsidR="002C13E2">
        <w:rPr>
          <w:noProof/>
        </w:rPr>
        <w:t>13</w:t>
      </w:r>
      <w:r w:rsidR="00B525E0">
        <w:fldChar w:fldCharType="end"/>
      </w:r>
      <w:bookmarkEnd w:id="76"/>
      <w:r>
        <w:t>.</w:t>
      </w:r>
      <w:r w:rsidRPr="00527974">
        <w:t>Variance between Rated and Tested Efficacy of Tubular Fluorescent Replacement LED Lamps</w:t>
      </w:r>
      <w:bookmarkEnd w:id="77"/>
    </w:p>
    <w:p w:rsidR="00731C4C" w:rsidRDefault="00731C4C" w:rsidP="00301106">
      <w:pPr>
        <w:pStyle w:val="E3Bullets"/>
        <w:numPr>
          <w:ilvl w:val="0"/>
          <w:numId w:val="0"/>
        </w:numPr>
      </w:pPr>
    </w:p>
    <w:p w:rsidR="00731C4C" w:rsidRDefault="00731C4C" w:rsidP="00301106">
      <w:pPr>
        <w:pStyle w:val="E3Bullets"/>
        <w:numPr>
          <w:ilvl w:val="0"/>
          <w:numId w:val="0"/>
        </w:numPr>
      </w:pPr>
    </w:p>
    <w:p w:rsidR="008D48AA" w:rsidRDefault="008D48AA" w:rsidP="00DB0112">
      <w:pPr>
        <w:pStyle w:val="Heading3"/>
      </w:pPr>
      <w:bookmarkStart w:id="78" w:name="_Toc426387733"/>
      <w:r>
        <w:lastRenderedPageBreak/>
        <w:t>Lumen Depreciation</w:t>
      </w:r>
      <w:bookmarkEnd w:id="78"/>
    </w:p>
    <w:p w:rsidR="00DB0137" w:rsidRPr="00D66589" w:rsidRDefault="008D48AA" w:rsidP="00D66589">
      <w:pPr>
        <w:pStyle w:val="E3BodyText"/>
        <w:rPr>
          <w:rFonts w:ascii="Calibri" w:eastAsiaTheme="minorHAnsi" w:hAnsi="Calibri" w:cs="Calibri"/>
          <w:sz w:val="22"/>
          <w:szCs w:val="22"/>
        </w:rPr>
      </w:pPr>
      <w:r w:rsidRPr="00301106">
        <w:t xml:space="preserve">For </w:t>
      </w:r>
      <w:r>
        <w:t xml:space="preserve">all </w:t>
      </w:r>
      <w:r w:rsidRPr="00301106">
        <w:t>LED devices</w:t>
      </w:r>
      <w:r>
        <w:t>,</w:t>
      </w:r>
      <w:r w:rsidRPr="00301106">
        <w:t xml:space="preserve"> the lumen output slowly depreciates over time</w:t>
      </w:r>
      <w:r>
        <w:t xml:space="preserve">.  </w:t>
      </w:r>
      <w:r w:rsidR="00D66589" w:rsidRPr="00D66589">
        <w:t>High lumen maintenance over time helps to justify the higher initial cost of SSL lighting products.</w:t>
      </w:r>
      <w:r w:rsidR="008A65AF">
        <w:t xml:space="preserve"> </w:t>
      </w:r>
      <w:r>
        <w:t>T</w:t>
      </w:r>
      <w:r w:rsidRPr="00301106">
        <w:t xml:space="preserve">he point in time when lumen output depreciates to 70% of the initial lumen output </w:t>
      </w:r>
      <w:r>
        <w:t>is</w:t>
      </w:r>
      <w:r w:rsidR="00D407CF">
        <w:t>,</w:t>
      </w:r>
      <w:r w:rsidRPr="00301106">
        <w:t xml:space="preserve"> for general lighting</w:t>
      </w:r>
      <w:r w:rsidR="00D407CF">
        <w:t>,</w:t>
      </w:r>
      <w:r w:rsidRPr="00301106">
        <w:t xml:space="preserve"> defined as the end of the useful life of an LED</w:t>
      </w:r>
      <w:r>
        <w:t xml:space="preserve">.  The design and quality of production can influence the rate of lumen depreciation due to the degradation of the phosphor, chip and other components. </w:t>
      </w:r>
      <w:r w:rsidR="00515F1E">
        <w:t xml:space="preserve">High operating temperatures, either due to failure to </w:t>
      </w:r>
      <w:r w:rsidR="00B1237B">
        <w:t>conduct</w:t>
      </w:r>
      <w:r w:rsidR="00B1237B" w:rsidRPr="00994DA6">
        <w:t xml:space="preserve"> heat away from se</w:t>
      </w:r>
      <w:r w:rsidR="00B1237B">
        <w:t>nsitive components, or a high temperature operating environment may contribute to lumen depreciation.</w:t>
      </w:r>
      <w:r w:rsidR="008A65AF">
        <w:t xml:space="preserve"> </w:t>
      </w:r>
      <w:r w:rsidR="00D133F6">
        <w:t>R</w:t>
      </w:r>
      <w:r>
        <w:t>apid lumen depreciation</w:t>
      </w:r>
      <w:r w:rsidR="00B1237B">
        <w:t xml:space="preserve"> will result in shortening of the useful life of the LED device.</w:t>
      </w:r>
      <w:r w:rsidR="00FB7EE2">
        <w:t xml:space="preserve">  This may be particularly relevant to the use of LED lighting in high temperature areas</w:t>
      </w:r>
      <w:r w:rsidR="0014383A">
        <w:t>, particularly</w:t>
      </w:r>
      <w:r w:rsidR="00D407CF">
        <w:t xml:space="preserve"> hot climates, </w:t>
      </w:r>
      <w:r w:rsidR="00D133F6">
        <w:t xml:space="preserve">or </w:t>
      </w:r>
      <w:r w:rsidR="00D407CF">
        <w:t>lamps installed in luminaires</w:t>
      </w:r>
      <w:r w:rsidR="0014383A">
        <w:t xml:space="preserve"> recessed into ceiling cavities</w:t>
      </w:r>
      <w:r w:rsidR="00D407CF">
        <w:t>,</w:t>
      </w:r>
      <w:r w:rsidR="00D133F6">
        <w:t xml:space="preserve"> and</w:t>
      </w:r>
      <w:r w:rsidR="0014383A">
        <w:t xml:space="preserve"> in enclosed fittings</w:t>
      </w:r>
      <w:r w:rsidR="00FB7EE2">
        <w:t>.</w:t>
      </w:r>
    </w:p>
    <w:p w:rsidR="00DB0137" w:rsidRDefault="00DB0137" w:rsidP="008D48AA">
      <w:pPr>
        <w:pStyle w:val="E3SubBullets"/>
        <w:numPr>
          <w:ilvl w:val="0"/>
          <w:numId w:val="0"/>
        </w:numPr>
      </w:pPr>
      <w:r>
        <w:t xml:space="preserve">Recent US DOE testing </w:t>
      </w:r>
      <w:r w:rsidR="00C961CF">
        <w:t xml:space="preserve">(US DOE Dec 2014) </w:t>
      </w:r>
      <w:r>
        <w:t>of 17 LED lamps at a continuous 45</w:t>
      </w:r>
      <w:r w:rsidR="007A7FC5">
        <w:t>º</w:t>
      </w:r>
      <w:r>
        <w:t xml:space="preserve"> for more than 7,500 hours</w:t>
      </w:r>
      <w:r w:rsidR="00384217">
        <w:t xml:space="preserve">, </w:t>
      </w:r>
      <w:r w:rsidR="00EE21E7">
        <w:t>(</w:t>
      </w:r>
      <w:r w:rsidR="00B525E0">
        <w:fldChar w:fldCharType="begin"/>
      </w:r>
      <w:r w:rsidR="00384217">
        <w:instrText xml:space="preserve"> REF _Ref424249973 \h </w:instrText>
      </w:r>
      <w:r w:rsidR="00B525E0">
        <w:fldChar w:fldCharType="separate"/>
      </w:r>
      <w:r w:rsidR="002C13E2">
        <w:t xml:space="preserve">Figure </w:t>
      </w:r>
      <w:r w:rsidR="002C13E2">
        <w:rPr>
          <w:noProof/>
        </w:rPr>
        <w:t>14</w:t>
      </w:r>
      <w:r w:rsidR="00B525E0">
        <w:fldChar w:fldCharType="end"/>
      </w:r>
      <w:r w:rsidR="00EE21E7">
        <w:t>)</w:t>
      </w:r>
      <w:r>
        <w:t xml:space="preserve"> resulted in </w:t>
      </w:r>
      <w:r w:rsidR="00C73E75" w:rsidRPr="00C73E75">
        <w:t xml:space="preserve">two products </w:t>
      </w:r>
      <w:r w:rsidR="00C73E75">
        <w:t>at the end of the test with</w:t>
      </w:r>
      <w:r w:rsidR="00C73E75" w:rsidRPr="00C73E75">
        <w:t xml:space="preserve"> average lumen maintenance below 65%, constituting a failure</w:t>
      </w:r>
      <w:r w:rsidR="00C73E75">
        <w:t xml:space="preserve"> within the test period.  In n</w:t>
      </w:r>
      <w:r w:rsidR="00C73E75" w:rsidRPr="00C73E75">
        <w:t xml:space="preserve">early half of the products </w:t>
      </w:r>
      <w:r w:rsidR="00C73E75">
        <w:t xml:space="preserve">tested, </w:t>
      </w:r>
      <w:r w:rsidR="00C73E75" w:rsidRPr="00C73E75">
        <w:t>the lumen maintenance was sufficiently low at 6,000 hours</w:t>
      </w:r>
      <w:r w:rsidR="00E63725">
        <w:t xml:space="preserve"> to indicate</w:t>
      </w:r>
      <w:r w:rsidR="00C73E75" w:rsidRPr="00C73E75">
        <w:t xml:space="preserve"> that </w:t>
      </w:r>
      <w:r w:rsidR="00D407CF">
        <w:t xml:space="preserve">a further </w:t>
      </w:r>
      <w:r w:rsidR="00C73E75" w:rsidRPr="00C73E75">
        <w:t xml:space="preserve">seven of the products </w:t>
      </w:r>
      <w:r w:rsidR="00C73E75">
        <w:t xml:space="preserve">were </w:t>
      </w:r>
      <w:r w:rsidR="00C73E75" w:rsidRPr="00C73E75">
        <w:t>unlikely to have lumen maintenance above 70% at their rated lifetime (which was usually 25,000 hours).</w:t>
      </w:r>
      <w:r w:rsidR="00561DD4">
        <w:t>In contrast, three lamps remained above 99% of initial output for the duration of the study period.</w:t>
      </w:r>
    </w:p>
    <w:p w:rsidR="005759A6" w:rsidRDefault="00D66589" w:rsidP="005759A6">
      <w:pPr>
        <w:pStyle w:val="E3SubBullets"/>
        <w:keepNext/>
        <w:numPr>
          <w:ilvl w:val="0"/>
          <w:numId w:val="0"/>
        </w:numPr>
      </w:pPr>
      <w:r>
        <w:rPr>
          <w:noProof/>
          <w:lang w:eastAsia="en-AU"/>
        </w:rPr>
        <w:drawing>
          <wp:inline distT="0" distB="0" distL="0" distR="0" wp14:anchorId="53436817" wp14:editId="5BFD0D86">
            <wp:extent cx="6120765" cy="3398741"/>
            <wp:effectExtent l="19050" t="19050" r="13335" b="11430"/>
            <wp:docPr id="6" name="Picture 10" descr="Line Graph.&#10;Y Axis- Relative Output&#10;X Axis -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srcRect/>
                    <a:stretch>
                      <a:fillRect/>
                    </a:stretch>
                  </pic:blipFill>
                  <pic:spPr bwMode="auto">
                    <a:xfrm>
                      <a:off x="0" y="0"/>
                      <a:ext cx="6120765" cy="3398741"/>
                    </a:xfrm>
                    <a:prstGeom prst="rect">
                      <a:avLst/>
                    </a:prstGeom>
                    <a:noFill/>
                    <a:ln w="9525">
                      <a:solidFill>
                        <a:schemeClr val="bg2"/>
                      </a:solidFill>
                      <a:miter lim="800000"/>
                      <a:headEnd/>
                      <a:tailEnd/>
                    </a:ln>
                  </pic:spPr>
                </pic:pic>
              </a:graphicData>
            </a:graphic>
          </wp:inline>
        </w:drawing>
      </w:r>
    </w:p>
    <w:p w:rsidR="00D66589" w:rsidRDefault="005759A6" w:rsidP="005759A6">
      <w:pPr>
        <w:pStyle w:val="Caption"/>
      </w:pPr>
      <w:bookmarkStart w:id="79" w:name="_Ref424249973"/>
      <w:bookmarkStart w:id="80" w:name="_Toc426387853"/>
      <w:r>
        <w:t xml:space="preserve">Figure </w:t>
      </w:r>
      <w:r w:rsidR="00B525E0">
        <w:fldChar w:fldCharType="begin"/>
      </w:r>
      <w:r>
        <w:instrText xml:space="preserve"> SEQ Figure \* ARABIC </w:instrText>
      </w:r>
      <w:r w:rsidR="00B525E0">
        <w:fldChar w:fldCharType="separate"/>
      </w:r>
      <w:r w:rsidR="002C13E2">
        <w:rPr>
          <w:noProof/>
        </w:rPr>
        <w:t>14</w:t>
      </w:r>
      <w:r w:rsidR="00B525E0">
        <w:fldChar w:fldCharType="end"/>
      </w:r>
      <w:bookmarkEnd w:id="79"/>
      <w:r>
        <w:t>.</w:t>
      </w:r>
      <w:r w:rsidRPr="000678A6">
        <w:t xml:space="preserve">Average lumen maintenance for each of the 15 LED lamp models tested for </w:t>
      </w:r>
      <w:r w:rsidR="00EE21E7" w:rsidRPr="000678A6">
        <w:t>CALiPER (</w:t>
      </w:r>
      <w:r w:rsidRPr="000678A6">
        <w:t>US DOE Dec 2014). *The ENERGY STAR criterion shown is for lamps with a 25,000-hour rated lifetime; the criterion is higher for longer rated lifetimes.</w:t>
      </w:r>
      <w:bookmarkEnd w:id="80"/>
    </w:p>
    <w:p w:rsidR="00301106" w:rsidRDefault="00301106" w:rsidP="00301106">
      <w:pPr>
        <w:pStyle w:val="E3Bullets"/>
        <w:numPr>
          <w:ilvl w:val="0"/>
          <w:numId w:val="0"/>
        </w:numPr>
      </w:pPr>
    </w:p>
    <w:p w:rsidR="00B1237B" w:rsidRPr="00B1237B" w:rsidRDefault="00022215" w:rsidP="00DB0112">
      <w:pPr>
        <w:pStyle w:val="Heading3"/>
      </w:pPr>
      <w:bookmarkStart w:id="81" w:name="_Toc426387734"/>
      <w:r>
        <w:t>Lamp</w:t>
      </w:r>
      <w:r w:rsidR="008A65AF">
        <w:t xml:space="preserve"> </w:t>
      </w:r>
      <w:r w:rsidR="00B1237B">
        <w:t>F</w:t>
      </w:r>
      <w:r w:rsidR="00B1237B" w:rsidRPr="00301106">
        <w:t>ailures</w:t>
      </w:r>
      <w:r w:rsidR="00FE6731">
        <w:t xml:space="preserve"> and Lifetime</w:t>
      </w:r>
      <w:bookmarkEnd w:id="81"/>
    </w:p>
    <w:p w:rsidR="001A5014" w:rsidRDefault="00EE21E7" w:rsidP="00FC1C39">
      <w:pPr>
        <w:pStyle w:val="E3Bullets"/>
        <w:numPr>
          <w:ilvl w:val="0"/>
          <w:numId w:val="0"/>
        </w:numPr>
      </w:pPr>
      <w:r>
        <w:t>I</w:t>
      </w:r>
      <w:r w:rsidRPr="00301106">
        <w:t>mperfections</w:t>
      </w:r>
      <w:r>
        <w:t xml:space="preserve"> and defects</w:t>
      </w:r>
      <w:r w:rsidRPr="00301106">
        <w:t xml:space="preserve"> in the structure of the LED chip </w:t>
      </w:r>
      <w:r>
        <w:t xml:space="preserve">may result in early </w:t>
      </w:r>
      <w:r w:rsidRPr="00301106">
        <w:t>catastrophic failures</w:t>
      </w:r>
      <w:r>
        <w:t xml:space="preserve"> </w:t>
      </w:r>
      <w:r w:rsidRPr="00301106">
        <w:t xml:space="preserve">(the LED chip stops working). </w:t>
      </w:r>
      <w:r w:rsidR="00B1237B">
        <w:t>H</w:t>
      </w:r>
      <w:r w:rsidR="00186B22" w:rsidRPr="00301106">
        <w:t>igher operating temperature</w:t>
      </w:r>
      <w:r w:rsidR="00B1237B">
        <w:t>s</w:t>
      </w:r>
      <w:r w:rsidR="00186B22" w:rsidRPr="00301106">
        <w:t xml:space="preserve">, </w:t>
      </w:r>
      <w:r w:rsidR="00B1237B">
        <w:t>a high</w:t>
      </w:r>
      <w:r w:rsidR="00186B22" w:rsidRPr="00301106">
        <w:t xml:space="preserve"> drive current</w:t>
      </w:r>
      <w:r w:rsidR="00B1237B">
        <w:t xml:space="preserve"> or the junction temperature </w:t>
      </w:r>
      <w:r w:rsidR="00FC1C39">
        <w:t>of the LED die</w:t>
      </w:r>
      <w:r w:rsidR="00186B22" w:rsidRPr="00301106">
        <w:t xml:space="preserve">, </w:t>
      </w:r>
      <w:r w:rsidR="00B1237B">
        <w:t>may accelerate the appearance of such defects</w:t>
      </w:r>
      <w:r w:rsidR="00FC1C39">
        <w:t xml:space="preserve"> leading to failure</w:t>
      </w:r>
      <w:r w:rsidR="00186B22" w:rsidRPr="00301106">
        <w:t xml:space="preserve">. </w:t>
      </w:r>
      <w:r w:rsidR="00FC1C39">
        <w:t>Initially LED products may experience defects with rapid failures, then a long period with a low failure rate, followed by an increase in failure rate as the products wear out.</w:t>
      </w:r>
      <w:r w:rsidR="00D66589">
        <w:t xml:space="preserve">  The use of multiple </w:t>
      </w:r>
      <w:r w:rsidR="000D13DB">
        <w:t>LED packages within a lamp may mean that each LED chip may fail at a different time, thus resulting in a decrease in the overall lumen output, and changes to light distribution.</w:t>
      </w:r>
    </w:p>
    <w:p w:rsidR="00AB6EE0" w:rsidRPr="00100151" w:rsidRDefault="00FE6731" w:rsidP="00100151">
      <w:pPr>
        <w:pStyle w:val="E3BodyText"/>
      </w:pPr>
      <w:r w:rsidRPr="00100151">
        <w:t>Lifetime for lamps is usually defined as the amount of time that it takes for 50% of a statistically significant sample to fail. As discussed above, end of life include</w:t>
      </w:r>
      <w:r w:rsidR="00F61D0D">
        <w:t>s lumen depreciation below 70%.</w:t>
      </w:r>
      <w:r w:rsidRPr="00100151">
        <w:t xml:space="preserve"> Measurement of lamp lifetime is usually the longest product test </w:t>
      </w:r>
      <w:r w:rsidR="00AB6EE0" w:rsidRPr="00100151">
        <w:t xml:space="preserve">for any lamp technology </w:t>
      </w:r>
      <w:r w:rsidRPr="00100151">
        <w:t xml:space="preserve">(for example the 6,000 hour lifetime test for CFL MEPS takes 9.5 months) and the very long lifetime claims for LED products makes </w:t>
      </w:r>
      <w:r w:rsidR="00AB6EE0" w:rsidRPr="00100151">
        <w:t>full lifetime testing impractical in terms of rated values of individual models, product registration or compliance testing. This is particularly the case at present given the rapid release of new models onto the market.</w:t>
      </w:r>
    </w:p>
    <w:p w:rsidR="00FE6731" w:rsidRDefault="00AB6EE0" w:rsidP="00100151">
      <w:pPr>
        <w:pStyle w:val="E3BodyText"/>
      </w:pPr>
      <w:r w:rsidRPr="00100151">
        <w:lastRenderedPageBreak/>
        <w:t>However, h</w:t>
      </w:r>
      <w:r w:rsidR="00FE6731" w:rsidRPr="00100151">
        <w:t xml:space="preserve">aving </w:t>
      </w:r>
      <w:r w:rsidR="00C01FBD">
        <w:t xml:space="preserve">a reliable, but expedited approach to lifetime testing </w:t>
      </w:r>
      <w:r w:rsidR="00FE6731" w:rsidRPr="00100151">
        <w:t xml:space="preserve">is very important, as LED lighting products must have longer lifetimes to justify the high initial cost of LED lighting. If SSL products are able to meet their lifetime claims, they can cut long-term energy consumption and save the consumer </w:t>
      </w:r>
      <w:r w:rsidRPr="00100151">
        <w:t>money, however if claims are no</w:t>
      </w:r>
      <w:r w:rsidR="00D5125A">
        <w:t>t</w:t>
      </w:r>
      <w:r w:rsidRPr="00100151">
        <w:t xml:space="preserve"> met, some or all of the potential savings will not be achieved and consumers may be reluctant to invest in further LED products.</w:t>
      </w:r>
    </w:p>
    <w:p w:rsidR="00C01FBD" w:rsidRPr="00D5125A" w:rsidRDefault="00C01FBD" w:rsidP="00D5125A">
      <w:pPr>
        <w:pStyle w:val="E3BodyText"/>
      </w:pPr>
      <w:r>
        <w:t xml:space="preserve">While a number of different </w:t>
      </w:r>
      <w:r w:rsidRPr="00D5125A">
        <w:t xml:space="preserve">metrics are used to characterise lifetime of LED products in some </w:t>
      </w:r>
      <w:r w:rsidR="00D5125A" w:rsidRPr="00D5125A">
        <w:t>countries</w:t>
      </w:r>
      <w:r w:rsidRPr="00D5125A">
        <w:t>, there is currently no internationally agreed test method.</w:t>
      </w:r>
      <w:r w:rsidR="00D5125A" w:rsidRPr="00D5125A">
        <w:t xml:space="preserve">  International standards bodies such as the IEC ar</w:t>
      </w:r>
      <w:r w:rsidR="00F61D0D">
        <w:t xml:space="preserve">e still working on this issue. </w:t>
      </w:r>
      <w:r w:rsidR="00D5125A" w:rsidRPr="00D5125A">
        <w:t>The IEA 4ESSL Annex is currently preparing an overview report for governments to provide advice on the proper characterisation of product lifetime, and which metrics and test methods are best to use for accurately describing and quantifying the lifetime performance of SSL products.</w:t>
      </w:r>
    </w:p>
    <w:p w:rsidR="00FE6731" w:rsidRDefault="00FE6731" w:rsidP="00100151">
      <w:pPr>
        <w:pStyle w:val="E3BodyText"/>
      </w:pPr>
    </w:p>
    <w:p w:rsidR="001A5014" w:rsidRDefault="001A5014" w:rsidP="00DB0112">
      <w:pPr>
        <w:pStyle w:val="Heading3"/>
      </w:pPr>
      <w:bookmarkStart w:id="82" w:name="_Toc426387735"/>
      <w:r>
        <w:t xml:space="preserve">Correlated </w:t>
      </w:r>
      <w:r w:rsidR="00E716F6">
        <w:t>C</w:t>
      </w:r>
      <w:r>
        <w:t xml:space="preserve">olour </w:t>
      </w:r>
      <w:r w:rsidR="00E716F6">
        <w:t>T</w:t>
      </w:r>
      <w:r>
        <w:t>emperature</w:t>
      </w:r>
      <w:r w:rsidR="000D13DB">
        <w:t xml:space="preserve"> and</w:t>
      </w:r>
      <w:r w:rsidR="002126B7">
        <w:t xml:space="preserve"> Colour Stability</w:t>
      </w:r>
      <w:bookmarkEnd w:id="82"/>
    </w:p>
    <w:p w:rsidR="00016954" w:rsidRPr="00016954" w:rsidRDefault="000D13DB" w:rsidP="000D13DB">
      <w:pPr>
        <w:pStyle w:val="E3BodyText"/>
      </w:pPr>
      <w:r>
        <w:t xml:space="preserve">Correlated colour temperature (CCT) </w:t>
      </w:r>
      <w:r w:rsidR="00E84C8C">
        <w:t xml:space="preserve">is stated in </w:t>
      </w:r>
      <w:r w:rsidR="00E84C8C" w:rsidRPr="00E84C8C">
        <w:t>Kelvin</w:t>
      </w:r>
      <w:r w:rsidR="00E84C8C">
        <w:t xml:space="preserve"> (K). Colour temperatures over 5,000K are</w:t>
      </w:r>
      <w:r w:rsidR="008A65AF">
        <w:t xml:space="preserve"> </w:t>
      </w:r>
      <w:r w:rsidR="003C6C27">
        <w:t xml:space="preserve">described </w:t>
      </w:r>
      <w:r w:rsidR="003C6C27" w:rsidRPr="003C6C27">
        <w:t>as</w:t>
      </w:r>
      <w:r w:rsidR="008A65AF">
        <w:t xml:space="preserve"> </w:t>
      </w:r>
      <w:r w:rsidR="003C6C27" w:rsidRPr="003C6C27">
        <w:rPr>
          <w:iCs/>
        </w:rPr>
        <w:t>cool</w:t>
      </w:r>
      <w:r w:rsidR="00E84C8C" w:rsidRPr="003C6C27">
        <w:t xml:space="preserve"> (bluish</w:t>
      </w:r>
      <w:r w:rsidR="00E84C8C">
        <w:t xml:space="preserve">), while lower </w:t>
      </w:r>
      <w:r w:rsidR="003C6C27">
        <w:t>colour</w:t>
      </w:r>
      <w:r w:rsidR="00E84C8C">
        <w:t xml:space="preserve"> temperatures (2,700–3,000 K) are </w:t>
      </w:r>
      <w:r w:rsidR="003C6C27">
        <w:t>described as warm</w:t>
      </w:r>
      <w:r w:rsidR="00E84C8C">
        <w:t xml:space="preserve"> (yellowish </w:t>
      </w:r>
      <w:r w:rsidR="003C6C27">
        <w:t xml:space="preserve">to </w:t>
      </w:r>
      <w:r w:rsidR="00E84C8C">
        <w:t>red)</w:t>
      </w:r>
      <w:r w:rsidR="003C6C27">
        <w:t xml:space="preserve">. </w:t>
      </w:r>
      <w:r w:rsidR="00016954">
        <w:rPr>
          <w:lang w:val="en-US"/>
        </w:rPr>
        <w:t xml:space="preserve">For white light sources that correspond somewhat closely to the radiation colour of a black body radiator (such as the Sun) at various temperatures (called the Planckian locus), a correlated </w:t>
      </w:r>
      <w:r w:rsidR="00016954" w:rsidRPr="00016954">
        <w:t>colour</w:t>
      </w:r>
      <w:r w:rsidR="00016954">
        <w:rPr>
          <w:lang w:val="en-US"/>
        </w:rPr>
        <w:t xml:space="preserve"> temperature can be assigned.</w:t>
      </w:r>
    </w:p>
    <w:p w:rsidR="001A5014" w:rsidRDefault="003C6C27" w:rsidP="000D13DB">
      <w:pPr>
        <w:pStyle w:val="E3BodyText"/>
      </w:pPr>
      <w:r>
        <w:t xml:space="preserve">The </w:t>
      </w:r>
      <w:r w:rsidR="000D13DB">
        <w:t xml:space="preserve">metric is usually described for consumers in terms such as ‘warm-white’ or </w:t>
      </w:r>
      <w:r w:rsidR="00EE21E7">
        <w:t>‘daylight’.</w:t>
      </w:r>
      <w:r w:rsidR="00D133F6">
        <w:t xml:space="preserve">  This </w:t>
      </w:r>
      <w:r w:rsidR="000D13DB">
        <w:t xml:space="preserve">helps consumers </w:t>
      </w:r>
      <w:r w:rsidR="00D133F6">
        <w:t xml:space="preserve">to </w:t>
      </w:r>
      <w:r w:rsidR="000D13DB">
        <w:t xml:space="preserve">select the appropriate product depending on their colour </w:t>
      </w:r>
      <w:r w:rsidR="00D133F6">
        <w:t xml:space="preserve">temperature </w:t>
      </w:r>
      <w:r w:rsidR="000D13DB">
        <w:t xml:space="preserve">preference and also helps to match colour </w:t>
      </w:r>
      <w:r w:rsidR="00D133F6">
        <w:t xml:space="preserve">temperature </w:t>
      </w:r>
      <w:r w:rsidR="000D13DB">
        <w:t>across different manufacturers’ lighting products</w:t>
      </w:r>
      <w:r w:rsidR="00D133F6">
        <w:t xml:space="preserve">. </w:t>
      </w:r>
      <w:r w:rsidR="000D13DB">
        <w:t xml:space="preserve">This way, when </w:t>
      </w:r>
      <w:r>
        <w:t>different</w:t>
      </w:r>
      <w:r w:rsidR="000D13DB">
        <w:t xml:space="preserve"> manufacturers’ </w:t>
      </w:r>
      <w:r>
        <w:t>lamps</w:t>
      </w:r>
      <w:r w:rsidR="000D13DB">
        <w:t xml:space="preserve"> are used in the same space there is not an unintended mix of cool- white lighting with warm-white lighting. Thus, as with CFL lamps, the accuracy </w:t>
      </w:r>
      <w:r w:rsidR="00DD712C">
        <w:t xml:space="preserve">and consistency </w:t>
      </w:r>
      <w:r w:rsidR="000D13DB">
        <w:t xml:space="preserve">of the packaging description is important for </w:t>
      </w:r>
      <w:r w:rsidR="000D13DB" w:rsidRPr="000D13DB">
        <w:t>consumer satisfaction and confidence.</w:t>
      </w:r>
    </w:p>
    <w:p w:rsidR="002126B7" w:rsidRDefault="002126B7" w:rsidP="002126B7">
      <w:pPr>
        <w:pStyle w:val="E3SubBullets"/>
        <w:numPr>
          <w:ilvl w:val="0"/>
          <w:numId w:val="0"/>
        </w:numPr>
      </w:pPr>
      <w:r>
        <w:t xml:space="preserve">LED lighting may also experience a shift in colour over time.  This may have implications in cases where multiple lamps are in use and a divergence of lamp colour may be experienced, which might also be picked up when additional or replacement lamps are added.  The </w:t>
      </w:r>
      <w:r w:rsidRPr="00015520">
        <w:t xml:space="preserve">US DOE CALiPER testing </w:t>
      </w:r>
      <w:r>
        <w:t xml:space="preserve">(US DOE Dec 2014) </w:t>
      </w:r>
      <w:r w:rsidRPr="00015520">
        <w:t xml:space="preserve">found three of 17 lamps </w:t>
      </w:r>
      <w:r w:rsidR="003C6C27">
        <w:t xml:space="preserve">tested </w:t>
      </w:r>
      <w:r w:rsidRPr="00015520">
        <w:t xml:space="preserve">exhibited substantial colour shift over the 7,500 hour test. </w:t>
      </w:r>
    </w:p>
    <w:p w:rsidR="002126B7" w:rsidRDefault="002126B7" w:rsidP="000D13DB">
      <w:pPr>
        <w:pStyle w:val="E3BodyText"/>
      </w:pPr>
    </w:p>
    <w:p w:rsidR="002126B7" w:rsidRPr="000D13DB" w:rsidRDefault="002126B7" w:rsidP="00DB0112">
      <w:pPr>
        <w:pStyle w:val="Heading3"/>
      </w:pPr>
      <w:bookmarkStart w:id="83" w:name="_Toc426387736"/>
      <w:r>
        <w:t>Chromacity Tolerance</w:t>
      </w:r>
      <w:bookmarkEnd w:id="83"/>
    </w:p>
    <w:p w:rsidR="00016954" w:rsidRDefault="000D13DB" w:rsidP="00016954">
      <w:r w:rsidRPr="000D13DB">
        <w:rPr>
          <w:szCs w:val="22"/>
        </w:rPr>
        <w:t xml:space="preserve">Chromaticity Tolerance (Du’v’) specifies the allowable deviation in </w:t>
      </w:r>
      <w:r>
        <w:rPr>
          <w:szCs w:val="22"/>
        </w:rPr>
        <w:t xml:space="preserve">the </w:t>
      </w:r>
      <w:r w:rsidRPr="000D13DB">
        <w:rPr>
          <w:szCs w:val="22"/>
        </w:rPr>
        <w:t>l</w:t>
      </w:r>
      <w:r w:rsidR="00873355">
        <w:rPr>
          <w:szCs w:val="22"/>
        </w:rPr>
        <w:t>amp</w:t>
      </w:r>
      <w:r w:rsidRPr="000D13DB">
        <w:rPr>
          <w:szCs w:val="22"/>
        </w:rPr>
        <w:t xml:space="preserve">’s colour. This criterion is </w:t>
      </w:r>
      <w:r w:rsidR="00034160">
        <w:rPr>
          <w:szCs w:val="22"/>
        </w:rPr>
        <w:t>important</w:t>
      </w:r>
      <w:r w:rsidRPr="000D13DB">
        <w:rPr>
          <w:szCs w:val="22"/>
        </w:rPr>
        <w:t xml:space="preserve"> to ensure that the light from an LED product does not have an unacceptable pink or green tint. </w:t>
      </w:r>
      <w:r w:rsidR="00016954">
        <w:rPr>
          <w:lang w:val="en-US"/>
        </w:rPr>
        <w:t xml:space="preserve">Chromaticity measurement of LED lamps gives an indication of how closely the output corresponds with the Planckian locus. Light sources that have a spectrum that places them above the Planckian locus will appear more green or yellow (not enough blue or red content in their spectrum); those that are below this line will appear pinkish (not enough green wavelength content). </w:t>
      </w:r>
      <w:r w:rsidR="00B525E0">
        <w:rPr>
          <w:lang w:val="en-US"/>
        </w:rPr>
        <w:fldChar w:fldCharType="begin"/>
      </w:r>
      <w:r w:rsidR="00517362">
        <w:rPr>
          <w:lang w:val="en-US"/>
        </w:rPr>
        <w:instrText xml:space="preserve"> REF _Ref424118159 \h </w:instrText>
      </w:r>
      <w:r w:rsidR="00B525E0">
        <w:rPr>
          <w:lang w:val="en-US"/>
        </w:rPr>
      </w:r>
      <w:r w:rsidR="00B525E0">
        <w:rPr>
          <w:lang w:val="en-US"/>
        </w:rPr>
        <w:fldChar w:fldCharType="separate"/>
      </w:r>
      <w:r w:rsidR="002C13E2">
        <w:t xml:space="preserve">Figure </w:t>
      </w:r>
      <w:r w:rsidR="002C13E2">
        <w:rPr>
          <w:noProof/>
        </w:rPr>
        <w:t>15</w:t>
      </w:r>
      <w:r w:rsidR="00B525E0">
        <w:rPr>
          <w:lang w:val="en-US"/>
        </w:rPr>
        <w:fldChar w:fldCharType="end"/>
      </w:r>
      <w:r w:rsidR="00016954">
        <w:rPr>
          <w:lang w:val="en-US"/>
        </w:rPr>
        <w:t>shows the chromaticity values of LED lighting products purchased between 2009 and 2014, and their relation to the Planckian locus or black body curve</w:t>
      </w:r>
      <w:r w:rsidR="00DB69C4">
        <w:rPr>
          <w:lang w:val="en-US"/>
        </w:rPr>
        <w:t xml:space="preserve"> and the tolerance quadrangles for colour specifications recommended in ANSI C78.377 - 2008</w:t>
      </w:r>
      <w:r w:rsidR="00016954">
        <w:rPr>
          <w:lang w:val="en-US"/>
        </w:rPr>
        <w:t>.</w:t>
      </w:r>
      <w:r w:rsidR="006D3F93">
        <w:rPr>
          <w:lang w:val="en-US"/>
        </w:rPr>
        <w:t xml:space="preserve"> </w:t>
      </w:r>
      <w:r w:rsidR="00016954">
        <w:t>In the earlier years, 2009-2010, LED light sources were not satisfactorily recreating white light that resembled that of a black body radiator - the majority of the warmer colour temperature lamps had a greenish yellow appearance, and the cooler colour temperature lamps produced a straight greenish appearance. From 2012-2014, a significant improvement is recorded.</w:t>
      </w:r>
    </w:p>
    <w:p w:rsidR="00016954" w:rsidRPr="00453CA7" w:rsidRDefault="00016954" w:rsidP="00016954">
      <w:pPr>
        <w:rPr>
          <w:lang w:val="en-US"/>
        </w:rPr>
      </w:pPr>
    </w:p>
    <w:p w:rsidR="005759A6" w:rsidRDefault="00016954" w:rsidP="005759A6">
      <w:pPr>
        <w:pStyle w:val="E3BodyText"/>
        <w:keepNext/>
      </w:pPr>
      <w:r w:rsidRPr="00016954">
        <w:rPr>
          <w:noProof/>
          <w:lang w:eastAsia="en-AU"/>
        </w:rPr>
        <w:lastRenderedPageBreak/>
        <w:drawing>
          <wp:inline distT="0" distB="0" distL="0" distR="0" wp14:anchorId="15FCBF59" wp14:editId="1C4581DD">
            <wp:extent cx="6120765" cy="4000094"/>
            <wp:effectExtent l="19050" t="19050" r="13335" b="19685"/>
            <wp:docPr id="310" name="Picture 4" descr="Line and Dot graph displaying the ANSI Chromatically Specification of SSL Products on the CIE 1931 (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gan\Dropbox (Gelami)\Light Naturally\LN Current Clients\Aust DCCEE\LEDs\LED Testing\Charts\Chromaticity LED 09-14.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765" cy="4000094"/>
                    </a:xfrm>
                    <a:prstGeom prst="rect">
                      <a:avLst/>
                    </a:prstGeom>
                    <a:noFill/>
                    <a:ln>
                      <a:solidFill>
                        <a:schemeClr val="bg2"/>
                      </a:solidFill>
                    </a:ln>
                  </pic:spPr>
                </pic:pic>
              </a:graphicData>
            </a:graphic>
          </wp:inline>
        </w:drawing>
      </w:r>
    </w:p>
    <w:p w:rsidR="00016954" w:rsidRDefault="005759A6" w:rsidP="005759A6">
      <w:pPr>
        <w:pStyle w:val="Caption"/>
        <w:rPr>
          <w:lang w:val="en-US"/>
        </w:rPr>
      </w:pPr>
      <w:bookmarkStart w:id="84" w:name="_Ref424118159"/>
      <w:bookmarkStart w:id="85" w:name="_Toc426387854"/>
      <w:r>
        <w:t xml:space="preserve">Figure </w:t>
      </w:r>
      <w:r w:rsidR="00B525E0">
        <w:fldChar w:fldCharType="begin"/>
      </w:r>
      <w:r>
        <w:instrText xml:space="preserve"> SEQ Figure \* ARABIC </w:instrText>
      </w:r>
      <w:r w:rsidR="00B525E0">
        <w:fldChar w:fldCharType="separate"/>
      </w:r>
      <w:r w:rsidR="002C13E2">
        <w:rPr>
          <w:noProof/>
        </w:rPr>
        <w:t>15</w:t>
      </w:r>
      <w:r w:rsidR="00B525E0">
        <w:fldChar w:fldCharType="end"/>
      </w:r>
      <w:bookmarkEnd w:id="84"/>
      <w:r>
        <w:t>.</w:t>
      </w:r>
      <w:r w:rsidRPr="00DB56F1">
        <w:t>Chromaticity of LED lamps tested by Australian Government 2009-2014.</w:t>
      </w:r>
      <w:bookmarkEnd w:id="85"/>
    </w:p>
    <w:p w:rsidR="000D13DB" w:rsidRDefault="00016954" w:rsidP="000D13DB">
      <w:pPr>
        <w:pStyle w:val="E3BodyText"/>
        <w:rPr>
          <w:szCs w:val="22"/>
        </w:rPr>
      </w:pPr>
      <w:r>
        <w:rPr>
          <w:szCs w:val="22"/>
        </w:rPr>
        <w:t xml:space="preserve">However as shown </w:t>
      </w:r>
      <w:r w:rsidR="00EE21E7">
        <w:rPr>
          <w:szCs w:val="22"/>
        </w:rPr>
        <w:t xml:space="preserve">in </w:t>
      </w:r>
      <w:r w:rsidR="00EE21E7">
        <w:rPr>
          <w:szCs w:val="22"/>
        </w:rPr>
        <w:fldChar w:fldCharType="begin"/>
      </w:r>
      <w:r w:rsidR="00EE21E7">
        <w:rPr>
          <w:szCs w:val="22"/>
        </w:rPr>
        <w:instrText xml:space="preserve"> REF _Ref424118179 \h </w:instrText>
      </w:r>
      <w:r w:rsidR="00EE21E7">
        <w:rPr>
          <w:szCs w:val="22"/>
        </w:rPr>
      </w:r>
      <w:r w:rsidR="00EE21E7">
        <w:rPr>
          <w:szCs w:val="22"/>
        </w:rPr>
        <w:fldChar w:fldCharType="separate"/>
      </w:r>
      <w:r w:rsidR="002C13E2">
        <w:t xml:space="preserve">Figure </w:t>
      </w:r>
      <w:r w:rsidR="002C13E2">
        <w:rPr>
          <w:noProof/>
        </w:rPr>
        <w:t>16</w:t>
      </w:r>
      <w:r w:rsidR="00EE21E7">
        <w:rPr>
          <w:szCs w:val="22"/>
        </w:rPr>
        <w:fldChar w:fldCharType="end"/>
      </w:r>
      <w:r>
        <w:rPr>
          <w:szCs w:val="22"/>
        </w:rPr>
        <w:t xml:space="preserve">, </w:t>
      </w:r>
      <w:r w:rsidR="002126B7">
        <w:rPr>
          <w:szCs w:val="22"/>
        </w:rPr>
        <w:t>t</w:t>
      </w:r>
      <w:r w:rsidR="000D13DB">
        <w:rPr>
          <w:szCs w:val="22"/>
        </w:rPr>
        <w:t>esting of</w:t>
      </w:r>
      <w:r w:rsidR="00267B09">
        <w:rPr>
          <w:szCs w:val="22"/>
        </w:rPr>
        <w:t xml:space="preserve"> individual</w:t>
      </w:r>
      <w:r w:rsidR="000D13DB">
        <w:rPr>
          <w:szCs w:val="22"/>
        </w:rPr>
        <w:t xml:space="preserve"> lamps purchased in 2014 in</w:t>
      </w:r>
      <w:r>
        <w:rPr>
          <w:szCs w:val="22"/>
        </w:rPr>
        <w:t xml:space="preserve"> the Australian market indicates</w:t>
      </w:r>
      <w:r w:rsidR="000D13DB">
        <w:rPr>
          <w:szCs w:val="22"/>
        </w:rPr>
        <w:t xml:space="preserve"> that some LEDi lamps </w:t>
      </w:r>
      <w:r>
        <w:rPr>
          <w:szCs w:val="22"/>
        </w:rPr>
        <w:t xml:space="preserve">still </w:t>
      </w:r>
      <w:r w:rsidR="002126B7">
        <w:rPr>
          <w:szCs w:val="22"/>
        </w:rPr>
        <w:t>e</w:t>
      </w:r>
      <w:r>
        <w:rPr>
          <w:szCs w:val="22"/>
        </w:rPr>
        <w:t xml:space="preserve">xceeded the </w:t>
      </w:r>
      <w:r w:rsidR="00DB69C4">
        <w:rPr>
          <w:szCs w:val="22"/>
        </w:rPr>
        <w:t>chromaticity tolerance specification (ANSI C78.377 – 2008)</w:t>
      </w:r>
      <w:r w:rsidR="002126B7">
        <w:rPr>
          <w:szCs w:val="22"/>
        </w:rPr>
        <w:t>.</w:t>
      </w:r>
      <w:r w:rsidR="003A66B1">
        <w:rPr>
          <w:szCs w:val="22"/>
        </w:rPr>
        <w:t xml:space="preserve"> </w:t>
      </w:r>
      <w:r w:rsidR="00EE21E7">
        <w:rPr>
          <w:szCs w:val="22"/>
        </w:rPr>
        <w:t>Further analysis of this testing is available i</w:t>
      </w:r>
      <w:r w:rsidR="00EE21E7" w:rsidRPr="006F672D">
        <w:rPr>
          <w:szCs w:val="22"/>
        </w:rPr>
        <w:t>n Appendix A</w:t>
      </w:r>
      <w:r w:rsidR="006F672D" w:rsidRPr="006F672D">
        <w:rPr>
          <w:szCs w:val="22"/>
        </w:rPr>
        <w:t>.</w:t>
      </w:r>
    </w:p>
    <w:p w:rsidR="005759A6" w:rsidRDefault="002126B7" w:rsidP="005759A6">
      <w:pPr>
        <w:pStyle w:val="E3TableHeading"/>
        <w:keepNext/>
      </w:pPr>
      <w:r>
        <w:rPr>
          <w:noProof/>
          <w:lang w:eastAsia="en-AU"/>
        </w:rPr>
        <w:drawing>
          <wp:inline distT="0" distB="0" distL="0" distR="0" wp14:anchorId="3193CE88" wp14:editId="0E6709AE">
            <wp:extent cx="6114415" cy="3892550"/>
            <wp:effectExtent l="19050" t="19050" r="19685" b="12700"/>
            <wp:docPr id="12" name="Picture 10" descr="Diagram of Mapping of Chromatacity Tolerance for lamps puchas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vid\Documents\Work\LED\LED Product Profile\Chromaticity MacAdams LED 2014.png"/>
                    <pic:cNvPicPr>
                      <a:picLocks noChangeAspect="1" noChangeArrowheads="1"/>
                    </pic:cNvPicPr>
                  </pic:nvPicPr>
                  <pic:blipFill>
                    <a:blip r:embed="rId69" cstate="print"/>
                    <a:srcRect/>
                    <a:stretch>
                      <a:fillRect/>
                    </a:stretch>
                  </pic:blipFill>
                  <pic:spPr bwMode="auto">
                    <a:xfrm>
                      <a:off x="0" y="0"/>
                      <a:ext cx="6114415" cy="3892550"/>
                    </a:xfrm>
                    <a:prstGeom prst="rect">
                      <a:avLst/>
                    </a:prstGeom>
                    <a:noFill/>
                    <a:ln w="9525">
                      <a:solidFill>
                        <a:schemeClr val="bg2"/>
                      </a:solidFill>
                      <a:miter lim="800000"/>
                      <a:headEnd/>
                      <a:tailEnd/>
                    </a:ln>
                  </pic:spPr>
                </pic:pic>
              </a:graphicData>
            </a:graphic>
          </wp:inline>
        </w:drawing>
      </w:r>
    </w:p>
    <w:p w:rsidR="001A5014" w:rsidRDefault="005759A6" w:rsidP="005759A6">
      <w:pPr>
        <w:pStyle w:val="Caption"/>
      </w:pPr>
      <w:bookmarkStart w:id="86" w:name="_Ref424118179"/>
      <w:bookmarkStart w:id="87" w:name="_Toc426387855"/>
      <w:r>
        <w:t xml:space="preserve">Figure </w:t>
      </w:r>
      <w:r w:rsidR="00B525E0">
        <w:fldChar w:fldCharType="begin"/>
      </w:r>
      <w:r>
        <w:instrText xml:space="preserve"> SEQ Figure \* ARABIC </w:instrText>
      </w:r>
      <w:r w:rsidR="00B525E0">
        <w:fldChar w:fldCharType="separate"/>
      </w:r>
      <w:r w:rsidR="002C13E2">
        <w:rPr>
          <w:noProof/>
        </w:rPr>
        <w:t>16</w:t>
      </w:r>
      <w:r w:rsidR="00B525E0">
        <w:fldChar w:fldCharType="end"/>
      </w:r>
      <w:bookmarkEnd w:id="86"/>
      <w:r>
        <w:t>.</w:t>
      </w:r>
      <w:r w:rsidRPr="000C1D38">
        <w:t>Mapping of Chroma</w:t>
      </w:r>
      <w:r w:rsidR="008A65AF">
        <w:t>ti</w:t>
      </w:r>
      <w:r w:rsidRPr="000C1D38">
        <w:t>city Tolerance for lamps purchased in Australia (2014).   Those lamps shown outside of the black boundaries may display a noticeable green or pink tint.</w:t>
      </w:r>
      <w:bookmarkEnd w:id="87"/>
    </w:p>
    <w:p w:rsidR="001A5014" w:rsidRDefault="001A5014" w:rsidP="000D13DB">
      <w:pPr>
        <w:pStyle w:val="E3BodyText"/>
      </w:pPr>
    </w:p>
    <w:p w:rsidR="00016954" w:rsidRDefault="00EE21E7" w:rsidP="000D13DB">
      <w:pPr>
        <w:pStyle w:val="E3BodyText"/>
      </w:pPr>
      <w:r>
        <w:rPr>
          <w:szCs w:val="22"/>
        </w:rPr>
        <w:t>Compliance with t</w:t>
      </w:r>
      <w:r w:rsidRPr="000D13DB">
        <w:rPr>
          <w:szCs w:val="22"/>
        </w:rPr>
        <w:t xml:space="preserve">his criterion </w:t>
      </w:r>
      <w:r>
        <w:rPr>
          <w:szCs w:val="22"/>
        </w:rPr>
        <w:t>is also important</w:t>
      </w:r>
      <w:r w:rsidRPr="000D13DB">
        <w:rPr>
          <w:szCs w:val="22"/>
        </w:rPr>
        <w:t xml:space="preserve"> to ensure that all lamps and luminaires of the same claimed colour temperature appear to be</w:t>
      </w:r>
      <w:r>
        <w:rPr>
          <w:szCs w:val="22"/>
        </w:rPr>
        <w:t xml:space="preserve"> the same colour when installed </w:t>
      </w:r>
      <w:r>
        <w:t xml:space="preserve">– if a purchaser wishes to replace an old compact fluorescent lamp which they know to be a 2700 K lamp, and the LED lamp packaging states that it is a Warm White lamp with colour temperature of 2700 K, if this claim is proven untrue the purchaser is likely to be dissatisfied with their purchase. </w:t>
      </w:r>
      <w:r>
        <w:fldChar w:fldCharType="begin"/>
      </w:r>
      <w:r>
        <w:instrText xml:space="preserve"> REF _Ref424118468 \h </w:instrText>
      </w:r>
      <w:r>
        <w:fldChar w:fldCharType="separate"/>
      </w:r>
      <w:r w:rsidR="002C13E2">
        <w:t xml:space="preserve">Figure </w:t>
      </w:r>
      <w:r w:rsidR="002C13E2">
        <w:rPr>
          <w:noProof/>
        </w:rPr>
        <w:t>17</w:t>
      </w:r>
      <w:r>
        <w:fldChar w:fldCharType="end"/>
      </w:r>
      <w:r>
        <w:t>shows the difference between tested and rated colour temperatures.</w:t>
      </w:r>
    </w:p>
    <w:p w:rsidR="005759A6" w:rsidRDefault="008657AB" w:rsidP="005759A6">
      <w:pPr>
        <w:pStyle w:val="E3BodyText"/>
        <w:keepNext/>
      </w:pPr>
      <w:r>
        <w:rPr>
          <w:noProof/>
          <w:lang w:eastAsia="en-AU"/>
        </w:rPr>
        <w:drawing>
          <wp:inline distT="0" distB="0" distL="0" distR="0" wp14:anchorId="21EB1C9F" wp14:editId="53B5D361">
            <wp:extent cx="6120000" cy="4021200"/>
            <wp:effectExtent l="0" t="0" r="0" b="0"/>
            <wp:docPr id="313" name="Picture 313" descr="Line and Dot Graph comparing Target CCT lamps and Lamps from 2009 -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000" cy="4021200"/>
                    </a:xfrm>
                    <a:prstGeom prst="rect">
                      <a:avLst/>
                    </a:prstGeom>
                    <a:noFill/>
                  </pic:spPr>
                </pic:pic>
              </a:graphicData>
            </a:graphic>
          </wp:inline>
        </w:drawing>
      </w:r>
    </w:p>
    <w:p w:rsidR="005759A6" w:rsidRDefault="005759A6" w:rsidP="005759A6">
      <w:pPr>
        <w:pStyle w:val="Caption"/>
      </w:pPr>
      <w:bookmarkStart w:id="88" w:name="_Ref424118468"/>
      <w:bookmarkStart w:id="89" w:name="_Toc426387856"/>
      <w:r>
        <w:t xml:space="preserve">Figure </w:t>
      </w:r>
      <w:r w:rsidR="00B525E0">
        <w:fldChar w:fldCharType="begin"/>
      </w:r>
      <w:r>
        <w:instrText xml:space="preserve"> SEQ Figure \* ARABIC </w:instrText>
      </w:r>
      <w:r w:rsidR="00B525E0">
        <w:fldChar w:fldCharType="separate"/>
      </w:r>
      <w:r w:rsidR="002C13E2">
        <w:rPr>
          <w:noProof/>
        </w:rPr>
        <w:t>17</w:t>
      </w:r>
      <w:r w:rsidR="00B525E0">
        <w:fldChar w:fldCharType="end"/>
      </w:r>
      <w:bookmarkEnd w:id="88"/>
      <w:r>
        <w:t>.</w:t>
      </w:r>
      <w:r w:rsidRPr="00DE10C8">
        <w:t>Tested vs Manufacturer’s Nominal CCT (with ANSI C7.377 nominal target CCT tolerance levels)</w:t>
      </w:r>
      <w:bookmarkEnd w:id="89"/>
    </w:p>
    <w:p w:rsidR="00016954" w:rsidRPr="00301106" w:rsidRDefault="00016954" w:rsidP="000D13DB">
      <w:pPr>
        <w:pStyle w:val="E3BodyText"/>
      </w:pPr>
    </w:p>
    <w:p w:rsidR="00CD2254" w:rsidRDefault="007A3233" w:rsidP="00DB0112">
      <w:pPr>
        <w:pStyle w:val="Heading3"/>
      </w:pPr>
      <w:bookmarkStart w:id="90" w:name="_Toc426387737"/>
      <w:r>
        <w:t>Colour Rendering Index</w:t>
      </w:r>
      <w:bookmarkEnd w:id="90"/>
    </w:p>
    <w:p w:rsidR="00015520" w:rsidRDefault="000437C4" w:rsidP="00FB0E6A">
      <w:pPr>
        <w:pStyle w:val="E3BodyText"/>
      </w:pPr>
      <w:r>
        <w:t>Colour rendering is a measure of how similar object colours appear under one light source as compared to the object colours under a reference light source (usually an incandescent light or daylight). Colour rendering is very important for consumer satisfaction with a lighting product. Often, a CRI of 80 is required for office work, and recommended for use in residential applications. A CRI of 90 is usually recommended for tasks that require high colour discrimination.</w:t>
      </w:r>
      <w:r w:rsidR="00143536">
        <w:t xml:space="preserve">  The Australian and New Zealand MEPS</w:t>
      </w:r>
      <w:r w:rsidR="005A44FC">
        <w:t xml:space="preserve"> for CFLs requires a CRI of 80.</w:t>
      </w:r>
      <w:r w:rsidR="00143536">
        <w:t xml:space="preserve"> </w:t>
      </w:r>
      <w:r w:rsidR="00C90801">
        <w:t>Testing in 2014 of Australian LEDi lamps i</w:t>
      </w:r>
      <w:r w:rsidR="00B01854">
        <w:t xml:space="preserve">ndicated </w:t>
      </w:r>
      <w:r w:rsidR="00873355">
        <w:t>significant</w:t>
      </w:r>
      <w:r w:rsidR="005B179F">
        <w:t xml:space="preserve"> issues with CRI quality</w:t>
      </w:r>
      <w:r w:rsidR="00E716F6">
        <w:t>,</w:t>
      </w:r>
      <w:r w:rsidR="005B179F">
        <w:t xml:space="preserve"> with 10 of the 18 products tested found to have a CRI of below 80.</w:t>
      </w:r>
    </w:p>
    <w:p w:rsidR="00D10A78" w:rsidRDefault="00D10A78" w:rsidP="00FB0E6A">
      <w:pPr>
        <w:pStyle w:val="E3BodyText"/>
      </w:pPr>
    </w:p>
    <w:p w:rsidR="00A41CA8" w:rsidRDefault="00A41CA8" w:rsidP="00DB0112">
      <w:pPr>
        <w:pStyle w:val="Heading3"/>
      </w:pPr>
      <w:bookmarkStart w:id="91" w:name="_Toc426387738"/>
      <w:r>
        <w:t xml:space="preserve">Luminous </w:t>
      </w:r>
      <w:r w:rsidR="00111EA4">
        <w:t>I</w:t>
      </w:r>
      <w:r>
        <w:t xml:space="preserve">ntensity </w:t>
      </w:r>
      <w:r w:rsidR="00111EA4">
        <w:t>D</w:t>
      </w:r>
      <w:r>
        <w:t>istribution</w:t>
      </w:r>
      <w:r w:rsidR="00111EA4">
        <w:t xml:space="preserve"> and Beam Angle</w:t>
      </w:r>
      <w:bookmarkEnd w:id="91"/>
    </w:p>
    <w:p w:rsidR="00111EA4" w:rsidRDefault="00E716F6" w:rsidP="00E716F6">
      <w:pPr>
        <w:pStyle w:val="E3BodyText"/>
      </w:pPr>
      <w:r>
        <w:t xml:space="preserve">Luminous intensity distribution describes the measured distribution of light of a lighting product.  </w:t>
      </w:r>
      <w:r w:rsidR="00873355">
        <w:t>M</w:t>
      </w:r>
      <w:r>
        <w:t xml:space="preserve">any LED products </w:t>
      </w:r>
      <w:r w:rsidR="00873355">
        <w:t xml:space="preserve">currently </w:t>
      </w:r>
      <w:r>
        <w:t xml:space="preserve">being sold poorly approximate the light distribution of the conventional products they claim to replace. </w:t>
      </w:r>
      <w:r w:rsidR="00111EA4">
        <w:t xml:space="preserve">As discussed previously, the emergence of lamps designed to </w:t>
      </w:r>
      <w:r w:rsidR="00873355">
        <w:t xml:space="preserve">resemble </w:t>
      </w:r>
      <w:r w:rsidR="00111EA4">
        <w:t xml:space="preserve">a traditional incandescent </w:t>
      </w:r>
      <w:r w:rsidR="00873355">
        <w:t>omnidirectional lamp</w:t>
      </w:r>
      <w:r w:rsidR="008A65AF">
        <w:t xml:space="preserve"> </w:t>
      </w:r>
      <w:r w:rsidR="00873355">
        <w:t xml:space="preserve">but </w:t>
      </w:r>
      <w:r w:rsidR="00111EA4">
        <w:t>do not provide any light beyond a 180° hemisphere is an issue in terms of equivalency claims and consumer satisfaction</w:t>
      </w:r>
      <w:r w:rsidR="008911CB">
        <w:t xml:space="preserve"> (</w:t>
      </w:r>
      <w:r w:rsidR="00B525E0">
        <w:fldChar w:fldCharType="begin"/>
      </w:r>
      <w:r w:rsidR="008911CB">
        <w:instrText xml:space="preserve"> REF _Ref424657766 \h </w:instrText>
      </w:r>
      <w:r w:rsidR="00B525E0">
        <w:fldChar w:fldCharType="separate"/>
      </w:r>
      <w:r w:rsidR="002C13E2">
        <w:t xml:space="preserve">Figure </w:t>
      </w:r>
      <w:r w:rsidR="002C13E2">
        <w:rPr>
          <w:noProof/>
        </w:rPr>
        <w:t>18</w:t>
      </w:r>
      <w:r w:rsidR="00B525E0">
        <w:fldChar w:fldCharType="end"/>
      </w:r>
      <w:r w:rsidR="008911CB">
        <w:t>)</w:t>
      </w:r>
      <w:r w:rsidR="00111EA4">
        <w:t>.</w:t>
      </w:r>
      <w:r w:rsidR="007B582E">
        <w:t xml:space="preserve"> Poor light distribution in direction</w:t>
      </w:r>
      <w:r w:rsidR="00873355">
        <w:t>al</w:t>
      </w:r>
      <w:r w:rsidR="007B582E">
        <w:t xml:space="preserve"> lamps may </w:t>
      </w:r>
      <w:r w:rsidR="00873355">
        <w:t xml:space="preserve">also </w:t>
      </w:r>
      <w:r w:rsidR="007B582E">
        <w:t xml:space="preserve">create </w:t>
      </w:r>
      <w:r w:rsidR="00873355">
        <w:t>unwanted</w:t>
      </w:r>
      <w:r w:rsidR="007B582E">
        <w:t xml:space="preserve"> variations in the light beam, particularly with edges of light distribution washing on walls.</w:t>
      </w:r>
    </w:p>
    <w:p w:rsidR="008911CB" w:rsidRDefault="00E93C2A" w:rsidP="008911CB">
      <w:pPr>
        <w:pStyle w:val="E3BodyText"/>
        <w:keepNext/>
      </w:pPr>
      <w:r>
        <w:rPr>
          <w:noProof/>
          <w:lang w:eastAsia="en-AU"/>
        </w:rPr>
        <w:lastRenderedPageBreak/>
        <w:drawing>
          <wp:inline distT="0" distB="0" distL="0" distR="0" wp14:anchorId="017B255B" wp14:editId="6C54C3DC">
            <wp:extent cx="2947481" cy="2947481"/>
            <wp:effectExtent l="0" t="0" r="5715" b="5715"/>
            <wp:docPr id="80" name="Picture 1" descr="Segmented circ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1"/>
                    <a:stretch>
                      <a:fillRect/>
                    </a:stretch>
                  </pic:blipFill>
                  <pic:spPr>
                    <a:xfrm>
                      <a:off x="0" y="0"/>
                      <a:ext cx="2944741" cy="2944741"/>
                    </a:xfrm>
                    <a:prstGeom prst="rect">
                      <a:avLst/>
                    </a:prstGeom>
                  </pic:spPr>
                </pic:pic>
              </a:graphicData>
            </a:graphic>
          </wp:inline>
        </w:drawing>
      </w:r>
      <w:r w:rsidR="008911CB">
        <w:rPr>
          <w:noProof/>
          <w:lang w:eastAsia="en-AU"/>
        </w:rPr>
        <w:drawing>
          <wp:inline distT="0" distB="0" distL="0" distR="0" wp14:anchorId="0AEACAC8" wp14:editId="6C722342">
            <wp:extent cx="2947481" cy="2947481"/>
            <wp:effectExtent l="0" t="0" r="5715" b="5715"/>
            <wp:docPr id="97" name="Picture 12" descr="Segmented circ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72"/>
                    <a:stretch>
                      <a:fillRect/>
                    </a:stretch>
                  </pic:blipFill>
                  <pic:spPr>
                    <a:xfrm>
                      <a:off x="0" y="0"/>
                      <a:ext cx="2944741" cy="2944741"/>
                    </a:xfrm>
                    <a:prstGeom prst="rect">
                      <a:avLst/>
                    </a:prstGeom>
                  </pic:spPr>
                </pic:pic>
              </a:graphicData>
            </a:graphic>
          </wp:inline>
        </w:drawing>
      </w:r>
    </w:p>
    <w:p w:rsidR="00E93C2A" w:rsidRDefault="008911CB" w:rsidP="008911CB">
      <w:pPr>
        <w:pStyle w:val="Caption"/>
      </w:pPr>
      <w:bookmarkStart w:id="92" w:name="_Ref424657766"/>
      <w:bookmarkStart w:id="93" w:name="_Toc426387857"/>
      <w:r>
        <w:t xml:space="preserve">Figure </w:t>
      </w:r>
      <w:r w:rsidR="00B525E0">
        <w:fldChar w:fldCharType="begin"/>
      </w:r>
      <w:r>
        <w:instrText xml:space="preserve"> SEQ Figure \* ARABIC </w:instrText>
      </w:r>
      <w:r w:rsidR="00B525E0">
        <w:fldChar w:fldCharType="separate"/>
      </w:r>
      <w:r w:rsidR="002C13E2">
        <w:rPr>
          <w:noProof/>
        </w:rPr>
        <w:t>18</w:t>
      </w:r>
      <w:r w:rsidR="00B525E0">
        <w:fldChar w:fldCharType="end"/>
      </w:r>
      <w:bookmarkEnd w:id="92"/>
      <w:r>
        <w:t>. Tungsten halogen omnidirectional A-shape lamp distribution (left) compared to a hemispherical distribution from an LED A-shape lamp (right).</w:t>
      </w:r>
      <w:bookmarkEnd w:id="93"/>
    </w:p>
    <w:p w:rsidR="008911CB" w:rsidRPr="008911CB" w:rsidRDefault="008911CB" w:rsidP="008911CB"/>
    <w:p w:rsidR="00A41CA8" w:rsidRDefault="00E716F6" w:rsidP="00FB0E6A">
      <w:pPr>
        <w:pStyle w:val="E3BodyText"/>
      </w:pPr>
      <w:r>
        <w:t xml:space="preserve">For directional </w:t>
      </w:r>
      <w:r w:rsidRPr="00111EA4">
        <w:t xml:space="preserve">lamps, </w:t>
      </w:r>
      <w:r w:rsidR="00A91571">
        <w:t>centre</w:t>
      </w:r>
      <w:r w:rsidR="008A65AF">
        <w:t xml:space="preserve"> </w:t>
      </w:r>
      <w:r w:rsidRPr="00111EA4">
        <w:t xml:space="preserve">beam luminous intensity </w:t>
      </w:r>
      <w:r w:rsidR="00111EA4">
        <w:t>-</w:t>
      </w:r>
      <w:r w:rsidRPr="00111EA4">
        <w:t xml:space="preserve"> the measurement</w:t>
      </w:r>
      <w:r>
        <w:t xml:space="preserve"> of the intensity of the light on the optical beam axis</w:t>
      </w:r>
      <w:r w:rsidR="00111EA4">
        <w:t xml:space="preserve"> - is also important.  Testing of directional lamps purchased in the Australian market in 2014 showed that some products had significant </w:t>
      </w:r>
      <w:r w:rsidR="00A41CA8" w:rsidRPr="007A3233">
        <w:t>differences between rated and tested beam angles for directional lamps</w:t>
      </w:r>
      <w:r w:rsidR="00E93C2A">
        <w:t xml:space="preserve"> (</w:t>
      </w:r>
      <w:r w:rsidR="00B525E0">
        <w:fldChar w:fldCharType="begin"/>
      </w:r>
      <w:r w:rsidR="00E93C2A">
        <w:instrText xml:space="preserve"> REF _Ref424656978 \h </w:instrText>
      </w:r>
      <w:r w:rsidR="00B525E0">
        <w:fldChar w:fldCharType="separate"/>
      </w:r>
      <w:r w:rsidR="002C13E2">
        <w:t xml:space="preserve">Figure </w:t>
      </w:r>
      <w:r w:rsidR="002C13E2">
        <w:rPr>
          <w:noProof/>
        </w:rPr>
        <w:t>19</w:t>
      </w:r>
      <w:r w:rsidR="00B525E0">
        <w:fldChar w:fldCharType="end"/>
      </w:r>
      <w:r w:rsidR="00E93C2A">
        <w:t>)</w:t>
      </w:r>
      <w:r w:rsidR="00A71B63">
        <w:t>.</w:t>
      </w:r>
    </w:p>
    <w:p w:rsidR="00E93C2A" w:rsidRDefault="00E93C2A" w:rsidP="00E93C2A">
      <w:pPr>
        <w:pStyle w:val="E3BodyText"/>
        <w:keepNext/>
      </w:pPr>
      <w:r>
        <w:rPr>
          <w:noProof/>
          <w:lang w:eastAsia="en-AU"/>
        </w:rPr>
        <w:drawing>
          <wp:inline distT="0" distB="0" distL="0" distR="0" wp14:anchorId="71BF9B8D" wp14:editId="5EBF64BC">
            <wp:extent cx="6120000" cy="3850735"/>
            <wp:effectExtent l="0" t="0" r="0" b="0"/>
            <wp:docPr id="79" name="Picture 79" descr="&#10;Dot graph highlighting the percentage variation in beam angle of lamp numbers 1 -22.&#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000" cy="3850735"/>
                    </a:xfrm>
                    <a:prstGeom prst="rect">
                      <a:avLst/>
                    </a:prstGeom>
                    <a:noFill/>
                  </pic:spPr>
                </pic:pic>
              </a:graphicData>
            </a:graphic>
          </wp:inline>
        </w:drawing>
      </w:r>
    </w:p>
    <w:p w:rsidR="008C313A" w:rsidRDefault="00E93C2A" w:rsidP="00E93C2A">
      <w:pPr>
        <w:pStyle w:val="Caption"/>
      </w:pPr>
      <w:bookmarkStart w:id="94" w:name="_Ref424656978"/>
      <w:bookmarkStart w:id="95" w:name="_Toc426387858"/>
      <w:r>
        <w:t xml:space="preserve">Figure </w:t>
      </w:r>
      <w:r w:rsidR="00B525E0">
        <w:fldChar w:fldCharType="begin"/>
      </w:r>
      <w:r>
        <w:instrText xml:space="preserve"> SEQ Figure \* ARABIC </w:instrText>
      </w:r>
      <w:r w:rsidR="00B525E0">
        <w:fldChar w:fldCharType="separate"/>
      </w:r>
      <w:r w:rsidR="002C13E2">
        <w:rPr>
          <w:noProof/>
        </w:rPr>
        <w:t>19</w:t>
      </w:r>
      <w:r w:rsidR="00B525E0">
        <w:fldChar w:fldCharType="end"/>
      </w:r>
      <w:bookmarkEnd w:id="94"/>
      <w:r>
        <w:t>. Percentage variation of tested beam angle relative to rated value for Australian and New Zealand lamps tested in 2014.</w:t>
      </w:r>
      <w:bookmarkEnd w:id="95"/>
    </w:p>
    <w:p w:rsidR="00E93C2A" w:rsidRPr="00E93C2A" w:rsidRDefault="00E93C2A" w:rsidP="00E93C2A"/>
    <w:p w:rsidR="00352F63" w:rsidRDefault="007A3233" w:rsidP="00DB0112">
      <w:pPr>
        <w:pStyle w:val="Heading3"/>
      </w:pPr>
      <w:bookmarkStart w:id="96" w:name="_Toc426387739"/>
      <w:r>
        <w:lastRenderedPageBreak/>
        <w:t>Flicker</w:t>
      </w:r>
      <w:bookmarkEnd w:id="96"/>
    </w:p>
    <w:p w:rsidR="00A71B63" w:rsidRPr="00ED2F29" w:rsidRDefault="00A71B63" w:rsidP="00ED2F29">
      <w:pPr>
        <w:pStyle w:val="E3BodyText"/>
        <w:rPr>
          <w:szCs w:val="22"/>
        </w:rPr>
      </w:pPr>
      <w:r w:rsidRPr="00ED2F29">
        <w:rPr>
          <w:szCs w:val="22"/>
        </w:rPr>
        <w:t>Flicker is the modulation of the light output that can be induced by fluctuations of the mains</w:t>
      </w:r>
      <w:r w:rsidR="008A65AF">
        <w:rPr>
          <w:szCs w:val="22"/>
        </w:rPr>
        <w:t xml:space="preserve"> </w:t>
      </w:r>
      <w:r w:rsidRPr="00ED2F29">
        <w:rPr>
          <w:szCs w:val="22"/>
        </w:rPr>
        <w:t>voltage supply, residual ripples in the DC current powering, or deliberate modulations of the LED</w:t>
      </w:r>
      <w:r w:rsidR="008A65AF">
        <w:rPr>
          <w:szCs w:val="22"/>
        </w:rPr>
        <w:t xml:space="preserve"> </w:t>
      </w:r>
      <w:r w:rsidRPr="00ED2F29">
        <w:rPr>
          <w:szCs w:val="22"/>
        </w:rPr>
        <w:t>input current such as the pulse</w:t>
      </w:r>
      <w:r w:rsidRPr="00ED2F29">
        <w:rPr>
          <w:rFonts w:ascii="Cambria Math" w:hAnsi="Cambria Math" w:cs="Cambria Math"/>
          <w:szCs w:val="22"/>
        </w:rPr>
        <w:t>‐</w:t>
      </w:r>
      <w:r w:rsidRPr="00ED2F29">
        <w:rPr>
          <w:rFonts w:cs="Georgia"/>
          <w:szCs w:val="22"/>
        </w:rPr>
        <w:t>width modulation (PWM) used for dimming applications.</w:t>
      </w:r>
    </w:p>
    <w:p w:rsidR="00A71B63" w:rsidRDefault="00A71B63" w:rsidP="00ED2F29">
      <w:pPr>
        <w:pStyle w:val="E3BodyText"/>
      </w:pPr>
      <w:r w:rsidRPr="00ED2F29">
        <w:t xml:space="preserve">Visible flickering of a light source obviously degrades the quality of the lighting service provided, however </w:t>
      </w:r>
      <w:r w:rsidR="00ED2F29">
        <w:rPr>
          <w:szCs w:val="22"/>
        </w:rPr>
        <w:t>i</w:t>
      </w:r>
      <w:r w:rsidRPr="00ED2F29">
        <w:rPr>
          <w:szCs w:val="22"/>
        </w:rPr>
        <w:t>t is also known that exposure to light flicker (in particular at frequencies between 3 Hz and 65 Hz)can cause photosensitive</w:t>
      </w:r>
      <w:r>
        <w:t xml:space="preserve"> epileptic seizures in various forms, depending on the individuals and</w:t>
      </w:r>
      <w:r w:rsidR="008A65AF">
        <w:t xml:space="preserve"> </w:t>
      </w:r>
      <w:r>
        <w:t>their visual pathology</w:t>
      </w:r>
      <w:r w:rsidR="000818EA">
        <w:t xml:space="preserve"> </w:t>
      </w:r>
      <w:r>
        <w:t>(IEA 4ESSL 2014).</w:t>
      </w:r>
      <w:r w:rsidR="008E72C6">
        <w:t xml:space="preserve"> Light flicker combined </w:t>
      </w:r>
      <w:r w:rsidR="00084853">
        <w:t>with</w:t>
      </w:r>
      <w:r w:rsidR="008E72C6">
        <w:t xml:space="preserve"> rotating motion or spatial patterns may be responsible for</w:t>
      </w:r>
      <w:r w:rsidR="008A65AF">
        <w:t xml:space="preserve"> </w:t>
      </w:r>
      <w:r w:rsidR="00ED2F29">
        <w:t xml:space="preserve">stroboscopic effects which </w:t>
      </w:r>
      <w:r w:rsidR="008E72C6">
        <w:t>may, in turn, induce accidents to workers in proximity to rotating</w:t>
      </w:r>
      <w:r w:rsidR="00084853">
        <w:t xml:space="preserve"> machines and </w:t>
      </w:r>
      <w:r w:rsidR="00ED2F29">
        <w:t xml:space="preserve">tools which can appear to be </w:t>
      </w:r>
      <w:r w:rsidR="008E72C6">
        <w:t>rotating significantly more slowly or even be</w:t>
      </w:r>
      <w:r w:rsidR="008A65AF">
        <w:t xml:space="preserve"> </w:t>
      </w:r>
      <w:r w:rsidR="008E72C6">
        <w:t>stationary.</w:t>
      </w:r>
    </w:p>
    <w:p w:rsidR="00927E52" w:rsidRDefault="00927E52" w:rsidP="00ED2F29">
      <w:pPr>
        <w:pStyle w:val="E3BodyText"/>
      </w:pPr>
      <w:r>
        <w:t>Most rates of flickering from lamps are not detectable by the human brain (studies suggest that one per cent of people can detect a flicker rate of up to 60 times per second), and are also well above the range of flicker commonly associated with photosensitive epilepsy at 5-30 times per second.</w:t>
      </w:r>
    </w:p>
    <w:p w:rsidR="00084853" w:rsidRPr="00084853" w:rsidRDefault="00084853" w:rsidP="00ED2F29">
      <w:pPr>
        <w:pStyle w:val="E3BodyText"/>
      </w:pPr>
      <w:r>
        <w:t xml:space="preserve">Laboratory testing </w:t>
      </w:r>
      <w:r w:rsidR="007F7DD4">
        <w:t>(KITSINELIS 2013; ZISSIS 2013)</w:t>
      </w:r>
      <w:r>
        <w:t xml:space="preserve"> has demonstrated that some </w:t>
      </w:r>
      <w:r w:rsidR="00ED2F29">
        <w:t xml:space="preserve">readily available consumer </w:t>
      </w:r>
      <w:r w:rsidR="007F7DD4">
        <w:t>LED</w:t>
      </w:r>
      <w:r w:rsidR="008A65AF">
        <w:t xml:space="preserve"> </w:t>
      </w:r>
      <w:r>
        <w:t xml:space="preserve">products have very high flicker behaviour. Light flickering behaviour was often observed at </w:t>
      </w:r>
      <w:r w:rsidR="00ED2F29">
        <w:t xml:space="preserve">twice the mains </w:t>
      </w:r>
      <w:r>
        <w:t xml:space="preserve">frequency (in Europe mains frequency is 50 Hz thus the observed flicker frequency </w:t>
      </w:r>
      <w:r w:rsidR="00ED2F29">
        <w:t xml:space="preserve">is equal to 100 Hz). This light </w:t>
      </w:r>
      <w:r>
        <w:t>flicker is mainly due to the residual voltage fluctuation after the AC/DC rectifier in the lamp power supply</w:t>
      </w:r>
      <w:r w:rsidR="008A65AF">
        <w:t xml:space="preserve"> </w:t>
      </w:r>
      <w:r w:rsidR="00ED2F29">
        <w:t>and in particular whether they include reliable AC/DC rectifiers and filters</w:t>
      </w:r>
      <w:r>
        <w:t>.</w:t>
      </w:r>
    </w:p>
    <w:p w:rsidR="00084853" w:rsidRDefault="00084853" w:rsidP="002F0ABD">
      <w:pPr>
        <w:pStyle w:val="E3BodyText"/>
      </w:pPr>
      <w:r>
        <w:t>Testing of the amplitude of light variation in the flicker for each lamp has shown a wide variation, with some LED lamps having close to zero and others</w:t>
      </w:r>
      <w:r w:rsidR="00ED2F29">
        <w:t xml:space="preserve"> a variation of close to 100%. </w:t>
      </w:r>
      <w:r>
        <w:t>In comparison, a tungsten filament lamp will have a flicker amplitude of about 10% and a good CFL will have an amplitude of less than 20% (IEA 4ESSL 2014).</w:t>
      </w:r>
    </w:p>
    <w:p w:rsidR="00B97282" w:rsidRPr="00B97282" w:rsidRDefault="00ED2F29" w:rsidP="004F33AC">
      <w:pPr>
        <w:pStyle w:val="E3BodyText"/>
      </w:pPr>
      <w:r>
        <w:t xml:space="preserve">In order for a lighting product to offer an effective and efficient alternative to inefficient incandescent lighting, it should be expected to not exceed flicker rates </w:t>
      </w:r>
      <w:r w:rsidR="00927E52">
        <w:t xml:space="preserve">in frequencies </w:t>
      </w:r>
      <w:r>
        <w:t>that may have health</w:t>
      </w:r>
      <w:r w:rsidR="00927E52">
        <w:t xml:space="preserve"> or safety</w:t>
      </w:r>
      <w:r>
        <w:t xml:space="preserve"> impacts or be visible.</w:t>
      </w:r>
      <w:r w:rsidR="00B97282">
        <w:t xml:space="preserve"> Given the variations in the level of flicker found in LED lamps, consideration should be given to setting </w:t>
      </w:r>
      <w:r w:rsidR="00B97282" w:rsidRPr="00B97282">
        <w:t xml:space="preserve">mandatory maximum values to limit flicker in </w:t>
      </w:r>
      <w:r w:rsidR="00B97282">
        <w:t>LED</w:t>
      </w:r>
      <w:r w:rsidR="00B97282" w:rsidRPr="00B97282">
        <w:t xml:space="preserve"> products.</w:t>
      </w:r>
    </w:p>
    <w:p w:rsidR="00352F63" w:rsidRDefault="001A5014" w:rsidP="00DB0112">
      <w:pPr>
        <w:pStyle w:val="Heading3"/>
      </w:pPr>
      <w:bookmarkStart w:id="97" w:name="_Toc426387740"/>
      <w:r>
        <w:t xml:space="preserve">Dimmer </w:t>
      </w:r>
      <w:r w:rsidR="00CB20D6">
        <w:t xml:space="preserve">and low voltage </w:t>
      </w:r>
      <w:r>
        <w:t>compatibility</w:t>
      </w:r>
      <w:bookmarkEnd w:id="97"/>
    </w:p>
    <w:p w:rsidR="00745D26" w:rsidRPr="0093605C" w:rsidRDefault="00865897" w:rsidP="00745D26">
      <w:pPr>
        <w:pStyle w:val="E3BodyText"/>
      </w:pPr>
      <w:r>
        <w:t xml:space="preserve">Dimmer compatibility </w:t>
      </w:r>
      <w:r w:rsidR="00745D26">
        <w:t xml:space="preserve">is </w:t>
      </w:r>
      <w:r w:rsidR="007F7DD4">
        <w:t>important</w:t>
      </w:r>
      <w:r>
        <w:t xml:space="preserve"> for consumer</w:t>
      </w:r>
      <w:r w:rsidR="00BA4268">
        <w:t>s</w:t>
      </w:r>
      <w:r>
        <w:t xml:space="preserve"> as many LEDi products are often not completely compatible with commonly available dimmers</w:t>
      </w:r>
      <w:r w:rsidR="00BA4268">
        <w:t xml:space="preserve"> currently found in homes</w:t>
      </w:r>
      <w:r>
        <w:t xml:space="preserve">. This can be particularly challenging in Australia and New Zealand due to the wide variety of dimmers and lighting controls present in homes and commercial premises.  </w:t>
      </w:r>
      <w:r w:rsidR="00BA4268">
        <w:t>If incompatible,</w:t>
      </w:r>
      <w:r>
        <w:t xml:space="preserve"> these controls would require a qualified electrician in order to be replaced or modified.  </w:t>
      </w:r>
    </w:p>
    <w:p w:rsidR="00CE5B03" w:rsidRDefault="00745D26" w:rsidP="00745D26">
      <w:pPr>
        <w:pStyle w:val="E3BodyText"/>
      </w:pPr>
      <w:r>
        <w:t>A</w:t>
      </w:r>
      <w:r w:rsidRPr="0093605C">
        <w:t xml:space="preserve">nalysis </w:t>
      </w:r>
      <w:r>
        <w:t xml:space="preserve">by </w:t>
      </w:r>
      <w:r w:rsidRPr="0093605C">
        <w:t xml:space="preserve">CLASP of </w:t>
      </w:r>
      <w:r>
        <w:t xml:space="preserve">a range of LEDs </w:t>
      </w:r>
      <w:r w:rsidRPr="0093605C">
        <w:t xml:space="preserve">(CLASP 2014) indicates that “dimmable” LED replacement lamps can be found for the common base types (e.g., B22, E27, E14, </w:t>
      </w:r>
      <w:r w:rsidR="00EE21E7" w:rsidRPr="0093605C">
        <w:t>and B15</w:t>
      </w:r>
      <w:r w:rsidRPr="0093605C">
        <w:t>).  To a certain extent, the question of whether LED lamps are compatible</w:t>
      </w:r>
      <w:r>
        <w:t xml:space="preserve"> with the existing dimmer stock</w:t>
      </w:r>
      <w:r w:rsidRPr="0093605C">
        <w:t xml:space="preserve"> is to do with the quality of the dimmer circuit used in the LED lamp. Manufacturers of LEDs can choose to install intelligent LED drivers which can detect and adapt to an installed dimmer. Such Integrated Circuit (IC) solutions </w:t>
      </w:r>
      <w:r>
        <w:t>have been</w:t>
      </w:r>
      <w:r w:rsidRPr="0093605C">
        <w:t xml:space="preserve"> promoted by companies like Cirrus Logic, Marvell and iWatt since early 2012. </w:t>
      </w:r>
    </w:p>
    <w:p w:rsidR="00745D26" w:rsidRDefault="00745D26" w:rsidP="00865897">
      <w:pPr>
        <w:pStyle w:val="E3BodyText"/>
      </w:pPr>
      <w:r w:rsidRPr="0093605C">
        <w:t>It may be worth considering a requirement on manufacturers who market their products as “dimmable” to incorporate intelligent adaptive LED drivers.  It is not clear however that compatibility is currently available for all current lighting systems.</w:t>
      </w:r>
      <w:r w:rsidR="004752D2">
        <w:t xml:space="preserve"> Further investigation and industry consultation is required to evaluate the availability of these products and an</w:t>
      </w:r>
      <w:r w:rsidR="00DB69C4">
        <w:t>y</w:t>
      </w:r>
      <w:r w:rsidR="004752D2">
        <w:t xml:space="preserve"> impacts upon </w:t>
      </w:r>
      <w:r w:rsidR="00DB69C4">
        <w:t>product price</w:t>
      </w:r>
      <w:r w:rsidR="004752D2">
        <w:t>, efficacy or other parameters.</w:t>
      </w:r>
    </w:p>
    <w:p w:rsidR="008C62DA" w:rsidRDefault="008C62DA" w:rsidP="00865897">
      <w:pPr>
        <w:pStyle w:val="E3BodyText"/>
      </w:pPr>
      <w:r>
        <w:t>For LED replacements for 12V lighting systems (halogen downlights), there are also some instances of compatibility problems with existing electronic step-down transformers, although compatibility is improving in new LED products. Consumers would benefit from compatibility information provided by manufacturers and suppliers of LED MR16 retrofit products.</w:t>
      </w:r>
    </w:p>
    <w:p w:rsidR="001A5014" w:rsidRDefault="001A5014" w:rsidP="00DB0112">
      <w:pPr>
        <w:pStyle w:val="Heading3"/>
      </w:pPr>
      <w:bookmarkStart w:id="98" w:name="_Toc426387741"/>
      <w:r>
        <w:t>Power Factor / Harmonic Distortion</w:t>
      </w:r>
      <w:bookmarkEnd w:id="98"/>
    </w:p>
    <w:p w:rsidR="006A1737" w:rsidRDefault="006A1737" w:rsidP="001351C8">
      <w:pPr>
        <w:pStyle w:val="E3BodyText"/>
      </w:pPr>
      <w:r>
        <w:t>Power factor is the ratio of the real power flowing to the load over the apparent power of the circuit. For the Electrical power supplier, this is of high importance</w:t>
      </w:r>
      <w:r w:rsidR="0036098A">
        <w:t>;</w:t>
      </w:r>
      <w:r>
        <w:t xml:space="preserve"> and for street lighting, customers may be subject to a penalty charge if power factor is below 0.9. It is less of a direct issue for residential and commercial consumers.</w:t>
      </w:r>
    </w:p>
    <w:p w:rsidR="006A1737" w:rsidRPr="006A1737" w:rsidRDefault="006A1737" w:rsidP="0036098A">
      <w:pPr>
        <w:pStyle w:val="E3BodyText"/>
      </w:pPr>
      <w:r>
        <w:t xml:space="preserve">Power factor was an issue examined when considering MEPS for CFLs, and a minimum power factor of 0.5 was set for Australia, while New Zealand set a minimum power factor of 0.9 </w:t>
      </w:r>
      <w:r w:rsidR="0036098A">
        <w:t>(</w:t>
      </w:r>
      <w:r>
        <w:t xml:space="preserve">in recognition of the sensitivity of the </w:t>
      </w:r>
      <w:r w:rsidR="00DE5113">
        <w:t xml:space="preserve">New </w:t>
      </w:r>
      <w:r w:rsidR="00DE5113">
        <w:lastRenderedPageBreak/>
        <w:t xml:space="preserve">Zealand </w:t>
      </w:r>
      <w:r>
        <w:t>electricity network</w:t>
      </w:r>
      <w:r w:rsidR="0036098A">
        <w:t>)</w:t>
      </w:r>
      <w:r>
        <w:t xml:space="preserve">.  Of the 122 LED products tested </w:t>
      </w:r>
      <w:r w:rsidR="00267B09">
        <w:t xml:space="preserve">in Australia </w:t>
      </w:r>
      <w:r>
        <w:t xml:space="preserve">to date, 18 were found to have a </w:t>
      </w:r>
      <w:r w:rsidR="0036098A">
        <w:t>power</w:t>
      </w:r>
      <w:r>
        <w:t xml:space="preserve"> factor under 0.5, </w:t>
      </w:r>
      <w:r w:rsidR="0036098A">
        <w:t>while 58 lamps had a power factor of 0.9 or above.</w:t>
      </w:r>
    </w:p>
    <w:p w:rsidR="00DB0112" w:rsidRDefault="0036098A" w:rsidP="0036098A">
      <w:pPr>
        <w:pStyle w:val="E3BodyText"/>
      </w:pPr>
      <w:r w:rsidRPr="00453A8A">
        <w:t xml:space="preserve">Harmonic distortion </w:t>
      </w:r>
      <w:r w:rsidR="00453A8A" w:rsidRPr="00453A8A">
        <w:t xml:space="preserve">is </w:t>
      </w:r>
      <w:r w:rsidR="00453A8A" w:rsidRPr="00453A8A">
        <w:rPr>
          <w:szCs w:val="22"/>
        </w:rPr>
        <w:t xml:space="preserve">a measure of waveform distortion </w:t>
      </w:r>
      <w:r w:rsidR="00453A8A">
        <w:rPr>
          <w:szCs w:val="22"/>
        </w:rPr>
        <w:t xml:space="preserve">which </w:t>
      </w:r>
      <w:r w:rsidRPr="00453A8A">
        <w:t>measures how the lighting product will affect the quality of the electrical utility’s grid. The total harmonic distortion is important in order to maintain the quality of the electrical grid. High harmonic distortion may cause a loss of reliability of switch pulse information</w:t>
      </w:r>
      <w:r w:rsidR="00453A8A">
        <w:t xml:space="preserve"> that in some cases is used for remote control of electrical products on the </w:t>
      </w:r>
      <w:r w:rsidR="00DB69C4">
        <w:t xml:space="preserve">electricity distribution </w:t>
      </w:r>
      <w:r w:rsidR="00453A8A">
        <w:t>network</w:t>
      </w:r>
      <w:r w:rsidRPr="00453A8A">
        <w:t xml:space="preserve">.  </w:t>
      </w:r>
    </w:p>
    <w:p w:rsidR="00BA5730" w:rsidRDefault="0036098A" w:rsidP="00DB0112">
      <w:pPr>
        <w:pStyle w:val="Heading3"/>
      </w:pPr>
      <w:bookmarkStart w:id="99" w:name="_Toc426387742"/>
      <w:r w:rsidRPr="00301106">
        <w:t xml:space="preserve">Wireless LED </w:t>
      </w:r>
      <w:r w:rsidR="00651792">
        <w:t>and Smart Lighting D</w:t>
      </w:r>
      <w:r w:rsidRPr="00301106">
        <w:t>evelopments</w:t>
      </w:r>
      <w:bookmarkEnd w:id="99"/>
    </w:p>
    <w:p w:rsidR="001D4ACA" w:rsidRPr="005F55CD" w:rsidRDefault="00651792" w:rsidP="005F55CD">
      <w:pPr>
        <w:pStyle w:val="E3BodyText"/>
        <w:rPr>
          <w:szCs w:val="19"/>
        </w:rPr>
      </w:pPr>
      <w:r>
        <w:t xml:space="preserve">Amongst the rapidly expanding range of LED lighting products on the </w:t>
      </w:r>
      <w:r w:rsidR="009C3957">
        <w:t>market there has been a recent</w:t>
      </w:r>
      <w:r>
        <w:t xml:space="preserve"> emergence of lamps that offer an enhanced range of lighting and other services (such as wireless operation, </w:t>
      </w:r>
      <w:r w:rsidR="001D4ACA">
        <w:t xml:space="preserve">dimming, </w:t>
      </w:r>
      <w:r>
        <w:t xml:space="preserve">colour adjustment, </w:t>
      </w:r>
      <w:r w:rsidR="005F55CD">
        <w:t xml:space="preserve">power and communication via USB, </w:t>
      </w:r>
      <w:r>
        <w:t>and internet connectivity). While these developments may provide exciting and useful additional services to the consumer,</w:t>
      </w:r>
      <w:r w:rsidR="005F55CD">
        <w:t xml:space="preserve"> and in some cases offer additional energy savings opportunities,</w:t>
      </w:r>
      <w:r w:rsidR="008A65AF">
        <w:t xml:space="preserve"> </w:t>
      </w:r>
      <w:r w:rsidR="001D4ACA">
        <w:t>this</w:t>
      </w:r>
      <w:r>
        <w:t xml:space="preserve"> trend may also work against increasi</w:t>
      </w:r>
      <w:r w:rsidR="001D4ACA">
        <w:t xml:space="preserve">ng lighting efficacy levels by causing </w:t>
      </w:r>
      <w:r>
        <w:t xml:space="preserve">the </w:t>
      </w:r>
      <w:r w:rsidRPr="005F55CD">
        <w:rPr>
          <w:szCs w:val="19"/>
        </w:rPr>
        <w:t>consumption of additional energy (or the reduction of lighting performance) without consumers being aware.</w:t>
      </w:r>
    </w:p>
    <w:p w:rsidR="001D4ACA" w:rsidRPr="005F55CD" w:rsidRDefault="001D4ACA" w:rsidP="005F55CD">
      <w:pPr>
        <w:pStyle w:val="E3BodyText"/>
        <w:rPr>
          <w:szCs w:val="19"/>
          <w:lang w:val="en-GB"/>
        </w:rPr>
      </w:pPr>
      <w:r w:rsidRPr="005F55CD">
        <w:rPr>
          <w:szCs w:val="19"/>
          <w:lang w:val="en-GB"/>
        </w:rPr>
        <w:t xml:space="preserve">When these lamps are not emitting light, they may switch to a standby mode waiting for a signal from the end-user to switch-on again or they may actually be serving as part of a local wireless network, in a more active energy consuming mode. This means that the lamps are consuming energy even when they are not emitting light. </w:t>
      </w:r>
    </w:p>
    <w:p w:rsidR="001D4ACA" w:rsidRPr="00563D3C" w:rsidRDefault="001D4ACA" w:rsidP="005F55CD">
      <w:pPr>
        <w:pStyle w:val="E3BodyText"/>
        <w:rPr>
          <w:lang w:val="en-GB"/>
        </w:rPr>
      </w:pPr>
      <w:r w:rsidRPr="00091953">
        <w:rPr>
          <w:lang w:val="en-GB"/>
        </w:rPr>
        <w:t xml:space="preserve">Tests on a limited number of smart wireless LED lamps </w:t>
      </w:r>
      <w:r>
        <w:rPr>
          <w:lang w:val="en-GB"/>
        </w:rPr>
        <w:t xml:space="preserve">purchased in Australia, USA and Europe </w:t>
      </w:r>
      <w:r w:rsidRPr="00091953">
        <w:rPr>
          <w:lang w:val="en-GB"/>
        </w:rPr>
        <w:t>have revealed that these products can have substantial standby power consumption. In sockets operated 1-2 hours per day</w:t>
      </w:r>
      <w:r>
        <w:rPr>
          <w:lang w:val="en-GB"/>
        </w:rPr>
        <w:t xml:space="preserve"> – </w:t>
      </w:r>
      <w:r w:rsidRPr="00091953">
        <w:rPr>
          <w:lang w:val="en-GB"/>
        </w:rPr>
        <w:t>common in many residential applications</w:t>
      </w:r>
      <w:r>
        <w:rPr>
          <w:lang w:val="en-GB"/>
        </w:rPr>
        <w:t xml:space="preserve"> – some lamps will consume </w:t>
      </w:r>
      <w:r w:rsidRPr="00091953">
        <w:rPr>
          <w:lang w:val="en-GB"/>
        </w:rPr>
        <w:t xml:space="preserve">half </w:t>
      </w:r>
      <w:r>
        <w:rPr>
          <w:lang w:val="en-GB"/>
        </w:rPr>
        <w:t xml:space="preserve">or more </w:t>
      </w:r>
      <w:r w:rsidRPr="00091953">
        <w:rPr>
          <w:lang w:val="en-GB"/>
        </w:rPr>
        <w:t>of the lamps’ total annual energy use while the lamps are ‘off’</w:t>
      </w:r>
      <w:r>
        <w:rPr>
          <w:lang w:val="en-GB"/>
        </w:rPr>
        <w:t xml:space="preserve"> for 22–23 hours every day</w:t>
      </w:r>
      <w:r w:rsidRPr="00091953">
        <w:rPr>
          <w:lang w:val="en-GB"/>
        </w:rPr>
        <w:t xml:space="preserve">. </w:t>
      </w:r>
      <w:r>
        <w:rPr>
          <w:lang w:val="en-GB"/>
        </w:rPr>
        <w:t xml:space="preserve">The total energy use is thus much higher than for a simple LED lamp of equivalent light output operated by the normal on/off switch. </w:t>
      </w:r>
      <w:r w:rsidRPr="00091953">
        <w:rPr>
          <w:lang w:val="en-GB"/>
        </w:rPr>
        <w:t xml:space="preserve">These test results are similar to experiences with </w:t>
      </w:r>
      <w:r>
        <w:rPr>
          <w:lang w:val="en-GB"/>
        </w:rPr>
        <w:t xml:space="preserve">standby consumption for </w:t>
      </w:r>
      <w:r w:rsidRPr="00091953">
        <w:rPr>
          <w:lang w:val="en-GB"/>
        </w:rPr>
        <w:t xml:space="preserve">other products where manufacturers first focused on the new features before turning their attention to reducing </w:t>
      </w:r>
      <w:r>
        <w:rPr>
          <w:lang w:val="en-GB"/>
        </w:rPr>
        <w:t xml:space="preserve">the </w:t>
      </w:r>
      <w:r w:rsidRPr="00091953">
        <w:rPr>
          <w:lang w:val="en-GB"/>
        </w:rPr>
        <w:t xml:space="preserve">standby power consumption. </w:t>
      </w:r>
    </w:p>
    <w:p w:rsidR="00651792" w:rsidRDefault="00651792" w:rsidP="00D55D06">
      <w:pPr>
        <w:pStyle w:val="E3BodyText"/>
      </w:pPr>
      <w:r>
        <w:t>Testing of two wireless operation LED lamp products available in the Australian market(including measuring standby power consumption)</w:t>
      </w:r>
      <w:r w:rsidR="00D55D06">
        <w:t xml:space="preserve"> found that o</w:t>
      </w:r>
      <w:r>
        <w:t xml:space="preserve">ne of these lamps (Lamp A) had standby power of about half a Watt while the second (Lamp B) consumed about 3 Watts in </w:t>
      </w:r>
      <w:r w:rsidR="00D55D06">
        <w:t xml:space="preserve">a </w:t>
      </w:r>
      <w:r>
        <w:t>standby mode. Considering Australian houses have on average approximately 48 lamps in-situ, the transitioning to these LED lamps with wireless capability by even a portion of this lamp stock means that the collective standby power consumption will have real implications for household energy consumption and in some cases could reverse energy savings gained from moving to LED lighting.</w:t>
      </w:r>
    </w:p>
    <w:p w:rsidR="00651792" w:rsidRDefault="00651792" w:rsidP="00D55D06">
      <w:pPr>
        <w:pStyle w:val="E3BodyText"/>
      </w:pPr>
      <w:r>
        <w:t xml:space="preserve">The </w:t>
      </w:r>
      <w:r w:rsidR="00B525E0">
        <w:fldChar w:fldCharType="begin"/>
      </w:r>
      <w:r w:rsidR="003A6B2F">
        <w:instrText xml:space="preserve"> REF _Ref424118516 \h </w:instrText>
      </w:r>
      <w:r w:rsidR="00B525E0">
        <w:fldChar w:fldCharType="separate"/>
      </w:r>
      <w:r w:rsidR="002C13E2">
        <w:t xml:space="preserve">Figure </w:t>
      </w:r>
      <w:r w:rsidR="002C13E2">
        <w:rPr>
          <w:noProof/>
        </w:rPr>
        <w:t>20</w:t>
      </w:r>
      <w:r w:rsidR="00B525E0">
        <w:fldChar w:fldCharType="end"/>
      </w:r>
      <w:r w:rsidR="003A6B2F">
        <w:t xml:space="preserve"> and </w:t>
      </w:r>
      <w:r w:rsidR="00B525E0">
        <w:fldChar w:fldCharType="begin"/>
      </w:r>
      <w:r w:rsidR="003A6B2F">
        <w:instrText xml:space="preserve"> REF _Ref424118518 \h </w:instrText>
      </w:r>
      <w:r w:rsidR="00B525E0">
        <w:fldChar w:fldCharType="separate"/>
      </w:r>
      <w:r w:rsidR="002C13E2">
        <w:t xml:space="preserve">Figure </w:t>
      </w:r>
      <w:r w:rsidR="002C13E2">
        <w:rPr>
          <w:noProof/>
        </w:rPr>
        <w:t>21</w:t>
      </w:r>
      <w:r w:rsidR="00B525E0">
        <w:fldChar w:fldCharType="end"/>
      </w:r>
      <w:r>
        <w:t xml:space="preserve"> present power consumption, including standby mode, for the two lamps tested when they are turned ON for one hour every day throughout the year. Taking into account standby power use, in this scenario Lamp B actually uses more power than an equivalent inefficient tungsten filament incandescent lamp (now phased out) would use when turned ON for the one hour each day. Including standby power, both wireless models consumed more energy than </w:t>
      </w:r>
      <w:r w:rsidR="00D55D06">
        <w:t>an equivalent CFL lamp</w:t>
      </w:r>
      <w:r>
        <w:t xml:space="preserve"> and used more energy during the standby period than during the hour of operation.</w:t>
      </w:r>
    </w:p>
    <w:p w:rsidR="00F86E3A" w:rsidRDefault="00F86E3A" w:rsidP="00F86E3A">
      <w:pPr>
        <w:keepNext/>
      </w:pPr>
    </w:p>
    <w:p w:rsidR="00100A46" w:rsidRDefault="00100A46" w:rsidP="00F86E3A">
      <w:pPr>
        <w:keepNext/>
      </w:pPr>
      <w:r>
        <w:rPr>
          <w:noProof/>
          <w:lang w:eastAsia="en-AU"/>
        </w:rPr>
        <w:drawing>
          <wp:inline distT="0" distB="0" distL="0" distR="0" wp14:anchorId="6F886B84" wp14:editId="5F91A462">
            <wp:extent cx="4564966" cy="2586405"/>
            <wp:effectExtent l="0" t="0" r="7620" b="4445"/>
            <wp:docPr id="10" name="Picture 10" descr="Bar Graph.&#10;&#10;Y Axis - Energy (kWh)&#10;&#10;X Axis: Lamp A compared against Lamp B&#10;&#10;Each Lamp Contains 5 Bars&#10;&#10;Equiv Tier 1&#10;Equiv Tier 2&#10;Equiv Tier 3&#10;Led Wifi&#10;Equiv INC&#10;&#10;Led Wifi and Equiv INC use conisderably more energy than the Equiv Tier bars.&#10;&#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64966" cy="2586405"/>
                    </a:xfrm>
                    <a:prstGeom prst="rect">
                      <a:avLst/>
                    </a:prstGeom>
                    <a:noFill/>
                  </pic:spPr>
                </pic:pic>
              </a:graphicData>
            </a:graphic>
          </wp:inline>
        </w:drawing>
      </w:r>
    </w:p>
    <w:p w:rsidR="00651792" w:rsidRDefault="00EE21E7" w:rsidP="008F5814">
      <w:pPr>
        <w:pStyle w:val="Caption"/>
      </w:pPr>
      <w:bookmarkStart w:id="100" w:name="_Ref424118516"/>
      <w:bookmarkStart w:id="101" w:name="_Toc426387859"/>
      <w:r>
        <w:t xml:space="preserve">Figure </w:t>
      </w:r>
      <w:r>
        <w:fldChar w:fldCharType="begin"/>
      </w:r>
      <w:r>
        <w:instrText xml:space="preserve"> SEQ Figure \* ARABIC </w:instrText>
      </w:r>
      <w:r>
        <w:fldChar w:fldCharType="separate"/>
      </w:r>
      <w:r w:rsidR="002C13E2">
        <w:rPr>
          <w:noProof/>
        </w:rPr>
        <w:t>20</w:t>
      </w:r>
      <w:r>
        <w:fldChar w:fldCharType="end"/>
      </w:r>
      <w:bookmarkEnd w:id="100"/>
      <w:r>
        <w:t>. Annual p</w:t>
      </w:r>
      <w:r w:rsidRPr="003616B3">
        <w:t>ower consumption</w:t>
      </w:r>
      <w:r>
        <w:t xml:space="preserve"> for 1 hour per day ON</w:t>
      </w:r>
      <w:r w:rsidRPr="003616B3">
        <w:t>, including standby mode</w:t>
      </w:r>
      <w:r w:rsidRPr="00100A46">
        <w:t xml:space="preserve"> </w:t>
      </w:r>
      <w:r>
        <w:t>for</w:t>
      </w:r>
      <w:r w:rsidRPr="003616B3">
        <w:t xml:space="preserve"> the two LED lamps, </w:t>
      </w:r>
      <w:r>
        <w:t xml:space="preserve">compared </w:t>
      </w:r>
      <w:r w:rsidRPr="003616B3">
        <w:t xml:space="preserve">with the equivalent </w:t>
      </w:r>
      <w:r>
        <w:t xml:space="preserve">lumen output </w:t>
      </w:r>
      <w:r w:rsidRPr="003616B3">
        <w:t xml:space="preserve">incandescent lamp and </w:t>
      </w:r>
      <w:r>
        <w:t xml:space="preserve">hypothetical LED lamps at the </w:t>
      </w:r>
      <w:r w:rsidRPr="003616B3">
        <w:t xml:space="preserve">IEA 4E </w:t>
      </w:r>
      <w:r>
        <w:t>Tier levels</w:t>
      </w:r>
      <w:r w:rsidRPr="003616B3">
        <w:t>.</w:t>
      </w:r>
      <w:bookmarkEnd w:id="101"/>
      <w:r>
        <w:br/>
      </w:r>
    </w:p>
    <w:p w:rsidR="00F86E3A" w:rsidRDefault="00100A46" w:rsidP="00F86E3A">
      <w:pPr>
        <w:keepNext/>
      </w:pPr>
      <w:r>
        <w:rPr>
          <w:noProof/>
          <w:lang w:eastAsia="en-AU"/>
        </w:rPr>
        <w:drawing>
          <wp:inline distT="0" distB="0" distL="0" distR="0" wp14:anchorId="715C1FFC" wp14:editId="76440553">
            <wp:extent cx="4529797" cy="2598372"/>
            <wp:effectExtent l="0" t="0" r="4445" b="0"/>
            <wp:docPr id="19" name="Picture 19" descr="Bar Graph.&#10;&#10;Y Axis - Energy (kWh)&#10;&#10;X Axis: Lamp A compared against Lamp B&#10;&#10;Each bar is divided into 'On' and 'Standyby' portions.&#10;&#10;Standby Energy use takes up between 60 - 70% in both Lamp A and Lamp B.&#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31055" cy="2599094"/>
                    </a:xfrm>
                    <a:prstGeom prst="rect">
                      <a:avLst/>
                    </a:prstGeom>
                    <a:noFill/>
                  </pic:spPr>
                </pic:pic>
              </a:graphicData>
            </a:graphic>
          </wp:inline>
        </w:drawing>
      </w:r>
    </w:p>
    <w:p w:rsidR="00651792" w:rsidRDefault="00EE21E7" w:rsidP="00F86E3A">
      <w:pPr>
        <w:pStyle w:val="Caption"/>
      </w:pPr>
      <w:bookmarkStart w:id="102" w:name="_Ref424118518"/>
      <w:bookmarkStart w:id="103" w:name="_Toc426387860"/>
      <w:r>
        <w:t xml:space="preserve">Figure </w:t>
      </w:r>
      <w:r>
        <w:fldChar w:fldCharType="begin"/>
      </w:r>
      <w:r>
        <w:instrText xml:space="preserve"> SEQ Figure \* ARABIC </w:instrText>
      </w:r>
      <w:r>
        <w:fldChar w:fldCharType="separate"/>
      </w:r>
      <w:r w:rsidR="002C13E2">
        <w:rPr>
          <w:noProof/>
        </w:rPr>
        <w:t>21</w:t>
      </w:r>
      <w:r>
        <w:fldChar w:fldCharType="end"/>
      </w:r>
      <w:bookmarkEnd w:id="102"/>
      <w:r>
        <w:t xml:space="preserve">. </w:t>
      </w:r>
      <w:r w:rsidRPr="0090546E">
        <w:t>Standby versus lamp ON power consumption</w:t>
      </w:r>
      <w:r>
        <w:t xml:space="preserve"> for 1 hour per day ON for</w:t>
      </w:r>
      <w:r w:rsidRPr="0090546E">
        <w:t xml:space="preserve"> the tested </w:t>
      </w:r>
      <w:r>
        <w:t>LED lamps</w:t>
      </w:r>
      <w:bookmarkEnd w:id="103"/>
    </w:p>
    <w:p w:rsidR="00A51A11" w:rsidRPr="00A51A11" w:rsidRDefault="00A51A11" w:rsidP="00A51A11"/>
    <w:p w:rsidR="00651792" w:rsidRPr="00D55D06" w:rsidRDefault="00651792" w:rsidP="00D55D06">
      <w:pPr>
        <w:pStyle w:val="E3BodyText"/>
      </w:pPr>
      <w:r w:rsidRPr="00D55D06">
        <w:t>The longer the daily use of a lamp, the less significant the standby mode power consumption is relative to the power consumed when ON, however the average residential time of use (i.e. when turned ON) for lamps in Australia is only between 1–2 hours.</w:t>
      </w:r>
    </w:p>
    <w:p w:rsidR="00651792" w:rsidRPr="00D55D06" w:rsidRDefault="00651792" w:rsidP="00D55D06">
      <w:pPr>
        <w:pStyle w:val="E3BodyText"/>
      </w:pPr>
      <w:r w:rsidRPr="00D55D06">
        <w:t xml:space="preserve">The </w:t>
      </w:r>
      <w:r w:rsidR="00B525E0">
        <w:fldChar w:fldCharType="begin"/>
      </w:r>
      <w:r w:rsidR="003A6B2F">
        <w:instrText xml:space="preserve"> REF _Ref424118561 \h </w:instrText>
      </w:r>
      <w:r w:rsidR="00B525E0">
        <w:fldChar w:fldCharType="separate"/>
      </w:r>
      <w:r w:rsidR="002C13E2">
        <w:t xml:space="preserve">Figure </w:t>
      </w:r>
      <w:r w:rsidR="002C13E2">
        <w:rPr>
          <w:noProof/>
        </w:rPr>
        <w:t>22</w:t>
      </w:r>
      <w:r w:rsidR="00B525E0">
        <w:fldChar w:fldCharType="end"/>
      </w:r>
      <w:r w:rsidR="00940251">
        <w:t xml:space="preserve"> </w:t>
      </w:r>
      <w:r w:rsidRPr="00D55D06">
        <w:t>compares the measured efficacy (lumens per Watt) of the tested lamps to similar incandescent lamps and the IEA 4ESSL recommended LED efficacy levels.</w:t>
      </w:r>
    </w:p>
    <w:p w:rsidR="00100A46" w:rsidRDefault="00100A46" w:rsidP="00F86E3A">
      <w:pPr>
        <w:keepNext/>
      </w:pPr>
    </w:p>
    <w:p w:rsidR="00F86E3A" w:rsidRDefault="00100A46" w:rsidP="00F86E3A">
      <w:pPr>
        <w:keepNext/>
      </w:pPr>
      <w:r>
        <w:rPr>
          <w:noProof/>
          <w:lang w:eastAsia="en-AU"/>
        </w:rPr>
        <w:drawing>
          <wp:inline distT="0" distB="0" distL="0" distR="0" wp14:anchorId="2A8D27E1" wp14:editId="043FBDC8">
            <wp:extent cx="4522763" cy="2618049"/>
            <wp:effectExtent l="0" t="0" r="0" b="0"/>
            <wp:docPr id="47" name="Picture 47" descr="Bar graph comparing effective Efficacy (lm/W)&#10;&#10;IEA Tier 1 = 50 lm/w&#10;IEA Tier 2 = 60 lm/w&#10;IEA  Tier 3 = 80 lm/w&#10;Led Wifi (1 hours of operation) Lamp A = 12 lm/w&#10;Led Wifi (1 hours of operation) Lamp B = 8 lm/w&#10;Equiv INC Lamp A = 8 lm/w&#10;Equiv INC Lamp A = 11 lm/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27489" cy="2620785"/>
                    </a:xfrm>
                    <a:prstGeom prst="rect">
                      <a:avLst/>
                    </a:prstGeom>
                    <a:noFill/>
                  </pic:spPr>
                </pic:pic>
              </a:graphicData>
            </a:graphic>
          </wp:inline>
        </w:drawing>
      </w:r>
    </w:p>
    <w:p w:rsidR="00651792" w:rsidRDefault="00F86E3A" w:rsidP="00F86E3A">
      <w:pPr>
        <w:pStyle w:val="Caption"/>
      </w:pPr>
      <w:bookmarkStart w:id="104" w:name="_Ref424118561"/>
      <w:bookmarkStart w:id="105" w:name="_Toc426387861"/>
      <w:r>
        <w:t xml:space="preserve">Figure </w:t>
      </w:r>
      <w:r w:rsidR="00B525E0">
        <w:fldChar w:fldCharType="begin"/>
      </w:r>
      <w:r>
        <w:instrText xml:space="preserve"> SEQ Figure \* ARABIC </w:instrText>
      </w:r>
      <w:r w:rsidR="00B525E0">
        <w:fldChar w:fldCharType="separate"/>
      </w:r>
      <w:r w:rsidR="002C13E2">
        <w:rPr>
          <w:noProof/>
        </w:rPr>
        <w:t>22</w:t>
      </w:r>
      <w:r w:rsidR="00B525E0">
        <w:fldChar w:fldCharType="end"/>
      </w:r>
      <w:bookmarkEnd w:id="104"/>
      <w:r>
        <w:t>.</w:t>
      </w:r>
      <w:r w:rsidRPr="00C2510E">
        <w:t xml:space="preserve">The measured efficacy of the tested lamps compared to an equivalent </w:t>
      </w:r>
      <w:r w:rsidR="00417D68">
        <w:t xml:space="preserve">lumen output </w:t>
      </w:r>
      <w:r w:rsidRPr="00C2510E">
        <w:t>incandescent lamp and the IEA recommended LED efficacy levels.</w:t>
      </w:r>
      <w:bookmarkEnd w:id="105"/>
    </w:p>
    <w:p w:rsidR="00A51A11" w:rsidRPr="00A51A11" w:rsidRDefault="00A51A11" w:rsidP="00A51A11"/>
    <w:p w:rsidR="00D55D06" w:rsidRDefault="00651792" w:rsidP="00D55D06">
      <w:pPr>
        <w:pStyle w:val="E3BodyText"/>
      </w:pPr>
      <w:r>
        <w:t>Other new developments have seen lamps emerging that increase power use over time to maintain constant lumen output, or vary lumen output in order to reduce the impacts of overheating. While addressing technical challenges with LED lighting, these approaches also make it more challenging to test the performance of these lamps, and for consumers to understand the service and associated energy consumption being provided.</w:t>
      </w:r>
    </w:p>
    <w:p w:rsidR="005F55CD" w:rsidRDefault="005F55CD" w:rsidP="00D55D06">
      <w:pPr>
        <w:pStyle w:val="E3BodyText"/>
      </w:pPr>
      <w:r>
        <w:t xml:space="preserve">Lamps that have the ability to vary colour or colour temperature will also need to be taken into account in specifying how lamp performance, including efficacy is </w:t>
      </w:r>
      <w:r w:rsidR="00417D68">
        <w:t xml:space="preserve">claimed, </w:t>
      </w:r>
      <w:r>
        <w:t>measured and evaluated.</w:t>
      </w:r>
    </w:p>
    <w:p w:rsidR="0036098A" w:rsidRDefault="00D55D06" w:rsidP="009F674D">
      <w:pPr>
        <w:pStyle w:val="E3BodyText"/>
      </w:pPr>
      <w:r>
        <w:t>These emerging features of LED lighting technology pose challenges for the measurement of the performance and efficacy of products, and potentially diminish the energy sav</w:t>
      </w:r>
      <w:r w:rsidR="00D720C6">
        <w:t>ings potential of LED lighting.</w:t>
      </w:r>
      <w:r>
        <w:t xml:space="preserve"> </w:t>
      </w:r>
      <w:r w:rsidR="00F84574">
        <w:t xml:space="preserve">It will also increase the complexity for consumers trying to understand lighting energy consumption and performance. </w:t>
      </w:r>
      <w:r>
        <w:t>It is essential that additional functionality is taken into account in the development of LED test standards</w:t>
      </w:r>
      <w:r w:rsidR="00F84574">
        <w:t>, an</w:t>
      </w:r>
      <w:r w:rsidR="00D720C6">
        <w:t xml:space="preserve">d performance specifications.  </w:t>
      </w:r>
      <w:r w:rsidR="00F84574">
        <w:t>The Australian government is working with a number of other countries in the IEA 4E SSL Annex to investigate this issue further.</w:t>
      </w:r>
    </w:p>
    <w:p w:rsidR="009F674D" w:rsidRDefault="009F674D" w:rsidP="009F674D">
      <w:pPr>
        <w:pStyle w:val="E3BodyText"/>
      </w:pPr>
    </w:p>
    <w:p w:rsidR="0036098A" w:rsidRDefault="009F347F" w:rsidP="00DB0112">
      <w:pPr>
        <w:pStyle w:val="Heading3"/>
      </w:pPr>
      <w:bookmarkStart w:id="106" w:name="_Toc426387743"/>
      <w:r>
        <w:t xml:space="preserve">Possible </w:t>
      </w:r>
      <w:r w:rsidR="009F674D">
        <w:t>Health</w:t>
      </w:r>
      <w:r>
        <w:t xml:space="preserve"> Issues</w:t>
      </w:r>
      <w:bookmarkEnd w:id="106"/>
    </w:p>
    <w:p w:rsidR="005E496B" w:rsidRDefault="009F674D" w:rsidP="00AD3B67">
      <w:r>
        <w:t>During the phase-out on inefficient incandescent lamps in Australia, a number of concerns were raised by members of the public relating to possible health impacts of efficient CFL lamps.  While the absence of mercury content is one significant difference between LED and fluorescent technology, the two technologies do have in common that they contain electronic components and emit light in a different manner to incandescent lighting.</w:t>
      </w:r>
    </w:p>
    <w:p w:rsidR="007F3E0B" w:rsidRDefault="009F674D" w:rsidP="00CC6D26">
      <w:pPr>
        <w:pStyle w:val="E3BodyText"/>
      </w:pPr>
      <w:r>
        <w:t xml:space="preserve">The Australian Government has worked with other countries in the IEA 4E SSL Annex to review available knowledge and studies of these issues.  </w:t>
      </w:r>
    </w:p>
    <w:p w:rsidR="00CC6D26" w:rsidRDefault="00CC6D26" w:rsidP="00CC6D26">
      <w:pPr>
        <w:pStyle w:val="E3BodyText"/>
      </w:pPr>
      <w:r>
        <w:t>In 2014, the SSL Annex published a comprehensive review (</w:t>
      </w:r>
      <w:r w:rsidRPr="00CC6D26">
        <w:t>http://ssl.iea-4e.org/health-environment/health-impacts</w:t>
      </w:r>
      <w:r>
        <w:t>) of the current literature on health-related impacts of energy-efficient LED systems in our homes, buildings and outdoor areas</w:t>
      </w:r>
      <w:r w:rsidR="00AB43BA">
        <w:t xml:space="preserve"> (IEA 4ESSL 2014)</w:t>
      </w:r>
      <w:r>
        <w:t>.</w:t>
      </w:r>
    </w:p>
    <w:p w:rsidR="007F3E0B" w:rsidRDefault="00CC6D26" w:rsidP="00E70C63">
      <w:pPr>
        <w:pStyle w:val="E3BodyText"/>
      </w:pPr>
      <w:r>
        <w:t xml:space="preserve">The study evaluates electrical risks, exposure to electromagnetic fields, glare, photobiological hazards, light flicker </w:t>
      </w:r>
      <w:r w:rsidR="00AB43BA">
        <w:t xml:space="preserve">(discussed above) </w:t>
      </w:r>
      <w:r>
        <w:t xml:space="preserve">and non-visual effects of light. The report found </w:t>
      </w:r>
      <w:r w:rsidRPr="00CC6D26">
        <w:t xml:space="preserve">that </w:t>
      </w:r>
      <w:r w:rsidRPr="00CC6D26">
        <w:rPr>
          <w:rStyle w:val="Strong"/>
          <w:b w:val="0"/>
        </w:rPr>
        <w:t>SSL technology is not expected to have more direct negative impacts on human health with respect to non-visual effects than other light source technologies</w:t>
      </w:r>
      <w:r w:rsidRPr="00CC6D26">
        <w:t xml:space="preserve">. </w:t>
      </w:r>
      <w:r>
        <w:t>It also concluded that in the case of</w:t>
      </w:r>
      <w:r w:rsidRPr="00CC6D26">
        <w:t xml:space="preserve"> electromagnetic fields, </w:t>
      </w:r>
      <w:r>
        <w:t>emissions</w:t>
      </w:r>
      <w:r w:rsidRPr="00CC6D26">
        <w:t xml:space="preserve"> by SSL products </w:t>
      </w:r>
      <w:r>
        <w:t xml:space="preserve">are generally much smaller than those corresponding to discharge lamps or certain household appliances. </w:t>
      </w:r>
    </w:p>
    <w:p w:rsidR="00CC6D26" w:rsidRDefault="007F3E0B" w:rsidP="00E70C63">
      <w:pPr>
        <w:pStyle w:val="E3BodyText"/>
      </w:pPr>
      <w:r w:rsidRPr="00E70C63">
        <w:t xml:space="preserve">In relation to glare, the study found that in a typical LED, the radiance and luminance levels may be extremely high, much higher than the values found in the case of common lamps used in general lighting, making them more susceptible to producing glare. While glare does not constitute a risk in itself, it is a potential source of discomfort </w:t>
      </w:r>
      <w:r w:rsidRPr="00E70C63">
        <w:lastRenderedPageBreak/>
        <w:t>and temporary visual disability. It can also be the indirect cause of accidents.</w:t>
      </w:r>
      <w:r>
        <w:t xml:space="preserve"> The study provided recommendations regarding the evaluation of the potential for glare from LED products</w:t>
      </w:r>
      <w:r w:rsidR="00E70C63">
        <w:t xml:space="preserve"> by specifying maximum luminance, </w:t>
      </w:r>
      <w:r>
        <w:t>and how this should be taken into consideration in lighting design.</w:t>
      </w:r>
    </w:p>
    <w:p w:rsidR="00E70C63" w:rsidRDefault="00E70C63" w:rsidP="00E70C63">
      <w:pPr>
        <w:pStyle w:val="E3BodyText"/>
      </w:pPr>
      <w:r>
        <w:t>The report also examines the blue light hazard that potentially results from two characteristics of LED light sources:</w:t>
      </w:r>
    </w:p>
    <w:p w:rsidR="00E70C63" w:rsidRPr="0004112A" w:rsidRDefault="00E70C63" w:rsidP="006F672D">
      <w:pPr>
        <w:pStyle w:val="ListParagraph"/>
        <w:numPr>
          <w:ilvl w:val="0"/>
          <w:numId w:val="33"/>
        </w:numPr>
        <w:autoSpaceDE w:val="0"/>
        <w:autoSpaceDN w:val="0"/>
        <w:adjustRightInd w:val="0"/>
        <w:spacing w:line="276" w:lineRule="auto"/>
        <w:rPr>
          <w:rFonts w:ascii="Georgia" w:eastAsia="Cambria" w:hAnsi="Georgia" w:cs="Times New Roman"/>
          <w:sz w:val="19"/>
          <w:szCs w:val="24"/>
        </w:rPr>
      </w:pPr>
      <w:r w:rsidRPr="0004112A">
        <w:rPr>
          <w:rFonts w:ascii="Georgia" w:eastAsia="Cambria" w:hAnsi="Georgia" w:cs="Times New Roman"/>
          <w:sz w:val="19"/>
          <w:szCs w:val="24"/>
        </w:rPr>
        <w:t>Most LED components are very bright small sources of visible light (high luminance and radiance values)</w:t>
      </w:r>
    </w:p>
    <w:p w:rsidR="00E70C63" w:rsidRPr="0004112A" w:rsidRDefault="00E70C63" w:rsidP="006F672D">
      <w:pPr>
        <w:pStyle w:val="ListParagraph"/>
        <w:numPr>
          <w:ilvl w:val="0"/>
          <w:numId w:val="33"/>
        </w:numPr>
        <w:autoSpaceDE w:val="0"/>
        <w:autoSpaceDN w:val="0"/>
        <w:adjustRightInd w:val="0"/>
        <w:spacing w:line="276" w:lineRule="auto"/>
        <w:rPr>
          <w:rFonts w:ascii="Georgia" w:eastAsia="Cambria" w:hAnsi="Georgia" w:cs="Times New Roman"/>
          <w:sz w:val="19"/>
          <w:szCs w:val="24"/>
        </w:rPr>
      </w:pPr>
      <w:r w:rsidRPr="0004112A">
        <w:rPr>
          <w:rFonts w:ascii="Georgia" w:eastAsia="Cambria" w:hAnsi="Georgia" w:cs="Times New Roman"/>
          <w:sz w:val="19"/>
          <w:szCs w:val="24"/>
        </w:rPr>
        <w:t>The vast majority of commercial white light LEDs have an emission spectrum which exhibits a blue peak.</w:t>
      </w:r>
    </w:p>
    <w:p w:rsidR="00E70C63" w:rsidRDefault="00E70C63" w:rsidP="00E70C63">
      <w:pPr>
        <w:pStyle w:val="E3BodyText"/>
      </w:pPr>
    </w:p>
    <w:p w:rsidR="007F3E0B" w:rsidRDefault="0004112A" w:rsidP="0004112A">
      <w:pPr>
        <w:pStyle w:val="E3BodyText"/>
      </w:pPr>
      <w:r>
        <w:t xml:space="preserve">High levels of blue light exposure is recognised as being harmful by causing </w:t>
      </w:r>
      <w:r w:rsidRPr="0004112A">
        <w:t>photochemical damage</w:t>
      </w:r>
      <w:r>
        <w:t xml:space="preserve"> to the retina, particularly as a result of short periods of high intensity exposure (although low intensity exposure over long periods can also contribute).  Testing has shown that </w:t>
      </w:r>
      <w:r w:rsidRPr="0004112A">
        <w:t>the retinal blue light exposure levels produced at a distance of 200 mm by blue and cold</w:t>
      </w:r>
      <w:r>
        <w:t>-</w:t>
      </w:r>
      <w:r w:rsidRPr="0004112A">
        <w:t>white LEDs often exceed the exposure limits after an exposure between a few seconds (blue LEDs) to a few tens of seconds (cold</w:t>
      </w:r>
      <w:r>
        <w:t>-</w:t>
      </w:r>
      <w:r w:rsidRPr="0004112A">
        <w:t xml:space="preserve">white LEDs). </w:t>
      </w:r>
      <w:r w:rsidR="004F0DD8" w:rsidRPr="0005457B">
        <w:t>In normal circumstances a person would blink or look awa</w:t>
      </w:r>
      <w:r w:rsidR="004F0DD8">
        <w:t>y from such a light source but in some cases the exposure limit may be shorter than this response.</w:t>
      </w:r>
      <w:r w:rsidR="00100A46">
        <w:t xml:space="preserve"> </w:t>
      </w:r>
      <w:r w:rsidRPr="0004112A">
        <w:t>As a consequence, the short</w:t>
      </w:r>
      <w:r w:rsidR="00100A46">
        <w:t xml:space="preserve"> </w:t>
      </w:r>
      <w:r w:rsidRPr="0004112A">
        <w:t>distance potential toxicity of these LED components cannot be neglected.</w:t>
      </w:r>
      <w:r>
        <w:t xml:space="preserve">  Note however the exposure being evaluated involves direct viewing </w:t>
      </w:r>
      <w:r w:rsidR="00F71F3D">
        <w:t xml:space="preserve">or staring at </w:t>
      </w:r>
      <w:r>
        <w:t xml:space="preserve">the light source rather than exposure from viewing an area illuminated by such a light source.  </w:t>
      </w:r>
    </w:p>
    <w:p w:rsidR="0004112A" w:rsidRPr="0004112A" w:rsidRDefault="0004112A" w:rsidP="00EC71C6">
      <w:pPr>
        <w:pStyle w:val="E3BodyText"/>
      </w:pPr>
      <w:r w:rsidRPr="0004112A">
        <w:t>However, when the viewing distan</w:t>
      </w:r>
      <w:r w:rsidR="00D12BD6">
        <w:t>ce is increased beyond one metre</w:t>
      </w:r>
      <w:r w:rsidRPr="0004112A">
        <w:t>, the maximum exposure duration rapidly increases to a few thousands of seconds, even up to a few tens of thousands of seconds. These very long exposure durations provide a reasonable safety margin to assert than there is virtually no possible blue light retinal damage from LEDs at longer viewing distances (statement valid for state of the art LEDs at the time of writing).</w:t>
      </w:r>
    </w:p>
    <w:p w:rsidR="00E70C63" w:rsidRDefault="00F71F3D" w:rsidP="00EC71C6">
      <w:pPr>
        <w:pStyle w:val="E3BodyText"/>
      </w:pPr>
      <w:r>
        <w:t xml:space="preserve">The international standard </w:t>
      </w:r>
      <w:r w:rsidRPr="00F71F3D">
        <w:t xml:space="preserve">IEC 62471 </w:t>
      </w:r>
      <w:r>
        <w:t xml:space="preserve">provides a system of classification of light sources into several risk groups according to the maximum permissible exposure duration assessed at a given distance:  Risk Group 0 or </w:t>
      </w:r>
      <w:r w:rsidRPr="00F71F3D">
        <w:t>Exempt</w:t>
      </w:r>
      <w:r w:rsidR="00100A46">
        <w:t xml:space="preserve"> </w:t>
      </w:r>
      <w:r w:rsidRPr="00F71F3D">
        <w:t>group (no risk), Risk Group 1 (low risk), Risk Group 2 (moderate risk), Risk Group 3 (high risk).</w:t>
      </w:r>
      <w:r>
        <w:t xml:space="preserve">  The IEA 4ESSL Health report recommends that products rated RG2 should be labelled in accordance with IEC TR 62471-</w:t>
      </w:r>
      <w:r w:rsidRPr="00F71F3D">
        <w:t>2, in order to inform the user “not to stare” at the operating lamp as it may be harmful to the eyes.</w:t>
      </w:r>
      <w:r w:rsidR="00906E57">
        <w:t xml:space="preserve">  The report also recommends that </w:t>
      </w:r>
      <w:r w:rsidR="00906E57" w:rsidRPr="00906E57">
        <w:t xml:space="preserve">SSL products aimed at consumer applications (retrofit LED lamps for instance), </w:t>
      </w:r>
      <w:r w:rsidR="00906E57">
        <w:t>be limited</w:t>
      </w:r>
      <w:r w:rsidR="00100A46">
        <w:t xml:space="preserve"> </w:t>
      </w:r>
      <w:r w:rsidR="00906E57">
        <w:t xml:space="preserve">to </w:t>
      </w:r>
      <w:r w:rsidR="00906E57" w:rsidRPr="00906E57">
        <w:t xml:space="preserve"> risk group to RG1 at 200 mm, which can be considered as the shortest viewing distance encountered at home.</w:t>
      </w:r>
    </w:p>
    <w:p w:rsidR="00906E57" w:rsidRPr="00906E57" w:rsidRDefault="00D720C6" w:rsidP="00EC71C6">
      <w:pPr>
        <w:pStyle w:val="E3BodyText"/>
      </w:pPr>
      <w:r>
        <w:t>The report  does not consider</w:t>
      </w:r>
      <w:r w:rsidR="00906E57">
        <w:t xml:space="preserve"> LED applications not related to general lighting (for example, toys using LEDs, automotive lights</w:t>
      </w:r>
      <w:r w:rsidR="00100A46">
        <w:t xml:space="preserve"> </w:t>
      </w:r>
      <w:r w:rsidR="00906E57">
        <w:t xml:space="preserve">and testing and adjustments of LEDs in manufacturing facilities) and also notes that </w:t>
      </w:r>
      <w:r w:rsidR="00906E57" w:rsidRPr="00906E57">
        <w:t>IEC 62471</w:t>
      </w:r>
      <w:r w:rsidR="00906E57">
        <w:t xml:space="preserve"> currently</w:t>
      </w:r>
      <w:r w:rsidR="00906E57" w:rsidRPr="00906E57">
        <w:t xml:space="preserve"> does not take into account the sensitivity of certain specific population groups, which</w:t>
      </w:r>
      <w:r w:rsidR="00100A46">
        <w:t xml:space="preserve"> </w:t>
      </w:r>
      <w:r w:rsidR="00906E57" w:rsidRPr="00906E57">
        <w:t>can be characterized by an accrued sensitivity to visible light</w:t>
      </w:r>
      <w:r w:rsidR="009C3957">
        <w:t xml:space="preserve"> including</w:t>
      </w:r>
      <w:r w:rsidR="00906E57" w:rsidRPr="00906E57">
        <w:t>:</w:t>
      </w:r>
    </w:p>
    <w:p w:rsidR="00906E57" w:rsidRPr="00E97016" w:rsidRDefault="00906E57" w:rsidP="006F672D">
      <w:pPr>
        <w:pStyle w:val="ListParagraph"/>
        <w:numPr>
          <w:ilvl w:val="0"/>
          <w:numId w:val="34"/>
        </w:numPr>
        <w:autoSpaceDE w:val="0"/>
        <w:autoSpaceDN w:val="0"/>
        <w:adjustRightInd w:val="0"/>
        <w:spacing w:line="276" w:lineRule="auto"/>
        <w:rPr>
          <w:rFonts w:ascii="Georgia" w:eastAsia="Cambria" w:hAnsi="Georgia" w:cs="Times New Roman"/>
          <w:sz w:val="19"/>
          <w:szCs w:val="24"/>
        </w:rPr>
      </w:pPr>
      <w:r w:rsidRPr="00E97016">
        <w:rPr>
          <w:rFonts w:ascii="Georgia" w:eastAsia="Cambria" w:hAnsi="Georgia" w:cs="Times New Roman"/>
          <w:sz w:val="19"/>
          <w:szCs w:val="24"/>
        </w:rPr>
        <w:t>People having pre-existing eye or skin condition for which artificial lighting can trigger or</w:t>
      </w:r>
      <w:r w:rsidR="00100A46">
        <w:rPr>
          <w:rFonts w:ascii="Georgia" w:eastAsia="Cambria" w:hAnsi="Georgia" w:cs="Times New Roman"/>
          <w:sz w:val="19"/>
          <w:szCs w:val="24"/>
        </w:rPr>
        <w:t xml:space="preserve"> </w:t>
      </w:r>
      <w:r w:rsidRPr="00E97016">
        <w:rPr>
          <w:rFonts w:ascii="Georgia" w:eastAsia="Cambria" w:hAnsi="Georgia" w:cs="Times New Roman"/>
          <w:sz w:val="19"/>
          <w:szCs w:val="24"/>
        </w:rPr>
        <w:t>aggravate pathological symptoms</w:t>
      </w:r>
    </w:p>
    <w:p w:rsidR="00906E57" w:rsidRPr="00E97016" w:rsidRDefault="00906E57" w:rsidP="006F672D">
      <w:pPr>
        <w:pStyle w:val="ListParagraph"/>
        <w:numPr>
          <w:ilvl w:val="0"/>
          <w:numId w:val="34"/>
        </w:numPr>
        <w:autoSpaceDE w:val="0"/>
        <w:autoSpaceDN w:val="0"/>
        <w:adjustRightInd w:val="0"/>
        <w:spacing w:line="276" w:lineRule="auto"/>
        <w:rPr>
          <w:rFonts w:ascii="Georgia" w:eastAsia="Cambria" w:hAnsi="Georgia" w:cs="Times New Roman"/>
          <w:sz w:val="19"/>
          <w:szCs w:val="24"/>
        </w:rPr>
      </w:pPr>
      <w:r w:rsidRPr="00E97016">
        <w:rPr>
          <w:rFonts w:ascii="Georgia" w:eastAsia="Cambria" w:hAnsi="Georgia" w:cs="Times New Roman"/>
          <w:sz w:val="19"/>
          <w:szCs w:val="24"/>
        </w:rPr>
        <w:t>Aphakics (people with no crystalline lens) and pseudophakics (people with artificial</w:t>
      </w:r>
      <w:r w:rsidR="00100A46">
        <w:rPr>
          <w:rFonts w:ascii="Georgia" w:eastAsia="Cambria" w:hAnsi="Georgia" w:cs="Times New Roman"/>
          <w:sz w:val="19"/>
          <w:szCs w:val="24"/>
        </w:rPr>
        <w:t xml:space="preserve"> </w:t>
      </w:r>
      <w:r w:rsidR="005E7BCF" w:rsidRPr="00E97016">
        <w:rPr>
          <w:rFonts w:ascii="Georgia" w:eastAsia="Cambria" w:hAnsi="Georgia" w:cs="Times New Roman"/>
          <w:sz w:val="19"/>
          <w:szCs w:val="24"/>
        </w:rPr>
        <w:t>c</w:t>
      </w:r>
      <w:r w:rsidRPr="00E97016">
        <w:rPr>
          <w:rFonts w:ascii="Georgia" w:eastAsia="Cambria" w:hAnsi="Georgia" w:cs="Times New Roman"/>
          <w:sz w:val="19"/>
          <w:szCs w:val="24"/>
        </w:rPr>
        <w:t>rystalline lenses) who consequently either cannot or can only insufficiently filter short</w:t>
      </w:r>
      <w:r w:rsidR="00100A46">
        <w:rPr>
          <w:rFonts w:ascii="Georgia" w:eastAsia="Cambria" w:hAnsi="Georgia" w:cs="Times New Roman"/>
          <w:sz w:val="19"/>
          <w:szCs w:val="24"/>
        </w:rPr>
        <w:t xml:space="preserve"> </w:t>
      </w:r>
      <w:r w:rsidRPr="00E97016">
        <w:rPr>
          <w:rFonts w:ascii="Georgia" w:eastAsia="Cambria" w:hAnsi="Georgia" w:cs="Times New Roman"/>
          <w:sz w:val="19"/>
          <w:szCs w:val="24"/>
        </w:rPr>
        <w:t>wavelengths (particularly blue light)</w:t>
      </w:r>
    </w:p>
    <w:p w:rsidR="00906E57" w:rsidRPr="00906E57" w:rsidRDefault="00906E57" w:rsidP="006F672D">
      <w:pPr>
        <w:pStyle w:val="ListParagraph"/>
        <w:numPr>
          <w:ilvl w:val="0"/>
          <w:numId w:val="34"/>
        </w:numPr>
        <w:autoSpaceDE w:val="0"/>
        <w:autoSpaceDN w:val="0"/>
        <w:adjustRightInd w:val="0"/>
        <w:spacing w:line="276" w:lineRule="auto"/>
        <w:rPr>
          <w:rFonts w:ascii="Georgia" w:eastAsia="Cambria" w:hAnsi="Georgia" w:cs="Times New Roman"/>
          <w:sz w:val="19"/>
          <w:szCs w:val="24"/>
        </w:rPr>
      </w:pPr>
      <w:r w:rsidRPr="00906E57">
        <w:rPr>
          <w:rFonts w:ascii="Georgia" w:eastAsia="Cambria" w:hAnsi="Georgia" w:cs="Times New Roman"/>
          <w:sz w:val="19"/>
          <w:szCs w:val="24"/>
        </w:rPr>
        <w:t>Children, as their skin and visual system is not mature</w:t>
      </w:r>
    </w:p>
    <w:p w:rsidR="00E70C63" w:rsidRPr="00906E57" w:rsidRDefault="00906E57" w:rsidP="006F672D">
      <w:pPr>
        <w:pStyle w:val="ListParagraph"/>
        <w:numPr>
          <w:ilvl w:val="0"/>
          <w:numId w:val="34"/>
        </w:numPr>
        <w:autoSpaceDE w:val="0"/>
        <w:autoSpaceDN w:val="0"/>
        <w:adjustRightInd w:val="0"/>
        <w:spacing w:line="276" w:lineRule="auto"/>
        <w:rPr>
          <w:rFonts w:ascii="Georgia" w:eastAsia="Cambria" w:hAnsi="Georgia" w:cs="Times New Roman"/>
          <w:sz w:val="19"/>
          <w:szCs w:val="24"/>
        </w:rPr>
      </w:pPr>
      <w:r w:rsidRPr="00906E57">
        <w:rPr>
          <w:rFonts w:ascii="Georgia" w:eastAsia="Cambria" w:hAnsi="Georgia" w:cs="Times New Roman"/>
          <w:sz w:val="19"/>
          <w:szCs w:val="24"/>
        </w:rPr>
        <w:t>Elderly people as their skin and eyes are more sensitive to optical radiation</w:t>
      </w:r>
    </w:p>
    <w:p w:rsidR="007F3E0B" w:rsidRPr="00E70C63" w:rsidRDefault="007F3E0B" w:rsidP="00EC71C6">
      <w:pPr>
        <w:pStyle w:val="E3BodyText"/>
      </w:pPr>
    </w:p>
    <w:p w:rsidR="00651792" w:rsidRDefault="00906E57" w:rsidP="00EC71C6">
      <w:pPr>
        <w:pStyle w:val="E3BodyText"/>
      </w:pPr>
      <w:r>
        <w:t xml:space="preserve">In relation to these current limitations, the report recommends that </w:t>
      </w:r>
      <w:r w:rsidR="00F610B7">
        <w:t xml:space="preserve">the </w:t>
      </w:r>
      <w:r w:rsidRPr="00F610B7">
        <w:t>photobiological standards relative to lighting systems should be extended to cover children</w:t>
      </w:r>
      <w:r w:rsidR="00100A46">
        <w:t xml:space="preserve"> </w:t>
      </w:r>
      <w:r w:rsidRPr="00F610B7">
        <w:t>and aphakic or pseudophakic individuals, taking into account the corresponding phototoxicity</w:t>
      </w:r>
      <w:r w:rsidR="00100A46">
        <w:t xml:space="preserve"> </w:t>
      </w:r>
      <w:r w:rsidRPr="00F610B7">
        <w:t>curve published by the</w:t>
      </w:r>
      <w:r w:rsidR="00EC71C6" w:rsidRPr="00EC71C6">
        <w:t xml:space="preserve"> International Commission for Non</w:t>
      </w:r>
      <w:r w:rsidR="00EC71C6">
        <w:t>-</w:t>
      </w:r>
      <w:r w:rsidR="00EC71C6" w:rsidRPr="00EC71C6">
        <w:t xml:space="preserve">Ionizing Radiation </w:t>
      </w:r>
      <w:r w:rsidR="00EE21E7" w:rsidRPr="00EC71C6">
        <w:t>Protection</w:t>
      </w:r>
      <w:r w:rsidR="00EE21E7">
        <w:t xml:space="preserve"> (</w:t>
      </w:r>
      <w:r w:rsidRPr="00F610B7">
        <w:t>ICNIRP</w:t>
      </w:r>
      <w:r w:rsidR="00EC71C6">
        <w:t>)</w:t>
      </w:r>
      <w:r w:rsidRPr="00F610B7">
        <w:t xml:space="preserve"> in its guidelines.</w:t>
      </w:r>
      <w:r w:rsidR="00EC71C6">
        <w:t xml:space="preserve">  The report also notes that occupational guidelines and protective equipment may also be necessary for c</w:t>
      </w:r>
      <w:r w:rsidR="00EC71C6" w:rsidRPr="00EC71C6">
        <w:t>ertain categories of workers</w:t>
      </w:r>
      <w:r w:rsidR="00EC71C6">
        <w:t xml:space="preserve"> that may be</w:t>
      </w:r>
      <w:r w:rsidR="00EC71C6" w:rsidRPr="00EC71C6">
        <w:t xml:space="preserve"> exposed to high doses of artificial light (long exposure times and/or high retinal irradiance levels) during their daily activities (examples: lighting professionals, stage artists, etc.)</w:t>
      </w:r>
      <w:r w:rsidR="00EC71C6">
        <w:t>.</w:t>
      </w:r>
    </w:p>
    <w:p w:rsidR="00906E57" w:rsidRPr="00EC71C6" w:rsidRDefault="00EC71C6" w:rsidP="00EC71C6">
      <w:pPr>
        <w:pStyle w:val="E3BodyText"/>
      </w:pPr>
      <w:r w:rsidRPr="00EC71C6">
        <w:t xml:space="preserve">New generations of LEDs emitting white light are currently being developed using violet and UV chips. The </w:t>
      </w:r>
      <w:r>
        <w:t xml:space="preserve">4ESSL report recommends that the </w:t>
      </w:r>
      <w:r w:rsidRPr="00EC71C6">
        <w:t xml:space="preserve">photobiological safety of these LEDs and the products using them should </w:t>
      </w:r>
      <w:r>
        <w:t xml:space="preserve">also need to </w:t>
      </w:r>
      <w:r w:rsidRPr="00EC71C6">
        <w:t>be carefully assessed because of potential residual UV and violet radiation in</w:t>
      </w:r>
      <w:r>
        <w:t xml:space="preserve"> the emission spectrum and that a </w:t>
      </w:r>
      <w:r w:rsidRPr="00EC71C6">
        <w:t>careful assessment of the aging of these products should also be conducted as the possible degradation of the luminophores may raise the level of short wavelength radiation, thereby increasing the retinal exposure levels.</w:t>
      </w:r>
    </w:p>
    <w:p w:rsidR="00BF3C02" w:rsidRDefault="008C5B74" w:rsidP="00BF3C02">
      <w:pPr>
        <w:pStyle w:val="E3BodyText"/>
      </w:pPr>
      <w:r>
        <w:lastRenderedPageBreak/>
        <w:t xml:space="preserve">Recent studies, including the discovery of a new type of photoreceptive cell </w:t>
      </w:r>
      <w:r w:rsidR="003E102B">
        <w:t xml:space="preserve">(the ipRGCs) </w:t>
      </w:r>
      <w:r>
        <w:t>in the eye</w:t>
      </w:r>
      <w:r w:rsidR="003E102B">
        <w:t>, have</w:t>
      </w:r>
      <w:r>
        <w:t xml:space="preserve"> provided stronger evidence regarding the influence that light has on the regulation of circadian rhythms</w:t>
      </w:r>
      <w:r w:rsidR="003E102B">
        <w:t xml:space="preserve"> through the suppression of the production of melatonin.  These </w:t>
      </w:r>
      <w:r w:rsidR="00E97016">
        <w:t>non-visual</w:t>
      </w:r>
      <w:r w:rsidR="003E102B">
        <w:t xml:space="preserve"> effects of light </w:t>
      </w:r>
      <w:r w:rsidR="00BF3C02">
        <w:t>a</w:t>
      </w:r>
      <w:r w:rsidR="003E102B">
        <w:t xml:space="preserve">re known to depend upon the illuminance level and exposure duration as well as the time at which the exposure is received.  There is the potential for light to be used to delay or advance the circadian clock, with both beneficial and undesirable effects.  </w:t>
      </w:r>
      <w:r w:rsidR="00BF3C02">
        <w:t>The influence of light varies across the wavelength range with l</w:t>
      </w:r>
      <w:r w:rsidR="00BF3C02" w:rsidRPr="00BF3C02">
        <w:t xml:space="preserve">ight richer in yellow, orange and red colours </w:t>
      </w:r>
      <w:r w:rsidR="00BF3C02">
        <w:t>(</w:t>
      </w:r>
      <w:r w:rsidR="00BF3C02" w:rsidRPr="00BF3C02">
        <w:t>rather than blue and green colours</w:t>
      </w:r>
      <w:r w:rsidR="00BF3C02">
        <w:t>)</w:t>
      </w:r>
      <w:r w:rsidR="00100A46">
        <w:t xml:space="preserve"> </w:t>
      </w:r>
      <w:r w:rsidR="00BF3C02">
        <w:t>being</w:t>
      </w:r>
      <w:r w:rsidR="00BF3C02" w:rsidRPr="00BF3C02">
        <w:t xml:space="preserve"> less effective to activate non</w:t>
      </w:r>
      <w:r w:rsidR="00BF3C02" w:rsidRPr="00BF3C02">
        <w:rPr>
          <w:rFonts w:ascii="Cambria Math" w:hAnsi="Cambria Math" w:cs="Cambria Math"/>
        </w:rPr>
        <w:t>‐</w:t>
      </w:r>
      <w:r w:rsidR="00BF3C02" w:rsidRPr="00BF3C02">
        <w:rPr>
          <w:rFonts w:cs="Georgia"/>
        </w:rPr>
        <w:t>visual</w:t>
      </w:r>
      <w:r w:rsidR="00BF3C02" w:rsidRPr="00BF3C02">
        <w:t xml:space="preserve"> response such as the melatonin suppression. Inversely, light sources containing blue and blue</w:t>
      </w:r>
      <w:r w:rsidR="00BF3C02">
        <w:t>-</w:t>
      </w:r>
      <w:r w:rsidR="00BF3C02" w:rsidRPr="00BF3C02">
        <w:t xml:space="preserve">green components producing high retinal irradiance </w:t>
      </w:r>
      <w:r w:rsidR="00BF3C02">
        <w:t xml:space="preserve">which </w:t>
      </w:r>
      <w:r w:rsidR="00BF3C02" w:rsidRPr="00BF3C02">
        <w:t>can be used to promote the activation of ipRGCs and the non</w:t>
      </w:r>
      <w:r w:rsidR="00BF3C02" w:rsidRPr="00BF3C02">
        <w:rPr>
          <w:rFonts w:ascii="Cambria Math" w:hAnsi="Cambria Math" w:cs="Cambria Math"/>
        </w:rPr>
        <w:t>‐</w:t>
      </w:r>
      <w:r w:rsidR="00BF3C02" w:rsidRPr="00BF3C02">
        <w:rPr>
          <w:rFonts w:cs="Georgia"/>
        </w:rPr>
        <w:t>visual effects of li</w:t>
      </w:r>
      <w:r w:rsidR="00BF3C02" w:rsidRPr="00BF3C02">
        <w:t>ghts.</w:t>
      </w:r>
    </w:p>
    <w:p w:rsidR="00BF3C02" w:rsidRDefault="00BF3C02" w:rsidP="00BF3C02">
      <w:pPr>
        <w:pStyle w:val="E3BodyText"/>
      </w:pPr>
      <w:r>
        <w:t>While this is an issue for all artificial light, the flexibility of LED lighting in terms of the variety of spectra it can produce offers an opportunity for greater control of this eff</w:t>
      </w:r>
      <w:r w:rsidR="00D720C6">
        <w:t xml:space="preserve">ect upon our circadian rhythm. </w:t>
      </w:r>
      <w:r>
        <w:t>However in the future, the low cost and high efficacy of LED lighting, combined with greater flexibility in form may increase the use of artificial lighting (indoors and outdoors), and this increase in overall exposure may heighten potential non-visual effects.</w:t>
      </w:r>
    </w:p>
    <w:p w:rsidR="00137F24" w:rsidRDefault="009F347F" w:rsidP="00DB0112">
      <w:pPr>
        <w:pStyle w:val="Heading3"/>
      </w:pPr>
      <w:bookmarkStart w:id="107" w:name="_Toc426387744"/>
      <w:r>
        <w:t>LED Product Lifecycle</w:t>
      </w:r>
      <w:bookmarkEnd w:id="107"/>
    </w:p>
    <w:p w:rsidR="00137F24" w:rsidRDefault="00137F24" w:rsidP="00137F24">
      <w:pPr>
        <w:pStyle w:val="E3BodyText"/>
      </w:pPr>
      <w:r>
        <w:t xml:space="preserve">Studies of LED lifecycle costs have faced challenges in relation to the complexity of the products, the rate of technological improvements, and the confidentiality of manufacturing and component data.  The issue of confidentiality led the US Department of Energy lifecycle assessment (US DOE 2013) to undertake chemical analysis of </w:t>
      </w:r>
      <w:r w:rsidR="009E6AE2">
        <w:t xml:space="preserve">a </w:t>
      </w:r>
      <w:r w:rsidRPr="00DA625B">
        <w:t>variety of LED, CFLs, and incandescent lamps using standard hazardous material testing</w:t>
      </w:r>
      <w:r w:rsidR="00100A46">
        <w:t xml:space="preserve"> </w:t>
      </w:r>
      <w:r w:rsidRPr="00DA625B">
        <w:t>procedures in order to</w:t>
      </w:r>
      <w:r>
        <w:t xml:space="preserve"> help</w:t>
      </w:r>
      <w:r w:rsidRPr="00DA625B">
        <w:t xml:space="preserve"> complete the missing data</w:t>
      </w:r>
      <w:r>
        <w:t>.</w:t>
      </w:r>
    </w:p>
    <w:p w:rsidR="00137F24" w:rsidRDefault="003E7442" w:rsidP="00137F24">
      <w:pPr>
        <w:pStyle w:val="E3BodyText"/>
      </w:pPr>
      <w:r>
        <w:t>In 2014</w:t>
      </w:r>
      <w:r w:rsidR="009B7B81">
        <w:t xml:space="preserve"> the</w:t>
      </w:r>
      <w:r>
        <w:t xml:space="preserve"> IEA 4E SSL Annex published a review </w:t>
      </w:r>
      <w:r w:rsidRPr="006F672D">
        <w:t>(</w:t>
      </w:r>
      <w:hyperlink r:id="rId77" w:history="1">
        <w:r w:rsidR="00E97016" w:rsidRPr="006F672D">
          <w:rPr>
            <w:rStyle w:val="Hyperlink"/>
          </w:rPr>
          <w:t>http://ssl.iea-4e.org/health-environment/lifecycle-assessment</w:t>
        </w:r>
      </w:hyperlink>
      <w:r w:rsidRPr="006F672D">
        <w:t>) that examined nine life-cycle assessment (LCA) repo</w:t>
      </w:r>
      <w:r>
        <w:t xml:space="preserve">rts published between 2009 and 2013 (including the recent series of reports by the </w:t>
      </w:r>
      <w:r w:rsidRPr="003E7442">
        <w:t xml:space="preserve">US Department of Energy) </w:t>
      </w:r>
      <w:r>
        <w:t>that compare LED lamps and luminaires with conventional sources (IEA 4ESSL 2014B).</w:t>
      </w:r>
      <w:r w:rsidR="00137F24">
        <w:t xml:space="preserve">  The review found that o</w:t>
      </w:r>
      <w:r w:rsidR="00137F24" w:rsidRPr="009E6AE2">
        <w:t>n average, 85% of the environmental impact of an LED product is linked to the use phase, while the remaining 15% is shared mainly between manufacturing and end-of-life treatment. The environmental impact of the transport phase only accounts for 1% to 2%.</w:t>
      </w:r>
    </w:p>
    <w:p w:rsidR="009F347F" w:rsidRPr="009E6AE2" w:rsidRDefault="00137F24" w:rsidP="009B7B81">
      <w:pPr>
        <w:pStyle w:val="E3BodyText"/>
      </w:pPr>
      <w:r>
        <w:t>Thus while the</w:t>
      </w:r>
      <w:r w:rsidRPr="009E6AE2">
        <w:t xml:space="preserve"> energy used for the manufacturing of an LED product is almost 1.5 times higher than that used for the manufacturing of traditional light sources, overall the replacement of low efficacy lighting (</w:t>
      </w:r>
      <w:r w:rsidR="000E6866">
        <w:t>such as</w:t>
      </w:r>
      <w:r w:rsidRPr="009E6AE2">
        <w:t xml:space="preserve"> incandescent </w:t>
      </w:r>
      <w:r w:rsidR="000E6866">
        <w:t>and</w:t>
      </w:r>
      <w:r w:rsidRPr="009E6AE2">
        <w:t xml:space="preserve"> high-pressure mercury lamp</w:t>
      </w:r>
      <w:r w:rsidR="000E6866">
        <w:t>s</w:t>
      </w:r>
      <w:r w:rsidRPr="009E6AE2">
        <w:t>) with high</w:t>
      </w:r>
      <w:r w:rsidR="00100A46">
        <w:t xml:space="preserve"> </w:t>
      </w:r>
      <w:r w:rsidRPr="009E6AE2">
        <w:t>efficiency, long-life LED-based lamps and luminaires brings a strong environmental benefit, primarily through significant reductions in operational energy use.</w:t>
      </w:r>
    </w:p>
    <w:p w:rsidR="00137F24" w:rsidRPr="009B7B81" w:rsidRDefault="009E6AE2" w:rsidP="009B7B81">
      <w:pPr>
        <w:pStyle w:val="E3BodyText"/>
      </w:pPr>
      <w:r w:rsidRPr="009B7B81">
        <w:t xml:space="preserve">The review also found that high quality CFLs with a lifespan of more than 12,000 hours and efficacy up to 65 lm/W have an impact </w:t>
      </w:r>
      <w:r w:rsidR="009B7B81" w:rsidRPr="009B7B81">
        <w:t xml:space="preserve">currently </w:t>
      </w:r>
      <w:r w:rsidRPr="009B7B81">
        <w:t xml:space="preserve">comparable to good quality LED products (assuming the average lifespan of an integral LED lamp is 20,000 hours). As LED technology is </w:t>
      </w:r>
      <w:r w:rsidR="000E6866">
        <w:t xml:space="preserve">still </w:t>
      </w:r>
      <w:r w:rsidRPr="009B7B81">
        <w:t xml:space="preserve">improving, </w:t>
      </w:r>
      <w:r w:rsidR="000E6866">
        <w:t xml:space="preserve">higher efficacy and improved design and manufacturing techniques </w:t>
      </w:r>
      <w:r w:rsidRPr="009B7B81">
        <w:t>are expected</w:t>
      </w:r>
      <w:r w:rsidR="009C3957">
        <w:t xml:space="preserve"> to</w:t>
      </w:r>
      <w:r w:rsidR="00100A46">
        <w:t xml:space="preserve"> </w:t>
      </w:r>
      <w:r w:rsidR="000E6866">
        <w:t>further reduce the</w:t>
      </w:r>
      <w:r w:rsidRPr="009B7B81">
        <w:t xml:space="preserve"> environmental impact </w:t>
      </w:r>
      <w:r w:rsidR="000E6866">
        <w:t xml:space="preserve">of LED products </w:t>
      </w:r>
      <w:r w:rsidRPr="009B7B81">
        <w:t>in the next few years</w:t>
      </w:r>
      <w:r w:rsidR="009B7B81" w:rsidRPr="009B7B81">
        <w:t xml:space="preserve"> as shown </w:t>
      </w:r>
      <w:r w:rsidR="00EE21E7" w:rsidRPr="009B7B81">
        <w:t>in</w:t>
      </w:r>
      <w:r w:rsidR="00EE21E7">
        <w:t xml:space="preserve"> </w:t>
      </w:r>
      <w:r w:rsidR="00EE21E7">
        <w:fldChar w:fldCharType="begin"/>
      </w:r>
      <w:r w:rsidR="00EE21E7">
        <w:instrText xml:space="preserve"> REF _Ref424118615 \h </w:instrText>
      </w:r>
      <w:r w:rsidR="00EE21E7">
        <w:fldChar w:fldCharType="separate"/>
      </w:r>
      <w:r w:rsidR="002C13E2">
        <w:t xml:space="preserve">Figure </w:t>
      </w:r>
      <w:r w:rsidR="002C13E2">
        <w:rPr>
          <w:noProof/>
        </w:rPr>
        <w:t>23</w:t>
      </w:r>
      <w:r w:rsidR="00EE21E7">
        <w:fldChar w:fldCharType="end"/>
      </w:r>
      <w:r w:rsidRPr="009B7B81">
        <w:t>.</w:t>
      </w:r>
    </w:p>
    <w:p w:rsidR="009B7B81" w:rsidRDefault="009B7B81" w:rsidP="009E6AE2">
      <w:pPr>
        <w:autoSpaceDE w:val="0"/>
        <w:autoSpaceDN w:val="0"/>
        <w:adjustRightInd w:val="0"/>
        <w:spacing w:after="0" w:line="240" w:lineRule="auto"/>
        <w:rPr>
          <w:rFonts w:ascii="Calibri" w:eastAsiaTheme="minorHAnsi" w:hAnsi="Calibri" w:cs="Calibri"/>
          <w:sz w:val="22"/>
          <w:szCs w:val="22"/>
        </w:rPr>
      </w:pPr>
    </w:p>
    <w:p w:rsidR="00F86E3A" w:rsidRDefault="009B7B81" w:rsidP="00F86E3A">
      <w:pPr>
        <w:keepNext/>
        <w:autoSpaceDE w:val="0"/>
        <w:autoSpaceDN w:val="0"/>
        <w:adjustRightInd w:val="0"/>
        <w:spacing w:after="0" w:line="240" w:lineRule="auto"/>
      </w:pPr>
      <w:r>
        <w:rPr>
          <w:rFonts w:ascii="Calibri" w:eastAsiaTheme="minorHAnsi" w:hAnsi="Calibri" w:cs="Calibri"/>
          <w:noProof/>
          <w:sz w:val="22"/>
          <w:szCs w:val="22"/>
          <w:lang w:eastAsia="en-AU"/>
        </w:rPr>
        <w:lastRenderedPageBreak/>
        <w:drawing>
          <wp:inline distT="0" distB="0" distL="0" distR="0" wp14:anchorId="1C60495F" wp14:editId="34EB7F54">
            <wp:extent cx="6120765" cy="4347605"/>
            <wp:effectExtent l="0" t="0" r="0" b="0"/>
            <wp:docPr id="18" name="Picture 10" descr="Web Shaped Diagram with different resource impacts on the circum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srcRect/>
                    <a:stretch>
                      <a:fillRect/>
                    </a:stretch>
                  </pic:blipFill>
                  <pic:spPr bwMode="auto">
                    <a:xfrm>
                      <a:off x="0" y="0"/>
                      <a:ext cx="6120765" cy="4347605"/>
                    </a:xfrm>
                    <a:prstGeom prst="rect">
                      <a:avLst/>
                    </a:prstGeom>
                    <a:noFill/>
                    <a:ln w="9525">
                      <a:noFill/>
                      <a:miter lim="800000"/>
                      <a:headEnd/>
                      <a:tailEnd/>
                    </a:ln>
                  </pic:spPr>
                </pic:pic>
              </a:graphicData>
            </a:graphic>
          </wp:inline>
        </w:drawing>
      </w:r>
    </w:p>
    <w:p w:rsidR="009B7B81" w:rsidRDefault="00F86E3A" w:rsidP="00F86E3A">
      <w:pPr>
        <w:pStyle w:val="Caption"/>
        <w:rPr>
          <w:rFonts w:ascii="Calibri" w:eastAsiaTheme="minorHAnsi" w:hAnsi="Calibri" w:cs="Calibri"/>
          <w:sz w:val="22"/>
          <w:szCs w:val="22"/>
        </w:rPr>
      </w:pPr>
      <w:bookmarkStart w:id="108" w:name="_Ref424118615"/>
      <w:bookmarkStart w:id="109" w:name="_Toc426387862"/>
      <w:r>
        <w:t xml:space="preserve">Figure </w:t>
      </w:r>
      <w:r w:rsidR="00B525E0">
        <w:fldChar w:fldCharType="begin"/>
      </w:r>
      <w:r>
        <w:instrText xml:space="preserve"> SEQ Figure \* ARABIC </w:instrText>
      </w:r>
      <w:r w:rsidR="00B525E0">
        <w:fldChar w:fldCharType="separate"/>
      </w:r>
      <w:r w:rsidR="002C13E2">
        <w:rPr>
          <w:noProof/>
        </w:rPr>
        <w:t>23</w:t>
      </w:r>
      <w:r w:rsidR="00B525E0">
        <w:fldChar w:fldCharType="end"/>
      </w:r>
      <w:bookmarkEnd w:id="108"/>
      <w:r>
        <w:t>.</w:t>
      </w:r>
      <w:r w:rsidRPr="00BA23C1">
        <w:t>Life-cycle environmental impacts of three household lamp technologies including current (2012) and future (2017) LED lamps (US DOE 2012)</w:t>
      </w:r>
      <w:bookmarkEnd w:id="109"/>
    </w:p>
    <w:p w:rsidR="009E6AE2" w:rsidRDefault="009E6AE2" w:rsidP="009E6AE2">
      <w:pPr>
        <w:autoSpaceDE w:val="0"/>
        <w:autoSpaceDN w:val="0"/>
        <w:adjustRightInd w:val="0"/>
        <w:spacing w:after="0" w:line="240" w:lineRule="auto"/>
        <w:rPr>
          <w:rFonts w:ascii="Calibri" w:eastAsiaTheme="minorHAnsi" w:hAnsi="Calibri" w:cs="Calibri"/>
          <w:sz w:val="22"/>
          <w:szCs w:val="22"/>
        </w:rPr>
      </w:pPr>
    </w:p>
    <w:p w:rsidR="009E6AE2" w:rsidRPr="009B7B81" w:rsidRDefault="009E6AE2" w:rsidP="000E6866">
      <w:pPr>
        <w:pStyle w:val="E3BodyText"/>
      </w:pPr>
      <w:r w:rsidRPr="009B7B81">
        <w:t>LED components with the highest contribution to environmental impact include aluminium components (e.g., heat sink), electronics (the driver) and LED packaging. The recent development and use of ceramic heat sinks (replacing aluminium) in LED products is expected to help to reduce the environmental impact</w:t>
      </w:r>
      <w:r w:rsidR="009B7B81" w:rsidRPr="009B7B81">
        <w:t xml:space="preserve"> if broadly adopted</w:t>
      </w:r>
      <w:r w:rsidRPr="009B7B81">
        <w:t>. The production of an LED electronic driver also has a significant impact, as it often includes many discrete components as well as integrated circuits, and many processes involved in the manufacturing of a printed circuit board.</w:t>
      </w:r>
      <w:r w:rsidR="009B7B81" w:rsidRPr="009B7B81">
        <w:t xml:space="preserve"> Of interest is the conclusion of the US DOE study (US DOE 2012) that one area where LEDs may currently have a marginally higher impact than CFL lamps is hazardous waste disposal </w:t>
      </w:r>
      <w:r w:rsidR="00A16520">
        <w:t>due to</w:t>
      </w:r>
      <w:r w:rsidR="009B7B81" w:rsidRPr="009B7B81">
        <w:t xml:space="preserve"> the manufacturing of the large aluminium heat sink used in LED lamp</w:t>
      </w:r>
      <w:r w:rsidR="00A16520">
        <w:t>s</w:t>
      </w:r>
      <w:r w:rsidR="009B7B81" w:rsidRPr="009B7B81">
        <w:t>.</w:t>
      </w:r>
    </w:p>
    <w:p w:rsidR="009E6AE2" w:rsidRPr="009B7B81" w:rsidRDefault="009E6AE2" w:rsidP="000E6866">
      <w:pPr>
        <w:pStyle w:val="E3BodyText"/>
        <w:sectPr w:rsidR="009E6AE2" w:rsidRPr="009B7B81" w:rsidSect="00AD2A5C">
          <w:headerReference w:type="default" r:id="rId79"/>
          <w:pgSz w:w="11907" w:h="16840" w:code="9"/>
          <w:pgMar w:top="1134" w:right="1134" w:bottom="1418" w:left="1134" w:header="142" w:footer="709" w:gutter="0"/>
          <w:cols w:space="720"/>
          <w:titlePg/>
          <w:docGrid w:linePitch="360"/>
        </w:sectPr>
      </w:pPr>
      <w:r w:rsidRPr="009B7B81">
        <w:t>Although LEDs contain recyclable components and materials, LED products are often not recycled. The end-of-life for LED products is thus comparable to other electronic waste. These wastes contain rare materials</w:t>
      </w:r>
      <w:r w:rsidR="009C3957">
        <w:t xml:space="preserve"> such</w:t>
      </w:r>
      <w:r w:rsidRPr="009B7B81">
        <w:t xml:space="preserve"> as gallium and indium that are considered strategic </w:t>
      </w:r>
      <w:r w:rsidR="00EE21E7" w:rsidRPr="009B7B81">
        <w:t>metals;</w:t>
      </w:r>
      <w:r w:rsidRPr="009B7B81">
        <w:t xml:space="preserve"> however standard waste recycling processes can’t recover these materials today. With or without recycling, the impacts of the end-of-life of LED products appear to be very low compared to the use stage. However investigations into the recycling LED products to extract valuable materials</w:t>
      </w:r>
      <w:r w:rsidR="000A178E" w:rsidRPr="009B7B81">
        <w:t xml:space="preserve"> would further reduce environmental impact</w:t>
      </w:r>
      <w:r w:rsidRPr="009B7B81">
        <w:t>.</w:t>
      </w:r>
    </w:p>
    <w:p w:rsidR="00631365" w:rsidRDefault="00631365" w:rsidP="00631365">
      <w:pPr>
        <w:pStyle w:val="Heading1"/>
      </w:pPr>
      <w:bookmarkStart w:id="110" w:name="_Toc426387745"/>
      <w:bookmarkStart w:id="111" w:name="_Toc366162144"/>
      <w:bookmarkStart w:id="112" w:name="_Toc366162142"/>
      <w:r w:rsidRPr="003107D2">
        <w:lastRenderedPageBreak/>
        <w:t>Market characteristics</w:t>
      </w:r>
      <w:bookmarkEnd w:id="110"/>
    </w:p>
    <w:p w:rsidR="00613925" w:rsidRPr="00613925" w:rsidRDefault="00520780" w:rsidP="00631365">
      <w:pPr>
        <w:pStyle w:val="Heading2"/>
      </w:pPr>
      <w:bookmarkStart w:id="113" w:name="_Toc426387746"/>
      <w:r w:rsidRPr="003107D2">
        <w:t>Manufacturers, importers and suppliers</w:t>
      </w:r>
      <w:bookmarkEnd w:id="111"/>
      <w:bookmarkEnd w:id="113"/>
    </w:p>
    <w:p w:rsidR="00613925" w:rsidRDefault="00613925" w:rsidP="00613925">
      <w:pPr>
        <w:pStyle w:val="E3BodyText"/>
        <w:rPr>
          <w:lang w:eastAsia="en-AU"/>
        </w:rPr>
      </w:pPr>
      <w:r>
        <w:rPr>
          <w:lang w:eastAsia="en-AU"/>
        </w:rPr>
        <w:t xml:space="preserve">The number of manufacturer or retailer brands of LED lamp being sold in Australia/New Zealand is constantly changing. During research for this product profile, at least 53 LED lamp brands were identified as being available in these markets. Data on a subset of these were gathered (based on catalogue or other supplier data) and analysed for their performance specifications as part of this study as a </w:t>
      </w:r>
      <w:r w:rsidR="00EE21E7">
        <w:rPr>
          <w:lang w:eastAsia="en-AU"/>
        </w:rPr>
        <w:t>sample of</w:t>
      </w:r>
      <w:r>
        <w:rPr>
          <w:lang w:eastAsia="en-AU"/>
        </w:rPr>
        <w:t xml:space="preserve"> the models of LED lamps that are available. The 50+ included brands are listed in </w:t>
      </w:r>
      <w:r w:rsidR="00B525E0">
        <w:rPr>
          <w:lang w:eastAsia="en-AU"/>
        </w:rPr>
        <w:fldChar w:fldCharType="begin"/>
      </w:r>
      <w:r w:rsidR="003A6B2F">
        <w:rPr>
          <w:lang w:eastAsia="en-AU"/>
        </w:rPr>
        <w:instrText xml:space="preserve"> REF _Ref424118740 \h </w:instrText>
      </w:r>
      <w:r w:rsidR="00B525E0">
        <w:rPr>
          <w:lang w:eastAsia="en-AU"/>
        </w:rPr>
      </w:r>
      <w:r w:rsidR="00B525E0">
        <w:rPr>
          <w:lang w:eastAsia="en-AU"/>
        </w:rPr>
        <w:fldChar w:fldCharType="separate"/>
      </w:r>
      <w:r w:rsidR="002C13E2">
        <w:t xml:space="preserve">Table </w:t>
      </w:r>
      <w:r w:rsidR="002C13E2">
        <w:rPr>
          <w:noProof/>
        </w:rPr>
        <w:t>3</w:t>
      </w:r>
      <w:r w:rsidR="002C13E2">
        <w:t>.</w:t>
      </w:r>
      <w:r w:rsidR="002C13E2" w:rsidRPr="00F55502">
        <w:t>Examples of LED lamp brands in Australia and New Zealand.</w:t>
      </w:r>
      <w:r w:rsidR="00B525E0">
        <w:rPr>
          <w:lang w:eastAsia="en-AU"/>
        </w:rPr>
        <w:fldChar w:fldCharType="end"/>
      </w:r>
      <w:r>
        <w:rPr>
          <w:lang w:eastAsia="en-AU"/>
        </w:rPr>
        <w:t>(many lamps were ‘unbranded’ and were thus grouped into a singular category). The table shows that there are a g</w:t>
      </w:r>
      <w:r>
        <w:t>rowing number of LED lighting product brands, many of which are new to the lighting industry; and this shows that suppliers are providing a reasonable range of products for consumer choice.</w:t>
      </w:r>
    </w:p>
    <w:p w:rsidR="00613925" w:rsidRDefault="00613925" w:rsidP="00613925">
      <w:pPr>
        <w:pStyle w:val="E3BodyText"/>
        <w:rPr>
          <w:lang w:eastAsia="en-AU"/>
        </w:rPr>
      </w:pPr>
      <w:r>
        <w:rPr>
          <w:lang w:eastAsia="en-AU"/>
        </w:rPr>
        <w:t>Note that the presence of these particular brands here is in no way indicative of</w:t>
      </w:r>
      <w:r w:rsidR="00657EC3">
        <w:rPr>
          <w:lang w:eastAsia="en-AU"/>
        </w:rPr>
        <w:t xml:space="preserve"> high or low lamp performance. </w:t>
      </w:r>
    </w:p>
    <w:p w:rsidR="00F86E3A" w:rsidRDefault="00F86E3A" w:rsidP="00F86E3A">
      <w:pPr>
        <w:pStyle w:val="Caption"/>
        <w:keepNext/>
      </w:pPr>
    </w:p>
    <w:p w:rsidR="003A6B2F" w:rsidRDefault="003A6B2F" w:rsidP="003A6B2F">
      <w:pPr>
        <w:pStyle w:val="Caption"/>
        <w:keepNext/>
      </w:pPr>
      <w:bookmarkStart w:id="114" w:name="_Ref424118788"/>
      <w:bookmarkStart w:id="115" w:name="_Ref424118740"/>
      <w:bookmarkStart w:id="116" w:name="_Toc426387818"/>
      <w:r>
        <w:t xml:space="preserve">Table </w:t>
      </w:r>
      <w:r w:rsidR="00B525E0">
        <w:fldChar w:fldCharType="begin"/>
      </w:r>
      <w:r>
        <w:instrText xml:space="preserve"> SEQ Table \* ARABIC </w:instrText>
      </w:r>
      <w:r w:rsidR="00B525E0">
        <w:fldChar w:fldCharType="separate"/>
      </w:r>
      <w:r w:rsidR="002C13E2">
        <w:rPr>
          <w:noProof/>
        </w:rPr>
        <w:t>3</w:t>
      </w:r>
      <w:r w:rsidR="00B525E0">
        <w:fldChar w:fldCharType="end"/>
      </w:r>
      <w:bookmarkEnd w:id="114"/>
      <w:r>
        <w:t>.</w:t>
      </w:r>
      <w:r w:rsidRPr="00F55502">
        <w:t>Examples of LED lamp brands in Australia and New Zealand.</w:t>
      </w:r>
      <w:bookmarkEnd w:id="115"/>
      <w:bookmarkEnd w:id="116"/>
    </w:p>
    <w:tbl>
      <w:tblPr>
        <w:tblStyle w:val="TableContemporary"/>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71"/>
        <w:gridCol w:w="2087"/>
        <w:gridCol w:w="2111"/>
        <w:gridCol w:w="2027"/>
        <w:gridCol w:w="1659"/>
      </w:tblGrid>
      <w:tr w:rsidR="00613925" w:rsidRPr="00B34DCC" w:rsidTr="006224FD">
        <w:trPr>
          <w:cnfStyle w:val="100000000000" w:firstRow="1" w:lastRow="0" w:firstColumn="0" w:lastColumn="0" w:oddVBand="0" w:evenVBand="0" w:oddHBand="0" w:evenHBand="0" w:firstRowFirstColumn="0" w:firstRowLastColumn="0" w:lastRowFirstColumn="0" w:lastRowLastColumn="0"/>
          <w:trHeight w:val="467"/>
          <w:tblHeader/>
        </w:trPr>
        <w:tc>
          <w:tcPr>
            <w:tcW w:w="9855" w:type="dxa"/>
            <w:gridSpan w:val="5"/>
            <w:vAlign w:val="center"/>
            <w:hideMark/>
          </w:tcPr>
          <w:p w:rsidR="00613925" w:rsidRPr="00B34DCC" w:rsidRDefault="00613925" w:rsidP="00BB47F5">
            <w:pPr>
              <w:spacing w:after="0" w:line="240" w:lineRule="auto"/>
              <w:jc w:val="center"/>
              <w:rPr>
                <w:rFonts w:eastAsia="Times New Roman"/>
                <w:color w:val="000000"/>
                <w:szCs w:val="19"/>
              </w:rPr>
            </w:pPr>
            <w:r w:rsidRPr="00B34DCC">
              <w:rPr>
                <w:rFonts w:eastAsia="Times New Roman"/>
                <w:color w:val="000000"/>
                <w:szCs w:val="19"/>
              </w:rPr>
              <w:t>LED lamp brands (non-exhaustive list)</w:t>
            </w:r>
          </w:p>
        </w:tc>
      </w:tr>
      <w:tr w:rsidR="00613925" w:rsidRPr="00B34DCC" w:rsidTr="00613925">
        <w:trPr>
          <w:cnfStyle w:val="000000100000" w:firstRow="0" w:lastRow="0" w:firstColumn="0" w:lastColumn="0" w:oddVBand="0" w:evenVBand="0" w:oddHBand="1" w:evenHBand="0" w:firstRowFirstColumn="0" w:firstRowLastColumn="0" w:lastRowFirstColumn="0" w:lastRowLastColumn="0"/>
          <w:trHeight w:val="666"/>
        </w:trPr>
        <w:tc>
          <w:tcPr>
            <w:tcW w:w="1971" w:type="dxa"/>
            <w:noWrap/>
            <w:vAlign w:val="bottom"/>
          </w:tcPr>
          <w:p w:rsidR="00613925" w:rsidRPr="00B34DCC" w:rsidRDefault="00613925" w:rsidP="00BB47F5">
            <w:pPr>
              <w:rPr>
                <w:color w:val="000000"/>
                <w:szCs w:val="19"/>
              </w:rPr>
            </w:pPr>
            <w:r w:rsidRPr="00B34DCC">
              <w:rPr>
                <w:color w:val="000000"/>
                <w:szCs w:val="19"/>
              </w:rPr>
              <w:t>Accent</w:t>
            </w:r>
          </w:p>
        </w:tc>
        <w:tc>
          <w:tcPr>
            <w:tcW w:w="2087" w:type="dxa"/>
            <w:vAlign w:val="bottom"/>
          </w:tcPr>
          <w:p w:rsidR="00613925" w:rsidRPr="00B34DCC" w:rsidRDefault="00613925" w:rsidP="00BB47F5">
            <w:pPr>
              <w:rPr>
                <w:color w:val="000000"/>
                <w:szCs w:val="19"/>
              </w:rPr>
            </w:pPr>
            <w:r w:rsidRPr="00B34DCC">
              <w:rPr>
                <w:color w:val="000000"/>
                <w:szCs w:val="19"/>
              </w:rPr>
              <w:t>Atom</w:t>
            </w:r>
          </w:p>
        </w:tc>
        <w:tc>
          <w:tcPr>
            <w:tcW w:w="2111" w:type="dxa"/>
            <w:vAlign w:val="bottom"/>
          </w:tcPr>
          <w:p w:rsidR="00613925" w:rsidRPr="00B34DCC" w:rsidRDefault="00613925" w:rsidP="00BB47F5">
            <w:pPr>
              <w:rPr>
                <w:color w:val="000000"/>
                <w:szCs w:val="19"/>
              </w:rPr>
            </w:pPr>
            <w:r w:rsidRPr="00B34DCC">
              <w:rPr>
                <w:color w:val="000000"/>
                <w:szCs w:val="19"/>
              </w:rPr>
              <w:t>Array</w:t>
            </w:r>
          </w:p>
        </w:tc>
        <w:tc>
          <w:tcPr>
            <w:tcW w:w="2027" w:type="dxa"/>
            <w:vAlign w:val="bottom"/>
          </w:tcPr>
          <w:p w:rsidR="00613925" w:rsidRPr="00B34DCC" w:rsidRDefault="00613925" w:rsidP="00BB47F5">
            <w:pPr>
              <w:rPr>
                <w:color w:val="000000"/>
                <w:szCs w:val="19"/>
              </w:rPr>
            </w:pPr>
            <w:r w:rsidRPr="00B34DCC">
              <w:rPr>
                <w:color w:val="000000"/>
                <w:szCs w:val="19"/>
              </w:rPr>
              <w:t>Bacol</w:t>
            </w:r>
          </w:p>
        </w:tc>
        <w:tc>
          <w:tcPr>
            <w:tcW w:w="1659" w:type="dxa"/>
            <w:vAlign w:val="bottom"/>
          </w:tcPr>
          <w:p w:rsidR="00613925" w:rsidRPr="00B34DCC" w:rsidRDefault="00613925" w:rsidP="00BB47F5">
            <w:pPr>
              <w:rPr>
                <w:color w:val="000000"/>
                <w:szCs w:val="19"/>
              </w:rPr>
            </w:pPr>
            <w:r w:rsidRPr="00B34DCC">
              <w:rPr>
                <w:color w:val="000000"/>
                <w:szCs w:val="19"/>
              </w:rPr>
              <w:t>Bobby</w:t>
            </w:r>
          </w:p>
        </w:tc>
      </w:tr>
      <w:tr w:rsidR="00613925" w:rsidRPr="00B34DCC" w:rsidTr="00613925">
        <w:trPr>
          <w:cnfStyle w:val="000000010000" w:firstRow="0" w:lastRow="0" w:firstColumn="0" w:lastColumn="0" w:oddVBand="0" w:evenVBand="0" w:oddHBand="0" w:evenHBand="1" w:firstRowFirstColumn="0" w:firstRowLastColumn="0" w:lastRowFirstColumn="0" w:lastRowLastColumn="0"/>
          <w:trHeight w:val="300"/>
        </w:trPr>
        <w:tc>
          <w:tcPr>
            <w:tcW w:w="1971" w:type="dxa"/>
            <w:noWrap/>
            <w:vAlign w:val="bottom"/>
          </w:tcPr>
          <w:p w:rsidR="00613925" w:rsidRPr="00B34DCC" w:rsidRDefault="00613925" w:rsidP="00BB47F5">
            <w:pPr>
              <w:rPr>
                <w:color w:val="000000"/>
                <w:szCs w:val="19"/>
              </w:rPr>
            </w:pPr>
            <w:r w:rsidRPr="00B34DCC">
              <w:rPr>
                <w:color w:val="000000"/>
                <w:szCs w:val="19"/>
              </w:rPr>
              <w:t>Boss</w:t>
            </w:r>
          </w:p>
        </w:tc>
        <w:tc>
          <w:tcPr>
            <w:tcW w:w="2087" w:type="dxa"/>
            <w:vAlign w:val="bottom"/>
          </w:tcPr>
          <w:p w:rsidR="00613925" w:rsidRPr="00B34DCC" w:rsidRDefault="00613925" w:rsidP="00BB47F5">
            <w:pPr>
              <w:rPr>
                <w:color w:val="000000"/>
                <w:szCs w:val="19"/>
              </w:rPr>
            </w:pPr>
            <w:r w:rsidRPr="00B34DCC">
              <w:rPr>
                <w:color w:val="000000"/>
                <w:szCs w:val="19"/>
              </w:rPr>
              <w:t>Brightgreen</w:t>
            </w:r>
          </w:p>
        </w:tc>
        <w:tc>
          <w:tcPr>
            <w:tcW w:w="2111" w:type="dxa"/>
            <w:vAlign w:val="bottom"/>
          </w:tcPr>
          <w:p w:rsidR="00613925" w:rsidRPr="00B34DCC" w:rsidRDefault="00613925" w:rsidP="00BB47F5">
            <w:pPr>
              <w:rPr>
                <w:color w:val="000000"/>
                <w:szCs w:val="19"/>
              </w:rPr>
            </w:pPr>
            <w:r w:rsidRPr="00B34DCC">
              <w:rPr>
                <w:color w:val="000000"/>
                <w:szCs w:val="19"/>
              </w:rPr>
              <w:t>Brilliant</w:t>
            </w:r>
          </w:p>
        </w:tc>
        <w:tc>
          <w:tcPr>
            <w:tcW w:w="2027" w:type="dxa"/>
            <w:vAlign w:val="bottom"/>
          </w:tcPr>
          <w:p w:rsidR="00613925" w:rsidRPr="00B34DCC" w:rsidRDefault="00613925" w:rsidP="00BB47F5">
            <w:pPr>
              <w:rPr>
                <w:color w:val="000000"/>
                <w:szCs w:val="19"/>
              </w:rPr>
            </w:pPr>
            <w:r w:rsidRPr="00B34DCC">
              <w:rPr>
                <w:color w:val="000000"/>
                <w:szCs w:val="19"/>
              </w:rPr>
              <w:t>Cree</w:t>
            </w:r>
          </w:p>
        </w:tc>
        <w:tc>
          <w:tcPr>
            <w:tcW w:w="1659" w:type="dxa"/>
            <w:vAlign w:val="bottom"/>
          </w:tcPr>
          <w:p w:rsidR="00613925" w:rsidRPr="00B34DCC" w:rsidRDefault="00613925" w:rsidP="00BB47F5">
            <w:pPr>
              <w:rPr>
                <w:color w:val="000000"/>
                <w:szCs w:val="19"/>
              </w:rPr>
            </w:pPr>
            <w:r w:rsidRPr="00B34DCC">
              <w:rPr>
                <w:color w:val="000000"/>
                <w:szCs w:val="19"/>
              </w:rPr>
              <w:t>Crompton</w:t>
            </w:r>
          </w:p>
        </w:tc>
      </w:tr>
      <w:tr w:rsidR="00613925" w:rsidRPr="00B34DCC" w:rsidTr="00613925">
        <w:trPr>
          <w:cnfStyle w:val="000000100000" w:firstRow="0" w:lastRow="0" w:firstColumn="0" w:lastColumn="0" w:oddVBand="0" w:evenVBand="0" w:oddHBand="1" w:evenHBand="0" w:firstRowFirstColumn="0" w:firstRowLastColumn="0" w:lastRowFirstColumn="0" w:lastRowLastColumn="0"/>
          <w:trHeight w:val="634"/>
        </w:trPr>
        <w:tc>
          <w:tcPr>
            <w:tcW w:w="1971" w:type="dxa"/>
            <w:noWrap/>
            <w:vAlign w:val="bottom"/>
          </w:tcPr>
          <w:p w:rsidR="00613925" w:rsidRPr="00B34DCC" w:rsidRDefault="00613925" w:rsidP="00BB47F5">
            <w:pPr>
              <w:rPr>
                <w:color w:val="000000"/>
                <w:szCs w:val="19"/>
              </w:rPr>
            </w:pPr>
            <w:r w:rsidRPr="00B34DCC">
              <w:rPr>
                <w:color w:val="000000"/>
                <w:szCs w:val="19"/>
              </w:rPr>
              <w:t>Ecofire</w:t>
            </w:r>
          </w:p>
        </w:tc>
        <w:tc>
          <w:tcPr>
            <w:tcW w:w="2087" w:type="dxa"/>
            <w:vAlign w:val="bottom"/>
          </w:tcPr>
          <w:p w:rsidR="00613925" w:rsidRPr="00B34DCC" w:rsidRDefault="00613925" w:rsidP="00BB47F5">
            <w:pPr>
              <w:rPr>
                <w:color w:val="000000"/>
                <w:szCs w:val="19"/>
              </w:rPr>
            </w:pPr>
            <w:r w:rsidRPr="00B34DCC">
              <w:rPr>
                <w:color w:val="000000"/>
                <w:szCs w:val="19"/>
              </w:rPr>
              <w:t>EcoLightUp</w:t>
            </w:r>
          </w:p>
        </w:tc>
        <w:tc>
          <w:tcPr>
            <w:tcW w:w="2111" w:type="dxa"/>
            <w:vAlign w:val="bottom"/>
          </w:tcPr>
          <w:p w:rsidR="00613925" w:rsidRPr="00B34DCC" w:rsidRDefault="00613925" w:rsidP="00BB47F5">
            <w:pPr>
              <w:rPr>
                <w:color w:val="000000"/>
                <w:szCs w:val="19"/>
              </w:rPr>
            </w:pPr>
            <w:r w:rsidRPr="00B34DCC">
              <w:rPr>
                <w:color w:val="000000"/>
                <w:szCs w:val="19"/>
              </w:rPr>
              <w:t>Epistar</w:t>
            </w:r>
          </w:p>
        </w:tc>
        <w:tc>
          <w:tcPr>
            <w:tcW w:w="2027" w:type="dxa"/>
            <w:vAlign w:val="bottom"/>
          </w:tcPr>
          <w:p w:rsidR="00613925" w:rsidRPr="00B34DCC" w:rsidRDefault="00613925" w:rsidP="00BB47F5">
            <w:pPr>
              <w:rPr>
                <w:color w:val="000000"/>
                <w:szCs w:val="19"/>
              </w:rPr>
            </w:pPr>
            <w:r w:rsidRPr="00B34DCC">
              <w:rPr>
                <w:color w:val="000000"/>
                <w:szCs w:val="19"/>
              </w:rPr>
              <w:t>Equinox</w:t>
            </w:r>
          </w:p>
        </w:tc>
        <w:tc>
          <w:tcPr>
            <w:tcW w:w="1659" w:type="dxa"/>
            <w:vAlign w:val="bottom"/>
          </w:tcPr>
          <w:p w:rsidR="00613925" w:rsidRPr="00B34DCC" w:rsidRDefault="00613925" w:rsidP="00BB47F5">
            <w:pPr>
              <w:rPr>
                <w:color w:val="000000"/>
                <w:szCs w:val="19"/>
              </w:rPr>
            </w:pPr>
            <w:r w:rsidRPr="00B34DCC">
              <w:rPr>
                <w:color w:val="000000"/>
                <w:szCs w:val="19"/>
              </w:rPr>
              <w:t>GE</w:t>
            </w:r>
          </w:p>
        </w:tc>
      </w:tr>
      <w:tr w:rsidR="00613925" w:rsidRPr="00B34DCC" w:rsidTr="00613925">
        <w:trPr>
          <w:cnfStyle w:val="000000010000" w:firstRow="0" w:lastRow="0" w:firstColumn="0" w:lastColumn="0" w:oddVBand="0" w:evenVBand="0" w:oddHBand="0" w:evenHBand="1" w:firstRowFirstColumn="0" w:firstRowLastColumn="0" w:lastRowFirstColumn="0" w:lastRowLastColumn="0"/>
          <w:trHeight w:val="300"/>
        </w:trPr>
        <w:tc>
          <w:tcPr>
            <w:tcW w:w="1971" w:type="dxa"/>
            <w:noWrap/>
            <w:vAlign w:val="bottom"/>
          </w:tcPr>
          <w:p w:rsidR="00613925" w:rsidRPr="00B34DCC" w:rsidRDefault="00613925" w:rsidP="00BB47F5">
            <w:pPr>
              <w:rPr>
                <w:color w:val="000000"/>
                <w:szCs w:val="19"/>
              </w:rPr>
            </w:pPr>
            <w:r w:rsidRPr="00B34DCC">
              <w:rPr>
                <w:color w:val="000000"/>
                <w:szCs w:val="19"/>
              </w:rPr>
              <w:t>Get Green</w:t>
            </w:r>
          </w:p>
        </w:tc>
        <w:tc>
          <w:tcPr>
            <w:tcW w:w="2087" w:type="dxa"/>
            <w:vAlign w:val="bottom"/>
          </w:tcPr>
          <w:p w:rsidR="00613925" w:rsidRPr="00B34DCC" w:rsidRDefault="00613925" w:rsidP="00BB47F5">
            <w:pPr>
              <w:rPr>
                <w:color w:val="000000"/>
                <w:szCs w:val="19"/>
              </w:rPr>
            </w:pPr>
            <w:r w:rsidRPr="00B34DCC">
              <w:rPr>
                <w:color w:val="000000"/>
                <w:szCs w:val="19"/>
              </w:rPr>
              <w:t>GRC</w:t>
            </w:r>
          </w:p>
        </w:tc>
        <w:tc>
          <w:tcPr>
            <w:tcW w:w="2111" w:type="dxa"/>
            <w:vAlign w:val="bottom"/>
          </w:tcPr>
          <w:p w:rsidR="00613925" w:rsidRPr="00B34DCC" w:rsidRDefault="00613925" w:rsidP="00BB47F5">
            <w:pPr>
              <w:rPr>
                <w:color w:val="000000"/>
                <w:szCs w:val="19"/>
              </w:rPr>
            </w:pPr>
            <w:r w:rsidRPr="00B34DCC">
              <w:rPr>
                <w:color w:val="000000"/>
                <w:szCs w:val="19"/>
              </w:rPr>
              <w:t>Ecolamp</w:t>
            </w:r>
          </w:p>
        </w:tc>
        <w:tc>
          <w:tcPr>
            <w:tcW w:w="2027" w:type="dxa"/>
            <w:vAlign w:val="bottom"/>
          </w:tcPr>
          <w:p w:rsidR="00613925" w:rsidRPr="00B34DCC" w:rsidRDefault="00613925" w:rsidP="00BB47F5">
            <w:pPr>
              <w:rPr>
                <w:color w:val="000000"/>
                <w:szCs w:val="19"/>
              </w:rPr>
            </w:pPr>
            <w:r w:rsidRPr="00B34DCC">
              <w:rPr>
                <w:color w:val="000000"/>
                <w:szCs w:val="19"/>
              </w:rPr>
              <w:t>EcoLightUp</w:t>
            </w:r>
          </w:p>
        </w:tc>
        <w:tc>
          <w:tcPr>
            <w:tcW w:w="1659" w:type="dxa"/>
            <w:vAlign w:val="bottom"/>
          </w:tcPr>
          <w:p w:rsidR="00613925" w:rsidRPr="00B34DCC" w:rsidRDefault="00613925" w:rsidP="00BB47F5">
            <w:pPr>
              <w:rPr>
                <w:color w:val="000000"/>
                <w:szCs w:val="19"/>
              </w:rPr>
            </w:pPr>
            <w:r w:rsidRPr="00B34DCC">
              <w:rPr>
                <w:color w:val="000000"/>
                <w:szCs w:val="19"/>
              </w:rPr>
              <w:t>Epistar</w:t>
            </w:r>
          </w:p>
        </w:tc>
      </w:tr>
      <w:tr w:rsidR="00613925" w:rsidRPr="00B34DCC" w:rsidTr="00613925">
        <w:trPr>
          <w:cnfStyle w:val="000000100000" w:firstRow="0" w:lastRow="0" w:firstColumn="0" w:lastColumn="0" w:oddVBand="0" w:evenVBand="0" w:oddHBand="1" w:evenHBand="0" w:firstRowFirstColumn="0" w:firstRowLastColumn="0" w:lastRowFirstColumn="0" w:lastRowLastColumn="0"/>
          <w:trHeight w:val="300"/>
        </w:trPr>
        <w:tc>
          <w:tcPr>
            <w:tcW w:w="1971" w:type="dxa"/>
            <w:noWrap/>
            <w:vAlign w:val="bottom"/>
          </w:tcPr>
          <w:p w:rsidR="00613925" w:rsidRPr="00B34DCC" w:rsidRDefault="00613925" w:rsidP="00BB47F5">
            <w:pPr>
              <w:rPr>
                <w:color w:val="000000"/>
                <w:szCs w:val="19"/>
              </w:rPr>
            </w:pPr>
            <w:r w:rsidRPr="00B34DCC">
              <w:rPr>
                <w:color w:val="000000"/>
                <w:szCs w:val="19"/>
              </w:rPr>
              <w:t>Equinox</w:t>
            </w:r>
          </w:p>
        </w:tc>
        <w:tc>
          <w:tcPr>
            <w:tcW w:w="2087" w:type="dxa"/>
            <w:vAlign w:val="bottom"/>
          </w:tcPr>
          <w:p w:rsidR="00613925" w:rsidRPr="00B34DCC" w:rsidRDefault="00613925" w:rsidP="00BB47F5">
            <w:pPr>
              <w:rPr>
                <w:color w:val="000000"/>
                <w:szCs w:val="19"/>
              </w:rPr>
            </w:pPr>
            <w:r w:rsidRPr="00B34DCC">
              <w:rPr>
                <w:color w:val="000000"/>
                <w:szCs w:val="19"/>
              </w:rPr>
              <w:t>Get Green</w:t>
            </w:r>
          </w:p>
        </w:tc>
        <w:tc>
          <w:tcPr>
            <w:tcW w:w="2111" w:type="dxa"/>
            <w:vAlign w:val="bottom"/>
          </w:tcPr>
          <w:p w:rsidR="00613925" w:rsidRPr="00B34DCC" w:rsidRDefault="00613925" w:rsidP="00BB47F5">
            <w:pPr>
              <w:rPr>
                <w:color w:val="000000"/>
                <w:szCs w:val="19"/>
              </w:rPr>
            </w:pPr>
            <w:r w:rsidRPr="00B34DCC">
              <w:rPr>
                <w:color w:val="000000"/>
                <w:szCs w:val="19"/>
              </w:rPr>
              <w:t>Hi Power</w:t>
            </w:r>
          </w:p>
        </w:tc>
        <w:tc>
          <w:tcPr>
            <w:tcW w:w="2027" w:type="dxa"/>
            <w:vAlign w:val="bottom"/>
          </w:tcPr>
          <w:p w:rsidR="00613925" w:rsidRPr="00B34DCC" w:rsidRDefault="00613925" w:rsidP="00BB47F5">
            <w:pPr>
              <w:rPr>
                <w:color w:val="000000"/>
                <w:szCs w:val="19"/>
              </w:rPr>
            </w:pPr>
            <w:r w:rsidRPr="00B34DCC">
              <w:rPr>
                <w:color w:val="000000"/>
                <w:szCs w:val="19"/>
              </w:rPr>
              <w:t>Jinxiao</w:t>
            </w:r>
          </w:p>
        </w:tc>
        <w:tc>
          <w:tcPr>
            <w:tcW w:w="1659" w:type="dxa"/>
            <w:vAlign w:val="bottom"/>
          </w:tcPr>
          <w:p w:rsidR="00613925" w:rsidRPr="00B34DCC" w:rsidRDefault="00613925" w:rsidP="00BB47F5">
            <w:pPr>
              <w:rPr>
                <w:color w:val="000000"/>
                <w:szCs w:val="19"/>
              </w:rPr>
            </w:pPr>
            <w:r w:rsidRPr="00B34DCC">
              <w:rPr>
                <w:color w:val="000000"/>
                <w:szCs w:val="19"/>
              </w:rPr>
              <w:t>LEDion</w:t>
            </w:r>
          </w:p>
        </w:tc>
      </w:tr>
      <w:tr w:rsidR="00613925" w:rsidRPr="00B34DCC" w:rsidTr="00613925">
        <w:trPr>
          <w:cnfStyle w:val="000000010000" w:firstRow="0" w:lastRow="0" w:firstColumn="0" w:lastColumn="0" w:oddVBand="0" w:evenVBand="0" w:oddHBand="0" w:evenHBand="1" w:firstRowFirstColumn="0" w:firstRowLastColumn="0" w:lastRowFirstColumn="0" w:lastRowLastColumn="0"/>
          <w:trHeight w:val="300"/>
        </w:trPr>
        <w:tc>
          <w:tcPr>
            <w:tcW w:w="1971" w:type="dxa"/>
            <w:noWrap/>
            <w:vAlign w:val="bottom"/>
          </w:tcPr>
          <w:p w:rsidR="00613925" w:rsidRPr="00B34DCC" w:rsidRDefault="00613925" w:rsidP="00BB47F5">
            <w:pPr>
              <w:rPr>
                <w:color w:val="000000"/>
                <w:szCs w:val="19"/>
              </w:rPr>
            </w:pPr>
            <w:r w:rsidRPr="00B34DCC">
              <w:rPr>
                <w:color w:val="000000"/>
                <w:szCs w:val="19"/>
              </w:rPr>
              <w:t>LEDlux</w:t>
            </w:r>
          </w:p>
        </w:tc>
        <w:tc>
          <w:tcPr>
            <w:tcW w:w="2087" w:type="dxa"/>
            <w:vAlign w:val="bottom"/>
          </w:tcPr>
          <w:p w:rsidR="00613925" w:rsidRPr="00B34DCC" w:rsidRDefault="00613925" w:rsidP="00BB47F5">
            <w:pPr>
              <w:rPr>
                <w:color w:val="000000"/>
                <w:szCs w:val="19"/>
              </w:rPr>
            </w:pPr>
            <w:r w:rsidRPr="00B34DCC">
              <w:rPr>
                <w:color w:val="000000"/>
                <w:szCs w:val="19"/>
              </w:rPr>
              <w:t>Lumenmax</w:t>
            </w:r>
          </w:p>
        </w:tc>
        <w:tc>
          <w:tcPr>
            <w:tcW w:w="2111" w:type="dxa"/>
            <w:vAlign w:val="bottom"/>
          </w:tcPr>
          <w:p w:rsidR="00613925" w:rsidRPr="00B34DCC" w:rsidRDefault="00613925" w:rsidP="00BB47F5">
            <w:pPr>
              <w:rPr>
                <w:color w:val="000000"/>
                <w:szCs w:val="19"/>
              </w:rPr>
            </w:pPr>
            <w:r w:rsidRPr="00B34DCC">
              <w:rPr>
                <w:color w:val="000000"/>
                <w:szCs w:val="19"/>
              </w:rPr>
              <w:t>Marexim</w:t>
            </w:r>
          </w:p>
        </w:tc>
        <w:tc>
          <w:tcPr>
            <w:tcW w:w="2027" w:type="dxa"/>
            <w:vAlign w:val="bottom"/>
          </w:tcPr>
          <w:p w:rsidR="00613925" w:rsidRPr="00B34DCC" w:rsidRDefault="00613925" w:rsidP="00BB47F5">
            <w:pPr>
              <w:rPr>
                <w:color w:val="000000"/>
                <w:szCs w:val="19"/>
              </w:rPr>
            </w:pPr>
            <w:r w:rsidRPr="00B34DCC">
              <w:rPr>
                <w:color w:val="000000"/>
                <w:szCs w:val="19"/>
              </w:rPr>
              <w:t>Martec</w:t>
            </w:r>
          </w:p>
        </w:tc>
        <w:tc>
          <w:tcPr>
            <w:tcW w:w="1659" w:type="dxa"/>
            <w:vAlign w:val="bottom"/>
          </w:tcPr>
          <w:p w:rsidR="00613925" w:rsidRPr="00B34DCC" w:rsidRDefault="00613925" w:rsidP="00BB47F5">
            <w:pPr>
              <w:rPr>
                <w:color w:val="000000"/>
                <w:szCs w:val="19"/>
              </w:rPr>
            </w:pPr>
            <w:r w:rsidRPr="00B34DCC">
              <w:rPr>
                <w:color w:val="000000"/>
                <w:szCs w:val="19"/>
              </w:rPr>
              <w:t>Matrix Lighting Inc</w:t>
            </w:r>
          </w:p>
        </w:tc>
      </w:tr>
      <w:tr w:rsidR="00613925" w:rsidRPr="00B34DCC" w:rsidTr="00613925">
        <w:trPr>
          <w:cnfStyle w:val="000000100000" w:firstRow="0" w:lastRow="0" w:firstColumn="0" w:lastColumn="0" w:oddVBand="0" w:evenVBand="0" w:oddHBand="1" w:evenHBand="0" w:firstRowFirstColumn="0" w:firstRowLastColumn="0" w:lastRowFirstColumn="0" w:lastRowLastColumn="0"/>
          <w:trHeight w:val="300"/>
        </w:trPr>
        <w:tc>
          <w:tcPr>
            <w:tcW w:w="1971" w:type="dxa"/>
            <w:noWrap/>
            <w:vAlign w:val="bottom"/>
          </w:tcPr>
          <w:p w:rsidR="00613925" w:rsidRPr="00B34DCC" w:rsidRDefault="00613925" w:rsidP="00BB47F5">
            <w:pPr>
              <w:rPr>
                <w:color w:val="000000"/>
                <w:szCs w:val="19"/>
              </w:rPr>
            </w:pPr>
            <w:r w:rsidRPr="00B34DCC">
              <w:rPr>
                <w:color w:val="000000"/>
                <w:szCs w:val="19"/>
              </w:rPr>
              <w:t>Megaman</w:t>
            </w:r>
          </w:p>
        </w:tc>
        <w:tc>
          <w:tcPr>
            <w:tcW w:w="2087" w:type="dxa"/>
            <w:vAlign w:val="bottom"/>
          </w:tcPr>
          <w:p w:rsidR="00613925" w:rsidRPr="00B34DCC" w:rsidRDefault="00613925" w:rsidP="00BB47F5">
            <w:pPr>
              <w:rPr>
                <w:color w:val="000000"/>
                <w:szCs w:val="19"/>
              </w:rPr>
            </w:pPr>
            <w:r w:rsidRPr="00B34DCC">
              <w:rPr>
                <w:color w:val="000000"/>
                <w:szCs w:val="19"/>
              </w:rPr>
              <w:t>Mort Bay</w:t>
            </w:r>
          </w:p>
        </w:tc>
        <w:tc>
          <w:tcPr>
            <w:tcW w:w="2111" w:type="dxa"/>
            <w:vAlign w:val="bottom"/>
          </w:tcPr>
          <w:p w:rsidR="00613925" w:rsidRPr="00B34DCC" w:rsidRDefault="00613925" w:rsidP="00BB47F5">
            <w:pPr>
              <w:rPr>
                <w:color w:val="000000"/>
                <w:szCs w:val="19"/>
              </w:rPr>
            </w:pPr>
            <w:r w:rsidRPr="00B34DCC">
              <w:rPr>
                <w:color w:val="000000"/>
                <w:szCs w:val="19"/>
              </w:rPr>
              <w:t>NaturaLED</w:t>
            </w:r>
          </w:p>
        </w:tc>
        <w:tc>
          <w:tcPr>
            <w:tcW w:w="2027" w:type="dxa"/>
            <w:vAlign w:val="bottom"/>
          </w:tcPr>
          <w:p w:rsidR="00613925" w:rsidRPr="00B34DCC" w:rsidRDefault="00613925" w:rsidP="00BB47F5">
            <w:pPr>
              <w:rPr>
                <w:color w:val="000000"/>
                <w:szCs w:val="19"/>
              </w:rPr>
            </w:pPr>
            <w:r w:rsidRPr="00B34DCC">
              <w:rPr>
                <w:color w:val="000000"/>
                <w:szCs w:val="19"/>
              </w:rPr>
              <w:t>Nelson</w:t>
            </w:r>
          </w:p>
        </w:tc>
        <w:tc>
          <w:tcPr>
            <w:tcW w:w="1659" w:type="dxa"/>
            <w:vAlign w:val="bottom"/>
          </w:tcPr>
          <w:p w:rsidR="00613925" w:rsidRPr="00B34DCC" w:rsidRDefault="00613925" w:rsidP="00BB47F5">
            <w:pPr>
              <w:rPr>
                <w:color w:val="000000"/>
                <w:szCs w:val="19"/>
              </w:rPr>
            </w:pPr>
            <w:r w:rsidRPr="00B34DCC">
              <w:rPr>
                <w:color w:val="000000"/>
                <w:szCs w:val="19"/>
              </w:rPr>
              <w:t>Nemo</w:t>
            </w:r>
          </w:p>
        </w:tc>
      </w:tr>
      <w:tr w:rsidR="00613925" w:rsidRPr="00B34DCC" w:rsidTr="00613925">
        <w:trPr>
          <w:cnfStyle w:val="000000010000" w:firstRow="0" w:lastRow="0" w:firstColumn="0" w:lastColumn="0" w:oddVBand="0" w:evenVBand="0" w:oddHBand="0" w:evenHBand="1" w:firstRowFirstColumn="0" w:firstRowLastColumn="0" w:lastRowFirstColumn="0" w:lastRowLastColumn="0"/>
          <w:trHeight w:val="300"/>
        </w:trPr>
        <w:tc>
          <w:tcPr>
            <w:tcW w:w="1971" w:type="dxa"/>
            <w:noWrap/>
            <w:vAlign w:val="bottom"/>
          </w:tcPr>
          <w:p w:rsidR="00613925" w:rsidRPr="00B34DCC" w:rsidRDefault="00613925" w:rsidP="00BB47F5">
            <w:pPr>
              <w:rPr>
                <w:color w:val="000000"/>
                <w:szCs w:val="19"/>
              </w:rPr>
            </w:pPr>
            <w:r w:rsidRPr="00B34DCC">
              <w:rPr>
                <w:color w:val="000000"/>
                <w:szCs w:val="19"/>
              </w:rPr>
              <w:t>OPTILED</w:t>
            </w:r>
          </w:p>
        </w:tc>
        <w:tc>
          <w:tcPr>
            <w:tcW w:w="2087" w:type="dxa"/>
            <w:vAlign w:val="bottom"/>
          </w:tcPr>
          <w:p w:rsidR="00613925" w:rsidRPr="00B34DCC" w:rsidRDefault="00613925" w:rsidP="00BB47F5">
            <w:pPr>
              <w:rPr>
                <w:color w:val="000000"/>
                <w:szCs w:val="19"/>
              </w:rPr>
            </w:pPr>
            <w:r w:rsidRPr="00B34DCC">
              <w:rPr>
                <w:color w:val="000000"/>
                <w:szCs w:val="19"/>
              </w:rPr>
              <w:t>Osram</w:t>
            </w:r>
          </w:p>
        </w:tc>
        <w:tc>
          <w:tcPr>
            <w:tcW w:w="2111" w:type="dxa"/>
            <w:vAlign w:val="bottom"/>
          </w:tcPr>
          <w:p w:rsidR="00613925" w:rsidRPr="00B34DCC" w:rsidRDefault="00613925" w:rsidP="00BB47F5">
            <w:pPr>
              <w:rPr>
                <w:color w:val="000000"/>
                <w:szCs w:val="19"/>
              </w:rPr>
            </w:pPr>
            <w:r w:rsidRPr="00B34DCC">
              <w:rPr>
                <w:color w:val="000000"/>
                <w:szCs w:val="19"/>
              </w:rPr>
              <w:t>Philips</w:t>
            </w:r>
          </w:p>
        </w:tc>
        <w:tc>
          <w:tcPr>
            <w:tcW w:w="2027" w:type="dxa"/>
            <w:vAlign w:val="bottom"/>
          </w:tcPr>
          <w:p w:rsidR="00613925" w:rsidRPr="00B34DCC" w:rsidRDefault="00613925" w:rsidP="00BB47F5">
            <w:pPr>
              <w:rPr>
                <w:color w:val="000000"/>
                <w:szCs w:val="19"/>
              </w:rPr>
            </w:pPr>
            <w:r w:rsidRPr="00B34DCC">
              <w:rPr>
                <w:color w:val="000000"/>
                <w:szCs w:val="19"/>
              </w:rPr>
              <w:t>Premium</w:t>
            </w:r>
          </w:p>
        </w:tc>
        <w:tc>
          <w:tcPr>
            <w:tcW w:w="1659" w:type="dxa"/>
            <w:vAlign w:val="bottom"/>
          </w:tcPr>
          <w:p w:rsidR="00613925" w:rsidRPr="00B34DCC" w:rsidRDefault="00613925" w:rsidP="00BB47F5">
            <w:pPr>
              <w:rPr>
                <w:color w:val="000000"/>
                <w:szCs w:val="19"/>
              </w:rPr>
            </w:pPr>
            <w:r w:rsidRPr="00B34DCC">
              <w:rPr>
                <w:color w:val="000000"/>
                <w:szCs w:val="19"/>
              </w:rPr>
              <w:t>Prime</w:t>
            </w:r>
          </w:p>
        </w:tc>
      </w:tr>
      <w:tr w:rsidR="00613925" w:rsidRPr="00B34DCC" w:rsidTr="00613925">
        <w:trPr>
          <w:cnfStyle w:val="000000100000" w:firstRow="0" w:lastRow="0" w:firstColumn="0" w:lastColumn="0" w:oddVBand="0" w:evenVBand="0" w:oddHBand="1" w:evenHBand="0" w:firstRowFirstColumn="0" w:firstRowLastColumn="0" w:lastRowFirstColumn="0" w:lastRowLastColumn="0"/>
          <w:trHeight w:val="300"/>
        </w:trPr>
        <w:tc>
          <w:tcPr>
            <w:tcW w:w="1971" w:type="dxa"/>
            <w:noWrap/>
            <w:vAlign w:val="bottom"/>
          </w:tcPr>
          <w:p w:rsidR="00613925" w:rsidRPr="00B34DCC" w:rsidRDefault="00613925" w:rsidP="00BB47F5">
            <w:pPr>
              <w:rPr>
                <w:color w:val="000000"/>
                <w:szCs w:val="19"/>
              </w:rPr>
            </w:pPr>
            <w:r w:rsidRPr="00B34DCC">
              <w:rPr>
                <w:color w:val="000000"/>
                <w:szCs w:val="19"/>
              </w:rPr>
              <w:t>Rock</w:t>
            </w:r>
          </w:p>
        </w:tc>
        <w:tc>
          <w:tcPr>
            <w:tcW w:w="2087" w:type="dxa"/>
            <w:vAlign w:val="bottom"/>
          </w:tcPr>
          <w:p w:rsidR="00613925" w:rsidRPr="00B34DCC" w:rsidRDefault="00613925" w:rsidP="00BB47F5">
            <w:pPr>
              <w:rPr>
                <w:color w:val="000000"/>
                <w:szCs w:val="19"/>
              </w:rPr>
            </w:pPr>
            <w:r w:rsidRPr="00B34DCC">
              <w:rPr>
                <w:color w:val="000000"/>
                <w:szCs w:val="19"/>
              </w:rPr>
              <w:t>Shadowline</w:t>
            </w:r>
          </w:p>
        </w:tc>
        <w:tc>
          <w:tcPr>
            <w:tcW w:w="2111" w:type="dxa"/>
            <w:vAlign w:val="bottom"/>
          </w:tcPr>
          <w:p w:rsidR="00613925" w:rsidRPr="00B34DCC" w:rsidRDefault="00613925" w:rsidP="00BB47F5">
            <w:pPr>
              <w:rPr>
                <w:color w:val="000000"/>
                <w:szCs w:val="19"/>
              </w:rPr>
            </w:pPr>
            <w:r w:rsidRPr="00B34DCC">
              <w:rPr>
                <w:color w:val="000000"/>
                <w:szCs w:val="19"/>
              </w:rPr>
              <w:t>SMD</w:t>
            </w:r>
          </w:p>
        </w:tc>
        <w:tc>
          <w:tcPr>
            <w:tcW w:w="2027" w:type="dxa"/>
            <w:vAlign w:val="bottom"/>
          </w:tcPr>
          <w:p w:rsidR="00613925" w:rsidRPr="00B34DCC" w:rsidRDefault="00613925" w:rsidP="00BB47F5">
            <w:pPr>
              <w:rPr>
                <w:color w:val="000000"/>
                <w:szCs w:val="19"/>
              </w:rPr>
            </w:pPr>
            <w:r w:rsidRPr="00B34DCC">
              <w:rPr>
                <w:color w:val="000000"/>
                <w:szCs w:val="19"/>
              </w:rPr>
              <w:t>Sylvania</w:t>
            </w:r>
          </w:p>
        </w:tc>
        <w:tc>
          <w:tcPr>
            <w:tcW w:w="1659" w:type="dxa"/>
            <w:vAlign w:val="bottom"/>
          </w:tcPr>
          <w:p w:rsidR="00613925" w:rsidRPr="00B34DCC" w:rsidRDefault="00613925" w:rsidP="00BB47F5">
            <w:pPr>
              <w:rPr>
                <w:color w:val="000000"/>
                <w:szCs w:val="19"/>
              </w:rPr>
            </w:pPr>
            <w:r w:rsidRPr="00B34DCC">
              <w:rPr>
                <w:color w:val="000000"/>
                <w:szCs w:val="19"/>
              </w:rPr>
              <w:t>Unbranded (many sources)</w:t>
            </w:r>
          </w:p>
        </w:tc>
      </w:tr>
      <w:tr w:rsidR="00613925" w:rsidRPr="00B34DCC" w:rsidTr="00613925">
        <w:trPr>
          <w:cnfStyle w:val="000000010000" w:firstRow="0" w:lastRow="0" w:firstColumn="0" w:lastColumn="0" w:oddVBand="0" w:evenVBand="0" w:oddHBand="0" w:evenHBand="1" w:firstRowFirstColumn="0" w:firstRowLastColumn="0" w:lastRowFirstColumn="0" w:lastRowLastColumn="0"/>
          <w:trHeight w:val="300"/>
        </w:trPr>
        <w:tc>
          <w:tcPr>
            <w:tcW w:w="1971" w:type="dxa"/>
            <w:noWrap/>
            <w:vAlign w:val="bottom"/>
          </w:tcPr>
          <w:p w:rsidR="00613925" w:rsidRPr="00B34DCC" w:rsidRDefault="00613925" w:rsidP="00BB47F5">
            <w:pPr>
              <w:rPr>
                <w:color w:val="000000"/>
                <w:szCs w:val="19"/>
              </w:rPr>
            </w:pPr>
            <w:r w:rsidRPr="00B34DCC">
              <w:rPr>
                <w:color w:val="000000"/>
                <w:szCs w:val="19"/>
              </w:rPr>
              <w:t>Upshine</w:t>
            </w:r>
          </w:p>
        </w:tc>
        <w:tc>
          <w:tcPr>
            <w:tcW w:w="2087" w:type="dxa"/>
            <w:vAlign w:val="bottom"/>
          </w:tcPr>
          <w:p w:rsidR="00613925" w:rsidRPr="00B34DCC" w:rsidRDefault="00613925" w:rsidP="00BB47F5">
            <w:pPr>
              <w:rPr>
                <w:color w:val="000000"/>
                <w:szCs w:val="19"/>
              </w:rPr>
            </w:pPr>
            <w:r w:rsidRPr="00B34DCC">
              <w:rPr>
                <w:color w:val="000000"/>
                <w:szCs w:val="19"/>
              </w:rPr>
              <w:t>Verbatim</w:t>
            </w:r>
          </w:p>
        </w:tc>
        <w:tc>
          <w:tcPr>
            <w:tcW w:w="2111" w:type="dxa"/>
            <w:vAlign w:val="bottom"/>
          </w:tcPr>
          <w:p w:rsidR="00613925" w:rsidRPr="00B34DCC" w:rsidRDefault="00613925" w:rsidP="00BB47F5">
            <w:pPr>
              <w:rPr>
                <w:color w:val="000000"/>
                <w:szCs w:val="19"/>
              </w:rPr>
            </w:pPr>
            <w:r w:rsidRPr="00B34DCC">
              <w:rPr>
                <w:color w:val="000000"/>
                <w:szCs w:val="19"/>
              </w:rPr>
              <w:t>Viribright</w:t>
            </w:r>
          </w:p>
        </w:tc>
        <w:tc>
          <w:tcPr>
            <w:tcW w:w="2027" w:type="dxa"/>
            <w:vAlign w:val="bottom"/>
          </w:tcPr>
          <w:p w:rsidR="00613925" w:rsidRPr="00B34DCC" w:rsidRDefault="00613925" w:rsidP="00BB47F5">
            <w:pPr>
              <w:rPr>
                <w:color w:val="000000"/>
                <w:szCs w:val="19"/>
              </w:rPr>
            </w:pPr>
            <w:r w:rsidRPr="00B34DCC">
              <w:rPr>
                <w:color w:val="000000"/>
                <w:szCs w:val="19"/>
              </w:rPr>
              <w:t>Vibe</w:t>
            </w:r>
          </w:p>
        </w:tc>
        <w:tc>
          <w:tcPr>
            <w:tcW w:w="1659" w:type="dxa"/>
            <w:vAlign w:val="bottom"/>
          </w:tcPr>
          <w:p w:rsidR="00613925" w:rsidRPr="00B34DCC" w:rsidRDefault="00613925" w:rsidP="00BB47F5">
            <w:pPr>
              <w:rPr>
                <w:color w:val="000000"/>
                <w:szCs w:val="19"/>
              </w:rPr>
            </w:pPr>
            <w:r w:rsidRPr="00B34DCC">
              <w:rPr>
                <w:color w:val="000000"/>
                <w:szCs w:val="19"/>
              </w:rPr>
              <w:t>Z LED</w:t>
            </w:r>
          </w:p>
        </w:tc>
      </w:tr>
    </w:tbl>
    <w:p w:rsidR="00F86E3A" w:rsidRDefault="00F86E3A" w:rsidP="00613925">
      <w:pPr>
        <w:rPr>
          <w:lang w:eastAsia="en-AU"/>
        </w:rPr>
      </w:pPr>
    </w:p>
    <w:p w:rsidR="00613925" w:rsidRDefault="00613925" w:rsidP="00613925">
      <w:pPr>
        <w:rPr>
          <w:lang w:eastAsia="en-AU"/>
        </w:rPr>
      </w:pPr>
      <w:r>
        <w:rPr>
          <w:lang w:eastAsia="en-AU"/>
        </w:rPr>
        <w:t>Performance data of LED lamps that are available in Australia and New Zealand was obtained from the suppliers listed below. Almost all suppliers are locally-based, and range from the “Big-box” hardware store, to general lighting retail, specialist lighting stores, and electrical retail suppliers, (all of which have online options for purchasing); in addition, online-only lighting retailers and direct manufacturer/suppliers were also identified.</w:t>
      </w:r>
    </w:p>
    <w:p w:rsidR="004F33AC" w:rsidRDefault="00613925" w:rsidP="00F0347E">
      <w:pPr>
        <w:rPr>
          <w:lang w:eastAsia="en-AU"/>
        </w:rPr>
      </w:pPr>
      <w:r>
        <w:rPr>
          <w:lang w:eastAsia="en-AU"/>
        </w:rPr>
        <w:t>In addition to sourcing of claimed performance data from available supplier information, a range of LED lamps were tested by DCCEE and EECA in 2010, 2012, 2013 and 2014.  M</w:t>
      </w:r>
      <w:r w:rsidR="005E7BCF">
        <w:rPr>
          <w:lang w:eastAsia="en-AU"/>
        </w:rPr>
        <w:t>ost of these were obtained from</w:t>
      </w:r>
      <w:r>
        <w:rPr>
          <w:lang w:eastAsia="en-AU"/>
        </w:rPr>
        <w:t xml:space="preserve"> suppliers in the Australian and New Zealand markets while some lamps tested in 2010 were obtained from the United States and United Kingdom, to provide an international viewpoint on LED performance.</w:t>
      </w:r>
    </w:p>
    <w:p w:rsidR="00A219E2" w:rsidRDefault="00A219E2" w:rsidP="004F33AC">
      <w:pPr>
        <w:rPr>
          <w:highlight w:val="yellow"/>
        </w:rPr>
      </w:pPr>
    </w:p>
    <w:p w:rsidR="00F86E3A" w:rsidRDefault="00603AFB" w:rsidP="00F86E3A">
      <w:pPr>
        <w:pStyle w:val="Caption"/>
        <w:keepNext/>
      </w:pPr>
      <w:bookmarkStart w:id="117" w:name="_Toc426387819"/>
      <w:r>
        <w:t xml:space="preserve">Table </w:t>
      </w:r>
      <w:r>
        <w:fldChar w:fldCharType="begin"/>
      </w:r>
      <w:r>
        <w:instrText xml:space="preserve"> SEQ Table \* ARABIC </w:instrText>
      </w:r>
      <w:r>
        <w:fldChar w:fldCharType="separate"/>
      </w:r>
      <w:r w:rsidR="002C13E2">
        <w:rPr>
          <w:noProof/>
        </w:rPr>
        <w:t>4</w:t>
      </w:r>
      <w:r>
        <w:fldChar w:fldCharType="end"/>
      </w:r>
      <w:r>
        <w:t xml:space="preserve">. </w:t>
      </w:r>
      <w:r w:rsidRPr="0027475C">
        <w:t>Examples of LED lighting product suppli</w:t>
      </w:r>
      <w:r w:rsidR="00BD2F5E">
        <w:t>ers in Australia</w:t>
      </w:r>
      <w:r w:rsidRPr="0027475C">
        <w:t>.</w:t>
      </w:r>
      <w:bookmarkEnd w:id="117"/>
    </w:p>
    <w:tbl>
      <w:tblPr>
        <w:tblStyle w:val="TableContemporary"/>
        <w:tblW w:w="4226" w:type="pct"/>
        <w:tblLayout w:type="fixed"/>
        <w:tblLook w:val="04A0" w:firstRow="1" w:lastRow="0" w:firstColumn="1" w:lastColumn="0" w:noHBand="0" w:noVBand="1"/>
      </w:tblPr>
      <w:tblGrid>
        <w:gridCol w:w="4164"/>
        <w:gridCol w:w="4165"/>
      </w:tblGrid>
      <w:tr w:rsidR="00613925" w:rsidRPr="00657EC3" w:rsidTr="006224FD">
        <w:trPr>
          <w:cnfStyle w:val="100000000000" w:firstRow="1" w:lastRow="0" w:firstColumn="0" w:lastColumn="0" w:oddVBand="0" w:evenVBand="0" w:oddHBand="0" w:evenHBand="0" w:firstRowFirstColumn="0" w:firstRowLastColumn="0" w:lastRowFirstColumn="0" w:lastRowLastColumn="0"/>
          <w:trHeight w:val="486"/>
          <w:tblHeader/>
        </w:trPr>
        <w:tc>
          <w:tcPr>
            <w:tcW w:w="4164" w:type="dxa"/>
            <w:hideMark/>
          </w:tcPr>
          <w:p w:rsidR="00613925" w:rsidRPr="006D3F93" w:rsidRDefault="00B525E0" w:rsidP="00BB47F5">
            <w:pPr>
              <w:spacing w:after="0" w:line="240" w:lineRule="auto"/>
              <w:rPr>
                <w:rFonts w:eastAsia="Times New Roman"/>
                <w:color w:val="000000"/>
                <w:szCs w:val="19"/>
              </w:rPr>
            </w:pPr>
            <w:r w:rsidRPr="006D3F93">
              <w:rPr>
                <w:rFonts w:eastAsia="Times New Roman"/>
                <w:color w:val="000000"/>
                <w:szCs w:val="19"/>
              </w:rPr>
              <w:t>Supplier</w:t>
            </w:r>
          </w:p>
        </w:tc>
        <w:tc>
          <w:tcPr>
            <w:tcW w:w="4165" w:type="dxa"/>
            <w:hideMark/>
          </w:tcPr>
          <w:p w:rsidR="00613925" w:rsidRPr="006D3F93" w:rsidRDefault="00B525E0" w:rsidP="00BB47F5">
            <w:pPr>
              <w:spacing w:after="0" w:line="240" w:lineRule="auto"/>
              <w:rPr>
                <w:rFonts w:eastAsia="Times New Roman"/>
                <w:color w:val="000000"/>
                <w:szCs w:val="19"/>
              </w:rPr>
            </w:pPr>
            <w:r w:rsidRPr="006D3F93">
              <w:rPr>
                <w:rFonts w:eastAsia="Times New Roman"/>
                <w:color w:val="000000"/>
                <w:szCs w:val="19"/>
              </w:rPr>
              <w:t>Outlet type</w:t>
            </w:r>
          </w:p>
        </w:tc>
      </w:tr>
      <w:tr w:rsidR="00613925" w:rsidRPr="00657EC3" w:rsidTr="005B6FDE">
        <w:trPr>
          <w:cnfStyle w:val="000000100000" w:firstRow="0" w:lastRow="0" w:firstColumn="0" w:lastColumn="0" w:oddVBand="0" w:evenVBand="0" w:oddHBand="1" w:evenHBand="0" w:firstRowFirstColumn="0" w:firstRowLastColumn="0" w:lastRowFirstColumn="0" w:lastRowLastColumn="0"/>
          <w:trHeight w:val="435"/>
        </w:trPr>
        <w:tc>
          <w:tcPr>
            <w:tcW w:w="4164" w:type="dxa"/>
            <w:noWrap/>
            <w:vAlign w:val="bottom"/>
          </w:tcPr>
          <w:p w:rsidR="00613925" w:rsidRPr="006D3F93" w:rsidRDefault="00B525E0" w:rsidP="00BB47F5">
            <w:pPr>
              <w:rPr>
                <w:rFonts w:cs="Arial"/>
                <w:color w:val="000000"/>
                <w:szCs w:val="19"/>
              </w:rPr>
            </w:pPr>
            <w:r w:rsidRPr="006D3F93">
              <w:rPr>
                <w:rFonts w:cs="Arial"/>
                <w:color w:val="000000"/>
                <w:szCs w:val="19"/>
              </w:rPr>
              <w:t>Alternative Technology Association (ATA)</w:t>
            </w:r>
          </w:p>
        </w:tc>
        <w:tc>
          <w:tcPr>
            <w:tcW w:w="4165" w:type="dxa"/>
            <w:noWrap/>
            <w:vAlign w:val="bottom"/>
          </w:tcPr>
          <w:p w:rsidR="00613925" w:rsidRPr="006D3F93" w:rsidRDefault="00B525E0" w:rsidP="00BB47F5">
            <w:pPr>
              <w:rPr>
                <w:rFonts w:cs="Arial"/>
                <w:color w:val="000000"/>
                <w:szCs w:val="19"/>
              </w:rPr>
            </w:pPr>
            <w:r w:rsidRPr="006D3F93">
              <w:rPr>
                <w:rFonts w:cs="Arial"/>
                <w:color w:val="000000"/>
                <w:szCs w:val="19"/>
              </w:rPr>
              <w:t>specialist energy efficiency retail</w:t>
            </w:r>
          </w:p>
        </w:tc>
      </w:tr>
      <w:tr w:rsidR="00613925" w:rsidRPr="00657EC3" w:rsidTr="005B6FDE">
        <w:trPr>
          <w:cnfStyle w:val="000000010000" w:firstRow="0" w:lastRow="0" w:firstColumn="0" w:lastColumn="0" w:oddVBand="0" w:evenVBand="0" w:oddHBand="0" w:evenHBand="1" w:firstRowFirstColumn="0" w:firstRowLastColumn="0" w:lastRowFirstColumn="0" w:lastRowLastColumn="0"/>
          <w:trHeight w:val="300"/>
        </w:trPr>
        <w:tc>
          <w:tcPr>
            <w:tcW w:w="4164" w:type="dxa"/>
            <w:noWrap/>
            <w:vAlign w:val="bottom"/>
            <w:hideMark/>
          </w:tcPr>
          <w:p w:rsidR="00613925" w:rsidRPr="006D3F93" w:rsidRDefault="00B525E0" w:rsidP="00BB47F5">
            <w:pPr>
              <w:rPr>
                <w:rFonts w:cs="Arial"/>
                <w:color w:val="000000"/>
                <w:szCs w:val="19"/>
              </w:rPr>
            </w:pPr>
            <w:r w:rsidRPr="006D3F93">
              <w:rPr>
                <w:rFonts w:cs="Arial"/>
                <w:color w:val="000000"/>
                <w:szCs w:val="19"/>
              </w:rPr>
              <w:t>Andrews Light Up</w:t>
            </w:r>
          </w:p>
        </w:tc>
        <w:tc>
          <w:tcPr>
            <w:tcW w:w="4165" w:type="dxa"/>
            <w:noWrap/>
            <w:vAlign w:val="bottom"/>
            <w:hideMark/>
          </w:tcPr>
          <w:p w:rsidR="00613925" w:rsidRPr="006D3F93" w:rsidRDefault="00B525E0" w:rsidP="00BB47F5">
            <w:pPr>
              <w:rPr>
                <w:rFonts w:cs="Arial"/>
                <w:color w:val="000000"/>
                <w:szCs w:val="19"/>
              </w:rPr>
            </w:pPr>
            <w:r w:rsidRPr="006D3F93">
              <w:rPr>
                <w:rFonts w:cs="Arial"/>
                <w:color w:val="000000"/>
                <w:szCs w:val="19"/>
              </w:rPr>
              <w:t>specialist lighting retail</w:t>
            </w:r>
          </w:p>
        </w:tc>
      </w:tr>
      <w:tr w:rsidR="00613925" w:rsidRPr="00657EC3" w:rsidTr="005B6FDE">
        <w:trPr>
          <w:cnfStyle w:val="000000100000" w:firstRow="0" w:lastRow="0" w:firstColumn="0" w:lastColumn="0" w:oddVBand="0" w:evenVBand="0" w:oddHBand="1" w:evenHBand="0" w:firstRowFirstColumn="0" w:firstRowLastColumn="0" w:lastRowFirstColumn="0" w:lastRowLastColumn="0"/>
          <w:trHeight w:val="300"/>
        </w:trPr>
        <w:tc>
          <w:tcPr>
            <w:tcW w:w="4164" w:type="dxa"/>
            <w:noWrap/>
            <w:vAlign w:val="bottom"/>
          </w:tcPr>
          <w:p w:rsidR="00613925" w:rsidRPr="006D3F93" w:rsidRDefault="00B525E0" w:rsidP="00BB47F5">
            <w:pPr>
              <w:rPr>
                <w:rFonts w:cs="Arial"/>
                <w:color w:val="000000"/>
                <w:szCs w:val="19"/>
              </w:rPr>
            </w:pPr>
            <w:r w:rsidRPr="006D3F93">
              <w:rPr>
                <w:rFonts w:cs="Arial"/>
                <w:color w:val="000000"/>
                <w:szCs w:val="19"/>
              </w:rPr>
              <w:t>ANL Lighting</w:t>
            </w:r>
          </w:p>
        </w:tc>
        <w:tc>
          <w:tcPr>
            <w:tcW w:w="4165" w:type="dxa"/>
            <w:noWrap/>
            <w:vAlign w:val="bottom"/>
          </w:tcPr>
          <w:p w:rsidR="00613925" w:rsidRPr="006D3F93" w:rsidRDefault="00B525E0" w:rsidP="00BB47F5">
            <w:pPr>
              <w:rPr>
                <w:rFonts w:cs="Arial"/>
                <w:color w:val="000000"/>
                <w:szCs w:val="19"/>
              </w:rPr>
            </w:pPr>
            <w:r w:rsidRPr="006D3F93">
              <w:rPr>
                <w:rFonts w:cs="Arial"/>
                <w:color w:val="000000"/>
                <w:szCs w:val="19"/>
              </w:rPr>
              <w:t>specialist energy efficiency retail</w:t>
            </w:r>
          </w:p>
        </w:tc>
      </w:tr>
      <w:tr w:rsidR="00613925" w:rsidRPr="00657EC3" w:rsidTr="005B6FDE">
        <w:trPr>
          <w:cnfStyle w:val="000000010000" w:firstRow="0" w:lastRow="0" w:firstColumn="0" w:lastColumn="0" w:oddVBand="0" w:evenVBand="0" w:oddHBand="0" w:evenHBand="1" w:firstRowFirstColumn="0" w:firstRowLastColumn="0" w:lastRowFirstColumn="0" w:lastRowLastColumn="0"/>
          <w:trHeight w:val="300"/>
        </w:trPr>
        <w:tc>
          <w:tcPr>
            <w:tcW w:w="4164" w:type="dxa"/>
            <w:noWrap/>
            <w:vAlign w:val="bottom"/>
          </w:tcPr>
          <w:p w:rsidR="00613925" w:rsidRPr="006D3F93" w:rsidRDefault="00B525E0" w:rsidP="00BB47F5">
            <w:pPr>
              <w:rPr>
                <w:rFonts w:cs="Arial"/>
                <w:color w:val="000000"/>
                <w:szCs w:val="19"/>
              </w:rPr>
            </w:pPr>
            <w:r w:rsidRPr="006D3F93">
              <w:rPr>
                <w:rFonts w:cs="Arial"/>
                <w:color w:val="000000"/>
                <w:szCs w:val="19"/>
              </w:rPr>
              <w:t>Artemis Building Systems (ABS)</w:t>
            </w:r>
          </w:p>
        </w:tc>
        <w:tc>
          <w:tcPr>
            <w:tcW w:w="4165" w:type="dxa"/>
            <w:noWrap/>
            <w:vAlign w:val="bottom"/>
          </w:tcPr>
          <w:p w:rsidR="00613925" w:rsidRPr="006D3F93" w:rsidRDefault="00B525E0" w:rsidP="00BB47F5">
            <w:pPr>
              <w:rPr>
                <w:rFonts w:cs="Arial"/>
                <w:color w:val="000000"/>
                <w:szCs w:val="19"/>
              </w:rPr>
            </w:pPr>
            <w:r w:rsidRPr="006D3F93">
              <w:rPr>
                <w:rFonts w:cs="Arial"/>
                <w:color w:val="000000"/>
                <w:szCs w:val="19"/>
              </w:rPr>
              <w:t>specialist lighting retail</w:t>
            </w:r>
          </w:p>
        </w:tc>
      </w:tr>
      <w:tr w:rsidR="00613925" w:rsidRPr="00657EC3" w:rsidTr="005B6FDE">
        <w:trPr>
          <w:cnfStyle w:val="000000100000" w:firstRow="0" w:lastRow="0" w:firstColumn="0" w:lastColumn="0" w:oddVBand="0" w:evenVBand="0" w:oddHBand="1" w:evenHBand="0" w:firstRowFirstColumn="0" w:firstRowLastColumn="0" w:lastRowFirstColumn="0" w:lastRowLastColumn="0"/>
          <w:trHeight w:val="300"/>
        </w:trPr>
        <w:tc>
          <w:tcPr>
            <w:tcW w:w="4164" w:type="dxa"/>
            <w:noWrap/>
            <w:vAlign w:val="bottom"/>
            <w:hideMark/>
          </w:tcPr>
          <w:p w:rsidR="00613925" w:rsidRPr="006D3F93" w:rsidRDefault="00B525E0" w:rsidP="00BB47F5">
            <w:pPr>
              <w:rPr>
                <w:rFonts w:cs="Arial"/>
                <w:color w:val="000000"/>
                <w:szCs w:val="19"/>
              </w:rPr>
            </w:pPr>
            <w:r w:rsidRPr="006D3F93">
              <w:rPr>
                <w:rFonts w:cs="Arial"/>
                <w:color w:val="000000"/>
                <w:szCs w:val="19"/>
              </w:rPr>
              <w:t xml:space="preserve">Beacon Lighting </w:t>
            </w:r>
          </w:p>
        </w:tc>
        <w:tc>
          <w:tcPr>
            <w:tcW w:w="4165" w:type="dxa"/>
            <w:noWrap/>
            <w:vAlign w:val="bottom"/>
            <w:hideMark/>
          </w:tcPr>
          <w:p w:rsidR="00613925" w:rsidRPr="006D3F93" w:rsidRDefault="00B525E0" w:rsidP="00BB47F5">
            <w:pPr>
              <w:rPr>
                <w:rFonts w:cs="Arial"/>
                <w:color w:val="000000"/>
                <w:szCs w:val="19"/>
              </w:rPr>
            </w:pPr>
            <w:r w:rsidRPr="006D3F93">
              <w:rPr>
                <w:rFonts w:cs="Arial"/>
                <w:color w:val="000000"/>
                <w:szCs w:val="19"/>
              </w:rPr>
              <w:t>general lighting retail</w:t>
            </w:r>
          </w:p>
        </w:tc>
      </w:tr>
      <w:tr w:rsidR="00613925" w:rsidRPr="00657EC3" w:rsidTr="005B6FDE">
        <w:trPr>
          <w:cnfStyle w:val="000000010000" w:firstRow="0" w:lastRow="0" w:firstColumn="0" w:lastColumn="0" w:oddVBand="0" w:evenVBand="0" w:oddHBand="0" w:evenHBand="1" w:firstRowFirstColumn="0" w:firstRowLastColumn="0" w:lastRowFirstColumn="0" w:lastRowLastColumn="0"/>
          <w:trHeight w:val="300"/>
        </w:trPr>
        <w:tc>
          <w:tcPr>
            <w:tcW w:w="4164" w:type="dxa"/>
            <w:noWrap/>
            <w:vAlign w:val="bottom"/>
            <w:hideMark/>
          </w:tcPr>
          <w:p w:rsidR="00613925" w:rsidRPr="006D3F93" w:rsidRDefault="00B525E0" w:rsidP="00BB47F5">
            <w:pPr>
              <w:rPr>
                <w:rFonts w:cs="Arial"/>
                <w:color w:val="000000"/>
                <w:szCs w:val="19"/>
              </w:rPr>
            </w:pPr>
            <w:r w:rsidRPr="006D3F93">
              <w:rPr>
                <w:rFonts w:cs="Arial"/>
                <w:color w:val="000000"/>
                <w:szCs w:val="19"/>
              </w:rPr>
              <w:t>Bunnings</w:t>
            </w:r>
          </w:p>
        </w:tc>
        <w:tc>
          <w:tcPr>
            <w:tcW w:w="4165" w:type="dxa"/>
            <w:noWrap/>
            <w:vAlign w:val="bottom"/>
            <w:hideMark/>
          </w:tcPr>
          <w:p w:rsidR="00613925" w:rsidRPr="006D3F93" w:rsidRDefault="00603AFB" w:rsidP="00BB47F5">
            <w:pPr>
              <w:rPr>
                <w:rFonts w:cs="Arial"/>
                <w:color w:val="000000"/>
                <w:szCs w:val="19"/>
              </w:rPr>
            </w:pPr>
            <w:r w:rsidRPr="006D3F93">
              <w:rPr>
                <w:rFonts w:cs="Arial"/>
                <w:color w:val="000000"/>
                <w:szCs w:val="19"/>
              </w:rPr>
              <w:t>big box</w:t>
            </w:r>
            <w:r w:rsidR="00B525E0" w:rsidRPr="006D3F93">
              <w:rPr>
                <w:rFonts w:cs="Arial"/>
                <w:color w:val="000000"/>
                <w:szCs w:val="19"/>
              </w:rPr>
              <w:t xml:space="preserve"> hardware retailer</w:t>
            </w:r>
          </w:p>
        </w:tc>
      </w:tr>
      <w:tr w:rsidR="00613925" w:rsidRPr="00657EC3" w:rsidTr="005B6FDE">
        <w:trPr>
          <w:cnfStyle w:val="000000100000" w:firstRow="0" w:lastRow="0" w:firstColumn="0" w:lastColumn="0" w:oddVBand="0" w:evenVBand="0" w:oddHBand="1" w:evenHBand="0" w:firstRowFirstColumn="0" w:firstRowLastColumn="0" w:lastRowFirstColumn="0" w:lastRowLastColumn="0"/>
          <w:trHeight w:val="300"/>
        </w:trPr>
        <w:tc>
          <w:tcPr>
            <w:tcW w:w="4164" w:type="dxa"/>
            <w:noWrap/>
            <w:vAlign w:val="bottom"/>
            <w:hideMark/>
          </w:tcPr>
          <w:p w:rsidR="00613925" w:rsidRPr="006D3F93" w:rsidRDefault="00B525E0" w:rsidP="00BB47F5">
            <w:pPr>
              <w:rPr>
                <w:rFonts w:cs="Arial"/>
                <w:color w:val="000000"/>
                <w:szCs w:val="19"/>
              </w:rPr>
            </w:pPr>
            <w:r w:rsidRPr="006D3F93">
              <w:rPr>
                <w:rFonts w:cs="Arial"/>
                <w:color w:val="000000"/>
                <w:szCs w:val="19"/>
              </w:rPr>
              <w:t>Crompton Lighting</w:t>
            </w:r>
          </w:p>
        </w:tc>
        <w:tc>
          <w:tcPr>
            <w:tcW w:w="4165" w:type="dxa"/>
            <w:noWrap/>
            <w:vAlign w:val="bottom"/>
            <w:hideMark/>
          </w:tcPr>
          <w:p w:rsidR="00613925" w:rsidRPr="006D3F93" w:rsidRDefault="00B525E0" w:rsidP="00BB47F5">
            <w:pPr>
              <w:rPr>
                <w:rFonts w:cs="Arial"/>
                <w:color w:val="000000"/>
                <w:szCs w:val="19"/>
              </w:rPr>
            </w:pPr>
            <w:r w:rsidRPr="006D3F93">
              <w:rPr>
                <w:rFonts w:cs="Arial"/>
                <w:color w:val="000000"/>
                <w:szCs w:val="19"/>
              </w:rPr>
              <w:t>manufacturer/supplier</w:t>
            </w:r>
          </w:p>
        </w:tc>
      </w:tr>
      <w:tr w:rsidR="00613925" w:rsidRPr="00657EC3" w:rsidTr="005B6FDE">
        <w:trPr>
          <w:cnfStyle w:val="000000010000" w:firstRow="0" w:lastRow="0" w:firstColumn="0" w:lastColumn="0" w:oddVBand="0" w:evenVBand="0" w:oddHBand="0" w:evenHBand="1" w:firstRowFirstColumn="0" w:firstRowLastColumn="0" w:lastRowFirstColumn="0" w:lastRowLastColumn="0"/>
          <w:trHeight w:val="300"/>
        </w:trPr>
        <w:tc>
          <w:tcPr>
            <w:tcW w:w="4164" w:type="dxa"/>
            <w:noWrap/>
            <w:vAlign w:val="bottom"/>
            <w:hideMark/>
          </w:tcPr>
          <w:p w:rsidR="00613925" w:rsidRPr="006D3F93" w:rsidRDefault="00B525E0" w:rsidP="00BB47F5">
            <w:pPr>
              <w:rPr>
                <w:rFonts w:cs="Arial"/>
                <w:color w:val="000000"/>
                <w:szCs w:val="19"/>
              </w:rPr>
            </w:pPr>
            <w:r w:rsidRPr="006D3F93">
              <w:rPr>
                <w:rFonts w:cs="Arial"/>
                <w:color w:val="000000"/>
                <w:szCs w:val="19"/>
              </w:rPr>
              <w:t>Eurolight (online)</w:t>
            </w:r>
          </w:p>
        </w:tc>
        <w:tc>
          <w:tcPr>
            <w:tcW w:w="4165" w:type="dxa"/>
            <w:noWrap/>
            <w:vAlign w:val="bottom"/>
            <w:hideMark/>
          </w:tcPr>
          <w:p w:rsidR="00613925" w:rsidRPr="006D3F93" w:rsidRDefault="00B525E0" w:rsidP="00BB47F5">
            <w:pPr>
              <w:rPr>
                <w:rFonts w:cs="Arial"/>
                <w:color w:val="000000"/>
                <w:szCs w:val="19"/>
              </w:rPr>
            </w:pPr>
            <w:r w:rsidRPr="006D3F93">
              <w:rPr>
                <w:rFonts w:cs="Arial"/>
                <w:color w:val="000000"/>
                <w:szCs w:val="19"/>
              </w:rPr>
              <w:t>online retail</w:t>
            </w:r>
          </w:p>
        </w:tc>
      </w:tr>
      <w:tr w:rsidR="00613925" w:rsidRPr="00657EC3" w:rsidTr="005B6FDE">
        <w:trPr>
          <w:cnfStyle w:val="000000100000" w:firstRow="0" w:lastRow="0" w:firstColumn="0" w:lastColumn="0" w:oddVBand="0" w:evenVBand="0" w:oddHBand="1" w:evenHBand="0" w:firstRowFirstColumn="0" w:firstRowLastColumn="0" w:lastRowFirstColumn="0" w:lastRowLastColumn="0"/>
          <w:trHeight w:val="300"/>
        </w:trPr>
        <w:tc>
          <w:tcPr>
            <w:tcW w:w="4164" w:type="dxa"/>
            <w:noWrap/>
            <w:vAlign w:val="bottom"/>
          </w:tcPr>
          <w:p w:rsidR="00613925" w:rsidRPr="006D3F93" w:rsidRDefault="00B525E0" w:rsidP="00BB47F5">
            <w:pPr>
              <w:rPr>
                <w:rFonts w:cs="Arial"/>
                <w:color w:val="000000"/>
                <w:szCs w:val="19"/>
              </w:rPr>
            </w:pPr>
            <w:r w:rsidRPr="006D3F93">
              <w:rPr>
                <w:rFonts w:cs="Arial"/>
                <w:color w:val="000000"/>
                <w:szCs w:val="19"/>
              </w:rPr>
              <w:t>Ideal Electrical Suppliers</w:t>
            </w:r>
          </w:p>
        </w:tc>
        <w:tc>
          <w:tcPr>
            <w:tcW w:w="4165" w:type="dxa"/>
            <w:noWrap/>
            <w:vAlign w:val="bottom"/>
          </w:tcPr>
          <w:p w:rsidR="00613925" w:rsidRPr="006D3F93" w:rsidRDefault="00B525E0" w:rsidP="00BB47F5">
            <w:pPr>
              <w:rPr>
                <w:rFonts w:cs="Arial"/>
                <w:color w:val="000000"/>
                <w:szCs w:val="19"/>
              </w:rPr>
            </w:pPr>
            <w:r w:rsidRPr="006D3F93">
              <w:rPr>
                <w:rFonts w:cs="Arial"/>
                <w:color w:val="000000"/>
                <w:szCs w:val="19"/>
              </w:rPr>
              <w:t>electrical retail</w:t>
            </w:r>
          </w:p>
        </w:tc>
      </w:tr>
      <w:tr w:rsidR="00613925" w:rsidRPr="00657EC3" w:rsidTr="005B6FDE">
        <w:trPr>
          <w:cnfStyle w:val="000000010000" w:firstRow="0" w:lastRow="0" w:firstColumn="0" w:lastColumn="0" w:oddVBand="0" w:evenVBand="0" w:oddHBand="0" w:evenHBand="1" w:firstRowFirstColumn="0" w:firstRowLastColumn="0" w:lastRowFirstColumn="0" w:lastRowLastColumn="0"/>
          <w:trHeight w:val="300"/>
        </w:trPr>
        <w:tc>
          <w:tcPr>
            <w:tcW w:w="4164" w:type="dxa"/>
            <w:noWrap/>
            <w:vAlign w:val="bottom"/>
            <w:hideMark/>
          </w:tcPr>
          <w:p w:rsidR="00613925" w:rsidRPr="006D3F93" w:rsidRDefault="00B525E0" w:rsidP="00BB47F5">
            <w:pPr>
              <w:rPr>
                <w:rFonts w:cs="Arial"/>
                <w:color w:val="000000"/>
                <w:szCs w:val="19"/>
              </w:rPr>
            </w:pPr>
            <w:r w:rsidRPr="006D3F93">
              <w:rPr>
                <w:rFonts w:cs="Arial"/>
                <w:color w:val="000000"/>
                <w:szCs w:val="19"/>
              </w:rPr>
              <w:t>iGlobe (online)</w:t>
            </w:r>
          </w:p>
        </w:tc>
        <w:tc>
          <w:tcPr>
            <w:tcW w:w="4165" w:type="dxa"/>
            <w:noWrap/>
            <w:vAlign w:val="bottom"/>
            <w:hideMark/>
          </w:tcPr>
          <w:p w:rsidR="00613925" w:rsidRPr="006D3F93" w:rsidRDefault="00B525E0" w:rsidP="00BB47F5">
            <w:pPr>
              <w:rPr>
                <w:rFonts w:cs="Arial"/>
                <w:color w:val="000000"/>
                <w:szCs w:val="19"/>
              </w:rPr>
            </w:pPr>
            <w:r w:rsidRPr="006D3F93">
              <w:rPr>
                <w:rFonts w:cs="Arial"/>
                <w:color w:val="000000"/>
                <w:szCs w:val="19"/>
              </w:rPr>
              <w:t>manufacturer/supplier</w:t>
            </w:r>
          </w:p>
        </w:tc>
      </w:tr>
      <w:tr w:rsidR="00613925" w:rsidRPr="00657EC3" w:rsidTr="005B6FDE">
        <w:trPr>
          <w:cnfStyle w:val="000000100000" w:firstRow="0" w:lastRow="0" w:firstColumn="0" w:lastColumn="0" w:oddVBand="0" w:evenVBand="0" w:oddHBand="1" w:evenHBand="0" w:firstRowFirstColumn="0" w:firstRowLastColumn="0" w:lastRowFirstColumn="0" w:lastRowLastColumn="0"/>
          <w:trHeight w:val="300"/>
        </w:trPr>
        <w:tc>
          <w:tcPr>
            <w:tcW w:w="4164" w:type="dxa"/>
            <w:noWrap/>
            <w:vAlign w:val="bottom"/>
            <w:hideMark/>
          </w:tcPr>
          <w:p w:rsidR="00613925" w:rsidRPr="006D3F93" w:rsidRDefault="00B525E0" w:rsidP="00BB47F5">
            <w:pPr>
              <w:rPr>
                <w:rFonts w:cs="Arial"/>
                <w:color w:val="000000"/>
                <w:szCs w:val="19"/>
              </w:rPr>
            </w:pPr>
            <w:r w:rsidRPr="006D3F93">
              <w:rPr>
                <w:rFonts w:cs="Arial"/>
                <w:color w:val="000000"/>
                <w:szCs w:val="19"/>
              </w:rPr>
              <w:t>IKEA</w:t>
            </w:r>
          </w:p>
        </w:tc>
        <w:tc>
          <w:tcPr>
            <w:tcW w:w="4165" w:type="dxa"/>
            <w:noWrap/>
            <w:vAlign w:val="bottom"/>
            <w:hideMark/>
          </w:tcPr>
          <w:p w:rsidR="00613925" w:rsidRPr="006D3F93" w:rsidRDefault="00603AFB" w:rsidP="00BB47F5">
            <w:pPr>
              <w:rPr>
                <w:rFonts w:cs="Arial"/>
                <w:color w:val="000000"/>
                <w:szCs w:val="19"/>
              </w:rPr>
            </w:pPr>
            <w:r w:rsidRPr="006D3F93">
              <w:rPr>
                <w:rFonts w:cs="Arial"/>
                <w:color w:val="000000"/>
                <w:szCs w:val="19"/>
              </w:rPr>
              <w:t>big box</w:t>
            </w:r>
            <w:r w:rsidR="00B525E0" w:rsidRPr="006D3F93">
              <w:rPr>
                <w:rFonts w:cs="Arial"/>
                <w:color w:val="000000"/>
                <w:szCs w:val="19"/>
              </w:rPr>
              <w:t xml:space="preserve"> retailer</w:t>
            </w:r>
          </w:p>
        </w:tc>
      </w:tr>
      <w:tr w:rsidR="00613925" w:rsidRPr="00657EC3" w:rsidTr="005B6FDE">
        <w:trPr>
          <w:cnfStyle w:val="000000010000" w:firstRow="0" w:lastRow="0" w:firstColumn="0" w:lastColumn="0" w:oddVBand="0" w:evenVBand="0" w:oddHBand="0" w:evenHBand="1" w:firstRowFirstColumn="0" w:firstRowLastColumn="0" w:lastRowFirstColumn="0" w:lastRowLastColumn="0"/>
          <w:trHeight w:val="300"/>
        </w:trPr>
        <w:tc>
          <w:tcPr>
            <w:tcW w:w="4164" w:type="dxa"/>
            <w:noWrap/>
            <w:vAlign w:val="bottom"/>
            <w:hideMark/>
          </w:tcPr>
          <w:p w:rsidR="00613925" w:rsidRPr="006D3F93" w:rsidRDefault="00B525E0" w:rsidP="00BB47F5">
            <w:pPr>
              <w:rPr>
                <w:rFonts w:cs="Arial"/>
                <w:color w:val="000000"/>
                <w:szCs w:val="19"/>
              </w:rPr>
            </w:pPr>
            <w:r w:rsidRPr="006D3F93">
              <w:rPr>
                <w:rFonts w:cs="Arial"/>
                <w:color w:val="000000"/>
                <w:szCs w:val="19"/>
              </w:rPr>
              <w:t>Jaycar</w:t>
            </w:r>
          </w:p>
        </w:tc>
        <w:tc>
          <w:tcPr>
            <w:tcW w:w="4165" w:type="dxa"/>
            <w:noWrap/>
            <w:vAlign w:val="bottom"/>
            <w:hideMark/>
          </w:tcPr>
          <w:p w:rsidR="00613925" w:rsidRPr="006D3F93" w:rsidRDefault="00B525E0" w:rsidP="00BB47F5">
            <w:pPr>
              <w:rPr>
                <w:rFonts w:cs="Arial"/>
                <w:color w:val="000000"/>
                <w:szCs w:val="19"/>
              </w:rPr>
            </w:pPr>
            <w:r w:rsidRPr="006D3F93">
              <w:rPr>
                <w:rFonts w:cs="Arial"/>
                <w:color w:val="000000"/>
                <w:szCs w:val="19"/>
              </w:rPr>
              <w:t>electrical retail</w:t>
            </w:r>
          </w:p>
        </w:tc>
      </w:tr>
      <w:tr w:rsidR="00613925" w:rsidRPr="00657EC3" w:rsidTr="005B6FDE">
        <w:trPr>
          <w:cnfStyle w:val="000000100000" w:firstRow="0" w:lastRow="0" w:firstColumn="0" w:lastColumn="0" w:oddVBand="0" w:evenVBand="0" w:oddHBand="1" w:evenHBand="0" w:firstRowFirstColumn="0" w:firstRowLastColumn="0" w:lastRowFirstColumn="0" w:lastRowLastColumn="0"/>
          <w:trHeight w:val="300"/>
        </w:trPr>
        <w:tc>
          <w:tcPr>
            <w:tcW w:w="4164" w:type="dxa"/>
            <w:noWrap/>
            <w:vAlign w:val="bottom"/>
            <w:hideMark/>
          </w:tcPr>
          <w:p w:rsidR="00613925" w:rsidRPr="006D3F93" w:rsidRDefault="00B525E0" w:rsidP="00BB47F5">
            <w:pPr>
              <w:rPr>
                <w:rFonts w:cs="Arial"/>
                <w:color w:val="000000"/>
                <w:szCs w:val="19"/>
              </w:rPr>
            </w:pPr>
            <w:r w:rsidRPr="006D3F93">
              <w:rPr>
                <w:rFonts w:cs="Arial"/>
                <w:color w:val="000000"/>
                <w:szCs w:val="19"/>
              </w:rPr>
              <w:t>John R. Turk</w:t>
            </w:r>
          </w:p>
        </w:tc>
        <w:tc>
          <w:tcPr>
            <w:tcW w:w="4165" w:type="dxa"/>
            <w:noWrap/>
            <w:vAlign w:val="bottom"/>
            <w:hideMark/>
          </w:tcPr>
          <w:p w:rsidR="00613925" w:rsidRPr="006D3F93" w:rsidRDefault="00B525E0" w:rsidP="00BB47F5">
            <w:pPr>
              <w:rPr>
                <w:rFonts w:cs="Arial"/>
                <w:color w:val="000000"/>
                <w:szCs w:val="19"/>
              </w:rPr>
            </w:pPr>
            <w:r w:rsidRPr="006D3F93">
              <w:rPr>
                <w:rFonts w:cs="Arial"/>
                <w:color w:val="000000"/>
                <w:szCs w:val="19"/>
              </w:rPr>
              <w:t>electrical retail</w:t>
            </w:r>
          </w:p>
        </w:tc>
      </w:tr>
      <w:tr w:rsidR="00613925" w:rsidRPr="00657EC3" w:rsidTr="005B6FDE">
        <w:trPr>
          <w:cnfStyle w:val="000000010000" w:firstRow="0" w:lastRow="0" w:firstColumn="0" w:lastColumn="0" w:oddVBand="0" w:evenVBand="0" w:oddHBand="0" w:evenHBand="1" w:firstRowFirstColumn="0" w:firstRowLastColumn="0" w:lastRowFirstColumn="0" w:lastRowLastColumn="0"/>
          <w:trHeight w:val="300"/>
        </w:trPr>
        <w:tc>
          <w:tcPr>
            <w:tcW w:w="4164" w:type="dxa"/>
            <w:noWrap/>
            <w:vAlign w:val="bottom"/>
            <w:hideMark/>
          </w:tcPr>
          <w:p w:rsidR="00613925" w:rsidRPr="006D3F93" w:rsidRDefault="00B525E0" w:rsidP="00BB47F5">
            <w:pPr>
              <w:rPr>
                <w:rFonts w:cs="Arial"/>
                <w:color w:val="000000"/>
                <w:szCs w:val="19"/>
              </w:rPr>
            </w:pPr>
            <w:r w:rsidRPr="006D3F93">
              <w:rPr>
                <w:rFonts w:cs="Arial"/>
                <w:color w:val="000000"/>
                <w:szCs w:val="19"/>
              </w:rPr>
              <w:t>LED Australia</w:t>
            </w:r>
          </w:p>
        </w:tc>
        <w:tc>
          <w:tcPr>
            <w:tcW w:w="4165" w:type="dxa"/>
            <w:noWrap/>
            <w:vAlign w:val="bottom"/>
            <w:hideMark/>
          </w:tcPr>
          <w:p w:rsidR="00613925" w:rsidRPr="006D3F93" w:rsidRDefault="00B525E0" w:rsidP="00BB47F5">
            <w:pPr>
              <w:rPr>
                <w:rFonts w:cs="Arial"/>
                <w:color w:val="000000"/>
                <w:szCs w:val="19"/>
              </w:rPr>
            </w:pPr>
            <w:r w:rsidRPr="006D3F93">
              <w:rPr>
                <w:rFonts w:cs="Arial"/>
                <w:color w:val="000000"/>
                <w:szCs w:val="19"/>
              </w:rPr>
              <w:t>online retail</w:t>
            </w:r>
          </w:p>
        </w:tc>
      </w:tr>
      <w:tr w:rsidR="00613925" w:rsidRPr="00657EC3" w:rsidTr="005B6FDE">
        <w:trPr>
          <w:cnfStyle w:val="000000100000" w:firstRow="0" w:lastRow="0" w:firstColumn="0" w:lastColumn="0" w:oddVBand="0" w:evenVBand="0" w:oddHBand="1" w:evenHBand="0" w:firstRowFirstColumn="0" w:firstRowLastColumn="0" w:lastRowFirstColumn="0" w:lastRowLastColumn="0"/>
          <w:trHeight w:val="300"/>
        </w:trPr>
        <w:tc>
          <w:tcPr>
            <w:tcW w:w="4164" w:type="dxa"/>
            <w:noWrap/>
            <w:vAlign w:val="bottom"/>
            <w:hideMark/>
          </w:tcPr>
          <w:p w:rsidR="00613925" w:rsidRPr="006D3F93" w:rsidRDefault="00B525E0" w:rsidP="00BB47F5">
            <w:pPr>
              <w:rPr>
                <w:rFonts w:cs="Arial"/>
                <w:color w:val="000000"/>
                <w:szCs w:val="19"/>
              </w:rPr>
            </w:pPr>
            <w:r w:rsidRPr="006D3F93">
              <w:rPr>
                <w:rFonts w:cs="Arial"/>
                <w:color w:val="000000"/>
                <w:szCs w:val="19"/>
              </w:rPr>
              <w:t>LED lights Down Under (online)</w:t>
            </w:r>
          </w:p>
        </w:tc>
        <w:tc>
          <w:tcPr>
            <w:tcW w:w="4165" w:type="dxa"/>
            <w:noWrap/>
            <w:vAlign w:val="bottom"/>
            <w:hideMark/>
          </w:tcPr>
          <w:p w:rsidR="00613925" w:rsidRPr="006D3F93" w:rsidRDefault="00B525E0" w:rsidP="00BB47F5">
            <w:pPr>
              <w:rPr>
                <w:rFonts w:cs="Arial"/>
                <w:color w:val="000000"/>
                <w:szCs w:val="19"/>
              </w:rPr>
            </w:pPr>
            <w:r w:rsidRPr="006D3F93">
              <w:rPr>
                <w:rFonts w:cs="Arial"/>
                <w:color w:val="000000"/>
                <w:szCs w:val="19"/>
              </w:rPr>
              <w:t>online retail</w:t>
            </w:r>
          </w:p>
        </w:tc>
      </w:tr>
      <w:tr w:rsidR="00613925" w:rsidRPr="00657EC3" w:rsidTr="005B6FDE">
        <w:trPr>
          <w:cnfStyle w:val="000000010000" w:firstRow="0" w:lastRow="0" w:firstColumn="0" w:lastColumn="0" w:oddVBand="0" w:evenVBand="0" w:oddHBand="0" w:evenHBand="1" w:firstRowFirstColumn="0" w:firstRowLastColumn="0" w:lastRowFirstColumn="0" w:lastRowLastColumn="0"/>
          <w:trHeight w:val="300"/>
        </w:trPr>
        <w:tc>
          <w:tcPr>
            <w:tcW w:w="4164" w:type="dxa"/>
            <w:noWrap/>
            <w:vAlign w:val="bottom"/>
            <w:hideMark/>
          </w:tcPr>
          <w:p w:rsidR="00613925" w:rsidRPr="006D3F93" w:rsidRDefault="00B525E0" w:rsidP="00BB47F5">
            <w:pPr>
              <w:rPr>
                <w:rFonts w:cs="Arial"/>
                <w:color w:val="000000"/>
                <w:szCs w:val="19"/>
              </w:rPr>
            </w:pPr>
            <w:r w:rsidRPr="006D3F93">
              <w:rPr>
                <w:rFonts w:cs="Arial"/>
                <w:color w:val="000000"/>
                <w:szCs w:val="19"/>
              </w:rPr>
              <w:t>LEDCentral.com.au</w:t>
            </w:r>
          </w:p>
        </w:tc>
        <w:tc>
          <w:tcPr>
            <w:tcW w:w="4165" w:type="dxa"/>
            <w:noWrap/>
            <w:vAlign w:val="bottom"/>
            <w:hideMark/>
          </w:tcPr>
          <w:p w:rsidR="00613925" w:rsidRPr="006D3F93" w:rsidRDefault="00B525E0" w:rsidP="00BB47F5">
            <w:pPr>
              <w:rPr>
                <w:rFonts w:cs="Arial"/>
                <w:color w:val="000000"/>
                <w:szCs w:val="19"/>
              </w:rPr>
            </w:pPr>
            <w:r w:rsidRPr="006D3F93">
              <w:rPr>
                <w:rFonts w:cs="Arial"/>
                <w:color w:val="000000"/>
                <w:szCs w:val="19"/>
              </w:rPr>
              <w:t>online retail</w:t>
            </w:r>
          </w:p>
        </w:tc>
      </w:tr>
      <w:tr w:rsidR="00613925" w:rsidRPr="00657EC3" w:rsidTr="005B6FDE">
        <w:trPr>
          <w:cnfStyle w:val="000000100000" w:firstRow="0" w:lastRow="0" w:firstColumn="0" w:lastColumn="0" w:oddVBand="0" w:evenVBand="0" w:oddHBand="1" w:evenHBand="0" w:firstRowFirstColumn="0" w:firstRowLastColumn="0" w:lastRowFirstColumn="0" w:lastRowLastColumn="0"/>
          <w:trHeight w:val="300"/>
        </w:trPr>
        <w:tc>
          <w:tcPr>
            <w:tcW w:w="4164" w:type="dxa"/>
            <w:noWrap/>
            <w:vAlign w:val="bottom"/>
            <w:hideMark/>
          </w:tcPr>
          <w:p w:rsidR="00613925" w:rsidRPr="006D3F93" w:rsidRDefault="00B525E0" w:rsidP="00BB47F5">
            <w:pPr>
              <w:rPr>
                <w:rFonts w:cs="Arial"/>
                <w:color w:val="000000"/>
                <w:szCs w:val="19"/>
              </w:rPr>
            </w:pPr>
            <w:r w:rsidRPr="006D3F93">
              <w:rPr>
                <w:rFonts w:cs="Arial"/>
                <w:color w:val="000000"/>
                <w:szCs w:val="19"/>
              </w:rPr>
              <w:t>Lighting Illusions</w:t>
            </w:r>
          </w:p>
        </w:tc>
        <w:tc>
          <w:tcPr>
            <w:tcW w:w="4165" w:type="dxa"/>
            <w:noWrap/>
            <w:vAlign w:val="bottom"/>
            <w:hideMark/>
          </w:tcPr>
          <w:p w:rsidR="00613925" w:rsidRPr="006D3F93" w:rsidRDefault="00B525E0" w:rsidP="00BB47F5">
            <w:pPr>
              <w:rPr>
                <w:rFonts w:cs="Arial"/>
                <w:color w:val="000000"/>
                <w:szCs w:val="19"/>
              </w:rPr>
            </w:pPr>
            <w:r w:rsidRPr="006D3F93">
              <w:rPr>
                <w:rFonts w:cs="Arial"/>
                <w:color w:val="000000"/>
                <w:szCs w:val="19"/>
              </w:rPr>
              <w:t>general lighting retail</w:t>
            </w:r>
          </w:p>
        </w:tc>
      </w:tr>
      <w:tr w:rsidR="00613925" w:rsidRPr="00657EC3" w:rsidTr="005B6FDE">
        <w:trPr>
          <w:cnfStyle w:val="000000010000" w:firstRow="0" w:lastRow="0" w:firstColumn="0" w:lastColumn="0" w:oddVBand="0" w:evenVBand="0" w:oddHBand="0" w:evenHBand="1" w:firstRowFirstColumn="0" w:firstRowLastColumn="0" w:lastRowFirstColumn="0" w:lastRowLastColumn="0"/>
          <w:trHeight w:val="300"/>
        </w:trPr>
        <w:tc>
          <w:tcPr>
            <w:tcW w:w="4164" w:type="dxa"/>
            <w:noWrap/>
            <w:vAlign w:val="bottom"/>
            <w:hideMark/>
          </w:tcPr>
          <w:p w:rsidR="00613925" w:rsidRPr="006D3F93" w:rsidRDefault="00B525E0" w:rsidP="00BB47F5">
            <w:pPr>
              <w:rPr>
                <w:rFonts w:cs="Arial"/>
                <w:color w:val="000000"/>
                <w:szCs w:val="19"/>
              </w:rPr>
            </w:pPr>
            <w:r w:rsidRPr="006D3F93">
              <w:rPr>
                <w:rFonts w:cs="Arial"/>
                <w:color w:val="000000"/>
                <w:szCs w:val="19"/>
              </w:rPr>
              <w:t>Lighting matters (online)</w:t>
            </w:r>
          </w:p>
        </w:tc>
        <w:tc>
          <w:tcPr>
            <w:tcW w:w="4165" w:type="dxa"/>
            <w:noWrap/>
            <w:vAlign w:val="bottom"/>
            <w:hideMark/>
          </w:tcPr>
          <w:p w:rsidR="00613925" w:rsidRPr="006D3F93" w:rsidRDefault="00B525E0" w:rsidP="00BB47F5">
            <w:pPr>
              <w:rPr>
                <w:rFonts w:cs="Arial"/>
                <w:color w:val="000000"/>
                <w:szCs w:val="19"/>
              </w:rPr>
            </w:pPr>
            <w:r w:rsidRPr="006D3F93">
              <w:rPr>
                <w:rFonts w:cs="Arial"/>
                <w:color w:val="000000"/>
                <w:szCs w:val="19"/>
              </w:rPr>
              <w:t>online retail</w:t>
            </w:r>
          </w:p>
        </w:tc>
      </w:tr>
      <w:tr w:rsidR="00613925" w:rsidRPr="00657EC3" w:rsidTr="005B6FDE">
        <w:trPr>
          <w:cnfStyle w:val="000000100000" w:firstRow="0" w:lastRow="0" w:firstColumn="0" w:lastColumn="0" w:oddVBand="0" w:evenVBand="0" w:oddHBand="1" w:evenHBand="0" w:firstRowFirstColumn="0" w:firstRowLastColumn="0" w:lastRowFirstColumn="0" w:lastRowLastColumn="0"/>
          <w:trHeight w:val="300"/>
        </w:trPr>
        <w:tc>
          <w:tcPr>
            <w:tcW w:w="4164" w:type="dxa"/>
            <w:noWrap/>
            <w:vAlign w:val="bottom"/>
            <w:hideMark/>
          </w:tcPr>
          <w:p w:rsidR="00613925" w:rsidRPr="006D3F93" w:rsidRDefault="00B525E0" w:rsidP="00BB47F5">
            <w:pPr>
              <w:rPr>
                <w:rFonts w:cs="Arial"/>
                <w:color w:val="000000"/>
                <w:szCs w:val="19"/>
              </w:rPr>
            </w:pPr>
            <w:r w:rsidRPr="006D3F93">
              <w:rPr>
                <w:rFonts w:cs="Arial"/>
                <w:color w:val="000000"/>
                <w:szCs w:val="19"/>
              </w:rPr>
              <w:t>Lighting Pro Australia</w:t>
            </w:r>
          </w:p>
        </w:tc>
        <w:tc>
          <w:tcPr>
            <w:tcW w:w="4165" w:type="dxa"/>
            <w:noWrap/>
            <w:vAlign w:val="bottom"/>
            <w:hideMark/>
          </w:tcPr>
          <w:p w:rsidR="00613925" w:rsidRPr="006D3F93" w:rsidRDefault="00B525E0" w:rsidP="00BB47F5">
            <w:pPr>
              <w:rPr>
                <w:rFonts w:cs="Arial"/>
                <w:color w:val="000000"/>
                <w:szCs w:val="19"/>
              </w:rPr>
            </w:pPr>
            <w:r w:rsidRPr="006D3F93">
              <w:rPr>
                <w:rFonts w:cs="Arial"/>
                <w:color w:val="000000"/>
                <w:szCs w:val="19"/>
              </w:rPr>
              <w:t>specialist lighting retail</w:t>
            </w:r>
          </w:p>
        </w:tc>
      </w:tr>
      <w:tr w:rsidR="00613925" w:rsidRPr="00657EC3" w:rsidTr="005B6FDE">
        <w:trPr>
          <w:cnfStyle w:val="000000010000" w:firstRow="0" w:lastRow="0" w:firstColumn="0" w:lastColumn="0" w:oddVBand="0" w:evenVBand="0" w:oddHBand="0" w:evenHBand="1" w:firstRowFirstColumn="0" w:firstRowLastColumn="0" w:lastRowFirstColumn="0" w:lastRowLastColumn="0"/>
          <w:trHeight w:val="300"/>
        </w:trPr>
        <w:tc>
          <w:tcPr>
            <w:tcW w:w="4164" w:type="dxa"/>
            <w:noWrap/>
            <w:vAlign w:val="bottom"/>
            <w:hideMark/>
          </w:tcPr>
          <w:p w:rsidR="00613925" w:rsidRPr="006D3F93" w:rsidRDefault="00B525E0" w:rsidP="00BB47F5">
            <w:pPr>
              <w:rPr>
                <w:rFonts w:cs="Arial"/>
                <w:color w:val="000000"/>
                <w:szCs w:val="19"/>
              </w:rPr>
            </w:pPr>
            <w:r w:rsidRPr="006D3F93">
              <w:rPr>
                <w:rFonts w:cs="Arial"/>
                <w:color w:val="000000"/>
                <w:szCs w:val="19"/>
              </w:rPr>
              <w:t>Lighting Store (Online)</w:t>
            </w:r>
          </w:p>
        </w:tc>
        <w:tc>
          <w:tcPr>
            <w:tcW w:w="4165" w:type="dxa"/>
            <w:noWrap/>
            <w:vAlign w:val="bottom"/>
            <w:hideMark/>
          </w:tcPr>
          <w:p w:rsidR="00613925" w:rsidRPr="006D3F93" w:rsidRDefault="00B525E0" w:rsidP="00BB47F5">
            <w:pPr>
              <w:rPr>
                <w:rFonts w:cs="Arial"/>
                <w:color w:val="000000"/>
                <w:szCs w:val="19"/>
              </w:rPr>
            </w:pPr>
            <w:r w:rsidRPr="006D3F93">
              <w:rPr>
                <w:rFonts w:cs="Arial"/>
                <w:color w:val="000000"/>
                <w:szCs w:val="19"/>
              </w:rPr>
              <w:t>online retail</w:t>
            </w:r>
          </w:p>
        </w:tc>
      </w:tr>
      <w:tr w:rsidR="00613925" w:rsidRPr="00657EC3" w:rsidTr="005B6FDE">
        <w:trPr>
          <w:cnfStyle w:val="000000100000" w:firstRow="0" w:lastRow="0" w:firstColumn="0" w:lastColumn="0" w:oddVBand="0" w:evenVBand="0" w:oddHBand="1" w:evenHBand="0" w:firstRowFirstColumn="0" w:firstRowLastColumn="0" w:lastRowFirstColumn="0" w:lastRowLastColumn="0"/>
          <w:trHeight w:val="300"/>
        </w:trPr>
        <w:tc>
          <w:tcPr>
            <w:tcW w:w="4164" w:type="dxa"/>
            <w:noWrap/>
            <w:vAlign w:val="bottom"/>
            <w:hideMark/>
          </w:tcPr>
          <w:p w:rsidR="00613925" w:rsidRPr="006D3F93" w:rsidRDefault="00B525E0" w:rsidP="00BB47F5">
            <w:pPr>
              <w:rPr>
                <w:rFonts w:cs="Arial"/>
                <w:color w:val="000000"/>
                <w:szCs w:val="19"/>
              </w:rPr>
            </w:pPr>
            <w:r w:rsidRPr="006D3F93">
              <w:rPr>
                <w:rFonts w:cs="Arial"/>
                <w:color w:val="000000"/>
                <w:szCs w:val="19"/>
              </w:rPr>
              <w:t>LiquidLEDs.com.au</w:t>
            </w:r>
          </w:p>
        </w:tc>
        <w:tc>
          <w:tcPr>
            <w:tcW w:w="4165" w:type="dxa"/>
            <w:noWrap/>
            <w:vAlign w:val="bottom"/>
            <w:hideMark/>
          </w:tcPr>
          <w:p w:rsidR="00613925" w:rsidRPr="006D3F93" w:rsidRDefault="00B525E0" w:rsidP="00BB47F5">
            <w:pPr>
              <w:rPr>
                <w:rFonts w:cs="Arial"/>
                <w:color w:val="000000"/>
                <w:szCs w:val="19"/>
              </w:rPr>
            </w:pPr>
            <w:r w:rsidRPr="006D3F93">
              <w:rPr>
                <w:rFonts w:cs="Arial"/>
                <w:color w:val="000000"/>
                <w:szCs w:val="19"/>
              </w:rPr>
              <w:t>online retail</w:t>
            </w:r>
          </w:p>
        </w:tc>
      </w:tr>
      <w:tr w:rsidR="00613925" w:rsidRPr="00657EC3" w:rsidTr="005B6FDE">
        <w:trPr>
          <w:cnfStyle w:val="000000010000" w:firstRow="0" w:lastRow="0" w:firstColumn="0" w:lastColumn="0" w:oddVBand="0" w:evenVBand="0" w:oddHBand="0" w:evenHBand="1" w:firstRowFirstColumn="0" w:firstRowLastColumn="0" w:lastRowFirstColumn="0" w:lastRowLastColumn="0"/>
          <w:trHeight w:val="300"/>
        </w:trPr>
        <w:tc>
          <w:tcPr>
            <w:tcW w:w="4164" w:type="dxa"/>
            <w:noWrap/>
            <w:vAlign w:val="bottom"/>
            <w:hideMark/>
          </w:tcPr>
          <w:p w:rsidR="00613925" w:rsidRPr="006D3F93" w:rsidRDefault="00B525E0" w:rsidP="00BB47F5">
            <w:pPr>
              <w:rPr>
                <w:rFonts w:cs="Arial"/>
                <w:color w:val="000000"/>
                <w:szCs w:val="19"/>
              </w:rPr>
            </w:pPr>
            <w:r w:rsidRPr="006D3F93">
              <w:rPr>
                <w:rFonts w:cs="Arial"/>
                <w:color w:val="000000"/>
                <w:szCs w:val="19"/>
              </w:rPr>
              <w:t>Megaman</w:t>
            </w:r>
          </w:p>
        </w:tc>
        <w:tc>
          <w:tcPr>
            <w:tcW w:w="4165" w:type="dxa"/>
            <w:noWrap/>
            <w:vAlign w:val="bottom"/>
            <w:hideMark/>
          </w:tcPr>
          <w:p w:rsidR="00613925" w:rsidRPr="006D3F93" w:rsidRDefault="00B525E0" w:rsidP="00BB47F5">
            <w:pPr>
              <w:rPr>
                <w:rFonts w:cs="Arial"/>
                <w:color w:val="000000"/>
                <w:szCs w:val="19"/>
              </w:rPr>
            </w:pPr>
            <w:r w:rsidRPr="006D3F93">
              <w:rPr>
                <w:rFonts w:cs="Arial"/>
                <w:color w:val="000000"/>
                <w:szCs w:val="19"/>
              </w:rPr>
              <w:t>manufacturer/supplier</w:t>
            </w:r>
          </w:p>
        </w:tc>
      </w:tr>
      <w:tr w:rsidR="00613925" w:rsidRPr="00657EC3" w:rsidTr="005B6FDE">
        <w:trPr>
          <w:cnfStyle w:val="000000100000" w:firstRow="0" w:lastRow="0" w:firstColumn="0" w:lastColumn="0" w:oddVBand="0" w:evenVBand="0" w:oddHBand="1" w:evenHBand="0" w:firstRowFirstColumn="0" w:firstRowLastColumn="0" w:lastRowFirstColumn="0" w:lastRowLastColumn="0"/>
          <w:trHeight w:val="300"/>
        </w:trPr>
        <w:tc>
          <w:tcPr>
            <w:tcW w:w="4164" w:type="dxa"/>
            <w:noWrap/>
            <w:vAlign w:val="bottom"/>
          </w:tcPr>
          <w:p w:rsidR="00613925" w:rsidRPr="006D3F93" w:rsidRDefault="00B525E0" w:rsidP="00BB47F5">
            <w:pPr>
              <w:rPr>
                <w:rFonts w:cs="Arial"/>
                <w:color w:val="000000"/>
                <w:szCs w:val="19"/>
              </w:rPr>
            </w:pPr>
            <w:r w:rsidRPr="006D3F93">
              <w:rPr>
                <w:rFonts w:cs="Arial"/>
                <w:color w:val="000000"/>
                <w:szCs w:val="19"/>
              </w:rPr>
              <w:t>Milton Lighting</w:t>
            </w:r>
          </w:p>
        </w:tc>
        <w:tc>
          <w:tcPr>
            <w:tcW w:w="4165" w:type="dxa"/>
            <w:noWrap/>
            <w:vAlign w:val="bottom"/>
          </w:tcPr>
          <w:p w:rsidR="00613925" w:rsidRPr="006D3F93" w:rsidRDefault="00B525E0" w:rsidP="00BB47F5">
            <w:pPr>
              <w:rPr>
                <w:rFonts w:cs="Arial"/>
                <w:color w:val="000000"/>
                <w:szCs w:val="19"/>
              </w:rPr>
            </w:pPr>
            <w:r w:rsidRPr="006D3F93">
              <w:rPr>
                <w:rFonts w:cs="Arial"/>
                <w:color w:val="000000"/>
                <w:szCs w:val="19"/>
              </w:rPr>
              <w:t>specialist lighting retail</w:t>
            </w:r>
          </w:p>
        </w:tc>
      </w:tr>
      <w:tr w:rsidR="00613925" w:rsidRPr="00657EC3" w:rsidTr="005B6FDE">
        <w:trPr>
          <w:cnfStyle w:val="000000010000" w:firstRow="0" w:lastRow="0" w:firstColumn="0" w:lastColumn="0" w:oddVBand="0" w:evenVBand="0" w:oddHBand="0" w:evenHBand="1" w:firstRowFirstColumn="0" w:firstRowLastColumn="0" w:lastRowFirstColumn="0" w:lastRowLastColumn="0"/>
          <w:trHeight w:val="300"/>
        </w:trPr>
        <w:tc>
          <w:tcPr>
            <w:tcW w:w="4164" w:type="dxa"/>
            <w:noWrap/>
            <w:vAlign w:val="bottom"/>
            <w:hideMark/>
          </w:tcPr>
          <w:p w:rsidR="00613925" w:rsidRPr="006D3F93" w:rsidRDefault="00B525E0" w:rsidP="00BB47F5">
            <w:pPr>
              <w:rPr>
                <w:rFonts w:cs="Arial"/>
                <w:color w:val="000000"/>
                <w:szCs w:val="19"/>
              </w:rPr>
            </w:pPr>
            <w:r w:rsidRPr="006D3F93">
              <w:rPr>
                <w:rFonts w:cs="Arial"/>
                <w:color w:val="000000"/>
                <w:szCs w:val="19"/>
              </w:rPr>
              <w:t>Planet LED (online)</w:t>
            </w:r>
          </w:p>
        </w:tc>
        <w:tc>
          <w:tcPr>
            <w:tcW w:w="4165" w:type="dxa"/>
            <w:noWrap/>
            <w:vAlign w:val="bottom"/>
            <w:hideMark/>
          </w:tcPr>
          <w:p w:rsidR="00613925" w:rsidRPr="006D3F93" w:rsidRDefault="00B525E0" w:rsidP="00BB47F5">
            <w:pPr>
              <w:rPr>
                <w:rFonts w:cs="Arial"/>
                <w:color w:val="000000"/>
                <w:szCs w:val="19"/>
              </w:rPr>
            </w:pPr>
            <w:r w:rsidRPr="006D3F93">
              <w:rPr>
                <w:rFonts w:cs="Arial"/>
                <w:color w:val="000000"/>
                <w:szCs w:val="19"/>
              </w:rPr>
              <w:t>online retail</w:t>
            </w:r>
          </w:p>
        </w:tc>
      </w:tr>
      <w:tr w:rsidR="00613925" w:rsidRPr="00657EC3" w:rsidTr="005B6FDE">
        <w:trPr>
          <w:cnfStyle w:val="000000100000" w:firstRow="0" w:lastRow="0" w:firstColumn="0" w:lastColumn="0" w:oddVBand="0" w:evenVBand="0" w:oddHBand="1" w:evenHBand="0" w:firstRowFirstColumn="0" w:firstRowLastColumn="0" w:lastRowFirstColumn="0" w:lastRowLastColumn="0"/>
          <w:trHeight w:val="300"/>
        </w:trPr>
        <w:tc>
          <w:tcPr>
            <w:tcW w:w="4164" w:type="dxa"/>
            <w:noWrap/>
            <w:vAlign w:val="bottom"/>
            <w:hideMark/>
          </w:tcPr>
          <w:p w:rsidR="00613925" w:rsidRPr="006D3F93" w:rsidRDefault="00B525E0" w:rsidP="00BB47F5">
            <w:pPr>
              <w:rPr>
                <w:rFonts w:cs="Arial"/>
                <w:color w:val="000000"/>
                <w:szCs w:val="19"/>
              </w:rPr>
            </w:pPr>
            <w:r w:rsidRPr="006D3F93">
              <w:rPr>
                <w:rFonts w:cs="Arial"/>
                <w:color w:val="000000"/>
                <w:szCs w:val="19"/>
              </w:rPr>
              <w:t>Prime Electronics</w:t>
            </w:r>
          </w:p>
        </w:tc>
        <w:tc>
          <w:tcPr>
            <w:tcW w:w="4165" w:type="dxa"/>
            <w:noWrap/>
            <w:vAlign w:val="bottom"/>
            <w:hideMark/>
          </w:tcPr>
          <w:p w:rsidR="00613925" w:rsidRPr="006D3F93" w:rsidRDefault="00B525E0" w:rsidP="00BB47F5">
            <w:pPr>
              <w:rPr>
                <w:rFonts w:cs="Arial"/>
                <w:color w:val="000000"/>
                <w:szCs w:val="19"/>
              </w:rPr>
            </w:pPr>
            <w:r w:rsidRPr="006D3F93">
              <w:rPr>
                <w:rFonts w:cs="Arial"/>
                <w:color w:val="000000"/>
                <w:szCs w:val="19"/>
              </w:rPr>
              <w:t>electrical retail</w:t>
            </w:r>
          </w:p>
        </w:tc>
      </w:tr>
      <w:tr w:rsidR="00613925" w:rsidRPr="00657EC3" w:rsidTr="005B6FDE">
        <w:trPr>
          <w:cnfStyle w:val="000000010000" w:firstRow="0" w:lastRow="0" w:firstColumn="0" w:lastColumn="0" w:oddVBand="0" w:evenVBand="0" w:oddHBand="0" w:evenHBand="1" w:firstRowFirstColumn="0" w:firstRowLastColumn="0" w:lastRowFirstColumn="0" w:lastRowLastColumn="0"/>
          <w:trHeight w:val="300"/>
        </w:trPr>
        <w:tc>
          <w:tcPr>
            <w:tcW w:w="4164" w:type="dxa"/>
            <w:noWrap/>
            <w:vAlign w:val="bottom"/>
          </w:tcPr>
          <w:p w:rsidR="00613925" w:rsidRPr="006D3F93" w:rsidRDefault="00B525E0" w:rsidP="00BB47F5">
            <w:pPr>
              <w:rPr>
                <w:rFonts w:cs="Arial"/>
                <w:color w:val="000000"/>
                <w:szCs w:val="19"/>
              </w:rPr>
            </w:pPr>
            <w:r w:rsidRPr="006D3F93">
              <w:rPr>
                <w:rFonts w:cs="Arial"/>
                <w:color w:val="000000"/>
                <w:szCs w:val="19"/>
              </w:rPr>
              <w:t>Pro Lamps</w:t>
            </w:r>
          </w:p>
        </w:tc>
        <w:tc>
          <w:tcPr>
            <w:tcW w:w="4165" w:type="dxa"/>
            <w:noWrap/>
            <w:vAlign w:val="bottom"/>
          </w:tcPr>
          <w:p w:rsidR="00613925" w:rsidRPr="006D3F93" w:rsidRDefault="00B525E0" w:rsidP="00BB47F5">
            <w:pPr>
              <w:rPr>
                <w:rFonts w:cs="Arial"/>
                <w:color w:val="000000"/>
                <w:szCs w:val="19"/>
              </w:rPr>
            </w:pPr>
            <w:r w:rsidRPr="006D3F93">
              <w:rPr>
                <w:rFonts w:cs="Arial"/>
                <w:color w:val="000000"/>
                <w:szCs w:val="19"/>
              </w:rPr>
              <w:t>specialist lighting retail</w:t>
            </w:r>
          </w:p>
        </w:tc>
      </w:tr>
      <w:tr w:rsidR="00613925" w:rsidRPr="00657EC3" w:rsidTr="005B6FDE">
        <w:trPr>
          <w:cnfStyle w:val="000000100000" w:firstRow="0" w:lastRow="0" w:firstColumn="0" w:lastColumn="0" w:oddVBand="0" w:evenVBand="0" w:oddHBand="1" w:evenHBand="0" w:firstRowFirstColumn="0" w:firstRowLastColumn="0" w:lastRowFirstColumn="0" w:lastRowLastColumn="0"/>
          <w:trHeight w:val="300"/>
        </w:trPr>
        <w:tc>
          <w:tcPr>
            <w:tcW w:w="4164" w:type="dxa"/>
            <w:noWrap/>
            <w:vAlign w:val="bottom"/>
            <w:hideMark/>
          </w:tcPr>
          <w:p w:rsidR="00613925" w:rsidRPr="006D3F93" w:rsidRDefault="00B525E0" w:rsidP="00BB47F5">
            <w:pPr>
              <w:rPr>
                <w:rFonts w:cs="Arial"/>
                <w:color w:val="000000"/>
                <w:szCs w:val="19"/>
              </w:rPr>
            </w:pPr>
            <w:r w:rsidRPr="006D3F93">
              <w:rPr>
                <w:rFonts w:cs="Arial"/>
                <w:color w:val="000000"/>
                <w:szCs w:val="19"/>
              </w:rPr>
              <w:t>Securemart (online)</w:t>
            </w:r>
          </w:p>
        </w:tc>
        <w:tc>
          <w:tcPr>
            <w:tcW w:w="4165" w:type="dxa"/>
            <w:noWrap/>
            <w:vAlign w:val="bottom"/>
            <w:hideMark/>
          </w:tcPr>
          <w:p w:rsidR="00613925" w:rsidRPr="006D3F93" w:rsidRDefault="00B525E0" w:rsidP="00BB47F5">
            <w:pPr>
              <w:rPr>
                <w:rFonts w:cs="Arial"/>
                <w:color w:val="000000"/>
                <w:szCs w:val="19"/>
              </w:rPr>
            </w:pPr>
            <w:r w:rsidRPr="006D3F93">
              <w:rPr>
                <w:rFonts w:cs="Arial"/>
                <w:color w:val="000000"/>
                <w:szCs w:val="19"/>
              </w:rPr>
              <w:t>online retail</w:t>
            </w:r>
          </w:p>
        </w:tc>
      </w:tr>
      <w:tr w:rsidR="00613925" w:rsidRPr="00657EC3" w:rsidTr="005B6FDE">
        <w:trPr>
          <w:cnfStyle w:val="000000010000" w:firstRow="0" w:lastRow="0" w:firstColumn="0" w:lastColumn="0" w:oddVBand="0" w:evenVBand="0" w:oddHBand="0" w:evenHBand="1" w:firstRowFirstColumn="0" w:firstRowLastColumn="0" w:lastRowFirstColumn="0" w:lastRowLastColumn="0"/>
          <w:trHeight w:val="300"/>
        </w:trPr>
        <w:tc>
          <w:tcPr>
            <w:tcW w:w="4164" w:type="dxa"/>
            <w:noWrap/>
            <w:vAlign w:val="bottom"/>
            <w:hideMark/>
          </w:tcPr>
          <w:p w:rsidR="00613925" w:rsidRPr="006D3F93" w:rsidRDefault="00B525E0" w:rsidP="00BB47F5">
            <w:pPr>
              <w:rPr>
                <w:rFonts w:cs="Arial"/>
                <w:color w:val="000000"/>
                <w:szCs w:val="19"/>
              </w:rPr>
            </w:pPr>
            <w:r w:rsidRPr="006D3F93">
              <w:rPr>
                <w:rFonts w:cs="Arial"/>
                <w:color w:val="000000"/>
                <w:szCs w:val="19"/>
              </w:rPr>
              <w:t>Vibe Lighting</w:t>
            </w:r>
          </w:p>
        </w:tc>
        <w:tc>
          <w:tcPr>
            <w:tcW w:w="4165" w:type="dxa"/>
            <w:noWrap/>
            <w:vAlign w:val="bottom"/>
            <w:hideMark/>
          </w:tcPr>
          <w:p w:rsidR="00613925" w:rsidRPr="006D3F93" w:rsidRDefault="00B525E0" w:rsidP="00BB47F5">
            <w:pPr>
              <w:rPr>
                <w:rFonts w:cs="Arial"/>
                <w:color w:val="000000"/>
                <w:szCs w:val="19"/>
              </w:rPr>
            </w:pPr>
            <w:r w:rsidRPr="006D3F93">
              <w:rPr>
                <w:rFonts w:cs="Arial"/>
                <w:color w:val="000000"/>
                <w:szCs w:val="19"/>
              </w:rPr>
              <w:t>manufacturer/supplier</w:t>
            </w:r>
          </w:p>
        </w:tc>
      </w:tr>
    </w:tbl>
    <w:p w:rsidR="004F33AC" w:rsidRDefault="004F33AC" w:rsidP="004F33AC">
      <w:pPr>
        <w:pStyle w:val="Heading2"/>
        <w:numPr>
          <w:ilvl w:val="0"/>
          <w:numId w:val="0"/>
        </w:numPr>
      </w:pPr>
    </w:p>
    <w:p w:rsidR="004F33AC" w:rsidRDefault="004F33AC">
      <w:pPr>
        <w:spacing w:after="200" w:line="276" w:lineRule="auto"/>
        <w:rPr>
          <w:rFonts w:ascii="Helvetica" w:eastAsia="Times New Roman" w:hAnsi="Helvetica"/>
          <w:b/>
          <w:bCs/>
          <w:sz w:val="26"/>
          <w:szCs w:val="26"/>
        </w:rPr>
      </w:pPr>
      <w:r>
        <w:br w:type="page"/>
      </w:r>
    </w:p>
    <w:p w:rsidR="00AD2A5C" w:rsidRPr="004F33AC" w:rsidRDefault="00AD2A5C" w:rsidP="004F33AC">
      <w:pPr>
        <w:pStyle w:val="Heading2"/>
      </w:pPr>
      <w:bookmarkStart w:id="118" w:name="_Toc426387747"/>
      <w:r w:rsidRPr="004F33AC">
        <w:lastRenderedPageBreak/>
        <w:t xml:space="preserve">Australian </w:t>
      </w:r>
      <w:r w:rsidR="00DB1FF8" w:rsidRPr="004F33AC">
        <w:t>LED</w:t>
      </w:r>
      <w:r w:rsidRPr="004F33AC">
        <w:t xml:space="preserve"> lighting market</w:t>
      </w:r>
      <w:bookmarkEnd w:id="112"/>
      <w:bookmarkEnd w:id="118"/>
    </w:p>
    <w:p w:rsidR="005B6FDE" w:rsidRPr="005B6FDE" w:rsidRDefault="005B6FDE" w:rsidP="00E96970">
      <w:pPr>
        <w:pStyle w:val="Heading3"/>
      </w:pPr>
      <w:bookmarkStart w:id="119" w:name="_Toc426387748"/>
      <w:bookmarkStart w:id="120" w:name="_Toc366162143"/>
      <w:r w:rsidRPr="005B6FDE">
        <w:t>LED Lamp Types</w:t>
      </w:r>
      <w:bookmarkEnd w:id="119"/>
    </w:p>
    <w:p w:rsidR="005B6FDE" w:rsidRDefault="005B6FDE" w:rsidP="005B6FDE">
      <w:pPr>
        <w:rPr>
          <w:lang w:eastAsia="en-AU"/>
        </w:rPr>
      </w:pPr>
      <w:r>
        <w:rPr>
          <w:lang w:eastAsia="en-AU"/>
        </w:rPr>
        <w:t xml:space="preserve">Lamps currently sold in Australian and New Zealand retail and online outlets can be summarised into approximately 20 categories; some lamp types are more typically used in commercial spaces while others are more relevant for residential use. </w:t>
      </w:r>
      <w:r w:rsidR="009C3957">
        <w:rPr>
          <w:lang w:eastAsia="en-AU"/>
        </w:rPr>
        <w:t>Further, s</w:t>
      </w:r>
      <w:r>
        <w:rPr>
          <w:lang w:eastAsia="en-AU"/>
        </w:rPr>
        <w:t>ome of these lamp categories are specialised and/or professional lighting products likely to be of low volume and therefore provide only a limite</w:t>
      </w:r>
      <w:r w:rsidR="009C3957">
        <w:rPr>
          <w:lang w:eastAsia="en-AU"/>
        </w:rPr>
        <w:t>d opportunity for energy saving</w:t>
      </w:r>
      <w:r>
        <w:rPr>
          <w:lang w:eastAsia="en-AU"/>
        </w:rPr>
        <w:t xml:space="preserve">.  </w:t>
      </w:r>
    </w:p>
    <w:p w:rsidR="00F86E3A" w:rsidRDefault="00603AFB" w:rsidP="00F86E3A">
      <w:pPr>
        <w:pStyle w:val="Caption"/>
        <w:keepNext/>
      </w:pPr>
      <w:bookmarkStart w:id="121" w:name="_Toc426387820"/>
      <w:r>
        <w:t xml:space="preserve">Table </w:t>
      </w:r>
      <w:r>
        <w:fldChar w:fldCharType="begin"/>
      </w:r>
      <w:r>
        <w:instrText xml:space="preserve"> SEQ Table \* ARABIC </w:instrText>
      </w:r>
      <w:r>
        <w:fldChar w:fldCharType="separate"/>
      </w:r>
      <w:r w:rsidR="002C13E2">
        <w:rPr>
          <w:noProof/>
        </w:rPr>
        <w:t>5</w:t>
      </w:r>
      <w:r>
        <w:fldChar w:fldCharType="end"/>
      </w:r>
      <w:r>
        <w:t xml:space="preserve">. </w:t>
      </w:r>
      <w:r w:rsidRPr="00E95004">
        <w:t xml:space="preserve">LED Lamp Types Sold in Australia and New Zealand. </w:t>
      </w:r>
      <w:r w:rsidR="00F86E3A" w:rsidRPr="00E95004">
        <w:t xml:space="preserve">Note: products that have a ‘cap’ are an integrated form of LED, </w:t>
      </w:r>
      <w:r w:rsidRPr="00E95004">
        <w:t>i.e.</w:t>
      </w:r>
      <w:r w:rsidR="00F86E3A" w:rsidRPr="00E95004">
        <w:t xml:space="preserve"> LEDi. Data in this table is not a definitive categorisation, and will be constantly changing with new product development.</w:t>
      </w:r>
      <w:bookmarkEnd w:id="121"/>
    </w:p>
    <w:tbl>
      <w:tblPr>
        <w:tblStyle w:val="TableGrid"/>
        <w:tblW w:w="0" w:type="auto"/>
        <w:tblLook w:val="04A0" w:firstRow="1" w:lastRow="0" w:firstColumn="1" w:lastColumn="0" w:noHBand="0" w:noVBand="1"/>
      </w:tblPr>
      <w:tblGrid>
        <w:gridCol w:w="3085"/>
        <w:gridCol w:w="1703"/>
        <w:gridCol w:w="2394"/>
        <w:gridCol w:w="2394"/>
      </w:tblGrid>
      <w:tr w:rsidR="005B6FDE" w:rsidTr="006224FD">
        <w:trPr>
          <w:tblHeader/>
        </w:trPr>
        <w:tc>
          <w:tcPr>
            <w:tcW w:w="3085" w:type="dxa"/>
            <w:shd w:val="clear" w:color="auto" w:fill="D9D9D9" w:themeFill="background1" w:themeFillShade="D9"/>
          </w:tcPr>
          <w:p w:rsidR="005B6FDE" w:rsidRPr="009C3957" w:rsidRDefault="009C3957" w:rsidP="00BB47F5">
            <w:pPr>
              <w:spacing w:line="240" w:lineRule="auto"/>
              <w:rPr>
                <w:b/>
              </w:rPr>
            </w:pPr>
            <w:r w:rsidRPr="009C3957">
              <w:rPr>
                <w:b/>
              </w:rPr>
              <w:t>Description</w:t>
            </w:r>
          </w:p>
        </w:tc>
        <w:tc>
          <w:tcPr>
            <w:tcW w:w="1703" w:type="dxa"/>
            <w:shd w:val="clear" w:color="auto" w:fill="D9D9D9" w:themeFill="background1" w:themeFillShade="D9"/>
          </w:tcPr>
          <w:p w:rsidR="005B6FDE" w:rsidRPr="009C3957" w:rsidRDefault="005B6FDE" w:rsidP="00BB47F5">
            <w:pPr>
              <w:spacing w:line="240" w:lineRule="auto"/>
              <w:rPr>
                <w:b/>
              </w:rPr>
            </w:pPr>
            <w:r w:rsidRPr="009C3957">
              <w:rPr>
                <w:rFonts w:eastAsia="Times New Roman"/>
                <w:b/>
              </w:rPr>
              <w:t>LEDi</w:t>
            </w:r>
          </w:p>
        </w:tc>
        <w:tc>
          <w:tcPr>
            <w:tcW w:w="2394" w:type="dxa"/>
            <w:shd w:val="clear" w:color="auto" w:fill="D9D9D9" w:themeFill="background1" w:themeFillShade="D9"/>
          </w:tcPr>
          <w:p w:rsidR="005B6FDE" w:rsidRPr="009C3957" w:rsidRDefault="005B6FDE" w:rsidP="00BB47F5">
            <w:pPr>
              <w:spacing w:line="240" w:lineRule="auto"/>
              <w:rPr>
                <w:b/>
              </w:rPr>
            </w:pPr>
            <w:r w:rsidRPr="009C3957">
              <w:rPr>
                <w:b/>
              </w:rPr>
              <w:t>LEDsi</w:t>
            </w:r>
          </w:p>
        </w:tc>
        <w:tc>
          <w:tcPr>
            <w:tcW w:w="2394" w:type="dxa"/>
            <w:shd w:val="clear" w:color="auto" w:fill="D9D9D9" w:themeFill="background1" w:themeFillShade="D9"/>
          </w:tcPr>
          <w:p w:rsidR="005B6FDE" w:rsidRPr="009C3957" w:rsidRDefault="005B6FDE" w:rsidP="00BB47F5">
            <w:pPr>
              <w:spacing w:line="240" w:lineRule="auto"/>
              <w:rPr>
                <w:b/>
              </w:rPr>
            </w:pPr>
            <w:r w:rsidRPr="009C3957">
              <w:rPr>
                <w:b/>
              </w:rPr>
              <w:t>LEDn</w:t>
            </w:r>
          </w:p>
        </w:tc>
      </w:tr>
      <w:tr w:rsidR="005B6FDE" w:rsidTr="00BB47F5">
        <w:tc>
          <w:tcPr>
            <w:tcW w:w="3085" w:type="dxa"/>
          </w:tcPr>
          <w:p w:rsidR="005B6FDE" w:rsidRDefault="005B6FDE" w:rsidP="00BB47F5">
            <w:pPr>
              <w:spacing w:line="240" w:lineRule="auto"/>
              <w:jc w:val="both"/>
            </w:pPr>
            <w:r>
              <w:t>GLS non-directional lamps</w:t>
            </w:r>
          </w:p>
        </w:tc>
        <w:tc>
          <w:tcPr>
            <w:tcW w:w="1703" w:type="dxa"/>
          </w:tcPr>
          <w:p w:rsidR="005B6FDE" w:rsidRDefault="005B6FDE" w:rsidP="00BB47F5">
            <w:pPr>
              <w:spacing w:line="240" w:lineRule="auto"/>
            </w:pPr>
            <w:r>
              <w:sym w:font="Wingdings" w:char="F0FC"/>
            </w:r>
          </w:p>
        </w:tc>
        <w:tc>
          <w:tcPr>
            <w:tcW w:w="2394" w:type="dxa"/>
          </w:tcPr>
          <w:p w:rsidR="005B6FDE" w:rsidRDefault="005B6FDE" w:rsidP="00BB47F5">
            <w:pPr>
              <w:spacing w:line="240" w:lineRule="auto"/>
            </w:pPr>
          </w:p>
        </w:tc>
        <w:tc>
          <w:tcPr>
            <w:tcW w:w="2394" w:type="dxa"/>
          </w:tcPr>
          <w:p w:rsidR="005B6FDE" w:rsidRDefault="005B6FDE" w:rsidP="00BB47F5">
            <w:pPr>
              <w:spacing w:line="240" w:lineRule="auto"/>
            </w:pPr>
          </w:p>
        </w:tc>
      </w:tr>
      <w:tr w:rsidR="005B6FDE" w:rsidTr="00BB47F5">
        <w:tc>
          <w:tcPr>
            <w:tcW w:w="3085" w:type="dxa"/>
          </w:tcPr>
          <w:p w:rsidR="005B6FDE" w:rsidRDefault="005B6FDE" w:rsidP="00BB47F5">
            <w:pPr>
              <w:spacing w:line="240" w:lineRule="auto"/>
            </w:pPr>
            <w:r>
              <w:t>Candle</w:t>
            </w:r>
          </w:p>
        </w:tc>
        <w:tc>
          <w:tcPr>
            <w:tcW w:w="1703" w:type="dxa"/>
          </w:tcPr>
          <w:p w:rsidR="005B6FDE" w:rsidRDefault="005B6FDE" w:rsidP="00BB47F5">
            <w:pPr>
              <w:spacing w:line="240" w:lineRule="auto"/>
            </w:pPr>
            <w:r>
              <w:sym w:font="Wingdings" w:char="F0FC"/>
            </w:r>
          </w:p>
        </w:tc>
        <w:tc>
          <w:tcPr>
            <w:tcW w:w="2394" w:type="dxa"/>
          </w:tcPr>
          <w:p w:rsidR="005B6FDE" w:rsidRDefault="005B6FDE" w:rsidP="00BB47F5">
            <w:pPr>
              <w:spacing w:line="240" w:lineRule="auto"/>
            </w:pPr>
          </w:p>
        </w:tc>
        <w:tc>
          <w:tcPr>
            <w:tcW w:w="2394" w:type="dxa"/>
          </w:tcPr>
          <w:p w:rsidR="005B6FDE" w:rsidRDefault="005B6FDE" w:rsidP="00BB47F5">
            <w:pPr>
              <w:spacing w:line="240" w:lineRule="auto"/>
            </w:pPr>
          </w:p>
        </w:tc>
      </w:tr>
      <w:tr w:rsidR="005B6FDE" w:rsidTr="00BB47F5">
        <w:tc>
          <w:tcPr>
            <w:tcW w:w="3085" w:type="dxa"/>
          </w:tcPr>
          <w:p w:rsidR="005B6FDE" w:rsidRDefault="005B6FDE" w:rsidP="00BB47F5">
            <w:pPr>
              <w:spacing w:line="240" w:lineRule="auto"/>
            </w:pPr>
            <w:r>
              <w:t>Fancy round</w:t>
            </w:r>
          </w:p>
        </w:tc>
        <w:tc>
          <w:tcPr>
            <w:tcW w:w="1703" w:type="dxa"/>
          </w:tcPr>
          <w:p w:rsidR="005B6FDE" w:rsidRDefault="005B6FDE" w:rsidP="00BB47F5">
            <w:pPr>
              <w:spacing w:line="240" w:lineRule="auto"/>
            </w:pPr>
            <w:r>
              <w:sym w:font="Wingdings" w:char="F0FC"/>
            </w:r>
          </w:p>
        </w:tc>
        <w:tc>
          <w:tcPr>
            <w:tcW w:w="2394" w:type="dxa"/>
          </w:tcPr>
          <w:p w:rsidR="005B6FDE" w:rsidRDefault="005B6FDE" w:rsidP="00BB47F5">
            <w:pPr>
              <w:spacing w:line="240" w:lineRule="auto"/>
            </w:pPr>
          </w:p>
        </w:tc>
        <w:tc>
          <w:tcPr>
            <w:tcW w:w="2394" w:type="dxa"/>
          </w:tcPr>
          <w:p w:rsidR="005B6FDE" w:rsidRDefault="005B6FDE" w:rsidP="00BB47F5">
            <w:pPr>
              <w:spacing w:line="240" w:lineRule="auto"/>
            </w:pPr>
          </w:p>
        </w:tc>
      </w:tr>
      <w:tr w:rsidR="005B6FDE" w:rsidTr="00BB47F5">
        <w:tc>
          <w:tcPr>
            <w:tcW w:w="3085" w:type="dxa"/>
          </w:tcPr>
          <w:p w:rsidR="005B6FDE" w:rsidRDefault="005B6FDE" w:rsidP="00BB47F5">
            <w:pPr>
              <w:spacing w:line="240" w:lineRule="auto"/>
            </w:pPr>
            <w:r>
              <w:t>MV GU10 downlights</w:t>
            </w:r>
          </w:p>
        </w:tc>
        <w:tc>
          <w:tcPr>
            <w:tcW w:w="1703" w:type="dxa"/>
          </w:tcPr>
          <w:p w:rsidR="005B6FDE" w:rsidRDefault="005B6FDE" w:rsidP="00BB47F5">
            <w:pPr>
              <w:spacing w:line="240" w:lineRule="auto"/>
            </w:pPr>
            <w:r>
              <w:sym w:font="Wingdings" w:char="F0FC"/>
            </w:r>
          </w:p>
        </w:tc>
        <w:tc>
          <w:tcPr>
            <w:tcW w:w="2394" w:type="dxa"/>
          </w:tcPr>
          <w:p w:rsidR="005B6FDE" w:rsidRDefault="005B6FDE" w:rsidP="00BB47F5">
            <w:pPr>
              <w:spacing w:line="240" w:lineRule="auto"/>
            </w:pPr>
          </w:p>
        </w:tc>
        <w:tc>
          <w:tcPr>
            <w:tcW w:w="2394" w:type="dxa"/>
          </w:tcPr>
          <w:p w:rsidR="005B6FDE" w:rsidRDefault="005B6FDE" w:rsidP="00BB47F5">
            <w:pPr>
              <w:spacing w:line="240" w:lineRule="auto"/>
            </w:pPr>
          </w:p>
        </w:tc>
      </w:tr>
      <w:tr w:rsidR="005B6FDE" w:rsidTr="00BB47F5">
        <w:tc>
          <w:tcPr>
            <w:tcW w:w="3085" w:type="dxa"/>
          </w:tcPr>
          <w:p w:rsidR="005B6FDE" w:rsidRDefault="005B6FDE" w:rsidP="00BB47F5">
            <w:pPr>
              <w:spacing w:line="240" w:lineRule="auto"/>
            </w:pPr>
            <w:r>
              <w:t>ELV MR16 downlights</w:t>
            </w:r>
          </w:p>
        </w:tc>
        <w:tc>
          <w:tcPr>
            <w:tcW w:w="1703" w:type="dxa"/>
          </w:tcPr>
          <w:p w:rsidR="005B6FDE" w:rsidRDefault="005B6FDE" w:rsidP="00BB47F5">
            <w:pPr>
              <w:spacing w:line="240" w:lineRule="auto"/>
            </w:pPr>
          </w:p>
        </w:tc>
        <w:tc>
          <w:tcPr>
            <w:tcW w:w="2394" w:type="dxa"/>
          </w:tcPr>
          <w:p w:rsidR="005B6FDE" w:rsidRDefault="005B6FDE" w:rsidP="00BB47F5">
            <w:pPr>
              <w:spacing w:line="240" w:lineRule="auto"/>
            </w:pPr>
            <w:r>
              <w:sym w:font="Wingdings" w:char="F0FC"/>
            </w:r>
          </w:p>
        </w:tc>
        <w:tc>
          <w:tcPr>
            <w:tcW w:w="2394" w:type="dxa"/>
          </w:tcPr>
          <w:p w:rsidR="005B6FDE" w:rsidRDefault="005B6FDE" w:rsidP="00BB47F5">
            <w:pPr>
              <w:spacing w:line="240" w:lineRule="auto"/>
            </w:pPr>
          </w:p>
        </w:tc>
      </w:tr>
      <w:tr w:rsidR="005B6FDE" w:rsidTr="00BB47F5">
        <w:tc>
          <w:tcPr>
            <w:tcW w:w="3085" w:type="dxa"/>
          </w:tcPr>
          <w:p w:rsidR="005B6FDE" w:rsidRDefault="005B6FDE" w:rsidP="00BB47F5">
            <w:pPr>
              <w:spacing w:line="240" w:lineRule="auto"/>
            </w:pPr>
            <w:r>
              <w:t>PAR lamps</w:t>
            </w:r>
          </w:p>
        </w:tc>
        <w:tc>
          <w:tcPr>
            <w:tcW w:w="1703" w:type="dxa"/>
          </w:tcPr>
          <w:p w:rsidR="005B6FDE" w:rsidRDefault="005B6FDE" w:rsidP="00BB47F5">
            <w:pPr>
              <w:spacing w:line="240" w:lineRule="auto"/>
            </w:pPr>
            <w:r>
              <w:sym w:font="Wingdings" w:char="F0FC"/>
            </w:r>
          </w:p>
        </w:tc>
        <w:tc>
          <w:tcPr>
            <w:tcW w:w="2394" w:type="dxa"/>
          </w:tcPr>
          <w:p w:rsidR="005B6FDE" w:rsidRDefault="005B6FDE" w:rsidP="00BB47F5">
            <w:pPr>
              <w:spacing w:line="240" w:lineRule="auto"/>
            </w:pPr>
          </w:p>
        </w:tc>
        <w:tc>
          <w:tcPr>
            <w:tcW w:w="2394" w:type="dxa"/>
          </w:tcPr>
          <w:p w:rsidR="005B6FDE" w:rsidRDefault="005B6FDE" w:rsidP="00BB47F5">
            <w:pPr>
              <w:spacing w:line="240" w:lineRule="auto"/>
            </w:pPr>
          </w:p>
        </w:tc>
      </w:tr>
      <w:tr w:rsidR="005B6FDE" w:rsidTr="00BB47F5">
        <w:tc>
          <w:tcPr>
            <w:tcW w:w="3085" w:type="dxa"/>
          </w:tcPr>
          <w:p w:rsidR="005B6FDE" w:rsidRDefault="005B6FDE" w:rsidP="00BB47F5">
            <w:pPr>
              <w:spacing w:line="240" w:lineRule="auto"/>
            </w:pPr>
            <w:r>
              <w:t>AR111 spot lamps</w:t>
            </w:r>
          </w:p>
        </w:tc>
        <w:tc>
          <w:tcPr>
            <w:tcW w:w="1703" w:type="dxa"/>
          </w:tcPr>
          <w:p w:rsidR="005B6FDE" w:rsidRDefault="005B6FDE" w:rsidP="00BB47F5">
            <w:pPr>
              <w:spacing w:line="240" w:lineRule="auto"/>
            </w:pPr>
            <w:r>
              <w:sym w:font="Wingdings" w:char="F0FC"/>
            </w:r>
          </w:p>
        </w:tc>
        <w:tc>
          <w:tcPr>
            <w:tcW w:w="2394" w:type="dxa"/>
          </w:tcPr>
          <w:p w:rsidR="005B6FDE" w:rsidRDefault="005B6FDE" w:rsidP="00BB47F5">
            <w:pPr>
              <w:spacing w:line="240" w:lineRule="auto"/>
            </w:pPr>
          </w:p>
        </w:tc>
        <w:tc>
          <w:tcPr>
            <w:tcW w:w="2394" w:type="dxa"/>
          </w:tcPr>
          <w:p w:rsidR="005B6FDE" w:rsidRDefault="005B6FDE" w:rsidP="00BB47F5">
            <w:pPr>
              <w:spacing w:line="240" w:lineRule="auto"/>
            </w:pPr>
          </w:p>
        </w:tc>
      </w:tr>
      <w:tr w:rsidR="005B6FDE" w:rsidTr="00BB47F5">
        <w:tc>
          <w:tcPr>
            <w:tcW w:w="3085" w:type="dxa"/>
          </w:tcPr>
          <w:p w:rsidR="005B6FDE" w:rsidRDefault="005B6FDE" w:rsidP="00BB47F5">
            <w:pPr>
              <w:spacing w:line="240" w:lineRule="auto"/>
            </w:pPr>
            <w:r>
              <w:t>High bay lamps</w:t>
            </w:r>
          </w:p>
        </w:tc>
        <w:tc>
          <w:tcPr>
            <w:tcW w:w="1703" w:type="dxa"/>
          </w:tcPr>
          <w:p w:rsidR="005B6FDE" w:rsidRDefault="005B6FDE" w:rsidP="00BB47F5">
            <w:pPr>
              <w:spacing w:line="240" w:lineRule="auto"/>
            </w:pPr>
            <w:r>
              <w:sym w:font="Wingdings" w:char="F0FC"/>
            </w:r>
          </w:p>
        </w:tc>
        <w:tc>
          <w:tcPr>
            <w:tcW w:w="2394" w:type="dxa"/>
          </w:tcPr>
          <w:p w:rsidR="005B6FDE" w:rsidRDefault="005B6FDE" w:rsidP="00BB47F5">
            <w:pPr>
              <w:spacing w:line="240" w:lineRule="auto"/>
            </w:pPr>
          </w:p>
        </w:tc>
        <w:tc>
          <w:tcPr>
            <w:tcW w:w="2394" w:type="dxa"/>
          </w:tcPr>
          <w:p w:rsidR="005B6FDE" w:rsidRDefault="005B6FDE" w:rsidP="00BB47F5">
            <w:pPr>
              <w:spacing w:line="240" w:lineRule="auto"/>
            </w:pPr>
          </w:p>
        </w:tc>
      </w:tr>
      <w:tr w:rsidR="005B6FDE" w:rsidTr="00BB47F5">
        <w:tc>
          <w:tcPr>
            <w:tcW w:w="3085" w:type="dxa"/>
          </w:tcPr>
          <w:p w:rsidR="005B6FDE" w:rsidRDefault="005B6FDE" w:rsidP="00BB47F5">
            <w:pPr>
              <w:spacing w:line="240" w:lineRule="auto"/>
            </w:pPr>
            <w:r>
              <w:t>Linear tube lamps</w:t>
            </w:r>
          </w:p>
        </w:tc>
        <w:tc>
          <w:tcPr>
            <w:tcW w:w="1703" w:type="dxa"/>
          </w:tcPr>
          <w:p w:rsidR="005B6FDE" w:rsidRDefault="005B6FDE" w:rsidP="00BB47F5">
            <w:pPr>
              <w:spacing w:line="240" w:lineRule="auto"/>
            </w:pPr>
          </w:p>
        </w:tc>
        <w:tc>
          <w:tcPr>
            <w:tcW w:w="2394" w:type="dxa"/>
          </w:tcPr>
          <w:p w:rsidR="005B6FDE" w:rsidRDefault="005B6FDE" w:rsidP="00BB47F5">
            <w:pPr>
              <w:spacing w:line="240" w:lineRule="auto"/>
            </w:pPr>
            <w:r>
              <w:sym w:font="Wingdings" w:char="F0FC"/>
            </w:r>
          </w:p>
        </w:tc>
        <w:tc>
          <w:tcPr>
            <w:tcW w:w="2394" w:type="dxa"/>
          </w:tcPr>
          <w:p w:rsidR="005B6FDE" w:rsidRDefault="005B6FDE" w:rsidP="00BB47F5">
            <w:pPr>
              <w:spacing w:line="240" w:lineRule="auto"/>
            </w:pPr>
            <w:r>
              <w:sym w:font="Wingdings" w:char="F0FC"/>
            </w:r>
          </w:p>
        </w:tc>
      </w:tr>
      <w:tr w:rsidR="005B6FDE" w:rsidTr="00BB47F5">
        <w:tc>
          <w:tcPr>
            <w:tcW w:w="3085" w:type="dxa"/>
          </w:tcPr>
          <w:p w:rsidR="005B6FDE" w:rsidRDefault="005B6FDE" w:rsidP="00BB47F5">
            <w:pPr>
              <w:spacing w:line="240" w:lineRule="auto"/>
            </w:pPr>
            <w:r>
              <w:t>Circular tube lamps</w:t>
            </w:r>
          </w:p>
        </w:tc>
        <w:tc>
          <w:tcPr>
            <w:tcW w:w="1703" w:type="dxa"/>
          </w:tcPr>
          <w:p w:rsidR="005B6FDE" w:rsidRDefault="005B6FDE" w:rsidP="00BB47F5">
            <w:pPr>
              <w:spacing w:line="240" w:lineRule="auto"/>
            </w:pPr>
          </w:p>
        </w:tc>
        <w:tc>
          <w:tcPr>
            <w:tcW w:w="2394" w:type="dxa"/>
          </w:tcPr>
          <w:p w:rsidR="005B6FDE" w:rsidRDefault="005B6FDE" w:rsidP="00BB47F5">
            <w:pPr>
              <w:spacing w:line="240" w:lineRule="auto"/>
            </w:pPr>
            <w:r>
              <w:sym w:font="Wingdings" w:char="F0FC"/>
            </w:r>
          </w:p>
        </w:tc>
        <w:tc>
          <w:tcPr>
            <w:tcW w:w="2394" w:type="dxa"/>
          </w:tcPr>
          <w:p w:rsidR="005B6FDE" w:rsidRDefault="005B6FDE" w:rsidP="00BB47F5">
            <w:pPr>
              <w:spacing w:line="240" w:lineRule="auto"/>
            </w:pPr>
            <w:r>
              <w:sym w:font="Wingdings" w:char="F0FC"/>
            </w:r>
          </w:p>
        </w:tc>
      </w:tr>
      <w:tr w:rsidR="005B6FDE" w:rsidTr="00BB47F5">
        <w:tc>
          <w:tcPr>
            <w:tcW w:w="3085" w:type="dxa"/>
          </w:tcPr>
          <w:p w:rsidR="005B6FDE" w:rsidRDefault="005B6FDE" w:rsidP="00BB47F5">
            <w:pPr>
              <w:spacing w:line="240" w:lineRule="auto"/>
            </w:pPr>
            <w:r>
              <w:t>In</w:t>
            </w:r>
            <w:r w:rsidR="00100A46">
              <w:t>-</w:t>
            </w:r>
            <w:r>
              <w:t>ground LED tiles</w:t>
            </w:r>
          </w:p>
        </w:tc>
        <w:tc>
          <w:tcPr>
            <w:tcW w:w="1703" w:type="dxa"/>
          </w:tcPr>
          <w:p w:rsidR="005B6FDE" w:rsidRDefault="005B6FDE" w:rsidP="00BB47F5">
            <w:pPr>
              <w:spacing w:line="240" w:lineRule="auto"/>
            </w:pPr>
          </w:p>
        </w:tc>
        <w:tc>
          <w:tcPr>
            <w:tcW w:w="2394" w:type="dxa"/>
          </w:tcPr>
          <w:p w:rsidR="005B6FDE" w:rsidRDefault="005B6FDE" w:rsidP="00BB47F5">
            <w:pPr>
              <w:spacing w:line="240" w:lineRule="auto"/>
            </w:pPr>
            <w:r>
              <w:sym w:font="Wingdings" w:char="F0FC"/>
            </w:r>
          </w:p>
        </w:tc>
        <w:tc>
          <w:tcPr>
            <w:tcW w:w="2394" w:type="dxa"/>
          </w:tcPr>
          <w:p w:rsidR="005B6FDE" w:rsidRDefault="005B6FDE" w:rsidP="00BB47F5">
            <w:pPr>
              <w:spacing w:line="240" w:lineRule="auto"/>
            </w:pPr>
            <w:r>
              <w:sym w:font="Wingdings" w:char="F0FC"/>
            </w:r>
          </w:p>
        </w:tc>
      </w:tr>
      <w:tr w:rsidR="005B6FDE" w:rsidTr="00BB47F5">
        <w:tc>
          <w:tcPr>
            <w:tcW w:w="3085" w:type="dxa"/>
          </w:tcPr>
          <w:p w:rsidR="005B6FDE" w:rsidRDefault="005B6FDE" w:rsidP="00BB47F5">
            <w:pPr>
              <w:spacing w:line="240" w:lineRule="auto"/>
            </w:pPr>
            <w:r>
              <w:t>Strip lighting (flexible)</w:t>
            </w:r>
          </w:p>
        </w:tc>
        <w:tc>
          <w:tcPr>
            <w:tcW w:w="1703" w:type="dxa"/>
          </w:tcPr>
          <w:p w:rsidR="005B6FDE" w:rsidRDefault="005B6FDE" w:rsidP="00BB47F5">
            <w:pPr>
              <w:spacing w:line="240" w:lineRule="auto"/>
            </w:pPr>
          </w:p>
        </w:tc>
        <w:tc>
          <w:tcPr>
            <w:tcW w:w="2394" w:type="dxa"/>
          </w:tcPr>
          <w:p w:rsidR="005B6FDE" w:rsidRDefault="005B6FDE" w:rsidP="00BB47F5">
            <w:pPr>
              <w:spacing w:line="240" w:lineRule="auto"/>
            </w:pPr>
          </w:p>
        </w:tc>
        <w:tc>
          <w:tcPr>
            <w:tcW w:w="2394" w:type="dxa"/>
          </w:tcPr>
          <w:p w:rsidR="005B6FDE" w:rsidRDefault="005B6FDE" w:rsidP="00BB47F5">
            <w:pPr>
              <w:spacing w:line="240" w:lineRule="auto"/>
            </w:pPr>
            <w:r>
              <w:sym w:font="Wingdings" w:char="F0FC"/>
            </w:r>
          </w:p>
        </w:tc>
      </w:tr>
      <w:tr w:rsidR="005B6FDE" w:rsidTr="00BB47F5">
        <w:tc>
          <w:tcPr>
            <w:tcW w:w="3085" w:type="dxa"/>
          </w:tcPr>
          <w:p w:rsidR="005B6FDE" w:rsidRDefault="005B6FDE" w:rsidP="00BB47F5">
            <w:pPr>
              <w:spacing w:line="240" w:lineRule="auto"/>
            </w:pPr>
            <w:r>
              <w:t>Rope lighting</w:t>
            </w:r>
          </w:p>
        </w:tc>
        <w:tc>
          <w:tcPr>
            <w:tcW w:w="1703" w:type="dxa"/>
          </w:tcPr>
          <w:p w:rsidR="005B6FDE" w:rsidRDefault="005B6FDE" w:rsidP="00BB47F5">
            <w:pPr>
              <w:spacing w:line="240" w:lineRule="auto"/>
            </w:pPr>
          </w:p>
        </w:tc>
        <w:tc>
          <w:tcPr>
            <w:tcW w:w="2394" w:type="dxa"/>
          </w:tcPr>
          <w:p w:rsidR="005B6FDE" w:rsidRDefault="005B6FDE" w:rsidP="00BB47F5">
            <w:pPr>
              <w:spacing w:line="240" w:lineRule="auto"/>
            </w:pPr>
          </w:p>
        </w:tc>
        <w:tc>
          <w:tcPr>
            <w:tcW w:w="2394" w:type="dxa"/>
          </w:tcPr>
          <w:p w:rsidR="005B6FDE" w:rsidRDefault="005B6FDE" w:rsidP="00BB47F5">
            <w:pPr>
              <w:spacing w:line="240" w:lineRule="auto"/>
            </w:pPr>
            <w:r>
              <w:sym w:font="Wingdings" w:char="F0FC"/>
            </w:r>
          </w:p>
        </w:tc>
      </w:tr>
    </w:tbl>
    <w:p w:rsidR="00EB2823" w:rsidRDefault="00EB2823" w:rsidP="001E3508">
      <w:pPr>
        <w:pStyle w:val="E3BodyText"/>
      </w:pPr>
    </w:p>
    <w:p w:rsidR="005B6FDE" w:rsidRDefault="001E3508" w:rsidP="001E3508">
      <w:pPr>
        <w:pStyle w:val="E3BodyText"/>
      </w:pPr>
      <w:r>
        <w:t>In addition to LED lamps, LED luminaire</w:t>
      </w:r>
      <w:r w:rsidR="00430639">
        <w:t>s</w:t>
      </w:r>
      <w:r>
        <w:t xml:space="preserve"> were also found in the following categories:</w:t>
      </w:r>
    </w:p>
    <w:p w:rsidR="001E3508" w:rsidRDefault="001E3508" w:rsidP="001E3508">
      <w:pPr>
        <w:pStyle w:val="E3Bullets"/>
      </w:pPr>
      <w:r>
        <w:t>Module downlights (gimbal/fixed style)</w:t>
      </w:r>
    </w:p>
    <w:p w:rsidR="001E3508" w:rsidRDefault="001E3508" w:rsidP="001E3508">
      <w:pPr>
        <w:pStyle w:val="E3Bullets"/>
      </w:pPr>
      <w:r>
        <w:t>Oyster lights</w:t>
      </w:r>
    </w:p>
    <w:p w:rsidR="001E3508" w:rsidRDefault="001E3508" w:rsidP="001E3508">
      <w:pPr>
        <w:pStyle w:val="E3Bullets"/>
      </w:pPr>
      <w:r>
        <w:t>Profile lights</w:t>
      </w:r>
    </w:p>
    <w:p w:rsidR="001E3508" w:rsidRDefault="001E3508" w:rsidP="001E3508">
      <w:pPr>
        <w:pStyle w:val="E3Bullets"/>
      </w:pPr>
      <w:r>
        <w:t>Wall washers, spot lights and flood lights</w:t>
      </w:r>
    </w:p>
    <w:p w:rsidR="001E3508" w:rsidRPr="001E3508" w:rsidRDefault="001E3508" w:rsidP="001E3508">
      <w:pPr>
        <w:pStyle w:val="E3Bullets"/>
      </w:pPr>
      <w:r>
        <w:t>Ceiling panels</w:t>
      </w:r>
    </w:p>
    <w:p w:rsidR="00AD2A5C" w:rsidRDefault="00AD2A5C" w:rsidP="00E96970">
      <w:pPr>
        <w:pStyle w:val="Heading3"/>
      </w:pPr>
      <w:bookmarkStart w:id="122" w:name="_Toc426387749"/>
      <w:r w:rsidRPr="003107D2">
        <w:t>Stock and sales</w:t>
      </w:r>
      <w:bookmarkEnd w:id="120"/>
      <w:bookmarkEnd w:id="122"/>
    </w:p>
    <w:p w:rsidR="0048618F" w:rsidRDefault="009C3957" w:rsidP="0048618F">
      <w:bookmarkStart w:id="123" w:name="_Toc366162145"/>
      <w:r>
        <w:rPr>
          <w:lang w:eastAsia="en-AU"/>
        </w:rPr>
        <w:t>The E3 Committee</w:t>
      </w:r>
      <w:r w:rsidR="0048618F">
        <w:rPr>
          <w:lang w:eastAsia="en-AU"/>
        </w:rPr>
        <w:t xml:space="preserve"> commissioned a comprehensive lighting audit of the residential sector in 2010, one year after the commencement of </w:t>
      </w:r>
      <w:r>
        <w:rPr>
          <w:lang w:eastAsia="en-AU"/>
        </w:rPr>
        <w:t>the</w:t>
      </w:r>
      <w:r w:rsidR="0048618F">
        <w:rPr>
          <w:lang w:eastAsia="en-AU"/>
        </w:rPr>
        <w:t xml:space="preserve"> incandescent lamp phase-out program</w:t>
      </w:r>
      <w:r w:rsidR="00B3455A">
        <w:rPr>
          <w:lang w:eastAsia="en-AU"/>
        </w:rPr>
        <w:t xml:space="preserve"> (E3 2010)</w:t>
      </w:r>
      <w:r w:rsidR="0048618F">
        <w:rPr>
          <w:lang w:eastAsia="en-AU"/>
        </w:rPr>
        <w:t>. The purpose was t</w:t>
      </w:r>
      <w:r w:rsidR="0048618F">
        <w:t xml:space="preserve">o quantify the lighting stock and characteristics of </w:t>
      </w:r>
      <w:r>
        <w:t xml:space="preserve">lighting in </w:t>
      </w:r>
      <w:r w:rsidR="0048618F">
        <w:t>Australian households.</w:t>
      </w:r>
    </w:p>
    <w:p w:rsidR="0048618F" w:rsidRDefault="0048618F" w:rsidP="0048618F">
      <w:r w:rsidRPr="00EE7821">
        <w:t>Th</w:t>
      </w:r>
      <w:r>
        <w:t>e</w:t>
      </w:r>
      <w:r w:rsidRPr="00EE7821">
        <w:t xml:space="preserve"> intrusive survey covered 150 houses, including 43 houses in Queensland (Brisbane), 36 houses in New South Wales (Newcastle and Sydney), and 71 houses in Victoria (Melbourne and Gippsland). Fieldwork was undertaken in the period October 2010 to March 2011.</w:t>
      </w:r>
    </w:p>
    <w:p w:rsidR="00DE63E8" w:rsidRDefault="0048618F" w:rsidP="003A6B2F">
      <w:pPr>
        <w:pStyle w:val="E3BodyText"/>
      </w:pPr>
      <w:r w:rsidRPr="0048618F">
        <w:t xml:space="preserve">The study yielded an overview of the number of lamps installed in the average house, plus the performance characteristics in Lumens and Watts by lamp technology, as </w:t>
      </w:r>
      <w:r w:rsidR="00603AFB" w:rsidRPr="0048618F">
        <w:t>per</w:t>
      </w:r>
      <w:r w:rsidR="00603AFB">
        <w:t xml:space="preserve"> </w:t>
      </w:r>
      <w:r w:rsidR="00603AFB">
        <w:fldChar w:fldCharType="begin"/>
      </w:r>
      <w:r w:rsidR="00603AFB">
        <w:instrText xml:space="preserve"> REF _Ref424118958 \h  \* MERGEFORMAT </w:instrText>
      </w:r>
      <w:r w:rsidR="00603AFB">
        <w:fldChar w:fldCharType="separate"/>
      </w:r>
      <w:r w:rsidR="002C13E2">
        <w:t xml:space="preserve">Table </w:t>
      </w:r>
      <w:r w:rsidR="002C13E2">
        <w:rPr>
          <w:noProof/>
        </w:rPr>
        <w:t>6</w:t>
      </w:r>
      <w:r w:rsidR="00603AFB">
        <w:fldChar w:fldCharType="end"/>
      </w:r>
      <w:r w:rsidR="003A6B2F">
        <w:t>.</w:t>
      </w:r>
    </w:p>
    <w:p w:rsidR="00DE63E8" w:rsidRPr="0048618F" w:rsidRDefault="00DE63E8" w:rsidP="00DE63E8">
      <w:pPr>
        <w:spacing w:after="200" w:line="276" w:lineRule="auto"/>
      </w:pPr>
      <w:r>
        <w:br w:type="page"/>
      </w:r>
    </w:p>
    <w:p w:rsidR="00F86E3A" w:rsidRDefault="00603AFB" w:rsidP="00F86E3A">
      <w:pPr>
        <w:pStyle w:val="Caption"/>
        <w:keepNext/>
      </w:pPr>
      <w:bookmarkStart w:id="124" w:name="_Ref424118958"/>
      <w:bookmarkStart w:id="125" w:name="_Toc426387821"/>
      <w:r>
        <w:lastRenderedPageBreak/>
        <w:t xml:space="preserve">Table </w:t>
      </w:r>
      <w:r>
        <w:fldChar w:fldCharType="begin"/>
      </w:r>
      <w:r>
        <w:instrText xml:space="preserve"> SEQ Table \* ARABIC </w:instrText>
      </w:r>
      <w:r>
        <w:fldChar w:fldCharType="separate"/>
      </w:r>
      <w:r w:rsidR="002C13E2">
        <w:rPr>
          <w:noProof/>
        </w:rPr>
        <w:t>6</w:t>
      </w:r>
      <w:r>
        <w:fldChar w:fldCharType="end"/>
      </w:r>
      <w:bookmarkEnd w:id="124"/>
      <w:r>
        <w:t xml:space="preserve">. </w:t>
      </w:r>
      <w:r w:rsidRPr="002C7574">
        <w:t xml:space="preserve">Number of lamps, Lumens and Watts by Technology in the typical Australian house. </w:t>
      </w:r>
      <w:r w:rsidR="00F86E3A" w:rsidRPr="002C7574">
        <w:t>* Unknown and missing ‘technologies’ are included in the share numbers as incandescent lamps.</w:t>
      </w:r>
      <w:bookmarkEnd w:id="125"/>
    </w:p>
    <w:tbl>
      <w:tblPr>
        <w:tblW w:w="5000" w:type="pct"/>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1600"/>
        <w:gridCol w:w="1179"/>
        <w:gridCol w:w="1179"/>
        <w:gridCol w:w="1179"/>
        <w:gridCol w:w="1179"/>
        <w:gridCol w:w="1179"/>
        <w:gridCol w:w="1180"/>
        <w:gridCol w:w="1180"/>
      </w:tblGrid>
      <w:tr w:rsidR="00866F47" w:rsidRPr="00BF00F0" w:rsidTr="00866F47">
        <w:trPr>
          <w:jc w:val="center"/>
        </w:trPr>
        <w:tc>
          <w:tcPr>
            <w:tcW w:w="1600" w:type="dxa"/>
            <w:tcBorders>
              <w:top w:val="single" w:sz="6" w:space="0" w:color="auto"/>
              <w:left w:val="single" w:sz="6" w:space="0" w:color="auto"/>
              <w:bottom w:val="single" w:sz="6" w:space="0" w:color="auto"/>
              <w:right w:val="single" w:sz="6" w:space="0" w:color="auto"/>
            </w:tcBorders>
            <w:shd w:val="clear" w:color="auto" w:fill="000000"/>
          </w:tcPr>
          <w:p w:rsidR="00866F47" w:rsidRPr="00A219E2" w:rsidRDefault="00866F47" w:rsidP="00A219E2">
            <w:pPr>
              <w:spacing w:before="40"/>
              <w:rPr>
                <w:b/>
                <w:bCs/>
                <w:sz w:val="18"/>
              </w:rPr>
            </w:pPr>
            <w:r w:rsidRPr="00A219E2">
              <w:rPr>
                <w:b/>
                <w:bCs/>
                <w:sz w:val="18"/>
              </w:rPr>
              <w:t>Average Per House</w:t>
            </w:r>
          </w:p>
        </w:tc>
        <w:tc>
          <w:tcPr>
            <w:tcW w:w="1179" w:type="dxa"/>
            <w:tcBorders>
              <w:top w:val="single" w:sz="6" w:space="0" w:color="auto"/>
              <w:left w:val="single" w:sz="6" w:space="0" w:color="auto"/>
              <w:bottom w:val="single" w:sz="6" w:space="0" w:color="auto"/>
              <w:right w:val="single" w:sz="6" w:space="0" w:color="auto"/>
            </w:tcBorders>
            <w:shd w:val="clear" w:color="auto" w:fill="000000"/>
          </w:tcPr>
          <w:p w:rsidR="00866F47" w:rsidRPr="00A219E2" w:rsidRDefault="00866F47" w:rsidP="00A219E2">
            <w:pPr>
              <w:spacing w:before="40"/>
              <w:rPr>
                <w:b/>
                <w:bCs/>
                <w:sz w:val="18"/>
              </w:rPr>
            </w:pPr>
            <w:r w:rsidRPr="00A219E2">
              <w:rPr>
                <w:b/>
                <w:bCs/>
                <w:sz w:val="18"/>
              </w:rPr>
              <w:t>Incandescent*</w:t>
            </w:r>
          </w:p>
        </w:tc>
        <w:tc>
          <w:tcPr>
            <w:tcW w:w="1179" w:type="dxa"/>
            <w:tcBorders>
              <w:top w:val="single" w:sz="6" w:space="0" w:color="auto"/>
              <w:left w:val="single" w:sz="6" w:space="0" w:color="auto"/>
              <w:bottom w:val="single" w:sz="6" w:space="0" w:color="auto"/>
              <w:right w:val="single" w:sz="6" w:space="0" w:color="auto"/>
            </w:tcBorders>
            <w:shd w:val="clear" w:color="auto" w:fill="000000"/>
          </w:tcPr>
          <w:p w:rsidR="00866F47" w:rsidRPr="00A219E2" w:rsidRDefault="00866F47" w:rsidP="00A219E2">
            <w:pPr>
              <w:spacing w:before="40"/>
              <w:rPr>
                <w:b/>
                <w:bCs/>
                <w:sz w:val="18"/>
              </w:rPr>
            </w:pPr>
            <w:r w:rsidRPr="00A219E2">
              <w:rPr>
                <w:b/>
                <w:bCs/>
                <w:sz w:val="18"/>
              </w:rPr>
              <w:t>Mains Voltage Halogen</w:t>
            </w:r>
          </w:p>
        </w:tc>
        <w:tc>
          <w:tcPr>
            <w:tcW w:w="1179" w:type="dxa"/>
            <w:tcBorders>
              <w:top w:val="single" w:sz="6" w:space="0" w:color="auto"/>
              <w:left w:val="single" w:sz="6" w:space="0" w:color="auto"/>
              <w:bottom w:val="single" w:sz="6" w:space="0" w:color="auto"/>
              <w:right w:val="single" w:sz="6" w:space="0" w:color="auto"/>
            </w:tcBorders>
            <w:shd w:val="clear" w:color="auto" w:fill="000000"/>
          </w:tcPr>
          <w:p w:rsidR="00866F47" w:rsidRPr="00A219E2" w:rsidRDefault="00866F47" w:rsidP="00A219E2">
            <w:pPr>
              <w:spacing w:before="40"/>
              <w:rPr>
                <w:b/>
                <w:bCs/>
                <w:sz w:val="18"/>
              </w:rPr>
            </w:pPr>
            <w:r w:rsidRPr="00A219E2">
              <w:rPr>
                <w:b/>
                <w:bCs/>
                <w:sz w:val="18"/>
              </w:rPr>
              <w:t>Low Voltage Halogen</w:t>
            </w:r>
          </w:p>
        </w:tc>
        <w:tc>
          <w:tcPr>
            <w:tcW w:w="1179" w:type="dxa"/>
            <w:tcBorders>
              <w:top w:val="single" w:sz="6" w:space="0" w:color="auto"/>
              <w:left w:val="single" w:sz="6" w:space="0" w:color="auto"/>
              <w:bottom w:val="single" w:sz="6" w:space="0" w:color="auto"/>
              <w:right w:val="single" w:sz="6" w:space="0" w:color="auto"/>
            </w:tcBorders>
            <w:shd w:val="clear" w:color="auto" w:fill="000000"/>
          </w:tcPr>
          <w:p w:rsidR="00866F47" w:rsidRPr="00A219E2" w:rsidRDefault="00866F47" w:rsidP="00A219E2">
            <w:pPr>
              <w:spacing w:before="40"/>
              <w:rPr>
                <w:b/>
                <w:bCs/>
                <w:sz w:val="18"/>
              </w:rPr>
            </w:pPr>
            <w:r w:rsidRPr="00A219E2">
              <w:rPr>
                <w:b/>
                <w:bCs/>
                <w:sz w:val="18"/>
              </w:rPr>
              <w:t>Compact Fluorescent</w:t>
            </w:r>
          </w:p>
        </w:tc>
        <w:tc>
          <w:tcPr>
            <w:tcW w:w="1179" w:type="dxa"/>
            <w:tcBorders>
              <w:top w:val="single" w:sz="6" w:space="0" w:color="auto"/>
              <w:left w:val="single" w:sz="6" w:space="0" w:color="auto"/>
              <w:bottom w:val="single" w:sz="6" w:space="0" w:color="auto"/>
              <w:right w:val="single" w:sz="6" w:space="0" w:color="auto"/>
            </w:tcBorders>
            <w:shd w:val="clear" w:color="auto" w:fill="000000"/>
          </w:tcPr>
          <w:p w:rsidR="00866F47" w:rsidRPr="00A219E2" w:rsidRDefault="00866F47" w:rsidP="00A219E2">
            <w:pPr>
              <w:spacing w:before="40"/>
              <w:rPr>
                <w:b/>
                <w:bCs/>
                <w:sz w:val="18"/>
              </w:rPr>
            </w:pPr>
            <w:r w:rsidRPr="00A219E2">
              <w:rPr>
                <w:b/>
                <w:bCs/>
                <w:sz w:val="18"/>
              </w:rPr>
              <w:t>Linear Fluorescent</w:t>
            </w:r>
          </w:p>
        </w:tc>
        <w:tc>
          <w:tcPr>
            <w:tcW w:w="1180" w:type="dxa"/>
            <w:tcBorders>
              <w:top w:val="single" w:sz="6" w:space="0" w:color="auto"/>
              <w:left w:val="single" w:sz="6" w:space="0" w:color="auto"/>
              <w:bottom w:val="single" w:sz="6" w:space="0" w:color="auto"/>
              <w:right w:val="single" w:sz="6" w:space="0" w:color="auto"/>
            </w:tcBorders>
            <w:shd w:val="clear" w:color="auto" w:fill="000000"/>
          </w:tcPr>
          <w:p w:rsidR="00866F47" w:rsidRPr="00A219E2" w:rsidRDefault="00866F47" w:rsidP="00A219E2">
            <w:pPr>
              <w:spacing w:before="40"/>
              <w:rPr>
                <w:b/>
                <w:bCs/>
                <w:sz w:val="18"/>
              </w:rPr>
            </w:pPr>
            <w:r w:rsidRPr="00A219E2">
              <w:rPr>
                <w:b/>
                <w:bCs/>
                <w:sz w:val="18"/>
              </w:rPr>
              <w:t>LED</w:t>
            </w:r>
          </w:p>
        </w:tc>
        <w:tc>
          <w:tcPr>
            <w:tcW w:w="1180" w:type="dxa"/>
            <w:tcBorders>
              <w:top w:val="single" w:sz="6" w:space="0" w:color="auto"/>
              <w:left w:val="single" w:sz="6" w:space="0" w:color="auto"/>
              <w:bottom w:val="single" w:sz="6" w:space="0" w:color="auto"/>
              <w:right w:val="single" w:sz="6" w:space="0" w:color="auto"/>
            </w:tcBorders>
            <w:shd w:val="clear" w:color="auto" w:fill="000000"/>
            <w:vAlign w:val="center"/>
          </w:tcPr>
          <w:p w:rsidR="00866F47" w:rsidRPr="00A219E2" w:rsidRDefault="00866F47" w:rsidP="00A219E2">
            <w:pPr>
              <w:spacing w:before="40"/>
              <w:rPr>
                <w:b/>
                <w:bCs/>
                <w:sz w:val="18"/>
              </w:rPr>
            </w:pPr>
            <w:r w:rsidRPr="00A219E2">
              <w:rPr>
                <w:b/>
                <w:bCs/>
                <w:sz w:val="18"/>
              </w:rPr>
              <w:t>Totals</w:t>
            </w:r>
            <w:r w:rsidRPr="00A219E2">
              <w:rPr>
                <w:b/>
                <w:bCs/>
                <w:sz w:val="18"/>
              </w:rPr>
              <w:br/>
              <w:t>/Averages</w:t>
            </w:r>
          </w:p>
        </w:tc>
      </w:tr>
      <w:tr w:rsidR="00866F47" w:rsidRPr="00BF00F0" w:rsidTr="00866F47">
        <w:trPr>
          <w:jc w:val="center"/>
        </w:trPr>
        <w:tc>
          <w:tcPr>
            <w:tcW w:w="1600"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Number of Lamps</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10.5</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4.3</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11.9</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14.4</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4.2</w:t>
            </w:r>
          </w:p>
        </w:tc>
        <w:tc>
          <w:tcPr>
            <w:tcW w:w="1180"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0.7</w:t>
            </w:r>
          </w:p>
        </w:tc>
        <w:tc>
          <w:tcPr>
            <w:tcW w:w="1180" w:type="dxa"/>
            <w:tcBorders>
              <w:top w:val="single" w:sz="6" w:space="0" w:color="auto"/>
              <w:left w:val="single" w:sz="6" w:space="0" w:color="auto"/>
              <w:bottom w:val="single" w:sz="6" w:space="0" w:color="auto"/>
              <w:right w:val="single" w:sz="6" w:space="0" w:color="auto"/>
            </w:tcBorders>
            <w:vAlign w:val="center"/>
          </w:tcPr>
          <w:p w:rsidR="00866F47" w:rsidRPr="00A219E2" w:rsidRDefault="00866F47" w:rsidP="00A219E2">
            <w:pPr>
              <w:spacing w:before="40"/>
              <w:rPr>
                <w:bCs/>
                <w:sz w:val="18"/>
              </w:rPr>
            </w:pPr>
            <w:r w:rsidRPr="00A219E2">
              <w:rPr>
                <w:bCs/>
                <w:sz w:val="18"/>
              </w:rPr>
              <w:t>46</w:t>
            </w:r>
          </w:p>
        </w:tc>
      </w:tr>
      <w:tr w:rsidR="00866F47" w:rsidRPr="00BF00F0" w:rsidTr="00866F47">
        <w:trPr>
          <w:jc w:val="center"/>
        </w:trPr>
        <w:tc>
          <w:tcPr>
            <w:tcW w:w="1600"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Number Share</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22.0%</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8.9%</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24.8%</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30.1%</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8.9%</w:t>
            </w:r>
          </w:p>
        </w:tc>
        <w:tc>
          <w:tcPr>
            <w:tcW w:w="1180"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1.4%</w:t>
            </w:r>
          </w:p>
        </w:tc>
        <w:tc>
          <w:tcPr>
            <w:tcW w:w="1180" w:type="dxa"/>
            <w:tcBorders>
              <w:top w:val="single" w:sz="6" w:space="0" w:color="auto"/>
              <w:left w:val="single" w:sz="6" w:space="0" w:color="auto"/>
              <w:bottom w:val="single" w:sz="6" w:space="0" w:color="auto"/>
              <w:right w:val="single" w:sz="6" w:space="0" w:color="auto"/>
            </w:tcBorders>
            <w:vAlign w:val="center"/>
          </w:tcPr>
          <w:p w:rsidR="00866F47" w:rsidRPr="00A219E2" w:rsidRDefault="00866F47" w:rsidP="00A219E2">
            <w:pPr>
              <w:spacing w:before="40"/>
              <w:rPr>
                <w:bCs/>
                <w:sz w:val="18"/>
              </w:rPr>
            </w:pPr>
            <w:r w:rsidRPr="00A219E2">
              <w:rPr>
                <w:bCs/>
                <w:sz w:val="18"/>
              </w:rPr>
              <w:t>96.1%</w:t>
            </w:r>
          </w:p>
        </w:tc>
      </w:tr>
      <w:tr w:rsidR="00866F47" w:rsidRPr="00BF00F0" w:rsidTr="00866F47">
        <w:trPr>
          <w:jc w:val="center"/>
        </w:trPr>
        <w:tc>
          <w:tcPr>
            <w:tcW w:w="1600"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Watts Total</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755</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294</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558</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195</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142</w:t>
            </w:r>
          </w:p>
        </w:tc>
        <w:tc>
          <w:tcPr>
            <w:tcW w:w="1180"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4</w:t>
            </w:r>
          </w:p>
        </w:tc>
        <w:tc>
          <w:tcPr>
            <w:tcW w:w="1180" w:type="dxa"/>
            <w:tcBorders>
              <w:top w:val="single" w:sz="6" w:space="0" w:color="auto"/>
              <w:left w:val="single" w:sz="6" w:space="0" w:color="auto"/>
              <w:bottom w:val="single" w:sz="6" w:space="0" w:color="auto"/>
              <w:right w:val="single" w:sz="6" w:space="0" w:color="auto"/>
            </w:tcBorders>
            <w:vAlign w:val="center"/>
          </w:tcPr>
          <w:p w:rsidR="00866F47" w:rsidRPr="00A219E2" w:rsidRDefault="00866F47" w:rsidP="00A219E2">
            <w:pPr>
              <w:spacing w:before="40"/>
              <w:rPr>
                <w:bCs/>
                <w:sz w:val="18"/>
              </w:rPr>
            </w:pPr>
            <w:r w:rsidRPr="00A219E2">
              <w:rPr>
                <w:bCs/>
                <w:sz w:val="18"/>
              </w:rPr>
              <w:t>1948</w:t>
            </w:r>
          </w:p>
        </w:tc>
      </w:tr>
      <w:tr w:rsidR="00866F47" w:rsidRPr="00BF00F0" w:rsidTr="00866F47">
        <w:trPr>
          <w:jc w:val="center"/>
        </w:trPr>
        <w:tc>
          <w:tcPr>
            <w:tcW w:w="1600"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Watts Share</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37.6%</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14.6%</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27.8%</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9.7%</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7.0%</w:t>
            </w:r>
          </w:p>
        </w:tc>
        <w:tc>
          <w:tcPr>
            <w:tcW w:w="1180"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0.2%</w:t>
            </w:r>
          </w:p>
        </w:tc>
        <w:tc>
          <w:tcPr>
            <w:tcW w:w="1180" w:type="dxa"/>
            <w:tcBorders>
              <w:top w:val="single" w:sz="6" w:space="0" w:color="auto"/>
              <w:left w:val="single" w:sz="6" w:space="0" w:color="auto"/>
              <w:bottom w:val="single" w:sz="6" w:space="0" w:color="auto"/>
              <w:right w:val="single" w:sz="6" w:space="0" w:color="auto"/>
            </w:tcBorders>
            <w:vAlign w:val="center"/>
          </w:tcPr>
          <w:p w:rsidR="00866F47" w:rsidRPr="00A219E2" w:rsidRDefault="00866F47" w:rsidP="00A219E2">
            <w:pPr>
              <w:spacing w:before="40"/>
              <w:rPr>
                <w:bCs/>
                <w:sz w:val="18"/>
              </w:rPr>
            </w:pPr>
            <w:r w:rsidRPr="00A219E2">
              <w:rPr>
                <w:bCs/>
                <w:sz w:val="18"/>
              </w:rPr>
              <w:t>96.9%</w:t>
            </w:r>
          </w:p>
        </w:tc>
      </w:tr>
      <w:tr w:rsidR="00866F47" w:rsidRPr="00BF00F0" w:rsidTr="00866F47">
        <w:trPr>
          <w:jc w:val="center"/>
        </w:trPr>
        <w:tc>
          <w:tcPr>
            <w:tcW w:w="1600"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Watts per Lamp</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72.7</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74.5</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44.0</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13.6</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33.3</w:t>
            </w:r>
          </w:p>
        </w:tc>
        <w:tc>
          <w:tcPr>
            <w:tcW w:w="1180"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5.1</w:t>
            </w:r>
          </w:p>
        </w:tc>
        <w:tc>
          <w:tcPr>
            <w:tcW w:w="1180" w:type="dxa"/>
            <w:tcBorders>
              <w:top w:val="single" w:sz="6" w:space="0" w:color="auto"/>
              <w:left w:val="single" w:sz="6" w:space="0" w:color="auto"/>
              <w:bottom w:val="single" w:sz="6" w:space="0" w:color="auto"/>
              <w:right w:val="single" w:sz="6" w:space="0" w:color="auto"/>
            </w:tcBorders>
            <w:vAlign w:val="center"/>
          </w:tcPr>
          <w:p w:rsidR="00866F47" w:rsidRPr="00A219E2" w:rsidRDefault="008657AB" w:rsidP="00A219E2">
            <w:pPr>
              <w:spacing w:before="40"/>
              <w:rPr>
                <w:bCs/>
                <w:sz w:val="18"/>
              </w:rPr>
            </w:pPr>
            <w:r w:rsidRPr="00A219E2">
              <w:rPr>
                <w:bCs/>
                <w:sz w:val="18"/>
              </w:rPr>
              <w:t>42.3</w:t>
            </w:r>
          </w:p>
        </w:tc>
      </w:tr>
      <w:tr w:rsidR="00866F47" w:rsidRPr="00BF00F0" w:rsidTr="00866F47">
        <w:trPr>
          <w:jc w:val="center"/>
        </w:trPr>
        <w:tc>
          <w:tcPr>
            <w:tcW w:w="1600"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Lumens Total</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9059</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4704</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8925</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10742</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12743</w:t>
            </w:r>
          </w:p>
        </w:tc>
        <w:tc>
          <w:tcPr>
            <w:tcW w:w="1180"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179</w:t>
            </w:r>
          </w:p>
        </w:tc>
        <w:tc>
          <w:tcPr>
            <w:tcW w:w="1180" w:type="dxa"/>
            <w:tcBorders>
              <w:top w:val="single" w:sz="6" w:space="0" w:color="auto"/>
              <w:left w:val="single" w:sz="6" w:space="0" w:color="auto"/>
              <w:bottom w:val="single" w:sz="6" w:space="0" w:color="auto"/>
              <w:right w:val="single" w:sz="6" w:space="0" w:color="auto"/>
            </w:tcBorders>
            <w:vAlign w:val="center"/>
          </w:tcPr>
          <w:p w:rsidR="00866F47" w:rsidRPr="00A219E2" w:rsidRDefault="00866F47" w:rsidP="00A219E2">
            <w:pPr>
              <w:spacing w:before="40"/>
              <w:rPr>
                <w:bCs/>
                <w:sz w:val="18"/>
              </w:rPr>
            </w:pPr>
            <w:r w:rsidRPr="00A219E2">
              <w:rPr>
                <w:bCs/>
                <w:sz w:val="18"/>
              </w:rPr>
              <w:t>46352</w:t>
            </w:r>
          </w:p>
        </w:tc>
      </w:tr>
      <w:tr w:rsidR="00866F47" w:rsidRPr="00BF00F0" w:rsidTr="00866F47">
        <w:trPr>
          <w:jc w:val="center"/>
        </w:trPr>
        <w:tc>
          <w:tcPr>
            <w:tcW w:w="1600"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Lumens Share</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19.2%</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10.0%</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19.0%</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22.8%</w:t>
            </w:r>
          </w:p>
        </w:tc>
        <w:tc>
          <w:tcPr>
            <w:tcW w:w="1179"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27.1%</w:t>
            </w:r>
          </w:p>
        </w:tc>
        <w:tc>
          <w:tcPr>
            <w:tcW w:w="1180"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0.4%</w:t>
            </w:r>
          </w:p>
        </w:tc>
        <w:tc>
          <w:tcPr>
            <w:tcW w:w="1180" w:type="dxa"/>
            <w:tcBorders>
              <w:top w:val="single" w:sz="6" w:space="0" w:color="auto"/>
              <w:left w:val="single" w:sz="6" w:space="0" w:color="auto"/>
              <w:bottom w:val="single" w:sz="6" w:space="0" w:color="auto"/>
              <w:right w:val="single" w:sz="6" w:space="0" w:color="auto"/>
            </w:tcBorders>
            <w:vAlign w:val="center"/>
          </w:tcPr>
          <w:p w:rsidR="00866F47" w:rsidRPr="00A219E2" w:rsidRDefault="00866F47" w:rsidP="00A219E2">
            <w:pPr>
              <w:spacing w:before="40"/>
              <w:rPr>
                <w:bCs/>
                <w:sz w:val="18"/>
              </w:rPr>
            </w:pPr>
            <w:r w:rsidRPr="00A219E2">
              <w:rPr>
                <w:bCs/>
                <w:sz w:val="18"/>
              </w:rPr>
              <w:t>98.5%</w:t>
            </w:r>
          </w:p>
        </w:tc>
      </w:tr>
      <w:tr w:rsidR="00866F47" w:rsidRPr="00BF00F0" w:rsidTr="00866F47">
        <w:trPr>
          <w:jc w:val="center"/>
        </w:trPr>
        <w:tc>
          <w:tcPr>
            <w:tcW w:w="1600" w:type="dxa"/>
            <w:tcBorders>
              <w:top w:val="single" w:sz="6" w:space="0" w:color="auto"/>
              <w:left w:val="single" w:sz="6" w:space="0" w:color="auto"/>
              <w:bottom w:val="single" w:sz="6" w:space="0" w:color="auto"/>
              <w:right w:val="single" w:sz="6" w:space="0" w:color="auto"/>
            </w:tcBorders>
          </w:tcPr>
          <w:p w:rsidR="00866F47" w:rsidRPr="00A219E2" w:rsidRDefault="00866F47" w:rsidP="00A219E2">
            <w:pPr>
              <w:spacing w:before="40"/>
              <w:rPr>
                <w:bCs/>
                <w:sz w:val="18"/>
              </w:rPr>
            </w:pPr>
            <w:r w:rsidRPr="00A219E2">
              <w:rPr>
                <w:bCs/>
                <w:sz w:val="18"/>
              </w:rPr>
              <w:t>Approximate average Lumens/Watt</w:t>
            </w:r>
          </w:p>
        </w:tc>
        <w:tc>
          <w:tcPr>
            <w:tcW w:w="1179" w:type="dxa"/>
            <w:tcBorders>
              <w:top w:val="single" w:sz="6" w:space="0" w:color="auto"/>
              <w:left w:val="single" w:sz="6" w:space="0" w:color="auto"/>
              <w:bottom w:val="single" w:sz="6" w:space="0" w:color="auto"/>
              <w:right w:val="single" w:sz="6" w:space="0" w:color="auto"/>
            </w:tcBorders>
            <w:vAlign w:val="center"/>
          </w:tcPr>
          <w:p w:rsidR="00866F47" w:rsidRPr="00A219E2" w:rsidRDefault="00866F47" w:rsidP="00A219E2">
            <w:pPr>
              <w:spacing w:before="40"/>
              <w:rPr>
                <w:bCs/>
                <w:sz w:val="18"/>
              </w:rPr>
            </w:pPr>
            <w:r w:rsidRPr="00A219E2">
              <w:rPr>
                <w:bCs/>
                <w:sz w:val="18"/>
              </w:rPr>
              <w:t>12</w:t>
            </w:r>
          </w:p>
        </w:tc>
        <w:tc>
          <w:tcPr>
            <w:tcW w:w="1179" w:type="dxa"/>
            <w:tcBorders>
              <w:top w:val="single" w:sz="6" w:space="0" w:color="auto"/>
              <w:left w:val="single" w:sz="6" w:space="0" w:color="auto"/>
              <w:bottom w:val="single" w:sz="6" w:space="0" w:color="auto"/>
              <w:right w:val="single" w:sz="6" w:space="0" w:color="auto"/>
            </w:tcBorders>
            <w:vAlign w:val="center"/>
          </w:tcPr>
          <w:p w:rsidR="00866F47" w:rsidRPr="00A219E2" w:rsidRDefault="00866F47" w:rsidP="00A219E2">
            <w:pPr>
              <w:spacing w:before="40"/>
              <w:rPr>
                <w:bCs/>
                <w:sz w:val="18"/>
              </w:rPr>
            </w:pPr>
            <w:r w:rsidRPr="00A219E2">
              <w:rPr>
                <w:bCs/>
                <w:sz w:val="18"/>
              </w:rPr>
              <w:t>16</w:t>
            </w:r>
          </w:p>
        </w:tc>
        <w:tc>
          <w:tcPr>
            <w:tcW w:w="1179" w:type="dxa"/>
            <w:tcBorders>
              <w:top w:val="single" w:sz="6" w:space="0" w:color="auto"/>
              <w:left w:val="single" w:sz="6" w:space="0" w:color="auto"/>
              <w:bottom w:val="single" w:sz="6" w:space="0" w:color="auto"/>
              <w:right w:val="single" w:sz="6" w:space="0" w:color="auto"/>
            </w:tcBorders>
            <w:vAlign w:val="center"/>
          </w:tcPr>
          <w:p w:rsidR="00866F47" w:rsidRPr="00A219E2" w:rsidRDefault="00866F47" w:rsidP="00A219E2">
            <w:pPr>
              <w:spacing w:before="40"/>
              <w:rPr>
                <w:bCs/>
                <w:sz w:val="18"/>
              </w:rPr>
            </w:pPr>
            <w:r w:rsidRPr="00A219E2">
              <w:rPr>
                <w:bCs/>
                <w:sz w:val="18"/>
              </w:rPr>
              <w:t>16</w:t>
            </w:r>
          </w:p>
        </w:tc>
        <w:tc>
          <w:tcPr>
            <w:tcW w:w="1179" w:type="dxa"/>
            <w:tcBorders>
              <w:top w:val="single" w:sz="6" w:space="0" w:color="auto"/>
              <w:left w:val="single" w:sz="6" w:space="0" w:color="auto"/>
              <w:bottom w:val="single" w:sz="6" w:space="0" w:color="auto"/>
              <w:right w:val="single" w:sz="6" w:space="0" w:color="auto"/>
            </w:tcBorders>
            <w:vAlign w:val="center"/>
          </w:tcPr>
          <w:p w:rsidR="00866F47" w:rsidRPr="00A219E2" w:rsidRDefault="00866F47" w:rsidP="00A219E2">
            <w:pPr>
              <w:spacing w:before="40"/>
              <w:rPr>
                <w:bCs/>
                <w:sz w:val="18"/>
              </w:rPr>
            </w:pPr>
            <w:r w:rsidRPr="00A219E2">
              <w:rPr>
                <w:bCs/>
                <w:sz w:val="18"/>
              </w:rPr>
              <w:t>55</w:t>
            </w:r>
          </w:p>
        </w:tc>
        <w:tc>
          <w:tcPr>
            <w:tcW w:w="1179" w:type="dxa"/>
            <w:tcBorders>
              <w:top w:val="single" w:sz="6" w:space="0" w:color="auto"/>
              <w:left w:val="single" w:sz="6" w:space="0" w:color="auto"/>
              <w:bottom w:val="single" w:sz="6" w:space="0" w:color="auto"/>
              <w:right w:val="single" w:sz="6" w:space="0" w:color="auto"/>
            </w:tcBorders>
            <w:vAlign w:val="center"/>
          </w:tcPr>
          <w:p w:rsidR="00866F47" w:rsidRPr="00A219E2" w:rsidRDefault="00866F47" w:rsidP="00A219E2">
            <w:pPr>
              <w:spacing w:before="40"/>
              <w:rPr>
                <w:bCs/>
                <w:sz w:val="18"/>
              </w:rPr>
            </w:pPr>
            <w:r w:rsidRPr="00A219E2">
              <w:rPr>
                <w:bCs/>
                <w:sz w:val="18"/>
              </w:rPr>
              <w:t>90</w:t>
            </w:r>
          </w:p>
        </w:tc>
        <w:tc>
          <w:tcPr>
            <w:tcW w:w="1180" w:type="dxa"/>
            <w:tcBorders>
              <w:top w:val="single" w:sz="6" w:space="0" w:color="auto"/>
              <w:left w:val="single" w:sz="6" w:space="0" w:color="auto"/>
              <w:bottom w:val="single" w:sz="6" w:space="0" w:color="auto"/>
              <w:right w:val="single" w:sz="6" w:space="0" w:color="auto"/>
            </w:tcBorders>
            <w:vAlign w:val="center"/>
          </w:tcPr>
          <w:p w:rsidR="00866F47" w:rsidRPr="00A219E2" w:rsidRDefault="00866F47" w:rsidP="00A219E2">
            <w:pPr>
              <w:spacing w:before="40"/>
              <w:rPr>
                <w:bCs/>
                <w:sz w:val="18"/>
              </w:rPr>
            </w:pPr>
            <w:r w:rsidRPr="00A219E2">
              <w:rPr>
                <w:bCs/>
                <w:sz w:val="18"/>
              </w:rPr>
              <w:t>45</w:t>
            </w:r>
          </w:p>
        </w:tc>
        <w:tc>
          <w:tcPr>
            <w:tcW w:w="1180" w:type="dxa"/>
            <w:tcBorders>
              <w:top w:val="single" w:sz="6" w:space="0" w:color="auto"/>
              <w:left w:val="single" w:sz="6" w:space="0" w:color="auto"/>
              <w:bottom w:val="single" w:sz="6" w:space="0" w:color="auto"/>
              <w:right w:val="single" w:sz="6" w:space="0" w:color="auto"/>
            </w:tcBorders>
            <w:vAlign w:val="center"/>
          </w:tcPr>
          <w:p w:rsidR="00866F47" w:rsidRPr="00A219E2" w:rsidRDefault="00866F47" w:rsidP="00A219E2">
            <w:pPr>
              <w:spacing w:before="40"/>
              <w:rPr>
                <w:bCs/>
                <w:sz w:val="18"/>
              </w:rPr>
            </w:pPr>
            <w:r w:rsidRPr="00A219E2">
              <w:rPr>
                <w:bCs/>
                <w:sz w:val="18"/>
              </w:rPr>
              <w:t>24 (</w:t>
            </w:r>
            <w:r w:rsidR="008657AB" w:rsidRPr="00A219E2">
              <w:rPr>
                <w:bCs/>
                <w:sz w:val="18"/>
              </w:rPr>
              <w:t xml:space="preserve">weighted </w:t>
            </w:r>
            <w:r w:rsidRPr="00A219E2">
              <w:rPr>
                <w:bCs/>
                <w:sz w:val="18"/>
              </w:rPr>
              <w:t>average)</w:t>
            </w:r>
          </w:p>
        </w:tc>
      </w:tr>
    </w:tbl>
    <w:p w:rsidR="00C04016" w:rsidRDefault="00C04016" w:rsidP="00866F47">
      <w:pPr>
        <w:pStyle w:val="ListBullet"/>
        <w:numPr>
          <w:ilvl w:val="0"/>
          <w:numId w:val="0"/>
        </w:numPr>
      </w:pPr>
    </w:p>
    <w:p w:rsidR="00866F47" w:rsidRDefault="00866F47" w:rsidP="00866F47">
      <w:pPr>
        <w:pStyle w:val="ListBullet"/>
        <w:numPr>
          <w:ilvl w:val="0"/>
          <w:numId w:val="0"/>
        </w:numPr>
      </w:pPr>
      <w:r>
        <w:t>The study found that in 2010 the penetration of installed LED stock was 1.4%, representing less than 1 LED lamp per household (on average, it was 0.7 lamps per household). The average power consumption of installed LED lamps was approximately 5 Watts, reportedly producing an average 179 lumens of light and therefore efficacy was an average 45 lumens per watt: a number lower than the typical efficacy of other efficient lighting technologies such as 55 lumens per watt for the average CFL, or 90 lumens per watt of the average linear fluorescent fitting.</w:t>
      </w:r>
    </w:p>
    <w:p w:rsidR="00866F47" w:rsidRDefault="00866F47" w:rsidP="00866F47">
      <w:pPr>
        <w:pStyle w:val="ListBullet"/>
        <w:numPr>
          <w:ilvl w:val="0"/>
          <w:numId w:val="0"/>
        </w:numPr>
      </w:pPr>
    </w:p>
    <w:p w:rsidR="00866F47" w:rsidRDefault="00866F47" w:rsidP="00866F47">
      <w:pPr>
        <w:pStyle w:val="ListBullet"/>
        <w:numPr>
          <w:ilvl w:val="0"/>
          <w:numId w:val="0"/>
        </w:numPr>
      </w:pPr>
      <w:r>
        <w:t>Australian census statistics of 2011 summated the total number of private dwellings to be 9.1 million. A translation of the values found from the comprehensive lighting audit allows for an Australia-wide estimation of installed lamp stock in 2010</w:t>
      </w:r>
      <w:r w:rsidR="00E31090">
        <w:t xml:space="preserve"> as shown in </w:t>
      </w:r>
      <w:r w:rsidR="00B525E0">
        <w:fldChar w:fldCharType="begin"/>
      </w:r>
      <w:r w:rsidR="003A6B2F">
        <w:instrText xml:space="preserve"> REF _Ref424119005 \h </w:instrText>
      </w:r>
      <w:r w:rsidR="00B525E0">
        <w:fldChar w:fldCharType="separate"/>
      </w:r>
      <w:r w:rsidR="002C13E2">
        <w:t xml:space="preserve">Table </w:t>
      </w:r>
      <w:r w:rsidR="002C13E2">
        <w:rPr>
          <w:noProof/>
        </w:rPr>
        <w:t>7</w:t>
      </w:r>
      <w:r w:rsidR="00B525E0">
        <w:fldChar w:fldCharType="end"/>
      </w:r>
      <w:r w:rsidR="003A6B2F">
        <w:t>.</w:t>
      </w:r>
    </w:p>
    <w:p w:rsidR="00F86E3A" w:rsidRDefault="00F86E3A" w:rsidP="00F86E3A">
      <w:pPr>
        <w:pStyle w:val="Caption"/>
        <w:keepNext/>
      </w:pPr>
      <w:bookmarkStart w:id="126" w:name="_Ref424119005"/>
      <w:bookmarkStart w:id="127" w:name="_Toc426387822"/>
      <w:r>
        <w:t xml:space="preserve">Table </w:t>
      </w:r>
      <w:r w:rsidR="00B525E0">
        <w:fldChar w:fldCharType="begin"/>
      </w:r>
      <w:r>
        <w:instrText xml:space="preserve"> SEQ Table \* ARABIC </w:instrText>
      </w:r>
      <w:r w:rsidR="00B525E0">
        <w:fldChar w:fldCharType="separate"/>
      </w:r>
      <w:r w:rsidR="002C13E2">
        <w:rPr>
          <w:noProof/>
        </w:rPr>
        <w:t>7</w:t>
      </w:r>
      <w:r w:rsidR="00B525E0">
        <w:fldChar w:fldCharType="end"/>
      </w:r>
      <w:bookmarkEnd w:id="126"/>
      <w:r>
        <w:t>.</w:t>
      </w:r>
      <w:r w:rsidRPr="00A3260A">
        <w:t>Installed lamp stock Australia 2010 (based on average installed lamps from 150 sample homes).</w:t>
      </w:r>
      <w:bookmarkEnd w:id="127"/>
    </w:p>
    <w:tbl>
      <w:tblPr>
        <w:tblStyle w:val="TableGrid"/>
        <w:tblW w:w="0" w:type="auto"/>
        <w:tblLayout w:type="fixed"/>
        <w:tblLook w:val="04A0" w:firstRow="1" w:lastRow="0" w:firstColumn="1" w:lastColumn="0" w:noHBand="0" w:noVBand="1"/>
      </w:tblPr>
      <w:tblGrid>
        <w:gridCol w:w="1526"/>
        <w:gridCol w:w="1150"/>
        <w:gridCol w:w="1150"/>
        <w:gridCol w:w="1150"/>
        <w:gridCol w:w="1150"/>
        <w:gridCol w:w="1150"/>
        <w:gridCol w:w="1150"/>
        <w:gridCol w:w="1150"/>
      </w:tblGrid>
      <w:tr w:rsidR="00866F47" w:rsidRPr="007834B0" w:rsidTr="006224FD">
        <w:trPr>
          <w:trHeight w:val="915"/>
          <w:tblHeader/>
        </w:trPr>
        <w:tc>
          <w:tcPr>
            <w:tcW w:w="1526" w:type="dxa"/>
            <w:hideMark/>
          </w:tcPr>
          <w:p w:rsidR="00866F47" w:rsidRPr="007834B0" w:rsidRDefault="00866F47" w:rsidP="00BB47F5">
            <w:pPr>
              <w:rPr>
                <w:b/>
                <w:bCs/>
                <w:sz w:val="18"/>
              </w:rPr>
            </w:pPr>
            <w:r>
              <w:rPr>
                <w:b/>
                <w:bCs/>
                <w:sz w:val="18"/>
              </w:rPr>
              <w:t xml:space="preserve">Residential Australia 2010: </w:t>
            </w:r>
            <w:r w:rsidRPr="007834B0">
              <w:rPr>
                <w:b/>
                <w:bCs/>
                <w:sz w:val="18"/>
              </w:rPr>
              <w:t>Average Per House</w:t>
            </w:r>
          </w:p>
        </w:tc>
        <w:tc>
          <w:tcPr>
            <w:tcW w:w="1150" w:type="dxa"/>
            <w:hideMark/>
          </w:tcPr>
          <w:p w:rsidR="00866F47" w:rsidRPr="007834B0" w:rsidRDefault="00866F47" w:rsidP="00BB47F5">
            <w:pPr>
              <w:rPr>
                <w:b/>
                <w:bCs/>
                <w:sz w:val="18"/>
              </w:rPr>
            </w:pPr>
            <w:r>
              <w:rPr>
                <w:b/>
                <w:bCs/>
                <w:sz w:val="18"/>
              </w:rPr>
              <w:t>Incandescent</w:t>
            </w:r>
          </w:p>
        </w:tc>
        <w:tc>
          <w:tcPr>
            <w:tcW w:w="1150" w:type="dxa"/>
            <w:hideMark/>
          </w:tcPr>
          <w:p w:rsidR="00866F47" w:rsidRPr="007834B0" w:rsidRDefault="00866F47" w:rsidP="00BB47F5">
            <w:pPr>
              <w:rPr>
                <w:b/>
                <w:bCs/>
                <w:sz w:val="18"/>
              </w:rPr>
            </w:pPr>
            <w:r w:rsidRPr="007834B0">
              <w:rPr>
                <w:b/>
                <w:bCs/>
                <w:sz w:val="18"/>
              </w:rPr>
              <w:t>Mains Voltage Halogen</w:t>
            </w:r>
          </w:p>
        </w:tc>
        <w:tc>
          <w:tcPr>
            <w:tcW w:w="1150" w:type="dxa"/>
            <w:hideMark/>
          </w:tcPr>
          <w:p w:rsidR="00866F47" w:rsidRPr="007834B0" w:rsidRDefault="00866F47" w:rsidP="00BB47F5">
            <w:pPr>
              <w:rPr>
                <w:b/>
                <w:bCs/>
                <w:sz w:val="18"/>
              </w:rPr>
            </w:pPr>
            <w:r w:rsidRPr="007834B0">
              <w:rPr>
                <w:b/>
                <w:bCs/>
                <w:sz w:val="18"/>
              </w:rPr>
              <w:t>Low Voltage Halogen</w:t>
            </w:r>
          </w:p>
        </w:tc>
        <w:tc>
          <w:tcPr>
            <w:tcW w:w="1150" w:type="dxa"/>
            <w:hideMark/>
          </w:tcPr>
          <w:p w:rsidR="00866F47" w:rsidRPr="007834B0" w:rsidRDefault="00866F47" w:rsidP="00BB47F5">
            <w:pPr>
              <w:rPr>
                <w:b/>
                <w:bCs/>
                <w:sz w:val="18"/>
              </w:rPr>
            </w:pPr>
            <w:r w:rsidRPr="007834B0">
              <w:rPr>
                <w:b/>
                <w:bCs/>
                <w:sz w:val="18"/>
              </w:rPr>
              <w:t>Compact Fluorescent</w:t>
            </w:r>
          </w:p>
        </w:tc>
        <w:tc>
          <w:tcPr>
            <w:tcW w:w="1150" w:type="dxa"/>
            <w:hideMark/>
          </w:tcPr>
          <w:p w:rsidR="00866F47" w:rsidRPr="007834B0" w:rsidRDefault="00866F47" w:rsidP="00BB47F5">
            <w:pPr>
              <w:rPr>
                <w:b/>
                <w:bCs/>
                <w:sz w:val="18"/>
              </w:rPr>
            </w:pPr>
            <w:r w:rsidRPr="007834B0">
              <w:rPr>
                <w:b/>
                <w:bCs/>
                <w:sz w:val="18"/>
              </w:rPr>
              <w:t>Linear Fluorescent</w:t>
            </w:r>
          </w:p>
        </w:tc>
        <w:tc>
          <w:tcPr>
            <w:tcW w:w="1150" w:type="dxa"/>
            <w:hideMark/>
          </w:tcPr>
          <w:p w:rsidR="00866F47" w:rsidRPr="007834B0" w:rsidRDefault="00866F47" w:rsidP="00BB47F5">
            <w:pPr>
              <w:rPr>
                <w:b/>
                <w:bCs/>
                <w:sz w:val="18"/>
              </w:rPr>
            </w:pPr>
            <w:r w:rsidRPr="007834B0">
              <w:rPr>
                <w:b/>
                <w:bCs/>
                <w:sz w:val="18"/>
              </w:rPr>
              <w:t>LED</w:t>
            </w:r>
          </w:p>
        </w:tc>
        <w:tc>
          <w:tcPr>
            <w:tcW w:w="1150" w:type="dxa"/>
            <w:hideMark/>
          </w:tcPr>
          <w:p w:rsidR="00866F47" w:rsidRPr="007834B0" w:rsidRDefault="00866F47" w:rsidP="00BB47F5">
            <w:pPr>
              <w:rPr>
                <w:b/>
                <w:bCs/>
                <w:sz w:val="18"/>
              </w:rPr>
            </w:pPr>
            <w:r w:rsidRPr="007834B0">
              <w:rPr>
                <w:b/>
                <w:bCs/>
                <w:sz w:val="18"/>
              </w:rPr>
              <w:t>Totals</w:t>
            </w:r>
          </w:p>
        </w:tc>
      </w:tr>
      <w:tr w:rsidR="00866F47" w:rsidRPr="007834B0" w:rsidTr="00BB47F5">
        <w:trPr>
          <w:trHeight w:val="315"/>
        </w:trPr>
        <w:tc>
          <w:tcPr>
            <w:tcW w:w="1526" w:type="dxa"/>
            <w:hideMark/>
          </w:tcPr>
          <w:p w:rsidR="00866F47" w:rsidRPr="007834B0" w:rsidRDefault="00866F47" w:rsidP="00BB47F5">
            <w:pPr>
              <w:rPr>
                <w:sz w:val="18"/>
              </w:rPr>
            </w:pPr>
            <w:r w:rsidRPr="007834B0">
              <w:rPr>
                <w:sz w:val="18"/>
              </w:rPr>
              <w:t>Number of lamps</w:t>
            </w:r>
          </w:p>
        </w:tc>
        <w:tc>
          <w:tcPr>
            <w:tcW w:w="1150" w:type="dxa"/>
            <w:vAlign w:val="center"/>
            <w:hideMark/>
          </w:tcPr>
          <w:p w:rsidR="00866F47" w:rsidRPr="00DA252F" w:rsidRDefault="00866F47" w:rsidP="00BB47F5">
            <w:pPr>
              <w:rPr>
                <w:sz w:val="18"/>
              </w:rPr>
            </w:pPr>
            <w:r w:rsidRPr="00DA252F">
              <w:rPr>
                <w:color w:val="000000"/>
                <w:sz w:val="18"/>
              </w:rPr>
              <w:t>95,728,847</w:t>
            </w:r>
          </w:p>
        </w:tc>
        <w:tc>
          <w:tcPr>
            <w:tcW w:w="1150" w:type="dxa"/>
            <w:vAlign w:val="center"/>
            <w:hideMark/>
          </w:tcPr>
          <w:p w:rsidR="00866F47" w:rsidRPr="00DA252F" w:rsidRDefault="00866F47" w:rsidP="00BB47F5">
            <w:pPr>
              <w:rPr>
                <w:sz w:val="18"/>
              </w:rPr>
            </w:pPr>
            <w:r w:rsidRPr="00DA252F">
              <w:rPr>
                <w:color w:val="000000"/>
                <w:sz w:val="18"/>
              </w:rPr>
              <w:t>39,203,242</w:t>
            </w:r>
          </w:p>
        </w:tc>
        <w:tc>
          <w:tcPr>
            <w:tcW w:w="1150" w:type="dxa"/>
            <w:vAlign w:val="center"/>
            <w:hideMark/>
          </w:tcPr>
          <w:p w:rsidR="00866F47" w:rsidRPr="00DA252F" w:rsidRDefault="00866F47" w:rsidP="00BB47F5">
            <w:pPr>
              <w:rPr>
                <w:sz w:val="18"/>
              </w:rPr>
            </w:pPr>
            <w:r w:rsidRPr="00DA252F">
              <w:rPr>
                <w:color w:val="000000"/>
                <w:sz w:val="18"/>
              </w:rPr>
              <w:t>108,492,693</w:t>
            </w:r>
          </w:p>
        </w:tc>
        <w:tc>
          <w:tcPr>
            <w:tcW w:w="1150" w:type="dxa"/>
            <w:vAlign w:val="center"/>
            <w:hideMark/>
          </w:tcPr>
          <w:p w:rsidR="00866F47" w:rsidRPr="00DA252F" w:rsidRDefault="00866F47" w:rsidP="00BB47F5">
            <w:pPr>
              <w:rPr>
                <w:sz w:val="18"/>
              </w:rPr>
            </w:pPr>
            <w:r w:rsidRPr="00DA252F">
              <w:rPr>
                <w:color w:val="000000"/>
                <w:sz w:val="18"/>
              </w:rPr>
              <w:t>131,285,275</w:t>
            </w:r>
          </w:p>
        </w:tc>
        <w:tc>
          <w:tcPr>
            <w:tcW w:w="1150" w:type="dxa"/>
            <w:vAlign w:val="center"/>
            <w:hideMark/>
          </w:tcPr>
          <w:p w:rsidR="00866F47" w:rsidRPr="00DA252F" w:rsidRDefault="00866F47" w:rsidP="00BB47F5">
            <w:pPr>
              <w:rPr>
                <w:sz w:val="18"/>
              </w:rPr>
            </w:pPr>
            <w:r w:rsidRPr="00DA252F">
              <w:rPr>
                <w:color w:val="000000"/>
                <w:sz w:val="18"/>
              </w:rPr>
              <w:t>38,291,539</w:t>
            </w:r>
          </w:p>
        </w:tc>
        <w:tc>
          <w:tcPr>
            <w:tcW w:w="1150" w:type="dxa"/>
            <w:vAlign w:val="center"/>
            <w:hideMark/>
          </w:tcPr>
          <w:p w:rsidR="00866F47" w:rsidRPr="00DA252F" w:rsidRDefault="00866F47" w:rsidP="00BB47F5">
            <w:pPr>
              <w:rPr>
                <w:sz w:val="18"/>
              </w:rPr>
            </w:pPr>
            <w:r w:rsidRPr="00DA252F">
              <w:rPr>
                <w:color w:val="000000"/>
                <w:sz w:val="18"/>
              </w:rPr>
              <w:t>6,381,923</w:t>
            </w:r>
          </w:p>
        </w:tc>
        <w:tc>
          <w:tcPr>
            <w:tcW w:w="1150" w:type="dxa"/>
            <w:vAlign w:val="center"/>
            <w:hideMark/>
          </w:tcPr>
          <w:p w:rsidR="00866F47" w:rsidRPr="00DA252F" w:rsidRDefault="00866F47" w:rsidP="00BB47F5">
            <w:pPr>
              <w:rPr>
                <w:sz w:val="18"/>
              </w:rPr>
            </w:pPr>
            <w:r w:rsidRPr="00DA252F">
              <w:rPr>
                <w:color w:val="000000"/>
                <w:sz w:val="18"/>
              </w:rPr>
              <w:t>419,383,518</w:t>
            </w:r>
          </w:p>
        </w:tc>
      </w:tr>
      <w:tr w:rsidR="00866F47" w:rsidRPr="007834B0" w:rsidTr="00BB47F5">
        <w:trPr>
          <w:trHeight w:val="315"/>
        </w:trPr>
        <w:tc>
          <w:tcPr>
            <w:tcW w:w="1526" w:type="dxa"/>
            <w:hideMark/>
          </w:tcPr>
          <w:p w:rsidR="00866F47" w:rsidRPr="007834B0" w:rsidRDefault="00866F47" w:rsidP="00BB47F5">
            <w:pPr>
              <w:rPr>
                <w:sz w:val="18"/>
              </w:rPr>
            </w:pPr>
            <w:r w:rsidRPr="007834B0">
              <w:rPr>
                <w:sz w:val="18"/>
              </w:rPr>
              <w:t>MegaWatts Total</w:t>
            </w:r>
          </w:p>
        </w:tc>
        <w:tc>
          <w:tcPr>
            <w:tcW w:w="1150" w:type="dxa"/>
            <w:vAlign w:val="center"/>
            <w:hideMark/>
          </w:tcPr>
          <w:p w:rsidR="00866F47" w:rsidRPr="00DA252F" w:rsidRDefault="00866F47" w:rsidP="00BB47F5">
            <w:pPr>
              <w:rPr>
                <w:sz w:val="18"/>
              </w:rPr>
            </w:pPr>
            <w:r w:rsidRPr="00DA252F">
              <w:rPr>
                <w:color w:val="000000"/>
                <w:sz w:val="18"/>
              </w:rPr>
              <w:t>6,883</w:t>
            </w:r>
          </w:p>
        </w:tc>
        <w:tc>
          <w:tcPr>
            <w:tcW w:w="1150" w:type="dxa"/>
            <w:vAlign w:val="center"/>
            <w:hideMark/>
          </w:tcPr>
          <w:p w:rsidR="00866F47" w:rsidRPr="00DA252F" w:rsidRDefault="00866F47" w:rsidP="00BB47F5">
            <w:pPr>
              <w:rPr>
                <w:sz w:val="18"/>
              </w:rPr>
            </w:pPr>
            <w:r w:rsidRPr="00DA252F">
              <w:rPr>
                <w:color w:val="000000"/>
                <w:sz w:val="18"/>
              </w:rPr>
              <w:t>2,680</w:t>
            </w:r>
          </w:p>
        </w:tc>
        <w:tc>
          <w:tcPr>
            <w:tcW w:w="1150" w:type="dxa"/>
            <w:vAlign w:val="center"/>
            <w:hideMark/>
          </w:tcPr>
          <w:p w:rsidR="00866F47" w:rsidRPr="00DA252F" w:rsidRDefault="00866F47" w:rsidP="00BB47F5">
            <w:pPr>
              <w:rPr>
                <w:sz w:val="18"/>
              </w:rPr>
            </w:pPr>
            <w:r w:rsidRPr="00DA252F">
              <w:rPr>
                <w:color w:val="000000"/>
                <w:sz w:val="18"/>
              </w:rPr>
              <w:t>5,087</w:t>
            </w:r>
          </w:p>
        </w:tc>
        <w:tc>
          <w:tcPr>
            <w:tcW w:w="1150" w:type="dxa"/>
            <w:vAlign w:val="center"/>
            <w:hideMark/>
          </w:tcPr>
          <w:p w:rsidR="00866F47" w:rsidRPr="00DA252F" w:rsidRDefault="00866F47" w:rsidP="00BB47F5">
            <w:pPr>
              <w:rPr>
                <w:sz w:val="18"/>
              </w:rPr>
            </w:pPr>
            <w:r w:rsidRPr="00DA252F">
              <w:rPr>
                <w:color w:val="000000"/>
                <w:sz w:val="18"/>
              </w:rPr>
              <w:t>1,778</w:t>
            </w:r>
          </w:p>
        </w:tc>
        <w:tc>
          <w:tcPr>
            <w:tcW w:w="1150" w:type="dxa"/>
            <w:vAlign w:val="center"/>
            <w:hideMark/>
          </w:tcPr>
          <w:p w:rsidR="00866F47" w:rsidRPr="00DA252F" w:rsidRDefault="00866F47" w:rsidP="00BB47F5">
            <w:pPr>
              <w:rPr>
                <w:sz w:val="18"/>
              </w:rPr>
            </w:pPr>
            <w:r w:rsidRPr="00DA252F">
              <w:rPr>
                <w:color w:val="000000"/>
                <w:sz w:val="18"/>
              </w:rPr>
              <w:t>1,295</w:t>
            </w:r>
          </w:p>
        </w:tc>
        <w:tc>
          <w:tcPr>
            <w:tcW w:w="1150" w:type="dxa"/>
            <w:vAlign w:val="center"/>
            <w:hideMark/>
          </w:tcPr>
          <w:p w:rsidR="00866F47" w:rsidRPr="00DA252F" w:rsidRDefault="00866F47" w:rsidP="00BB47F5">
            <w:pPr>
              <w:rPr>
                <w:sz w:val="18"/>
              </w:rPr>
            </w:pPr>
            <w:r w:rsidRPr="00DA252F">
              <w:rPr>
                <w:color w:val="000000"/>
                <w:sz w:val="18"/>
              </w:rPr>
              <w:t>36</w:t>
            </w:r>
          </w:p>
        </w:tc>
        <w:tc>
          <w:tcPr>
            <w:tcW w:w="1150" w:type="dxa"/>
            <w:vAlign w:val="center"/>
            <w:hideMark/>
          </w:tcPr>
          <w:p w:rsidR="00866F47" w:rsidRPr="00DA252F" w:rsidRDefault="00866F47" w:rsidP="00BB47F5">
            <w:pPr>
              <w:rPr>
                <w:sz w:val="18"/>
              </w:rPr>
            </w:pPr>
            <w:r w:rsidRPr="00DA252F">
              <w:rPr>
                <w:color w:val="000000"/>
                <w:sz w:val="18"/>
              </w:rPr>
              <w:t>17,760</w:t>
            </w:r>
          </w:p>
        </w:tc>
      </w:tr>
    </w:tbl>
    <w:p w:rsidR="00657EC3" w:rsidRDefault="00657EC3" w:rsidP="00BB47F5">
      <w:pPr>
        <w:pStyle w:val="E3BodyText"/>
      </w:pPr>
    </w:p>
    <w:p w:rsidR="00866F47" w:rsidRDefault="00E31090" w:rsidP="00BB47F5">
      <w:pPr>
        <w:pStyle w:val="E3BodyText"/>
      </w:pPr>
      <w:r w:rsidRPr="00BB47F5">
        <w:t>It is acknowledged that the age of this data is not ideal and the two key factors of the likely further impact of the phase-out MEPS regulation on the market and the continued emergence of LED lamps suggest that there will have been further significant change in the household lighting s</w:t>
      </w:r>
      <w:r w:rsidR="00BB47F5" w:rsidRPr="00BB47F5">
        <w:t>tock over the last five years, as indicated in the discussion on import data below.  A new household lighting survey is planned for the second half of 2015 to feed into analysis for the proposed Regulation Impact Statement. Any industry data on lighting stock would also be appreciated.</w:t>
      </w:r>
    </w:p>
    <w:p w:rsidR="00BD26AF" w:rsidRDefault="00BD26AF" w:rsidP="00BB47F5">
      <w:pPr>
        <w:pStyle w:val="E3BodyText"/>
      </w:pPr>
      <w:r>
        <w:t xml:space="preserve">More recent data does indicate a higher uptake for LED lighting.  The </w:t>
      </w:r>
      <w:r w:rsidRPr="00BD26AF">
        <w:t>Queensland Household Energy Survey 2014</w:t>
      </w:r>
      <w:r>
        <w:t xml:space="preserve"> (</w:t>
      </w:r>
      <w:r w:rsidR="00815515">
        <w:t>Colmar Brunton</w:t>
      </w:r>
      <w:r>
        <w:t xml:space="preserve"> 2014</w:t>
      </w:r>
      <w:r w:rsidR="009700F6">
        <w:t xml:space="preserve"> – online and hardcopy survey of 4000 Queenslanders</w:t>
      </w:r>
      <w:r>
        <w:t>) found that between 201</w:t>
      </w:r>
      <w:r w:rsidR="00815515">
        <w:t>0</w:t>
      </w:r>
      <w:r>
        <w:t xml:space="preserve"> and 2014</w:t>
      </w:r>
      <w:r w:rsidR="00FB464D">
        <w:t>,</w:t>
      </w:r>
      <w:r>
        <w:t xml:space="preserve"> households increased ownership of LED lighting </w:t>
      </w:r>
      <w:r w:rsidR="00815515">
        <w:t xml:space="preserve">from 15% to 37% of households </w:t>
      </w:r>
      <w:r w:rsidR="00C64326">
        <w:t xml:space="preserve">(with one or more LED lamps) </w:t>
      </w:r>
      <w:r>
        <w:t xml:space="preserve">while ownership of CFL lighting decreased from </w:t>
      </w:r>
      <w:r w:rsidR="00815515">
        <w:t>77</w:t>
      </w:r>
      <w:r>
        <w:t>% to 59%</w:t>
      </w:r>
      <w:r w:rsidR="00815515">
        <w:t xml:space="preserve"> of households</w:t>
      </w:r>
      <w:r w:rsidR="00C64326">
        <w:t xml:space="preserve"> </w:t>
      </w:r>
      <w:r w:rsidR="00C64326" w:rsidRPr="00C64326">
        <w:t xml:space="preserve">(with one or more </w:t>
      </w:r>
      <w:r w:rsidR="00C64326">
        <w:t>CFLs</w:t>
      </w:r>
      <w:r w:rsidR="00C64326" w:rsidRPr="00C64326">
        <w:t>)</w:t>
      </w:r>
      <w:r w:rsidR="00E97016">
        <w:t xml:space="preserve">, </w:t>
      </w:r>
      <w:r w:rsidR="00B525E0">
        <w:fldChar w:fldCharType="begin"/>
      </w:r>
      <w:r w:rsidR="00E97016">
        <w:instrText xml:space="preserve"> REF _Ref424252418 \h </w:instrText>
      </w:r>
      <w:r w:rsidR="00B525E0">
        <w:fldChar w:fldCharType="separate"/>
      </w:r>
      <w:r w:rsidR="002C13E2">
        <w:t xml:space="preserve">Figure </w:t>
      </w:r>
      <w:r w:rsidR="002C13E2">
        <w:rPr>
          <w:noProof/>
        </w:rPr>
        <w:t>24</w:t>
      </w:r>
      <w:r w:rsidR="00B525E0">
        <w:fldChar w:fldCharType="end"/>
      </w:r>
      <w:r>
        <w:t xml:space="preserve">.  </w:t>
      </w:r>
      <w:r w:rsidR="00E97016">
        <w:t>This s</w:t>
      </w:r>
      <w:r>
        <w:t>uggest</w:t>
      </w:r>
      <w:r w:rsidR="00E97016">
        <w:t>s</w:t>
      </w:r>
      <w:r>
        <w:t xml:space="preserve"> that at least some of the transition to LED lighting </w:t>
      </w:r>
      <w:r w:rsidR="009700F6">
        <w:t>may</w:t>
      </w:r>
      <w:r>
        <w:t xml:space="preserve"> be from comparatively efficient CFL lamps </w:t>
      </w:r>
      <w:r>
        <w:lastRenderedPageBreak/>
        <w:t>rather than halogen or incandescent lighting.</w:t>
      </w:r>
      <w:r w:rsidR="009700F6">
        <w:t xml:space="preserve">  The extent of transition has also increased significantly, with only 5% of those surveyed in 2010 reporting LED lighting in ‘most or all lighting’ to 22% in 2014.</w:t>
      </w:r>
    </w:p>
    <w:p w:rsidR="0070013F" w:rsidRDefault="0070013F" w:rsidP="00BB47F5">
      <w:pPr>
        <w:pStyle w:val="E3BodyText"/>
      </w:pPr>
      <w:r>
        <w:t>The US Department of Energy reports that i</w:t>
      </w:r>
      <w:r w:rsidRPr="0070013F">
        <w:t xml:space="preserve">n 2014, LEDs </w:t>
      </w:r>
      <w:r>
        <w:t>were estimated to mak</w:t>
      </w:r>
      <w:r w:rsidRPr="0070013F">
        <w:t>e up less than 4% of the installed base (in lumen-hours</w:t>
      </w:r>
      <w:r>
        <w:t>, across all sectors</w:t>
      </w:r>
      <w:r w:rsidRPr="0070013F">
        <w:t>)</w:t>
      </w:r>
      <w:r w:rsidR="009B42EA">
        <w:t xml:space="preserve">in the USA </w:t>
      </w:r>
      <w:r>
        <w:t>and that b</w:t>
      </w:r>
      <w:r w:rsidRPr="0070013F">
        <w:t xml:space="preserve">y </w:t>
      </w:r>
      <w:r w:rsidR="009B42EA">
        <w:t>2030, LED lighting is forecast</w:t>
      </w:r>
      <w:r w:rsidRPr="0070013F">
        <w:t xml:space="preserve"> to account for the majority of installations, equivalent to 88% of all lumen-hours being produced for general illumination</w:t>
      </w:r>
      <w:r w:rsidR="00725833">
        <w:t xml:space="preserve"> (US DOE 2015)</w:t>
      </w:r>
      <w:r>
        <w:t xml:space="preserve">. It should be noted that this is for lumen hours in all sectors of lighting (including commercial, industrial, street lighting etc.) and that the percentage of predicted market penetration </w:t>
      </w:r>
      <w:r w:rsidR="00725833">
        <w:t>varies</w:t>
      </w:r>
      <w:r>
        <w:t xml:space="preserve"> according to lamp type, with 99% for general service lamps, 74% for directional lamps, 83% for linear lamps and </w:t>
      </w:r>
      <w:r w:rsidR="00725833">
        <w:t>73% for high bay/low bay lighting.</w:t>
      </w:r>
    </w:p>
    <w:p w:rsidR="00F86E3A" w:rsidRDefault="00FB464D" w:rsidP="00F86E3A">
      <w:pPr>
        <w:pStyle w:val="E3BodyText"/>
        <w:keepNext/>
      </w:pPr>
      <w:r>
        <w:rPr>
          <w:noProof/>
          <w:lang w:eastAsia="en-AU"/>
        </w:rPr>
        <w:drawing>
          <wp:inline distT="0" distB="0" distL="0" distR="0" wp14:anchorId="49808DBC" wp14:editId="63CA456E">
            <wp:extent cx="6120143" cy="4399984"/>
            <wp:effectExtent l="0" t="0" r="0" b="635"/>
            <wp:docPr id="34" name="Picture 34" descr="Line Graphs displays two lines CFL Bulbs and LED Bulbs.&#10;&#10;CFL decreases over time (2010 -2014)&#10;LED Bulbs increase over time (2010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d.protected.ind\group\Energy\Energy Efficiency\Appliances\AEEB\Equip &amp; Appliances\Lighting\LEDs\Project Scope &amp; Product Profile\LED Product Profile\Energex graphs\Penetration of CFL and LED light bulbs.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765" cy="4400431"/>
                    </a:xfrm>
                    <a:prstGeom prst="rect">
                      <a:avLst/>
                    </a:prstGeom>
                    <a:noFill/>
                    <a:ln>
                      <a:noFill/>
                    </a:ln>
                  </pic:spPr>
                </pic:pic>
              </a:graphicData>
            </a:graphic>
          </wp:inline>
        </w:drawing>
      </w:r>
    </w:p>
    <w:p w:rsidR="00815515" w:rsidRDefault="00603AFB" w:rsidP="00F86E3A">
      <w:pPr>
        <w:pStyle w:val="Caption"/>
      </w:pPr>
      <w:bookmarkStart w:id="128" w:name="_Ref424252418"/>
      <w:bookmarkStart w:id="129" w:name="_Toc426387863"/>
      <w:r>
        <w:t xml:space="preserve">Figure </w:t>
      </w:r>
      <w:r>
        <w:fldChar w:fldCharType="begin"/>
      </w:r>
      <w:r>
        <w:instrText xml:space="preserve"> SEQ Figure \* ARABIC </w:instrText>
      </w:r>
      <w:r>
        <w:fldChar w:fldCharType="separate"/>
      </w:r>
      <w:r w:rsidR="002C13E2">
        <w:rPr>
          <w:noProof/>
        </w:rPr>
        <w:t>24</w:t>
      </w:r>
      <w:r>
        <w:fldChar w:fldCharType="end"/>
      </w:r>
      <w:bookmarkEnd w:id="128"/>
      <w:r>
        <w:t xml:space="preserve">. </w:t>
      </w:r>
      <w:r w:rsidRPr="00112CCB">
        <w:t>Penetration of CFL and LED lamps in a sample of Queensland Households 2010-2014 (Colmar Brunton 2014)</w:t>
      </w:r>
      <w:r w:rsidR="00C64326">
        <w:t>- Graph shows percentage of households with at least some of CFL or LED technology lamps.</w:t>
      </w:r>
      <w:bookmarkEnd w:id="129"/>
    </w:p>
    <w:p w:rsidR="00FD6E97" w:rsidRDefault="00FD6E97" w:rsidP="009A1CBE"/>
    <w:p w:rsidR="0048618F" w:rsidRDefault="00BB47F5" w:rsidP="00E96970">
      <w:pPr>
        <w:pStyle w:val="Heading3"/>
      </w:pPr>
      <w:bookmarkStart w:id="130" w:name="_Toc426387750"/>
      <w:r>
        <w:t>Lamp Supply</w:t>
      </w:r>
      <w:bookmarkEnd w:id="130"/>
    </w:p>
    <w:p w:rsidR="00BB47F5" w:rsidRDefault="00BB47F5" w:rsidP="00BB47F5">
      <w:pPr>
        <w:pStyle w:val="E3BodyText"/>
      </w:pPr>
      <w:r>
        <w:t xml:space="preserve">Based on ABS import data between </w:t>
      </w:r>
      <w:r w:rsidR="00FC631C">
        <w:t>2002 and 2007</w:t>
      </w:r>
      <w:r>
        <w:t xml:space="preserve"> average growth in the</w:t>
      </w:r>
      <w:r w:rsidR="00FB12B8">
        <w:t xml:space="preserve"> Australian</w:t>
      </w:r>
      <w:r>
        <w:t xml:space="preserve"> lamp market was </w:t>
      </w:r>
      <w:r w:rsidR="00FC631C">
        <w:t>6.1</w:t>
      </w:r>
      <w:r>
        <w:t xml:space="preserve">% per year, though on a year to year basis these figures fluctuated. In the last </w:t>
      </w:r>
      <w:r w:rsidR="00FB12B8">
        <w:t>seven</w:t>
      </w:r>
      <w:r>
        <w:t xml:space="preserve"> years there has been an overhaul in the profile of lamp uptake in both the residential (and commercial) markets. ABS lamp importation records provide information on all major residential lamp types with the exception of LED lamp technologies (</w:t>
      </w:r>
      <w:r w:rsidR="00B525E0">
        <w:fldChar w:fldCharType="begin"/>
      </w:r>
      <w:r w:rsidR="004C2089">
        <w:instrText xml:space="preserve"> REF _Ref424119243 \h </w:instrText>
      </w:r>
      <w:r w:rsidR="00B525E0">
        <w:fldChar w:fldCharType="separate"/>
      </w:r>
      <w:r w:rsidR="002C13E2">
        <w:t xml:space="preserve">Figure </w:t>
      </w:r>
      <w:r w:rsidR="002C13E2">
        <w:rPr>
          <w:noProof/>
        </w:rPr>
        <w:t>25</w:t>
      </w:r>
      <w:r w:rsidR="00B525E0">
        <w:fldChar w:fldCharType="end"/>
      </w:r>
      <w:r>
        <w:t>); from the data it can be seen that in recent years there has been a significant reduction in import numbers of several lamp types. Contributing factors are likely to include the reduction in tungsten filament lamps due to the import prohibition and application of MEPS,  and the uptake of lamp</w:t>
      </w:r>
      <w:r w:rsidR="009C3957">
        <w:t>s</w:t>
      </w:r>
      <w:r>
        <w:t xml:space="preserve"> which have</w:t>
      </w:r>
      <w:r w:rsidR="009C3957">
        <w:t xml:space="preserve"> a</w:t>
      </w:r>
      <w:r>
        <w:t xml:space="preserve"> longer lifespan (such as CFLs with a minimum mean 6,000 hour life) since the incandescent phase-out in 2009 (thus a falling necessity to replace products at the same rate). Many of the lamps purchased around this time would only be ready for re-lamping </w:t>
      </w:r>
      <w:r w:rsidR="009C3957">
        <w:t xml:space="preserve">in </w:t>
      </w:r>
      <w:r>
        <w:t>2012-2013. The beginning of a transition to LED lighting is also expected to be a contributing factor, particularly in the decline of imports of low voltage halogen lamps.</w:t>
      </w:r>
    </w:p>
    <w:p w:rsidR="00F86E3A" w:rsidRDefault="00FB12B8" w:rsidP="00F86E3A">
      <w:pPr>
        <w:pStyle w:val="E3BodyText"/>
        <w:keepNext/>
      </w:pPr>
      <w:r>
        <w:rPr>
          <w:noProof/>
          <w:lang w:eastAsia="en-AU"/>
        </w:rPr>
        <w:lastRenderedPageBreak/>
        <w:drawing>
          <wp:inline distT="0" distB="0" distL="0" distR="0" wp14:anchorId="61D66886" wp14:editId="7974B52B">
            <wp:extent cx="6018296" cy="3924300"/>
            <wp:effectExtent l="0" t="0" r="1905" b="0"/>
            <wp:docPr id="23" name="Picture 23" descr="Line graph displays lamp imports from 2002 -2014.&#10;&#10;Lamp imports peak in 2007 and slowly go down until 201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21925" cy="3926666"/>
                    </a:xfrm>
                    <a:prstGeom prst="rect">
                      <a:avLst/>
                    </a:prstGeom>
                    <a:noFill/>
                  </pic:spPr>
                </pic:pic>
              </a:graphicData>
            </a:graphic>
          </wp:inline>
        </w:drawing>
      </w:r>
    </w:p>
    <w:p w:rsidR="00F86E3A" w:rsidRDefault="00F86E3A" w:rsidP="00F86E3A">
      <w:pPr>
        <w:pStyle w:val="Caption"/>
      </w:pPr>
      <w:bookmarkStart w:id="131" w:name="_Ref424119243"/>
      <w:bookmarkStart w:id="132" w:name="_Ref424119166"/>
      <w:bookmarkStart w:id="133" w:name="_Toc426387864"/>
      <w:r>
        <w:t xml:space="preserve">Figure </w:t>
      </w:r>
      <w:r w:rsidR="00B525E0">
        <w:fldChar w:fldCharType="begin"/>
      </w:r>
      <w:r>
        <w:instrText xml:space="preserve"> SEQ Figure \* ARABIC </w:instrText>
      </w:r>
      <w:r w:rsidR="00B525E0">
        <w:fldChar w:fldCharType="separate"/>
      </w:r>
      <w:r w:rsidR="002C13E2">
        <w:rPr>
          <w:noProof/>
        </w:rPr>
        <w:t>25</w:t>
      </w:r>
      <w:r w:rsidR="00B525E0">
        <w:fldChar w:fldCharType="end"/>
      </w:r>
      <w:bookmarkEnd w:id="131"/>
      <w:r>
        <w:t>.</w:t>
      </w:r>
      <w:r w:rsidRPr="00F66AFC">
        <w:t xml:space="preserve">ABS import data for </w:t>
      </w:r>
      <w:r w:rsidR="00FB12B8">
        <w:t xml:space="preserve">mains-voltage (MV) </w:t>
      </w:r>
      <w:r w:rsidR="00FC631C">
        <w:t xml:space="preserve">incandescent, </w:t>
      </w:r>
      <w:r w:rsidR="00FB12B8">
        <w:t>MV and extra-low-voltage (ELV) halogen</w:t>
      </w:r>
      <w:r w:rsidRPr="00F66AFC">
        <w:t xml:space="preserve">, </w:t>
      </w:r>
      <w:r w:rsidR="00FB12B8">
        <w:t xml:space="preserve">high intensity discharge (HID) and other discharge, </w:t>
      </w:r>
      <w:r w:rsidR="00FC631C">
        <w:t>compact fluorescent (CFL)</w:t>
      </w:r>
      <w:r w:rsidRPr="00F66AFC">
        <w:t xml:space="preserve"> and linear fluorescent</w:t>
      </w:r>
      <w:r w:rsidR="00FC631C">
        <w:t xml:space="preserve"> (LFL)</w:t>
      </w:r>
      <w:r w:rsidRPr="00F66AFC">
        <w:t xml:space="preserve"> lamps.</w:t>
      </w:r>
      <w:bookmarkEnd w:id="132"/>
      <w:bookmarkEnd w:id="133"/>
    </w:p>
    <w:p w:rsidR="00BB47F5" w:rsidRDefault="00BB47F5" w:rsidP="00BB47F5">
      <w:pPr>
        <w:pStyle w:val="E3BodyText"/>
      </w:pPr>
    </w:p>
    <w:p w:rsidR="00BB47F5" w:rsidRDefault="00BB47F5" w:rsidP="00BB47F5">
      <w:r>
        <w:t>Total</w:t>
      </w:r>
      <w:r w:rsidR="00551194">
        <w:t xml:space="preserve"> historical</w:t>
      </w:r>
      <w:r>
        <w:t xml:space="preserve"> Australian lamp imports</w:t>
      </w:r>
      <w:r w:rsidR="005C10D1">
        <w:t xml:space="preserve"> </w:t>
      </w:r>
      <w:r>
        <w:t xml:space="preserve">are </w:t>
      </w:r>
      <w:r w:rsidR="00551194">
        <w:t>shown in</w:t>
      </w:r>
      <w:r w:rsidR="005C10D1">
        <w:t xml:space="preserve"> close detail in </w:t>
      </w:r>
      <w:r w:rsidR="005C10D1">
        <w:fldChar w:fldCharType="begin"/>
      </w:r>
      <w:r w:rsidR="005C10D1">
        <w:instrText xml:space="preserve"> REF _Ref424119243 \h </w:instrText>
      </w:r>
      <w:r w:rsidR="005C10D1">
        <w:fldChar w:fldCharType="separate"/>
      </w:r>
      <w:r w:rsidR="002C13E2">
        <w:t xml:space="preserve">Figure </w:t>
      </w:r>
      <w:r w:rsidR="002C13E2">
        <w:rPr>
          <w:noProof/>
        </w:rPr>
        <w:t>25</w:t>
      </w:r>
      <w:r w:rsidR="005C10D1">
        <w:fldChar w:fldCharType="end"/>
      </w:r>
      <w:r w:rsidR="005C10D1">
        <w:t xml:space="preserve">. </w:t>
      </w:r>
      <w:r>
        <w:t xml:space="preserve">Predictions </w:t>
      </w:r>
      <w:r w:rsidR="005C10D1">
        <w:t xml:space="preserve">for future stock in this report are </w:t>
      </w:r>
      <w:r>
        <w:t>based upon world average uptake of technologies (including LEDs) as extensively researched and reported by McKinsey &amp; Company in 2012</w:t>
      </w:r>
      <w:r w:rsidR="00FA1254">
        <w:t xml:space="preserve"> in their </w:t>
      </w:r>
      <w:r w:rsidR="00FA1254" w:rsidRPr="00B07D31">
        <w:t>overvie</w:t>
      </w:r>
      <w:r w:rsidR="00FA1254">
        <w:t>w of the global lighting market (not that Australia was not specifically addressed in the McKinsey reports)</w:t>
      </w:r>
      <w:r>
        <w:t xml:space="preserve">, and using the current Australian import data and stock model over which to apply the incremental changes in the lighting market. Specific </w:t>
      </w:r>
      <w:r w:rsidR="00BE7F45">
        <w:fldChar w:fldCharType="begin"/>
      </w:r>
      <w:r w:rsidR="00BE7F45">
        <w:instrText xml:space="preserve"> REF _Ref425173802 \h </w:instrText>
      </w:r>
      <w:r w:rsidR="00BE7F45">
        <w:fldChar w:fldCharType="separate"/>
      </w:r>
      <w:r w:rsidR="002C13E2">
        <w:rPr>
          <w:lang w:val="en-US"/>
        </w:rPr>
        <w:t>Lamp attributes</w:t>
      </w:r>
      <w:r w:rsidR="00BE7F45">
        <w:fldChar w:fldCharType="end"/>
      </w:r>
      <w:r w:rsidR="00BE7F45">
        <w:t xml:space="preserve"> </w:t>
      </w:r>
      <w:r>
        <w:t xml:space="preserve">used in the model are in </w:t>
      </w:r>
      <w:r w:rsidR="00BE7F45">
        <w:t>Appendix D.</w:t>
      </w:r>
      <w:r>
        <w:t xml:space="preserve"> </w:t>
      </w:r>
    </w:p>
    <w:p w:rsidR="006820F8" w:rsidRDefault="004D1A6E" w:rsidP="006820F8">
      <w:pPr>
        <w:pStyle w:val="E3BodyText"/>
      </w:pPr>
      <w:r>
        <w:t xml:space="preserve">Australia is at the forefront of </w:t>
      </w:r>
      <w:r w:rsidR="009C3957">
        <w:t xml:space="preserve">the </w:t>
      </w:r>
      <w:r>
        <w:t xml:space="preserve">incandescent phase-out in comparison to the rest of the </w:t>
      </w:r>
      <w:r w:rsidR="00603AFB">
        <w:t>world;</w:t>
      </w:r>
      <w:r>
        <w:t xml:space="preserve"> as such the search for new lamp technology alternatives by consumers is well imbedded. Market observation while purchasing lamps for benchmark testing showed a significant increase in the number of brands and models available for purchase in local outlets. </w:t>
      </w:r>
      <w:r w:rsidR="004F30CA">
        <w:t xml:space="preserve"> In terms of exports from China, one of the major manufacturers of LED lighting, Australia ranks as the 11</w:t>
      </w:r>
      <w:r w:rsidR="004F30CA" w:rsidRPr="004F30CA">
        <w:rPr>
          <w:vertAlign w:val="superscript"/>
        </w:rPr>
        <w:t>th</w:t>
      </w:r>
      <w:r w:rsidR="004F30CA">
        <w:t xml:space="preserve"> destination of LED products with approximately 10 million units annually (note that due to current limitations on international export codes relating to LEDs, this c</w:t>
      </w:r>
      <w:r w:rsidR="00E66E2F">
        <w:t xml:space="preserve">ategory is likely to include a </w:t>
      </w:r>
      <w:r w:rsidR="004F30CA">
        <w:t>range of LED products other than tho</w:t>
      </w:r>
      <w:r w:rsidR="000F1D9B">
        <w:t xml:space="preserve">se used for general lighting). </w:t>
      </w:r>
      <w:r w:rsidR="004F30CA">
        <w:t xml:space="preserve">Approximately 1 million units are currently shipped to New Zealand from China (CALI </w:t>
      </w:r>
      <w:r w:rsidR="00603AFB">
        <w:t>pers.</w:t>
      </w:r>
      <w:r w:rsidR="004F30CA">
        <w:t xml:space="preserve"> com)</w:t>
      </w:r>
      <w:r w:rsidR="00273316">
        <w:t>.</w:t>
      </w:r>
    </w:p>
    <w:p w:rsidR="009B5390" w:rsidRDefault="004D1A6E" w:rsidP="009221D0">
      <w:pPr>
        <w:pStyle w:val="E3BodyText"/>
      </w:pPr>
      <w:r w:rsidRPr="009221D0">
        <w:t xml:space="preserve">The recently released IEA 4E Lighting Benchmarking report </w:t>
      </w:r>
      <w:r w:rsidR="006820F8" w:rsidRPr="009221D0">
        <w:t xml:space="preserve">(IEA 4E 2015) </w:t>
      </w:r>
      <w:r w:rsidRPr="009221D0">
        <w:t xml:space="preserve">also </w:t>
      </w:r>
      <w:r w:rsidR="007736DD" w:rsidRPr="009221D0">
        <w:t>found</w:t>
      </w:r>
      <w:r w:rsidRPr="009221D0">
        <w:t xml:space="preserve"> that Australia is comparatively well advanced in the transition from incandescent </w:t>
      </w:r>
      <w:r w:rsidR="00355C05" w:rsidRPr="009221D0">
        <w:t>lighting to efficient lighting (to date, largely CFLs)</w:t>
      </w:r>
      <w:r w:rsidR="006820F8" w:rsidRPr="009221D0">
        <w:t>.  The benchmarking study found that of the countries studied, Australia had progressed to having one of the lowest level</w:t>
      </w:r>
      <w:r w:rsidR="00F52E5D">
        <w:t>s of incandescent lamp supply.</w:t>
      </w:r>
    </w:p>
    <w:p w:rsidR="00F86E3A" w:rsidRDefault="009B5390" w:rsidP="00F86E3A">
      <w:pPr>
        <w:pStyle w:val="E3BodyText"/>
        <w:keepNext/>
      </w:pPr>
      <w:r>
        <w:rPr>
          <w:noProof/>
          <w:lang w:eastAsia="en-AU"/>
        </w:rPr>
        <w:lastRenderedPageBreak/>
        <w:drawing>
          <wp:inline distT="0" distB="0" distL="0" distR="0" wp14:anchorId="0D572052" wp14:editId="627F9A44">
            <wp:extent cx="5808785" cy="3809176"/>
            <wp:effectExtent l="0" t="0" r="1905" b="1270"/>
            <wp:docPr id="17" name="Picture 17" descr="Line Graph displaying the flow of all sales of Incandescent Lamps from 1996-2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09390" cy="3809573"/>
                    </a:xfrm>
                    <a:prstGeom prst="rect">
                      <a:avLst/>
                    </a:prstGeom>
                    <a:noFill/>
                  </pic:spPr>
                </pic:pic>
              </a:graphicData>
            </a:graphic>
          </wp:inline>
        </w:drawing>
      </w:r>
    </w:p>
    <w:p w:rsidR="009B5390" w:rsidRDefault="00F86E3A" w:rsidP="00F86E3A">
      <w:pPr>
        <w:pStyle w:val="Caption"/>
      </w:pPr>
      <w:bookmarkStart w:id="134" w:name="_Ref424119314"/>
      <w:bookmarkStart w:id="135" w:name="_Toc426387865"/>
      <w:r>
        <w:t xml:space="preserve">Figure </w:t>
      </w:r>
      <w:r w:rsidR="00B525E0">
        <w:fldChar w:fldCharType="begin"/>
      </w:r>
      <w:r>
        <w:instrText xml:space="preserve"> SEQ Figure \* ARABIC </w:instrText>
      </w:r>
      <w:r w:rsidR="00B525E0">
        <w:fldChar w:fldCharType="separate"/>
      </w:r>
      <w:r w:rsidR="002C13E2">
        <w:rPr>
          <w:noProof/>
        </w:rPr>
        <w:t>26</w:t>
      </w:r>
      <w:r w:rsidR="00B525E0">
        <w:fldChar w:fldCharType="end"/>
      </w:r>
      <w:bookmarkEnd w:id="134"/>
      <w:r>
        <w:t>.</w:t>
      </w:r>
      <w:r w:rsidRPr="007148C7">
        <w:t xml:space="preserve">Percentage of all sales that are Incandescent Lamps including </w:t>
      </w:r>
      <w:r w:rsidR="00603AFB" w:rsidRPr="007148C7">
        <w:t>Halogens in</w:t>
      </w:r>
      <w:r w:rsidRPr="007148C7">
        <w:t xml:space="preserve"> a range of Countries (IEA 4E 2015)</w:t>
      </w:r>
      <w:bookmarkEnd w:id="135"/>
    </w:p>
    <w:p w:rsidR="00F86E3A" w:rsidRDefault="00F86E3A" w:rsidP="009221D0">
      <w:pPr>
        <w:pStyle w:val="E3BodyText"/>
      </w:pPr>
    </w:p>
    <w:p w:rsidR="009B5390" w:rsidRDefault="006820F8" w:rsidP="009221D0">
      <w:pPr>
        <w:pStyle w:val="E3BodyText"/>
      </w:pPr>
      <w:r w:rsidRPr="009221D0">
        <w:t>Across the countries studied, m</w:t>
      </w:r>
      <w:r w:rsidRPr="009221D0">
        <w:rPr>
          <w:szCs w:val="18"/>
        </w:rPr>
        <w:t>arket average efficiencies of lamp sales have typically risen from 12-15lm/W to 17- 20lm/W. Australia has achieved an average of 27lm/W due to higher levels of CFL</w:t>
      </w:r>
      <w:r w:rsidR="00E66E2F">
        <w:rPr>
          <w:szCs w:val="18"/>
        </w:rPr>
        <w:t xml:space="preserve"> </w:t>
      </w:r>
      <w:r w:rsidRPr="009221D0">
        <w:rPr>
          <w:szCs w:val="18"/>
        </w:rPr>
        <w:t>sales</w:t>
      </w:r>
      <w:r w:rsidRPr="009221D0">
        <w:t xml:space="preserve"> as a result of MEPS and associated educational measures</w:t>
      </w:r>
      <w:r w:rsidRPr="009221D0">
        <w:rPr>
          <w:szCs w:val="18"/>
        </w:rPr>
        <w:t>.</w:t>
      </w:r>
    </w:p>
    <w:p w:rsidR="009B5390" w:rsidRDefault="009B5390" w:rsidP="009B5390">
      <w:pPr>
        <w:pStyle w:val="E3Figuretitles"/>
      </w:pPr>
    </w:p>
    <w:p w:rsidR="00F86E3A" w:rsidRDefault="009B5390" w:rsidP="00F86E3A">
      <w:pPr>
        <w:pStyle w:val="E3BodyText"/>
        <w:keepNext/>
      </w:pPr>
      <w:r>
        <w:rPr>
          <w:noProof/>
          <w:lang w:eastAsia="en-AU"/>
        </w:rPr>
        <w:lastRenderedPageBreak/>
        <w:drawing>
          <wp:inline distT="0" distB="0" distL="0" distR="0" wp14:anchorId="544E108C" wp14:editId="51DDAFA3">
            <wp:extent cx="5783224" cy="3792415"/>
            <wp:effectExtent l="0" t="0" r="8255" b="0"/>
            <wp:docPr id="13" name="Picture 13" descr="Line Graph displaying Sales Weighted Average Efficiency of Countries from 1999-2013.&#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93359" cy="3799061"/>
                    </a:xfrm>
                    <a:prstGeom prst="rect">
                      <a:avLst/>
                    </a:prstGeom>
                    <a:noFill/>
                  </pic:spPr>
                </pic:pic>
              </a:graphicData>
            </a:graphic>
          </wp:inline>
        </w:drawing>
      </w:r>
    </w:p>
    <w:p w:rsidR="009B5390" w:rsidRDefault="00F86E3A" w:rsidP="00F86E3A">
      <w:pPr>
        <w:pStyle w:val="Caption"/>
      </w:pPr>
      <w:bookmarkStart w:id="136" w:name="_Toc426387866"/>
      <w:r>
        <w:t xml:space="preserve">Figure </w:t>
      </w:r>
      <w:r w:rsidR="00B525E0">
        <w:fldChar w:fldCharType="begin"/>
      </w:r>
      <w:r>
        <w:instrText xml:space="preserve"> SEQ Figure \* ARABIC </w:instrText>
      </w:r>
      <w:r w:rsidR="00B525E0">
        <w:fldChar w:fldCharType="separate"/>
      </w:r>
      <w:r w:rsidR="002C13E2">
        <w:rPr>
          <w:noProof/>
        </w:rPr>
        <w:t>27</w:t>
      </w:r>
      <w:r w:rsidR="00B525E0">
        <w:fldChar w:fldCharType="end"/>
      </w:r>
      <w:r>
        <w:t>.</w:t>
      </w:r>
      <w:r w:rsidRPr="00C02DD3">
        <w:t>Average Lamp Efficacy in a range of Countries (IEA 4E 2015)</w:t>
      </w:r>
      <w:bookmarkEnd w:id="136"/>
    </w:p>
    <w:p w:rsidR="0048618F" w:rsidRPr="009221D0" w:rsidRDefault="00551194" w:rsidP="009221D0">
      <w:pPr>
        <w:pStyle w:val="E3BodyText"/>
      </w:pPr>
      <w:r>
        <w:br/>
      </w:r>
      <w:r w:rsidR="006820F8" w:rsidRPr="009221D0">
        <w:t xml:space="preserve">While in Australia approximately 50% of the mains voltage omnidirectional lamp supply had transitioned to mains voltage halogen lamps rather than CFL or LED lamps, this is still more progressive than outcomes in the EU where </w:t>
      </w:r>
      <w:r w:rsidR="006820F8" w:rsidRPr="009221D0">
        <w:rPr>
          <w:szCs w:val="22"/>
        </w:rPr>
        <w:t>combined sales of incandescent and halogen lamps moved from around 90% of all sales before the introduction of regulations, to 80% now.</w:t>
      </w:r>
      <w:r w:rsidR="009A628E" w:rsidRPr="009221D0">
        <w:t xml:space="preserve"> These results suggest that there is flexibility in a significant portion of the market to transition to efficient lighting, but that there is still some way to go.</w:t>
      </w:r>
    </w:p>
    <w:p w:rsidR="000A0A93" w:rsidRDefault="000A0A93" w:rsidP="00E96970">
      <w:pPr>
        <w:pStyle w:val="Heading3"/>
      </w:pPr>
      <w:bookmarkStart w:id="137" w:name="_Toc426387751"/>
      <w:bookmarkStart w:id="138" w:name="_Toc366162146"/>
      <w:bookmarkEnd w:id="123"/>
      <w:r w:rsidRPr="003107D2">
        <w:t>Projected trends</w:t>
      </w:r>
      <w:bookmarkEnd w:id="137"/>
    </w:p>
    <w:p w:rsidR="0029532B" w:rsidRDefault="000A0A93" w:rsidP="000A0A93">
      <w:r>
        <w:t xml:space="preserve">In the Australian commercial sector there has been significant movement away from use of the </w:t>
      </w:r>
      <w:r w:rsidR="00603AFB">
        <w:t>traditional inefficient</w:t>
      </w:r>
      <w:r>
        <w:t xml:space="preserve"> lamp technologies, </w:t>
      </w:r>
      <w:r w:rsidR="0029532B">
        <w:t>where advances in emergent technologies such as LED opened new opportunities for novel design with high efficiency</w:t>
      </w:r>
      <w:r w:rsidR="00603AFB">
        <w:t>, making</w:t>
      </w:r>
      <w:r w:rsidR="0029532B">
        <w:t xml:space="preserve"> the transition a feasible one. I</w:t>
      </w:r>
      <w:r>
        <w:t xml:space="preserve">n part </w:t>
      </w:r>
      <w:r w:rsidR="0029532B">
        <w:t>the change has also been</w:t>
      </w:r>
      <w:r>
        <w:t xml:space="preserve"> due to the i</w:t>
      </w:r>
      <w:r w:rsidR="0029532B">
        <w:t xml:space="preserve">ntroduction of lighting </w:t>
      </w:r>
      <w:r>
        <w:t xml:space="preserve">power density limits (in watts per square metre) in the 2005 edition of the Building Code of Australia's National Construction Code, which applies to any new-build or significant refurbished commercial space. </w:t>
      </w:r>
      <w:r w:rsidR="0029532B">
        <w:t xml:space="preserve"> The code has since been reviewed and </w:t>
      </w:r>
      <w:r>
        <w:t>update</w:t>
      </w:r>
      <w:r w:rsidR="0029532B">
        <w:t>d</w:t>
      </w:r>
      <w:r>
        <w:t xml:space="preserve"> in </w:t>
      </w:r>
      <w:r w:rsidR="0029532B">
        <w:t>2011, with power density limits further tightened for some building applications.</w:t>
      </w:r>
      <w:r w:rsidR="00CB39E4">
        <w:t xml:space="preserve"> </w:t>
      </w:r>
      <w:r w:rsidR="00CB39E4" w:rsidRPr="00CB39E4">
        <w:t>Aggressive price erosion of LED lighting products is also cited as a vital instigator of change to the long-term forecasts of the lighting market.</w:t>
      </w:r>
    </w:p>
    <w:p w:rsidR="000A0A93" w:rsidRPr="000A0A93" w:rsidRDefault="000651E0" w:rsidP="000A0A93">
      <w:r>
        <w:t>A commercial lighting market model has been created for the Australian market, which provides p</w:t>
      </w:r>
      <w:r w:rsidR="00CB39E4">
        <w:t xml:space="preserve">rojections of the technology mix that will be in use in Australian non-industrial commercial spaces is shown in </w:t>
      </w:r>
      <w:r w:rsidR="00CB39E4">
        <w:fldChar w:fldCharType="begin"/>
      </w:r>
      <w:r w:rsidR="00CB39E4">
        <w:instrText xml:space="preserve"> REF _Ref424672945 \h </w:instrText>
      </w:r>
      <w:r w:rsidR="00CB39E4">
        <w:fldChar w:fldCharType="separate"/>
      </w:r>
      <w:r w:rsidR="002C13E2">
        <w:t xml:space="preserve">Figure </w:t>
      </w:r>
      <w:r w:rsidR="002C13E2">
        <w:rPr>
          <w:noProof/>
        </w:rPr>
        <w:t>28</w:t>
      </w:r>
      <w:r w:rsidR="00CB39E4">
        <w:fldChar w:fldCharType="end"/>
      </w:r>
      <w:r w:rsidR="00CB39E4">
        <w:t>, where LED lamp and luminaire use to 2030 is projected to rise to approximately 85% as use of all other lamp types diminishes, though linear fluorescent lamps are considered to keep a small presence in the market</w:t>
      </w:r>
      <w:r>
        <w:t xml:space="preserve"> (E3 2015)</w:t>
      </w:r>
      <w:r w:rsidR="00CB39E4">
        <w:t>.</w:t>
      </w:r>
      <w:r>
        <w:t xml:space="preserve"> Further information on the foundations of this model </w:t>
      </w:r>
      <w:r w:rsidR="00603AFB">
        <w:t>is</w:t>
      </w:r>
      <w:r>
        <w:t xml:space="preserve"> provided in Appendix D.</w:t>
      </w:r>
    </w:p>
    <w:p w:rsidR="00CB39E4" w:rsidRDefault="007B47E9" w:rsidP="00CB39E4">
      <w:pPr>
        <w:keepNext/>
      </w:pPr>
      <w:r>
        <w:rPr>
          <w:noProof/>
          <w:lang w:eastAsia="en-AU"/>
        </w:rPr>
        <w:lastRenderedPageBreak/>
        <w:t>00</w:t>
      </w:r>
      <w:r w:rsidR="000A0A93" w:rsidRPr="000A0A93">
        <w:rPr>
          <w:noProof/>
          <w:lang w:eastAsia="en-AU"/>
        </w:rPr>
        <w:drawing>
          <wp:inline distT="0" distB="0" distL="0" distR="0" wp14:anchorId="40A7E5D1" wp14:editId="04286875">
            <wp:extent cx="4786008" cy="3104477"/>
            <wp:effectExtent l="0" t="0" r="0" b="1270"/>
            <wp:docPr id="52" name="Picture 99" descr="Line graph displays the projected mix of lamp technologies from 2010 -2030.&#10;&#10;LED is expected to go from 5% -88% from 2010-2030.&#10;&#10;LFL from 55% - 10% from 2010 -2030.&#10;&#10;CFL from 20% - 0%  from 2010 -2030.&#10;&#10;Incandescent, Halogen and HID are expected to reduce from 8% - 0%   from 2010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86152" cy="3104571"/>
                    </a:xfrm>
                    <a:prstGeom prst="rect">
                      <a:avLst/>
                    </a:prstGeom>
                    <a:noFill/>
                  </pic:spPr>
                </pic:pic>
              </a:graphicData>
            </a:graphic>
          </wp:inline>
        </w:drawing>
      </w:r>
    </w:p>
    <w:p w:rsidR="000A0A93" w:rsidRDefault="00CB39E4" w:rsidP="00CB39E4">
      <w:pPr>
        <w:pStyle w:val="Caption"/>
      </w:pPr>
      <w:bookmarkStart w:id="139" w:name="_Ref424672945"/>
      <w:bookmarkStart w:id="140" w:name="_Toc426387867"/>
      <w:r>
        <w:t xml:space="preserve">Figure </w:t>
      </w:r>
      <w:r w:rsidR="008A65AF">
        <w:fldChar w:fldCharType="begin"/>
      </w:r>
      <w:r w:rsidR="008A65AF">
        <w:instrText xml:space="preserve"> SEQ Figure \* ARABIC </w:instrText>
      </w:r>
      <w:r w:rsidR="008A65AF">
        <w:fldChar w:fldCharType="separate"/>
      </w:r>
      <w:r w:rsidR="002C13E2">
        <w:rPr>
          <w:noProof/>
        </w:rPr>
        <w:t>28</w:t>
      </w:r>
      <w:r w:rsidR="008A65AF">
        <w:rPr>
          <w:noProof/>
        </w:rPr>
        <w:fldChar w:fldCharType="end"/>
      </w:r>
      <w:bookmarkEnd w:id="139"/>
      <w:r>
        <w:t>. Projected mix of lamp technologies used to light commercial spaces in Australia 2010 - 2030 (E3 2015).</w:t>
      </w:r>
      <w:bookmarkEnd w:id="140"/>
    </w:p>
    <w:p w:rsidR="00CB39E4" w:rsidRPr="00CB39E4" w:rsidRDefault="00CB39E4" w:rsidP="00CB39E4">
      <w:r>
        <w:br/>
        <w:t xml:space="preserve">Using </w:t>
      </w:r>
      <w:r w:rsidR="000651E0">
        <w:t>the</w:t>
      </w:r>
      <w:r>
        <w:t xml:space="preserve"> projected trends for lamp technology use, this </w:t>
      </w:r>
      <w:r w:rsidR="000651E0">
        <w:t xml:space="preserve">has been applied to growth forecast for commercial space in Australia as given in the </w:t>
      </w:r>
      <w:r w:rsidR="000651E0" w:rsidRPr="000651E0">
        <w:t>Baseline Energy Consumption and Greenhouse Gas Emissions in Commercial Buildings in Australia (Nov 2012)</w:t>
      </w:r>
      <w:r w:rsidR="00101B33">
        <w:t>, w</w:t>
      </w:r>
      <w:r w:rsidR="000651E0">
        <w:t xml:space="preserve">ith extrapolation </w:t>
      </w:r>
      <w:r w:rsidR="00101B33">
        <w:t xml:space="preserve">to 2030. Projections of installed lamp stock in commercial (non-industrial) and residential spaces are provided respectively, in </w:t>
      </w:r>
      <w:r w:rsidR="00101B33">
        <w:fldChar w:fldCharType="begin"/>
      </w:r>
      <w:r w:rsidR="00101B33">
        <w:instrText xml:space="preserve"> REF _Ref424675457 \h </w:instrText>
      </w:r>
      <w:r w:rsidR="00101B33">
        <w:fldChar w:fldCharType="separate"/>
      </w:r>
      <w:r w:rsidR="002C13E2">
        <w:t xml:space="preserve">Figure </w:t>
      </w:r>
      <w:r w:rsidR="002C13E2">
        <w:rPr>
          <w:noProof/>
        </w:rPr>
        <w:t>29</w:t>
      </w:r>
      <w:r w:rsidR="00101B33">
        <w:fldChar w:fldCharType="end"/>
      </w:r>
      <w:r w:rsidR="00101B33">
        <w:t xml:space="preserve"> and </w:t>
      </w:r>
      <w:r w:rsidR="00101B33">
        <w:fldChar w:fldCharType="begin"/>
      </w:r>
      <w:r w:rsidR="00101B33">
        <w:instrText xml:space="preserve"> REF _Ref424675462 \h </w:instrText>
      </w:r>
      <w:r w:rsidR="00101B33">
        <w:fldChar w:fldCharType="separate"/>
      </w:r>
      <w:r w:rsidR="002C13E2">
        <w:t xml:space="preserve">Figure </w:t>
      </w:r>
      <w:r w:rsidR="002C13E2">
        <w:rPr>
          <w:noProof/>
        </w:rPr>
        <w:t>30</w:t>
      </w:r>
      <w:r w:rsidR="00101B33">
        <w:fldChar w:fldCharType="end"/>
      </w:r>
      <w:r w:rsidR="00101B33">
        <w:t xml:space="preserve">. </w:t>
      </w:r>
    </w:p>
    <w:p w:rsidR="00101B33" w:rsidRDefault="000A0A93" w:rsidP="00101B33">
      <w:pPr>
        <w:keepNext/>
      </w:pPr>
      <w:r>
        <w:rPr>
          <w:noProof/>
          <w:lang w:eastAsia="en-AU"/>
        </w:rPr>
        <w:drawing>
          <wp:inline distT="0" distB="0" distL="0" distR="0" wp14:anchorId="1D3C08B4" wp14:editId="23269DB6">
            <wp:extent cx="5408579" cy="3397445"/>
            <wp:effectExtent l="0" t="0" r="1905" b="0"/>
            <wp:docPr id="51" name="Picture 100" descr="Line graph highlights Australia's projected installed commercial lamp stock. &#10;&#10;From 2010 -2030 LED is expected to rise from $60Million to $140m.&#10;&#10;Remaining lamps (Incandescent, Halogen, HID, LFL, CFL and LED)are expected to reduce from a range of$3M -$60M to $0 - $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5039" cy="3395221"/>
                    </a:xfrm>
                    <a:prstGeom prst="rect">
                      <a:avLst/>
                    </a:prstGeom>
                    <a:noFill/>
                  </pic:spPr>
                </pic:pic>
              </a:graphicData>
            </a:graphic>
          </wp:inline>
        </w:drawing>
      </w:r>
    </w:p>
    <w:p w:rsidR="000A0A93" w:rsidRDefault="00101B33" w:rsidP="00101B33">
      <w:pPr>
        <w:pStyle w:val="Caption"/>
      </w:pPr>
      <w:bookmarkStart w:id="141" w:name="_Ref424675457"/>
      <w:bookmarkStart w:id="142" w:name="_Toc426387868"/>
      <w:r>
        <w:t xml:space="preserve">Figure </w:t>
      </w:r>
      <w:r w:rsidR="008A65AF">
        <w:fldChar w:fldCharType="begin"/>
      </w:r>
      <w:r w:rsidR="008A65AF">
        <w:instrText xml:space="preserve"> SEQ Figure \* ARABIC </w:instrText>
      </w:r>
      <w:r w:rsidR="008A65AF">
        <w:fldChar w:fldCharType="separate"/>
      </w:r>
      <w:r w:rsidR="002C13E2">
        <w:rPr>
          <w:noProof/>
        </w:rPr>
        <w:t>29</w:t>
      </w:r>
      <w:r w:rsidR="008A65AF">
        <w:rPr>
          <w:noProof/>
        </w:rPr>
        <w:fldChar w:fldCharType="end"/>
      </w:r>
      <w:bookmarkEnd w:id="141"/>
      <w:r>
        <w:t>. Projected installed commercial lamp stock in Australia 2010 to 2030.</w:t>
      </w:r>
      <w:bookmarkEnd w:id="142"/>
    </w:p>
    <w:p w:rsidR="00101B33" w:rsidRDefault="00101B33" w:rsidP="00101B33">
      <w:pPr>
        <w:keepNext/>
      </w:pPr>
      <w:r w:rsidRPr="00101B33">
        <w:rPr>
          <w:noProof/>
          <w:lang w:eastAsia="en-AU"/>
        </w:rPr>
        <w:lastRenderedPageBreak/>
        <w:drawing>
          <wp:inline distT="0" distB="0" distL="0" distR="0" wp14:anchorId="1B7D0B10" wp14:editId="271E2447">
            <wp:extent cx="5380893" cy="3505241"/>
            <wp:effectExtent l="0" t="0" r="0" b="0"/>
            <wp:docPr id="56" name="Picture 98" descr="Line graph displays residential lamp stock (millions).&#10;&#10;From 2010 -2030 LED lamp stock is espected to increase from 450 Million to 600 Million.&#10;&#10;Other Lamp Stock (CFl, MV Halogen, Linear Fluorescent, ELV halogen, MV incandescent) are each expected to go down by 50% from 2010-203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86413" cy="3508837"/>
                    </a:xfrm>
                    <a:prstGeom prst="rect">
                      <a:avLst/>
                    </a:prstGeom>
                    <a:noFill/>
                  </pic:spPr>
                </pic:pic>
              </a:graphicData>
            </a:graphic>
          </wp:inline>
        </w:drawing>
      </w:r>
    </w:p>
    <w:p w:rsidR="000A0A93" w:rsidRDefault="00101B33" w:rsidP="00101B33">
      <w:pPr>
        <w:pStyle w:val="Caption"/>
      </w:pPr>
      <w:bookmarkStart w:id="143" w:name="_Ref424675462"/>
      <w:bookmarkStart w:id="144" w:name="_Toc426387869"/>
      <w:r>
        <w:t xml:space="preserve">Figure </w:t>
      </w:r>
      <w:r w:rsidR="008A65AF">
        <w:fldChar w:fldCharType="begin"/>
      </w:r>
      <w:r w:rsidR="008A65AF">
        <w:instrText xml:space="preserve"> SEQ Figure \* ARABIC </w:instrText>
      </w:r>
      <w:r w:rsidR="008A65AF">
        <w:fldChar w:fldCharType="separate"/>
      </w:r>
      <w:r w:rsidR="002C13E2">
        <w:rPr>
          <w:noProof/>
        </w:rPr>
        <w:t>30</w:t>
      </w:r>
      <w:r w:rsidR="008A65AF">
        <w:rPr>
          <w:noProof/>
        </w:rPr>
        <w:fldChar w:fldCharType="end"/>
      </w:r>
      <w:bookmarkEnd w:id="143"/>
      <w:r>
        <w:t>. Projected installed residential lamp stock in Australia 2010 to 2030.</w:t>
      </w:r>
      <w:bookmarkEnd w:id="144"/>
      <w:r>
        <w:t xml:space="preserve"> </w:t>
      </w:r>
    </w:p>
    <w:p w:rsidR="009221D0" w:rsidRPr="009221D0" w:rsidRDefault="00CF2B77" w:rsidP="009221D0">
      <w:pPr>
        <w:pStyle w:val="E3BodyText"/>
      </w:pPr>
      <w:r>
        <w:br/>
      </w:r>
      <w:r w:rsidR="009221D0" w:rsidRPr="009221D0">
        <w:t xml:space="preserve">The projection of lamp growth </w:t>
      </w:r>
      <w:r>
        <w:t xml:space="preserve">in the commercial sector as </w:t>
      </w:r>
      <w:r w:rsidR="009221D0" w:rsidRPr="009221D0">
        <w:t xml:space="preserve">shown in </w:t>
      </w:r>
      <w:r w:rsidR="00101B33">
        <w:fldChar w:fldCharType="begin"/>
      </w:r>
      <w:r w:rsidR="00101B33">
        <w:instrText xml:space="preserve"> REF _Ref424675457 \h </w:instrText>
      </w:r>
      <w:r w:rsidR="00101B33">
        <w:fldChar w:fldCharType="separate"/>
      </w:r>
      <w:r w:rsidR="002C13E2">
        <w:t xml:space="preserve">Figure </w:t>
      </w:r>
      <w:r w:rsidR="002C13E2">
        <w:rPr>
          <w:noProof/>
        </w:rPr>
        <w:t>29</w:t>
      </w:r>
      <w:r w:rsidR="00101B33">
        <w:fldChar w:fldCharType="end"/>
      </w:r>
      <w:r w:rsidR="00101B33">
        <w:t xml:space="preserve"> </w:t>
      </w:r>
      <w:r w:rsidR="009221D0" w:rsidRPr="009221D0">
        <w:t xml:space="preserve">is that the market will grow at a rate of approximately </w:t>
      </w:r>
      <w:r>
        <w:t>8</w:t>
      </w:r>
      <w:r w:rsidR="009221D0" w:rsidRPr="009221D0">
        <w:t>% until 20</w:t>
      </w:r>
      <w:r>
        <w:t>20</w:t>
      </w:r>
      <w:r w:rsidR="009221D0" w:rsidRPr="009221D0">
        <w:t xml:space="preserve">, and thereafter will grow at approximately 3 %. </w:t>
      </w:r>
      <w:r w:rsidR="0036655B">
        <w:t xml:space="preserve">Lamp stock in 2014 is estimated to be 74 million units, growing by 2030 to 159 million. </w:t>
      </w:r>
      <w:r>
        <w:t>In the residential sector, it is expected that market growth with remain fairly consistent with housing growth</w:t>
      </w:r>
      <w:r w:rsidR="0036655B">
        <w:t xml:space="preserve"> </w:t>
      </w:r>
      <w:r>
        <w:t>at a rate of 1.7%</w:t>
      </w:r>
      <w:r w:rsidR="0036655B">
        <w:t xml:space="preserve">, with 2014 numbers given at 504 million, projected to be 635 million in 2030. </w:t>
      </w:r>
      <w:r w:rsidR="009221D0" w:rsidRPr="009221D0">
        <w:t>Note that due to the different lifetimes of different types of lighting technology, the number of imports of each category does not directly translate to the proportion of installed stock.</w:t>
      </w:r>
    </w:p>
    <w:p w:rsidR="009221D0" w:rsidRDefault="009221D0" w:rsidP="00F1452F">
      <w:pPr>
        <w:pStyle w:val="E3BodyText"/>
        <w:numPr>
          <w:ilvl w:val="0"/>
          <w:numId w:val="35"/>
        </w:numPr>
      </w:pPr>
      <w:r>
        <w:t xml:space="preserve">CFLi lamp numbers may diminish due to current international discussions on phasing out, due to the emergence </w:t>
      </w:r>
      <w:r w:rsidR="00603AFB">
        <w:t>of viable</w:t>
      </w:r>
      <w:r>
        <w:t xml:space="preserve"> cost effective alternative (LED).</w:t>
      </w:r>
    </w:p>
    <w:p w:rsidR="009221D0" w:rsidRDefault="009221D0" w:rsidP="00F1452F">
      <w:pPr>
        <w:pStyle w:val="E3BodyText"/>
        <w:numPr>
          <w:ilvl w:val="0"/>
          <w:numId w:val="35"/>
        </w:numPr>
      </w:pPr>
      <w:r>
        <w:t xml:space="preserve">MV halogen numbers are </w:t>
      </w:r>
      <w:r w:rsidR="00BE6161">
        <w:t xml:space="preserve">also </w:t>
      </w:r>
      <w:r>
        <w:t xml:space="preserve">expected to diminish further </w:t>
      </w:r>
      <w:r w:rsidR="00BE6161">
        <w:t>as</w:t>
      </w:r>
      <w:r>
        <w:t xml:space="preserve"> LED lighting emerging as a viable cost effective alternative - possibly leading to a market decline from 7% to below 5% in 2020.</w:t>
      </w:r>
    </w:p>
    <w:p w:rsidR="009221D0" w:rsidRDefault="009221D0" w:rsidP="00F1452F">
      <w:pPr>
        <w:pStyle w:val="E3BodyText"/>
        <w:numPr>
          <w:ilvl w:val="0"/>
          <w:numId w:val="35"/>
        </w:numPr>
      </w:pPr>
      <w:r>
        <w:t xml:space="preserve">ELV halogen numbers </w:t>
      </w:r>
      <w:r w:rsidR="00BE6161">
        <w:t xml:space="preserve">are </w:t>
      </w:r>
      <w:r>
        <w:t>expected to diminish further than McKinsey prediction, due to LED lighting emerging as a viable cost effective alternative - possibly leading to a market decline from 7% to below 5% in 2020. Replacement of ELV halogen lamps with LED retrofit models are currently constrained in part by low voltage converted compatibility issues.</w:t>
      </w:r>
    </w:p>
    <w:p w:rsidR="00BE6161" w:rsidRDefault="009221D0" w:rsidP="009221D0">
      <w:pPr>
        <w:pStyle w:val="E3BodyText"/>
      </w:pPr>
      <w:r>
        <w:t xml:space="preserve">The projections </w:t>
      </w:r>
      <w:r w:rsidR="00CF2B77">
        <w:t xml:space="preserve">in </w:t>
      </w:r>
      <w:r w:rsidR="00CF2B77">
        <w:fldChar w:fldCharType="begin"/>
      </w:r>
      <w:r w:rsidR="00CF2B77">
        <w:instrText xml:space="preserve"> REF _Ref424675457 \h </w:instrText>
      </w:r>
      <w:r w:rsidR="00CF2B77">
        <w:fldChar w:fldCharType="separate"/>
      </w:r>
      <w:r w:rsidR="002C13E2">
        <w:t xml:space="preserve">Figure </w:t>
      </w:r>
      <w:r w:rsidR="002C13E2">
        <w:rPr>
          <w:noProof/>
        </w:rPr>
        <w:t>29</w:t>
      </w:r>
      <w:r w:rsidR="00CF2B77">
        <w:fldChar w:fldCharType="end"/>
      </w:r>
      <w:r w:rsidR="00CF2B77">
        <w:t xml:space="preserve"> and </w:t>
      </w:r>
      <w:r w:rsidR="00CF2B77">
        <w:fldChar w:fldCharType="begin"/>
      </w:r>
      <w:r w:rsidR="00CF2B77">
        <w:instrText xml:space="preserve"> REF _Ref424675462 \h </w:instrText>
      </w:r>
      <w:r w:rsidR="00CF2B77">
        <w:fldChar w:fldCharType="separate"/>
      </w:r>
      <w:r w:rsidR="002C13E2">
        <w:t xml:space="preserve">Figure </w:t>
      </w:r>
      <w:r w:rsidR="002C13E2">
        <w:rPr>
          <w:noProof/>
        </w:rPr>
        <w:t>30</w:t>
      </w:r>
      <w:r w:rsidR="00CF2B77">
        <w:fldChar w:fldCharType="end"/>
      </w:r>
      <w:r w:rsidR="00CF2B77">
        <w:t xml:space="preserve"> </w:t>
      </w:r>
      <w:r>
        <w:t>do not take into account any further increase in MEPS requirements for incandescent lighting in Australia.</w:t>
      </w:r>
      <w:r w:rsidR="00100A46">
        <w:t xml:space="preserve"> </w:t>
      </w:r>
      <w:r>
        <w:t>The expected market share for LED lighting will in part be determined by how broad the consumer acceptance of the new technology becomes.  This will be driven by a number of factors including:</w:t>
      </w:r>
    </w:p>
    <w:p w:rsidR="00BE6161" w:rsidRDefault="009221D0" w:rsidP="00BE6161">
      <w:pPr>
        <w:pStyle w:val="E3Bullets"/>
      </w:pPr>
      <w:r>
        <w:t>consumer understanding of how LEDs may be selected and used to effectively replace current technology to deliver a comparable or improved lighting service;</w:t>
      </w:r>
    </w:p>
    <w:p w:rsidR="009221D0" w:rsidRDefault="009221D0" w:rsidP="00BE6161">
      <w:pPr>
        <w:pStyle w:val="E3Bullets"/>
      </w:pPr>
      <w:r>
        <w:t>consumer understanding of the overall comparative cost of each lighting technology;</w:t>
      </w:r>
    </w:p>
    <w:p w:rsidR="009221D0" w:rsidRDefault="009221D0" w:rsidP="00BE6161">
      <w:pPr>
        <w:pStyle w:val="E3Bullets"/>
      </w:pPr>
      <w:r>
        <w:t xml:space="preserve">confidence in the quality and reliability of the lighting service provided; and, </w:t>
      </w:r>
    </w:p>
    <w:p w:rsidR="009221D0" w:rsidRDefault="009221D0" w:rsidP="00BE6161">
      <w:pPr>
        <w:pStyle w:val="E3Bullets"/>
      </w:pPr>
      <w:r>
        <w:t xml:space="preserve">an understanding of the benefits of changing to more efficient and long life lighting technology at a higher up-front cost.  </w:t>
      </w:r>
    </w:p>
    <w:p w:rsidR="009221D0" w:rsidRDefault="009221D0" w:rsidP="009221D0">
      <w:pPr>
        <w:pStyle w:val="E3BodyText"/>
      </w:pPr>
      <w:r>
        <w:t>The current uptake of LED lighting may not automatically result in an overall market adoption of this technology if th</w:t>
      </w:r>
      <w:r w:rsidR="00BE6161">
        <w:t xml:space="preserve">ese factors are not addressed. </w:t>
      </w:r>
      <w:r>
        <w:t>Failure of LED lighting to be taken up by consumers would result in a less dramatic change to the lighting market and reduced opportunities for energy savings.</w:t>
      </w:r>
    </w:p>
    <w:p w:rsidR="00BB47F5" w:rsidRDefault="00182745" w:rsidP="009221D0">
      <w:pPr>
        <w:pStyle w:val="E3BodyText"/>
      </w:pPr>
      <w:r>
        <w:t>Further analysis of market trends with a residential lighting focus is available in chapter four of the Product Profile on Incandescent, Halogen and CFL Lamps (E3 2014).</w:t>
      </w:r>
    </w:p>
    <w:p w:rsidR="00AD2A5C" w:rsidRPr="003107D2" w:rsidRDefault="00AD2A5C" w:rsidP="00E96970">
      <w:pPr>
        <w:pStyle w:val="Heading2"/>
      </w:pPr>
      <w:bookmarkStart w:id="145" w:name="_Toc426387752"/>
      <w:r w:rsidRPr="003107D2">
        <w:lastRenderedPageBreak/>
        <w:t xml:space="preserve">New Zealand </w:t>
      </w:r>
      <w:r w:rsidR="00DB1FF8">
        <w:t>LED</w:t>
      </w:r>
      <w:r w:rsidRPr="003107D2">
        <w:t xml:space="preserve"> lighting market</w:t>
      </w:r>
      <w:bookmarkEnd w:id="138"/>
      <w:bookmarkEnd w:id="145"/>
    </w:p>
    <w:p w:rsidR="00DB1FF8" w:rsidRDefault="00DB1FF8" w:rsidP="00E96970">
      <w:pPr>
        <w:pStyle w:val="Heading3"/>
      </w:pPr>
      <w:bookmarkStart w:id="146" w:name="_Toc426387753"/>
      <w:r w:rsidRPr="003107D2">
        <w:t>Stock and sales</w:t>
      </w:r>
      <w:bookmarkEnd w:id="146"/>
    </w:p>
    <w:p w:rsidR="008B64C2" w:rsidRDefault="008B64C2" w:rsidP="008B64C2">
      <w:r>
        <w:t xml:space="preserve">In 2011-2012, EECA and IPSOS surveyed 149 New Zealand homes.  This was a comprehensive in-home survey of residential lighting in New Zealand, complemented by a survey to understand demographics and behaviour.  The study comprised an in-home visual survey by trained personnel, as well as paper-based survey.  This was an update of an EECA survey on lighting undertaken in 2009. </w:t>
      </w:r>
    </w:p>
    <w:p w:rsidR="008B64C2" w:rsidRDefault="008B64C2" w:rsidP="008B64C2">
      <w:r>
        <w:t xml:space="preserve">The study found an average of 34.5 lamps per New Zealand home, of which 9.5 were efficient types, and 25 inefficient types.  On average 8.3 lamps were CFLs (an increase of 38% since 2009) and 1 fitting was fluorescent. 19.7 GLS incandescent lamps and 3.5 halogen lamps were present.  On average, LEDs were less than 1% of total lamps found.  A breakdown of lamp types found can be seen in </w:t>
      </w:r>
      <w:r w:rsidR="00B525E0">
        <w:fldChar w:fldCharType="begin"/>
      </w:r>
      <w:r>
        <w:instrText xml:space="preserve"> REF _Ref424565925 \h </w:instrText>
      </w:r>
      <w:r w:rsidR="00B525E0">
        <w:fldChar w:fldCharType="separate"/>
      </w:r>
      <w:r w:rsidR="002C13E2">
        <w:t xml:space="preserve">Figure </w:t>
      </w:r>
      <w:r w:rsidR="002C13E2">
        <w:rPr>
          <w:noProof/>
        </w:rPr>
        <w:t>31</w:t>
      </w:r>
      <w:r w:rsidR="00B525E0">
        <w:fldChar w:fldCharType="end"/>
      </w:r>
      <w:r>
        <w:t>.</w:t>
      </w:r>
    </w:p>
    <w:p w:rsidR="008B64C2" w:rsidRDefault="008B64C2" w:rsidP="008B64C2">
      <w:pPr>
        <w:pStyle w:val="E3BodyText"/>
        <w:keepNext/>
        <w:jc w:val="center"/>
      </w:pPr>
      <w:r>
        <w:rPr>
          <w:noProof/>
          <w:lang w:eastAsia="en-AU"/>
        </w:rPr>
        <w:drawing>
          <wp:inline distT="0" distB="0" distL="0" distR="0" wp14:anchorId="4A628BDD" wp14:editId="419C6F7B">
            <wp:extent cx="3308198" cy="2905125"/>
            <wp:effectExtent l="0" t="0" r="6985" b="0"/>
            <wp:docPr id="75" name="Picture 75" descr="Pie Graph&#10;&#10;MV incandescent 81.3% &#10;LED 0.1%&#10;Linear fluorescent 2.1%&#10;CFL 6.4%&#10;ELV halogen 6%&#10;MV halo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7">
                      <a:extLst>
                        <a:ext uri="{28A0092B-C50C-407E-A947-70E740481C1C}">
                          <a14:useLocalDpi xmlns:a14="http://schemas.microsoft.com/office/drawing/2010/main" val="0"/>
                        </a:ext>
                      </a:extLst>
                    </a:blip>
                    <a:srcRect l="2021" r="6397" b="5865"/>
                    <a:stretch/>
                  </pic:blipFill>
                  <pic:spPr bwMode="auto">
                    <a:xfrm>
                      <a:off x="0" y="0"/>
                      <a:ext cx="3321375" cy="2916696"/>
                    </a:xfrm>
                    <a:prstGeom prst="rect">
                      <a:avLst/>
                    </a:prstGeom>
                    <a:noFill/>
                    <a:ln>
                      <a:noFill/>
                    </a:ln>
                    <a:extLst>
                      <a:ext uri="{53640926-AAD7-44D8-BBD7-CCE9431645EC}">
                        <a14:shadowObscured xmlns:a14="http://schemas.microsoft.com/office/drawing/2010/main"/>
                      </a:ext>
                    </a:extLst>
                  </pic:spPr>
                </pic:pic>
              </a:graphicData>
            </a:graphic>
          </wp:inline>
        </w:drawing>
      </w:r>
    </w:p>
    <w:p w:rsidR="008B64C2" w:rsidRDefault="008B64C2" w:rsidP="008B64C2">
      <w:pPr>
        <w:pStyle w:val="Caption"/>
      </w:pPr>
      <w:bookmarkStart w:id="147" w:name="_Ref424565925"/>
      <w:bookmarkStart w:id="148" w:name="_Toc426387870"/>
      <w:r>
        <w:t xml:space="preserve">Figure </w:t>
      </w:r>
      <w:r w:rsidR="00B525E0">
        <w:fldChar w:fldCharType="begin"/>
      </w:r>
      <w:r>
        <w:instrText xml:space="preserve"> SEQ Figure \* ARABIC </w:instrText>
      </w:r>
      <w:r w:rsidR="00B525E0">
        <w:fldChar w:fldCharType="separate"/>
      </w:r>
      <w:r w:rsidR="002C13E2">
        <w:rPr>
          <w:noProof/>
        </w:rPr>
        <w:t>31</w:t>
      </w:r>
      <w:r w:rsidR="00B525E0">
        <w:fldChar w:fldCharType="end"/>
      </w:r>
      <w:bookmarkEnd w:id="147"/>
      <w:r>
        <w:t>.</w:t>
      </w:r>
      <w:r w:rsidR="00100A46">
        <w:t xml:space="preserve"> </w:t>
      </w:r>
      <w:r>
        <w:t>Lamp</w:t>
      </w:r>
      <w:r w:rsidR="00100A46">
        <w:t xml:space="preserve"> </w:t>
      </w:r>
      <w:r>
        <w:t>technology breakdown in the average residential house in New Zealand.</w:t>
      </w:r>
      <w:r w:rsidR="00932ABE">
        <w:t xml:space="preserve"> </w:t>
      </w:r>
      <w:r>
        <w:t>Data from the EECA/IPSOS Lighting Report 2012 (survey).</w:t>
      </w:r>
      <w:bookmarkEnd w:id="148"/>
    </w:p>
    <w:p w:rsidR="008B64C2" w:rsidRDefault="008B64C2" w:rsidP="00FB12B8"/>
    <w:p w:rsidR="008C6531" w:rsidRDefault="008C6531" w:rsidP="00FB12B8">
      <w:r>
        <w:t>Imports of lamps into New Zealand is considered a good proxy for lamp sales, however sales and import statistics can be inconsistent as warehouse inventory will fluctuate over time. The categorisation of lamps that are imported into New Zealand is not clearly detailed, which creates some complication in identifying lamps and their prospective install location, whether it be residential or commercial/</w:t>
      </w:r>
      <w:r w:rsidR="00A668A6">
        <w:t>industrial.</w:t>
      </w:r>
    </w:p>
    <w:p w:rsidR="005E46A9" w:rsidRDefault="003C0775" w:rsidP="00FB12B8">
      <w:r>
        <w:t xml:space="preserve">Similar to Australia, </w:t>
      </w:r>
      <w:r w:rsidR="005E46A9">
        <w:t xml:space="preserve">lamp importation records provide information on all major residential lamp types with the exception of LED lamp technologies. In categorisation of the lamps, ‘halogen’ lamps include mains and extra low voltage models; ‘other filament’ may incorporate incandescent, halogen and/or carbon filament types; ‘fluorescent’ is expected to contain both linear and compact fluorescent (CFLi, CFLn) lamp types. </w:t>
      </w:r>
    </w:p>
    <w:p w:rsidR="003C0775" w:rsidRDefault="00B525E0" w:rsidP="00FB12B8">
      <w:r>
        <w:fldChar w:fldCharType="begin"/>
      </w:r>
      <w:r w:rsidR="00E52202">
        <w:instrText xml:space="preserve"> REF _Ref424207339 \h </w:instrText>
      </w:r>
      <w:r>
        <w:fldChar w:fldCharType="separate"/>
      </w:r>
      <w:r w:rsidR="002C13E2">
        <w:t xml:space="preserve">Figure </w:t>
      </w:r>
      <w:r w:rsidR="002C13E2">
        <w:rPr>
          <w:noProof/>
        </w:rPr>
        <w:t>32</w:t>
      </w:r>
      <w:r>
        <w:fldChar w:fldCharType="end"/>
      </w:r>
      <w:r w:rsidR="00E52202">
        <w:t xml:space="preserve"> illustrates imports of lamps into New Zealand between 2002 and 2013. </w:t>
      </w:r>
      <w:r w:rsidR="005E46A9">
        <w:t>From the data it can be seen that in recent years there has been a reduction in import numbers mains voltage incandescent and ‘other filament’ lamps, and an increase in imports of halogen and fluorescent lamps. Imports of HID and other discharge lamps</w:t>
      </w:r>
      <w:r w:rsidR="00E52202">
        <w:t xml:space="preserve"> into New Zealand</w:t>
      </w:r>
      <w:r w:rsidR="005E46A9">
        <w:t xml:space="preserve"> are relatively low compared to other lamp types, and the numbers appear to increase on a 3-5 year cycle.</w:t>
      </w:r>
    </w:p>
    <w:p w:rsidR="003B107A" w:rsidRDefault="003B107A" w:rsidP="00FB12B8">
      <w:r>
        <w:t>In the absence of import data sales of LED are difficult to predict, however according to EECA t</w:t>
      </w:r>
      <w:r w:rsidRPr="005E7BCF">
        <w:t>here are low supermarket sales of LED</w:t>
      </w:r>
      <w:r>
        <w:t xml:space="preserve"> lamps while there has been a significant uptake of CFL products</w:t>
      </w:r>
      <w:r w:rsidRPr="005E7BCF">
        <w:t xml:space="preserve">.  More </w:t>
      </w:r>
      <w:r w:rsidR="00603AFB" w:rsidRPr="005E7BCF">
        <w:t>information would</w:t>
      </w:r>
      <w:r w:rsidR="00F21835">
        <w:t xml:space="preserve"> enable</w:t>
      </w:r>
      <w:r w:rsidRPr="005E7BCF">
        <w:t xml:space="preserve"> NZ to make a </w:t>
      </w:r>
      <w:r w:rsidR="00F21835">
        <w:t xml:space="preserve">better informed </w:t>
      </w:r>
      <w:r w:rsidRPr="005E7BCF">
        <w:t>case for MEPS</w:t>
      </w:r>
      <w:r>
        <w:t>.</w:t>
      </w:r>
    </w:p>
    <w:p w:rsidR="003C0775" w:rsidRDefault="003C0775" w:rsidP="00ED0D5B">
      <w:pPr>
        <w:keepNext/>
      </w:pPr>
      <w:r>
        <w:rPr>
          <w:noProof/>
          <w:lang w:eastAsia="en-AU"/>
        </w:rPr>
        <w:lastRenderedPageBreak/>
        <w:drawing>
          <wp:inline distT="0" distB="0" distL="0" distR="0" wp14:anchorId="296DA57D" wp14:editId="6E728426">
            <wp:extent cx="4992566" cy="3311803"/>
            <wp:effectExtent l="0" t="0" r="0" b="3175"/>
            <wp:docPr id="58" name="Picture 58" descr="Line graph displaying New Zealand lamp imports (millions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 lamp imports 2002-2013.png"/>
                    <pic:cNvPicPr/>
                  </pic:nvPicPr>
                  <pic:blipFill>
                    <a:blip r:embed="rId88">
                      <a:extLst>
                        <a:ext uri="{28A0092B-C50C-407E-A947-70E740481C1C}">
                          <a14:useLocalDpi xmlns:a14="http://schemas.microsoft.com/office/drawing/2010/main" val="0"/>
                        </a:ext>
                      </a:extLst>
                    </a:blip>
                    <a:stretch>
                      <a:fillRect/>
                    </a:stretch>
                  </pic:blipFill>
                  <pic:spPr>
                    <a:xfrm>
                      <a:off x="0" y="0"/>
                      <a:ext cx="4998470" cy="3315719"/>
                    </a:xfrm>
                    <a:prstGeom prst="rect">
                      <a:avLst/>
                    </a:prstGeom>
                  </pic:spPr>
                </pic:pic>
              </a:graphicData>
            </a:graphic>
          </wp:inline>
        </w:drawing>
      </w:r>
    </w:p>
    <w:p w:rsidR="003C0775" w:rsidRDefault="003C0775" w:rsidP="00ED0D5B">
      <w:pPr>
        <w:pStyle w:val="Caption"/>
      </w:pPr>
      <w:bookmarkStart w:id="149" w:name="_Ref424207339"/>
      <w:bookmarkStart w:id="150" w:name="_Toc426387871"/>
      <w:r>
        <w:t xml:space="preserve">Figure </w:t>
      </w:r>
      <w:r w:rsidR="00B525E0">
        <w:fldChar w:fldCharType="begin"/>
      </w:r>
      <w:r>
        <w:instrText xml:space="preserve"> SEQ Figure \* ARABIC </w:instrText>
      </w:r>
      <w:r w:rsidR="00B525E0">
        <w:fldChar w:fldCharType="separate"/>
      </w:r>
      <w:r w:rsidR="002C13E2">
        <w:rPr>
          <w:noProof/>
        </w:rPr>
        <w:t>32</w:t>
      </w:r>
      <w:r w:rsidR="00B525E0">
        <w:fldChar w:fldCharType="end"/>
      </w:r>
      <w:bookmarkEnd w:id="149"/>
      <w:r>
        <w:t>. Imports of lamps, from Statistics New Zealand import data.</w:t>
      </w:r>
      <w:bookmarkEnd w:id="150"/>
    </w:p>
    <w:p w:rsidR="00DB1FF8" w:rsidRPr="00ED0D5B" w:rsidRDefault="00DB1FF8" w:rsidP="008B64C2">
      <w:pPr>
        <w:pStyle w:val="E3Bullets"/>
        <w:numPr>
          <w:ilvl w:val="0"/>
          <w:numId w:val="0"/>
        </w:numPr>
        <w:rPr>
          <w:highlight w:val="yellow"/>
        </w:rPr>
      </w:pPr>
    </w:p>
    <w:p w:rsidR="00DB1FF8" w:rsidRDefault="00DB1FF8" w:rsidP="00E96970">
      <w:pPr>
        <w:pStyle w:val="Heading3"/>
      </w:pPr>
      <w:bookmarkStart w:id="151" w:name="_Toc426387754"/>
      <w:r w:rsidRPr="003107D2">
        <w:t>Projected trends</w:t>
      </w:r>
      <w:bookmarkEnd w:id="151"/>
    </w:p>
    <w:p w:rsidR="000A0A93" w:rsidRDefault="0047468F" w:rsidP="00FD6E97">
      <w:pPr>
        <w:pStyle w:val="E3Bullets"/>
        <w:numPr>
          <w:ilvl w:val="0"/>
          <w:numId w:val="0"/>
        </w:numPr>
      </w:pPr>
      <w:r w:rsidRPr="009221D0">
        <w:t xml:space="preserve">The projection of lamp growth </w:t>
      </w:r>
      <w:r>
        <w:t xml:space="preserve">in the New Zealand commercial sector as </w:t>
      </w:r>
      <w:r w:rsidRPr="009221D0">
        <w:t xml:space="preserve">shown in </w:t>
      </w:r>
      <w:r w:rsidR="008474B3">
        <w:fldChar w:fldCharType="begin"/>
      </w:r>
      <w:r w:rsidR="008474B3">
        <w:instrText xml:space="preserve"> REF _Ref424677041 \h </w:instrText>
      </w:r>
      <w:r w:rsidR="008474B3">
        <w:fldChar w:fldCharType="separate"/>
      </w:r>
      <w:r w:rsidR="002C13E2">
        <w:t xml:space="preserve">Figure </w:t>
      </w:r>
      <w:r w:rsidR="002C13E2">
        <w:rPr>
          <w:noProof/>
        </w:rPr>
        <w:t>33</w:t>
      </w:r>
      <w:r w:rsidR="008474B3">
        <w:fldChar w:fldCharType="end"/>
      </w:r>
      <w:r w:rsidR="008474B3">
        <w:t xml:space="preserve"> </w:t>
      </w:r>
      <w:r w:rsidRPr="009221D0">
        <w:t xml:space="preserve">is that the market will grow at a rate of approximately </w:t>
      </w:r>
      <w:r>
        <w:t>9</w:t>
      </w:r>
      <w:r w:rsidRPr="009221D0">
        <w:t>% until 20</w:t>
      </w:r>
      <w:r>
        <w:t>20</w:t>
      </w:r>
      <w:r w:rsidRPr="009221D0">
        <w:t xml:space="preserve">, and thereafter will grow at approximately </w:t>
      </w:r>
      <w:r>
        <w:t>4</w:t>
      </w:r>
      <w:r w:rsidRPr="009221D0">
        <w:t xml:space="preserve">%. </w:t>
      </w:r>
      <w:r>
        <w:t>Lamp stock in 2014 is estimated to be 8.7 million units, growing by 2030 to 25.7 million, in line with growth esti</w:t>
      </w:r>
      <w:r w:rsidR="00A668A6">
        <w:t>mates of the commercial sector.</w:t>
      </w:r>
    </w:p>
    <w:p w:rsidR="00752DB2" w:rsidRDefault="00752DB2" w:rsidP="00752DB2">
      <w:pPr>
        <w:keepNext/>
      </w:pPr>
      <w:r>
        <w:rPr>
          <w:noProof/>
          <w:lang w:eastAsia="en-AU"/>
        </w:rPr>
        <w:drawing>
          <wp:inline distT="0" distB="0" distL="0" distR="0" wp14:anchorId="3A449A8B" wp14:editId="74E9A02F">
            <wp:extent cx="4994031" cy="3232372"/>
            <wp:effectExtent l="0" t="0" r="0" b="6350"/>
            <wp:docPr id="102" name="Picture 102" descr="Line graph displaying New Zealand projected installed commercial lamp stock 2010 - 2030.&#10;&#10;LED stock increases from $10M - $23M from 2010-2030.&#10;&#10;Incandescent from $10m - $3m&#10;LFL from $6M - $2m&#10;&#10;Halogen, HID and CFL to $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90600" cy="3230151"/>
                    </a:xfrm>
                    <a:prstGeom prst="rect">
                      <a:avLst/>
                    </a:prstGeom>
                    <a:noFill/>
                  </pic:spPr>
                </pic:pic>
              </a:graphicData>
            </a:graphic>
          </wp:inline>
        </w:drawing>
      </w:r>
    </w:p>
    <w:p w:rsidR="00AD3B67" w:rsidRPr="003107D2" w:rsidRDefault="00752DB2" w:rsidP="00752DB2">
      <w:pPr>
        <w:pStyle w:val="Caption"/>
      </w:pPr>
      <w:bookmarkStart w:id="152" w:name="_Ref424677041"/>
      <w:bookmarkStart w:id="153" w:name="_Toc426387872"/>
      <w:r>
        <w:t xml:space="preserve">Figure </w:t>
      </w:r>
      <w:r w:rsidR="00B525E0">
        <w:fldChar w:fldCharType="begin"/>
      </w:r>
      <w:r>
        <w:instrText xml:space="preserve"> SEQ Figure \* ARABIC </w:instrText>
      </w:r>
      <w:r w:rsidR="00B525E0">
        <w:fldChar w:fldCharType="separate"/>
      </w:r>
      <w:r w:rsidR="002C13E2">
        <w:rPr>
          <w:noProof/>
        </w:rPr>
        <w:t>33</w:t>
      </w:r>
      <w:r w:rsidR="00B525E0">
        <w:fldChar w:fldCharType="end"/>
      </w:r>
      <w:bookmarkEnd w:id="152"/>
      <w:r>
        <w:t xml:space="preserve">. Projected installed </w:t>
      </w:r>
      <w:r w:rsidR="001A3AE7">
        <w:t>commercial lighting stock in New Zealand, 2010 to 2030 (E3 2015).</w:t>
      </w:r>
      <w:bookmarkEnd w:id="153"/>
    </w:p>
    <w:p w:rsidR="0047468F" w:rsidRDefault="0047468F" w:rsidP="0047468F">
      <w:pPr>
        <w:pStyle w:val="E3Bullets"/>
        <w:numPr>
          <w:ilvl w:val="0"/>
          <w:numId w:val="0"/>
        </w:numPr>
      </w:pPr>
      <w:r>
        <w:br/>
        <w:t>In the residential sector, it is expected that market growth with remain fairly consistent with housing growth at a rate of 1.3%, with 2014 numbers given at 1.7 million, projected to be 2.1 million in 2030 (E3 2014).</w:t>
      </w:r>
    </w:p>
    <w:p w:rsidR="00D201EC" w:rsidRPr="003107D2" w:rsidRDefault="00ED0D5B" w:rsidP="00AD3B67">
      <w:pPr>
        <w:sectPr w:rsidR="00D201EC" w:rsidRPr="003107D2" w:rsidSect="00AD2A5C">
          <w:headerReference w:type="default" r:id="rId90"/>
          <w:pgSz w:w="11907" w:h="16840" w:code="9"/>
          <w:pgMar w:top="1134" w:right="1134" w:bottom="1418" w:left="1134" w:header="142" w:footer="709" w:gutter="0"/>
          <w:cols w:space="720"/>
          <w:titlePg/>
          <w:docGrid w:linePitch="360"/>
        </w:sectPr>
      </w:pPr>
      <w:r>
        <w:t>The N</w:t>
      </w:r>
      <w:r w:rsidR="00D201EC">
        <w:t>ew Zealand lighting industry is invited to provide input.</w:t>
      </w:r>
    </w:p>
    <w:p w:rsidR="00631365" w:rsidRDefault="00631365" w:rsidP="00631365">
      <w:pPr>
        <w:pStyle w:val="Heading1"/>
      </w:pPr>
      <w:bookmarkStart w:id="154" w:name="_Toc426387755"/>
      <w:bookmarkStart w:id="155" w:name="_Toc366162152"/>
      <w:r w:rsidRPr="003107D2">
        <w:lastRenderedPageBreak/>
        <w:t>Energy consumption and greenhouse gas emissions</w:t>
      </w:r>
      <w:bookmarkEnd w:id="154"/>
    </w:p>
    <w:p w:rsidR="00AD2A5C" w:rsidRDefault="00AD2A5C" w:rsidP="00631365">
      <w:pPr>
        <w:pStyle w:val="Heading2"/>
      </w:pPr>
      <w:bookmarkStart w:id="156" w:name="_Toc426387756"/>
      <w:r w:rsidRPr="003107D2">
        <w:t>Energy consumption</w:t>
      </w:r>
      <w:bookmarkEnd w:id="155"/>
      <w:bookmarkEnd w:id="156"/>
    </w:p>
    <w:p w:rsidR="00A51A11" w:rsidRDefault="00182745" w:rsidP="00A51A11">
      <w:pPr>
        <w:pStyle w:val="E3BodyText"/>
      </w:pPr>
      <w:r w:rsidRPr="0093605C">
        <w:t xml:space="preserve">Lamp efficacy is a measure of efficiency, in lumens of light </w:t>
      </w:r>
      <w:r>
        <w:t xml:space="preserve">output from a lamp </w:t>
      </w:r>
      <w:r w:rsidRPr="0093605C">
        <w:t>per Watt of electricity</w:t>
      </w:r>
      <w:r w:rsidR="00B330AD">
        <w:t xml:space="preserve"> consumed</w:t>
      </w:r>
      <w:r w:rsidRPr="0093605C">
        <w:t>.  In order of increasing efficacy, residential</w:t>
      </w:r>
      <w:r w:rsidR="00A51A11">
        <w:t>, commercial and industrial</w:t>
      </w:r>
      <w:r w:rsidR="00932ABE">
        <w:t xml:space="preserve"> </w:t>
      </w:r>
      <w:r w:rsidR="00A51A11" w:rsidRPr="0093605C">
        <w:t xml:space="preserve">lamps </w:t>
      </w:r>
      <w:r w:rsidRPr="0093605C">
        <w:t xml:space="preserve">are typically </w:t>
      </w:r>
      <w:r w:rsidR="00BF3456">
        <w:t xml:space="preserve">as presented in </w:t>
      </w:r>
      <w:r w:rsidR="00BF3456">
        <w:rPr>
          <w:highlight w:val="yellow"/>
        </w:rPr>
        <w:fldChar w:fldCharType="begin"/>
      </w:r>
      <w:r w:rsidR="00BF3456">
        <w:instrText xml:space="preserve"> REF _Ref425168065 \h </w:instrText>
      </w:r>
      <w:r w:rsidR="00BF3456">
        <w:rPr>
          <w:highlight w:val="yellow"/>
        </w:rPr>
      </w:r>
      <w:r w:rsidR="00BF3456">
        <w:rPr>
          <w:highlight w:val="yellow"/>
        </w:rPr>
        <w:fldChar w:fldCharType="separate"/>
      </w:r>
      <w:r w:rsidR="002C13E2">
        <w:t xml:space="preserve">Figure </w:t>
      </w:r>
      <w:r w:rsidR="002C13E2">
        <w:rPr>
          <w:noProof/>
        </w:rPr>
        <w:t>34</w:t>
      </w:r>
      <w:r w:rsidR="00BF3456">
        <w:rPr>
          <w:highlight w:val="yellow"/>
        </w:rPr>
        <w:fldChar w:fldCharType="end"/>
      </w:r>
      <w:r w:rsidR="00BF3456">
        <w:t>.</w:t>
      </w:r>
    </w:p>
    <w:p w:rsidR="00A51A11" w:rsidRDefault="006540A8" w:rsidP="00A51A11">
      <w:pPr>
        <w:pStyle w:val="E3BodyText"/>
        <w:keepNext/>
        <w:jc w:val="center"/>
      </w:pPr>
      <w:r>
        <w:rPr>
          <w:noProof/>
          <w:lang w:eastAsia="en-AU"/>
        </w:rPr>
        <w:drawing>
          <wp:inline distT="0" distB="0" distL="0" distR="0" wp14:anchorId="41B3152C" wp14:editId="0E401A9F">
            <wp:extent cx="5735782" cy="4536915"/>
            <wp:effectExtent l="0" t="0" r="0" b="0"/>
            <wp:docPr id="24" name="Picture 24" descr="Graph displaying LAMP Efficacy of lamp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6507" cy="4537488"/>
                    </a:xfrm>
                    <a:prstGeom prst="rect">
                      <a:avLst/>
                    </a:prstGeom>
                    <a:noFill/>
                  </pic:spPr>
                </pic:pic>
              </a:graphicData>
            </a:graphic>
          </wp:inline>
        </w:drawing>
      </w:r>
    </w:p>
    <w:p w:rsidR="00A51A11" w:rsidRDefault="00A51A11" w:rsidP="00A51A11">
      <w:pPr>
        <w:pStyle w:val="Caption"/>
        <w:jc w:val="center"/>
      </w:pPr>
      <w:bookmarkStart w:id="157" w:name="_Ref425168065"/>
      <w:bookmarkStart w:id="158" w:name="_Toc426387873"/>
      <w:r>
        <w:t xml:space="preserve">Figure </w:t>
      </w:r>
      <w:r w:rsidR="00B525E0">
        <w:fldChar w:fldCharType="begin"/>
      </w:r>
      <w:r>
        <w:instrText xml:space="preserve"> SEQ Figure \* ARABIC </w:instrText>
      </w:r>
      <w:r w:rsidR="00B525E0">
        <w:fldChar w:fldCharType="separate"/>
      </w:r>
      <w:r w:rsidR="002C13E2">
        <w:rPr>
          <w:noProof/>
        </w:rPr>
        <w:t>34</w:t>
      </w:r>
      <w:r w:rsidR="00B525E0">
        <w:fldChar w:fldCharType="end"/>
      </w:r>
      <w:bookmarkEnd w:id="157"/>
      <w:r>
        <w:t xml:space="preserve"> Typical efficacies of lamp technologies in residential, commercial and industrial applications.</w:t>
      </w:r>
      <w:bookmarkEnd w:id="158"/>
    </w:p>
    <w:p w:rsidR="00A51A11" w:rsidRDefault="00A51A11" w:rsidP="00A51A11">
      <w:pPr>
        <w:pStyle w:val="E3BodyText"/>
      </w:pPr>
    </w:p>
    <w:p w:rsidR="00B52AC1" w:rsidRDefault="00B52AC1" w:rsidP="004F5F9F">
      <w:pPr>
        <w:pStyle w:val="E3BodyText"/>
        <w:rPr>
          <w:lang w:eastAsia="en-AU"/>
        </w:rPr>
      </w:pPr>
      <w:r w:rsidRPr="00B52AC1">
        <w:rPr>
          <w:lang w:eastAsia="en-AU"/>
        </w:rPr>
        <w:t>E</w:t>
      </w:r>
      <w:r>
        <w:rPr>
          <w:lang w:eastAsia="en-AU"/>
        </w:rPr>
        <w:t>nergy consumption by LED lamps would currently be a small p</w:t>
      </w:r>
      <w:r w:rsidR="000778C2">
        <w:rPr>
          <w:lang w:eastAsia="en-AU"/>
        </w:rPr>
        <w:t>ercentage</w:t>
      </w:r>
      <w:r>
        <w:rPr>
          <w:lang w:eastAsia="en-AU"/>
        </w:rPr>
        <w:t xml:space="preserve"> of overall lighting energy use, and the efficacy of LED lighting is expected to continue to improve over the next several years</w:t>
      </w:r>
      <w:r w:rsidR="000778C2">
        <w:rPr>
          <w:lang w:eastAsia="en-AU"/>
        </w:rPr>
        <w:t>.  The primary opportunity in achieving energy savings with LED lighting technology is through the replacement of less efficient techno</w:t>
      </w:r>
      <w:r w:rsidR="00A668A6">
        <w:rPr>
          <w:lang w:eastAsia="en-AU"/>
        </w:rPr>
        <w:t xml:space="preserve">logies with LED lighting. </w:t>
      </w:r>
      <w:r w:rsidR="000778C2">
        <w:rPr>
          <w:lang w:eastAsia="en-AU"/>
        </w:rPr>
        <w:t>Continued savings could also be made by removing poorer performing LED lighting from the market as the technology improves.</w:t>
      </w:r>
    </w:p>
    <w:p w:rsidR="00182745" w:rsidRDefault="00FC366A" w:rsidP="004F5F9F">
      <w:pPr>
        <w:pStyle w:val="E3BodyText"/>
      </w:pPr>
      <w:r>
        <w:t>A</w:t>
      </w:r>
      <w:r w:rsidRPr="0093605C">
        <w:t xml:space="preserve">nnual residential lighting </w:t>
      </w:r>
      <w:r>
        <w:t>energy consumption is estimated</w:t>
      </w:r>
      <w:r w:rsidRPr="0093605C">
        <w:t xml:space="preserve"> at around 11 TWh (40 PJ) for Australia and 1.7 TWh (6 PJ) for New Zealand</w:t>
      </w:r>
      <w:r>
        <w:t xml:space="preserve"> (E3 2014)</w:t>
      </w:r>
      <w:r w:rsidR="00A668A6">
        <w:t>.</w:t>
      </w:r>
      <w:r w:rsidRPr="0093605C">
        <w:t xml:space="preserve"> </w:t>
      </w:r>
      <w:r w:rsidR="00A11495">
        <w:t>R</w:t>
      </w:r>
      <w:r w:rsidR="00C67E3E">
        <w:t xml:space="preserve">esidential lighting is </w:t>
      </w:r>
      <w:r w:rsidR="00C67E3E" w:rsidRPr="00C67E3E">
        <w:t>around 5% of total national electricity consumption</w:t>
      </w:r>
      <w:r w:rsidRPr="0093605C">
        <w:t>.</w:t>
      </w:r>
    </w:p>
    <w:p w:rsidR="00C25E06" w:rsidRDefault="00C072D1" w:rsidP="004F5F9F">
      <w:pPr>
        <w:pStyle w:val="E3BodyText"/>
      </w:pPr>
      <w:r>
        <w:rPr>
          <w:noProof/>
          <w:lang w:eastAsia="en-AU"/>
        </w:rPr>
        <w:lastRenderedPageBreak/>
        <w:drawing>
          <wp:inline distT="0" distB="0" distL="0" distR="0" wp14:anchorId="4C49ECE0" wp14:editId="4B11202C">
            <wp:extent cx="5773420" cy="3291840"/>
            <wp:effectExtent l="0" t="0" r="0" b="3810"/>
            <wp:docPr id="317" name="Picture 8" descr="Line Graph displaying Australia Residential  Lighting Energy (PJ p.a) From 2010 -2030 lighting energy consumpion reduces from 34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srcRect/>
                    <a:stretch>
                      <a:fillRect/>
                    </a:stretch>
                  </pic:blipFill>
                  <pic:spPr bwMode="auto">
                    <a:xfrm>
                      <a:off x="0" y="0"/>
                      <a:ext cx="5773420" cy="3291840"/>
                    </a:xfrm>
                    <a:prstGeom prst="rect">
                      <a:avLst/>
                    </a:prstGeom>
                    <a:noFill/>
                  </pic:spPr>
                </pic:pic>
              </a:graphicData>
            </a:graphic>
          </wp:inline>
        </w:drawing>
      </w:r>
    </w:p>
    <w:p w:rsidR="00E52D5C" w:rsidRDefault="00804C46" w:rsidP="00AF666D">
      <w:pPr>
        <w:pStyle w:val="Caption"/>
      </w:pPr>
      <w:bookmarkStart w:id="159" w:name="_Ref373251207"/>
      <w:bookmarkStart w:id="160" w:name="_Toc426387874"/>
      <w:r>
        <w:t xml:space="preserve">Figure </w:t>
      </w:r>
      <w:r w:rsidR="00B525E0" w:rsidRPr="004A0973">
        <w:fldChar w:fldCharType="begin"/>
      </w:r>
      <w:r w:rsidR="00E52D5C" w:rsidRPr="004A0973">
        <w:instrText xml:space="preserve"> SEQ Figure \* ARABIC </w:instrText>
      </w:r>
      <w:r w:rsidR="00B525E0" w:rsidRPr="004A0973">
        <w:fldChar w:fldCharType="separate"/>
      </w:r>
      <w:r w:rsidR="002C13E2">
        <w:rPr>
          <w:noProof/>
        </w:rPr>
        <w:t>35</w:t>
      </w:r>
      <w:r w:rsidR="00B525E0" w:rsidRPr="004A0973">
        <w:fldChar w:fldCharType="end"/>
      </w:r>
      <w:bookmarkEnd w:id="159"/>
      <w:r w:rsidR="00E52D5C" w:rsidRPr="004A0973">
        <w:t xml:space="preserve">. Estimated </w:t>
      </w:r>
      <w:r w:rsidR="00A40354" w:rsidRPr="004A0973">
        <w:t xml:space="preserve">Australian </w:t>
      </w:r>
      <w:r w:rsidR="00E52D5C" w:rsidRPr="004A0973">
        <w:t xml:space="preserve">residential </w:t>
      </w:r>
      <w:r w:rsidR="009A1CBE" w:rsidRPr="004A0973">
        <w:t>l</w:t>
      </w:r>
      <w:r w:rsidR="00E52D5C" w:rsidRPr="004A0973">
        <w:t>ighting energy consumption to 20</w:t>
      </w:r>
      <w:r w:rsidR="009A1CBE" w:rsidRPr="004A0973">
        <w:t>3</w:t>
      </w:r>
      <w:r w:rsidR="00E52D5C" w:rsidRPr="004A0973">
        <w:t>0</w:t>
      </w:r>
      <w:bookmarkEnd w:id="160"/>
    </w:p>
    <w:p w:rsidR="00C072D1" w:rsidRDefault="00C072D1" w:rsidP="00C072D1">
      <w:pPr>
        <w:pStyle w:val="E3Figuretitles"/>
        <w:keepNext/>
      </w:pPr>
      <w:r>
        <w:rPr>
          <w:noProof/>
          <w:lang w:val="en-AU" w:eastAsia="en-AU"/>
        </w:rPr>
        <w:drawing>
          <wp:inline distT="0" distB="0" distL="0" distR="0" wp14:anchorId="6B0C06CE" wp14:editId="476E1056">
            <wp:extent cx="5773420" cy="3066415"/>
            <wp:effectExtent l="0" t="0" r="0" b="635"/>
            <wp:docPr id="71" name="Picture 9" descr="Line Graph displaying Australia Commercial Lighting Energy (PJ p.a) From 2010 -2030 lighting energy consumpion reduces from 37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srcRect/>
                    <a:stretch>
                      <a:fillRect/>
                    </a:stretch>
                  </pic:blipFill>
                  <pic:spPr bwMode="auto">
                    <a:xfrm>
                      <a:off x="0" y="0"/>
                      <a:ext cx="5773420" cy="3066415"/>
                    </a:xfrm>
                    <a:prstGeom prst="rect">
                      <a:avLst/>
                    </a:prstGeom>
                    <a:noFill/>
                  </pic:spPr>
                </pic:pic>
              </a:graphicData>
            </a:graphic>
          </wp:inline>
        </w:drawing>
      </w:r>
    </w:p>
    <w:p w:rsidR="00E84626" w:rsidRDefault="00C072D1" w:rsidP="00E84626">
      <w:pPr>
        <w:pStyle w:val="Caption"/>
      </w:pPr>
      <w:bookmarkStart w:id="161" w:name="_Ref424678436"/>
      <w:bookmarkStart w:id="162" w:name="_Toc426387875"/>
      <w:r>
        <w:t xml:space="preserve">Figure </w:t>
      </w:r>
      <w:r w:rsidR="008A65AF">
        <w:fldChar w:fldCharType="begin"/>
      </w:r>
      <w:r w:rsidR="008A65AF">
        <w:instrText xml:space="preserve"> SEQ Figure \* ARABIC </w:instrText>
      </w:r>
      <w:r w:rsidR="008A65AF">
        <w:fldChar w:fldCharType="separate"/>
      </w:r>
      <w:r w:rsidR="002C13E2">
        <w:rPr>
          <w:noProof/>
        </w:rPr>
        <w:t>36</w:t>
      </w:r>
      <w:r w:rsidR="008A65AF">
        <w:rPr>
          <w:noProof/>
        </w:rPr>
        <w:fldChar w:fldCharType="end"/>
      </w:r>
      <w:bookmarkEnd w:id="161"/>
      <w:r>
        <w:t>. Esti</w:t>
      </w:r>
      <w:r w:rsidRPr="00291DDD">
        <w:t xml:space="preserve">mated Australian </w:t>
      </w:r>
      <w:r>
        <w:t xml:space="preserve">commercial </w:t>
      </w:r>
      <w:r w:rsidRPr="00291DDD">
        <w:t>lighting energy consumption to 2030</w:t>
      </w:r>
      <w:r>
        <w:t>.</w:t>
      </w:r>
      <w:bookmarkEnd w:id="162"/>
      <w:r>
        <w:t xml:space="preserve"> </w:t>
      </w:r>
    </w:p>
    <w:p w:rsidR="002805CF" w:rsidRDefault="002805CF" w:rsidP="002805CF">
      <w:pPr>
        <w:rPr>
          <w:lang w:eastAsia="en-AU"/>
        </w:rPr>
      </w:pPr>
      <w:r>
        <w:rPr>
          <w:lang w:eastAsia="en-AU"/>
        </w:rPr>
        <w:br/>
        <w:t>Estimated Australian residential lighting energy consumption is shown in</w:t>
      </w:r>
      <w:r w:rsidR="00AF666D">
        <w:rPr>
          <w:lang w:eastAsia="en-AU"/>
        </w:rPr>
        <w:t xml:space="preserve"> </w:t>
      </w:r>
      <w:r w:rsidR="00AF666D" w:rsidRPr="004A0973">
        <w:rPr>
          <w:lang w:eastAsia="en-AU"/>
        </w:rPr>
        <w:fldChar w:fldCharType="begin"/>
      </w:r>
      <w:r w:rsidR="00AF666D" w:rsidRPr="004A0973">
        <w:rPr>
          <w:lang w:eastAsia="en-AU"/>
        </w:rPr>
        <w:instrText xml:space="preserve"> REF _Ref373251207 \h </w:instrText>
      </w:r>
      <w:r w:rsidR="004A0973">
        <w:rPr>
          <w:lang w:eastAsia="en-AU"/>
        </w:rPr>
        <w:instrText xml:space="preserve"> \* MERGEFORMAT </w:instrText>
      </w:r>
      <w:r w:rsidR="00AF666D" w:rsidRPr="004A0973">
        <w:rPr>
          <w:lang w:eastAsia="en-AU"/>
        </w:rPr>
      </w:r>
      <w:r w:rsidR="00AF666D" w:rsidRPr="004A0973">
        <w:rPr>
          <w:lang w:eastAsia="en-AU"/>
        </w:rPr>
        <w:fldChar w:fldCharType="separate"/>
      </w:r>
      <w:r w:rsidR="002C13E2">
        <w:t xml:space="preserve">Figure </w:t>
      </w:r>
      <w:r w:rsidR="002C13E2">
        <w:rPr>
          <w:noProof/>
        </w:rPr>
        <w:t>35</w:t>
      </w:r>
      <w:r w:rsidR="00AF666D" w:rsidRPr="004A0973">
        <w:rPr>
          <w:lang w:eastAsia="en-AU"/>
        </w:rPr>
        <w:fldChar w:fldCharType="end"/>
      </w:r>
      <w:r w:rsidRPr="004A0973">
        <w:rPr>
          <w:lang w:eastAsia="en-AU"/>
        </w:rPr>
        <w:t>;</w:t>
      </w:r>
      <w:r>
        <w:rPr>
          <w:lang w:eastAsia="en-AU"/>
        </w:rPr>
        <w:t xml:space="preserve"> and for commercial lighting in </w:t>
      </w:r>
      <w:r>
        <w:rPr>
          <w:lang w:eastAsia="en-AU"/>
        </w:rPr>
        <w:fldChar w:fldCharType="begin"/>
      </w:r>
      <w:r>
        <w:rPr>
          <w:lang w:eastAsia="en-AU"/>
        </w:rPr>
        <w:instrText xml:space="preserve"> REF _Ref424678539 \h </w:instrText>
      </w:r>
      <w:r>
        <w:rPr>
          <w:lang w:eastAsia="en-AU"/>
        </w:rPr>
      </w:r>
      <w:r>
        <w:rPr>
          <w:lang w:eastAsia="en-AU"/>
        </w:rPr>
        <w:fldChar w:fldCharType="separate"/>
      </w:r>
      <w:r w:rsidR="002C13E2">
        <w:t xml:space="preserve">Figure </w:t>
      </w:r>
      <w:r w:rsidR="002C13E2">
        <w:rPr>
          <w:noProof/>
        </w:rPr>
        <w:t>37</w:t>
      </w:r>
      <w:r>
        <w:rPr>
          <w:lang w:eastAsia="en-AU"/>
        </w:rPr>
        <w:fldChar w:fldCharType="end"/>
      </w:r>
      <w:r w:rsidR="00A45490">
        <w:rPr>
          <w:lang w:eastAsia="en-AU"/>
        </w:rPr>
        <w:t xml:space="preserve">. </w:t>
      </w:r>
      <w:r w:rsidR="00BA371A">
        <w:rPr>
          <w:lang w:eastAsia="en-AU"/>
        </w:rPr>
        <w:t>Estimated r</w:t>
      </w:r>
      <w:r w:rsidR="00BA371A" w:rsidRPr="00BA371A">
        <w:rPr>
          <w:lang w:eastAsia="en-AU"/>
        </w:rPr>
        <w:t xml:space="preserve">esidential lighting energy consumption </w:t>
      </w:r>
      <w:r w:rsidR="00BA371A">
        <w:rPr>
          <w:lang w:eastAsia="en-AU"/>
        </w:rPr>
        <w:t xml:space="preserve">for New Zealand </w:t>
      </w:r>
      <w:r w:rsidR="00BA371A" w:rsidRPr="00BA371A">
        <w:rPr>
          <w:lang w:eastAsia="en-AU"/>
        </w:rPr>
        <w:t>is shown in</w:t>
      </w:r>
      <w:r w:rsidR="00AF666D">
        <w:rPr>
          <w:lang w:eastAsia="en-AU"/>
        </w:rPr>
        <w:t xml:space="preserve"> </w:t>
      </w:r>
      <w:r w:rsidR="00AF666D">
        <w:rPr>
          <w:highlight w:val="yellow"/>
          <w:lang w:eastAsia="en-AU"/>
        </w:rPr>
        <w:fldChar w:fldCharType="begin"/>
      </w:r>
      <w:r w:rsidR="00AF666D">
        <w:rPr>
          <w:lang w:eastAsia="en-AU"/>
        </w:rPr>
        <w:instrText xml:space="preserve"> REF _Ref424678539 \h </w:instrText>
      </w:r>
      <w:r w:rsidR="00AF666D">
        <w:rPr>
          <w:highlight w:val="yellow"/>
          <w:lang w:eastAsia="en-AU"/>
        </w:rPr>
      </w:r>
      <w:r w:rsidR="00AF666D">
        <w:rPr>
          <w:highlight w:val="yellow"/>
          <w:lang w:eastAsia="en-AU"/>
        </w:rPr>
        <w:fldChar w:fldCharType="separate"/>
      </w:r>
      <w:r w:rsidR="002C13E2">
        <w:t xml:space="preserve">Figure </w:t>
      </w:r>
      <w:r w:rsidR="002C13E2">
        <w:rPr>
          <w:noProof/>
        </w:rPr>
        <w:t>37</w:t>
      </w:r>
      <w:r w:rsidR="00AF666D">
        <w:rPr>
          <w:highlight w:val="yellow"/>
          <w:lang w:eastAsia="en-AU"/>
        </w:rPr>
        <w:fldChar w:fldCharType="end"/>
      </w:r>
      <w:r w:rsidR="00BA371A">
        <w:rPr>
          <w:lang w:eastAsia="en-AU"/>
        </w:rPr>
        <w:t>. I</w:t>
      </w:r>
      <w:r>
        <w:rPr>
          <w:lang w:eastAsia="en-AU"/>
        </w:rPr>
        <w:t xml:space="preserve">t is estimated that the </w:t>
      </w:r>
      <w:r w:rsidR="00BA371A">
        <w:rPr>
          <w:lang w:eastAsia="en-AU"/>
        </w:rPr>
        <w:t xml:space="preserve">New Zealand </w:t>
      </w:r>
      <w:r>
        <w:rPr>
          <w:lang w:eastAsia="en-AU"/>
        </w:rPr>
        <w:t>commercial sector consumes 8</w:t>
      </w:r>
      <w:r w:rsidR="00BA371A">
        <w:rPr>
          <w:lang w:eastAsia="en-AU"/>
        </w:rPr>
        <w:t xml:space="preserve">.9 PJ p.a. energy (Branz 2014) with projections currently not available. </w:t>
      </w:r>
      <w:r>
        <w:rPr>
          <w:lang w:eastAsia="en-AU"/>
        </w:rPr>
        <w:t xml:space="preserve">The total combined energy consumption for all lighting in Australia is currently 60 PJ p.a. and this value is projected to fall to 42 PJ p.a. by 2030.  This assumes that the technology mix of lamp types in commercial spaces will evolve as shown in the previous section, and as given </w:t>
      </w:r>
      <w:r w:rsidRPr="004A0973">
        <w:rPr>
          <w:lang w:eastAsia="en-AU"/>
        </w:rPr>
        <w:t xml:space="preserve">in </w:t>
      </w:r>
      <w:r w:rsidRPr="004A0973">
        <w:rPr>
          <w:lang w:eastAsia="en-AU"/>
        </w:rPr>
        <w:fldChar w:fldCharType="begin"/>
      </w:r>
      <w:r w:rsidRPr="004A0973">
        <w:rPr>
          <w:lang w:eastAsia="en-AU"/>
        </w:rPr>
        <w:instrText xml:space="preserve"> REF _Ref424649918 \h </w:instrText>
      </w:r>
      <w:r w:rsidR="004F3226" w:rsidRPr="004A0973">
        <w:rPr>
          <w:lang w:eastAsia="en-AU"/>
        </w:rPr>
        <w:instrText xml:space="preserve"> \* MERGEFORMAT </w:instrText>
      </w:r>
      <w:r w:rsidRPr="004A0973">
        <w:rPr>
          <w:lang w:eastAsia="en-AU"/>
        </w:rPr>
      </w:r>
      <w:r w:rsidRPr="004A0973">
        <w:rPr>
          <w:lang w:eastAsia="en-AU"/>
        </w:rPr>
        <w:fldChar w:fldCharType="separate"/>
      </w:r>
      <w:r w:rsidR="002C13E2">
        <w:t xml:space="preserve">Table </w:t>
      </w:r>
      <w:r w:rsidR="002C13E2">
        <w:rPr>
          <w:noProof/>
        </w:rPr>
        <w:t>8</w:t>
      </w:r>
      <w:r w:rsidRPr="004A0973">
        <w:rPr>
          <w:lang w:eastAsia="en-AU"/>
        </w:rPr>
        <w:fldChar w:fldCharType="end"/>
      </w:r>
      <w:r w:rsidR="004F3226" w:rsidRPr="004A0973">
        <w:rPr>
          <w:lang w:eastAsia="en-AU"/>
        </w:rPr>
        <w:t xml:space="preserve"> and 9</w:t>
      </w:r>
      <w:r w:rsidR="00BA371A" w:rsidRPr="004A0973">
        <w:rPr>
          <w:lang w:eastAsia="en-AU"/>
        </w:rPr>
        <w:t>,</w:t>
      </w:r>
      <w:r w:rsidR="00BA371A">
        <w:rPr>
          <w:lang w:eastAsia="en-AU"/>
        </w:rPr>
        <w:t xml:space="preserve"> without further regulatory intervention</w:t>
      </w:r>
      <w:r>
        <w:rPr>
          <w:lang w:eastAsia="en-AU"/>
        </w:rPr>
        <w:t xml:space="preserve">. </w:t>
      </w:r>
      <w:r w:rsidRPr="00082F24">
        <w:rPr>
          <w:lang w:eastAsia="en-AU"/>
        </w:rPr>
        <w:t xml:space="preserve"> </w:t>
      </w:r>
      <w:r>
        <w:rPr>
          <w:lang w:eastAsia="en-AU"/>
        </w:rPr>
        <w:t>This model also assumes that LED efficacies will improve by approximately 5 lm/W per year (on average), where current values are approximately 70-75 lm/W, and will rise to a hypothetical 150 lm/W by 2030.</w:t>
      </w:r>
    </w:p>
    <w:p w:rsidR="002805CF" w:rsidRPr="002805CF" w:rsidRDefault="002805CF" w:rsidP="002805CF"/>
    <w:p w:rsidR="00E84626" w:rsidRDefault="00E84626" w:rsidP="00E84626">
      <w:pPr>
        <w:keepNext/>
      </w:pPr>
      <w:r>
        <w:rPr>
          <w:noProof/>
          <w:lang w:eastAsia="en-AU"/>
        </w:rPr>
        <w:lastRenderedPageBreak/>
        <w:drawing>
          <wp:inline distT="0" distB="0" distL="0" distR="0" wp14:anchorId="647584B0" wp14:editId="0B703ECA">
            <wp:extent cx="5631907" cy="3341076"/>
            <wp:effectExtent l="0" t="0" r="6985" b="0"/>
            <wp:docPr id="87" name="Picture 12" descr="Line Graph displaying New Zealand Residential  Lighting Energy (PJ p.a) From 2010 -2030 lighting energy consumpion reduces from 4.8 -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srcRect/>
                    <a:stretch>
                      <a:fillRect/>
                    </a:stretch>
                  </pic:blipFill>
                  <pic:spPr bwMode="auto">
                    <a:xfrm>
                      <a:off x="0" y="0"/>
                      <a:ext cx="5635002" cy="3342912"/>
                    </a:xfrm>
                    <a:prstGeom prst="rect">
                      <a:avLst/>
                    </a:prstGeom>
                    <a:noFill/>
                  </pic:spPr>
                </pic:pic>
              </a:graphicData>
            </a:graphic>
          </wp:inline>
        </w:drawing>
      </w:r>
    </w:p>
    <w:p w:rsidR="00E84626" w:rsidRPr="004F5F9F" w:rsidRDefault="00E84626" w:rsidP="00E84626">
      <w:pPr>
        <w:pStyle w:val="Caption"/>
        <w:rPr>
          <w:lang w:eastAsia="en-AU"/>
        </w:rPr>
      </w:pPr>
      <w:bookmarkStart w:id="163" w:name="_Ref424678539"/>
      <w:bookmarkStart w:id="164" w:name="_Toc426387876"/>
      <w:r>
        <w:t xml:space="preserve">Figure </w:t>
      </w:r>
      <w:r w:rsidR="008A65AF">
        <w:fldChar w:fldCharType="begin"/>
      </w:r>
      <w:r w:rsidR="008A65AF">
        <w:instrText xml:space="preserve"> SEQ Figure \* ARABIC </w:instrText>
      </w:r>
      <w:r w:rsidR="008A65AF">
        <w:fldChar w:fldCharType="separate"/>
      </w:r>
      <w:r w:rsidR="002C13E2">
        <w:rPr>
          <w:noProof/>
        </w:rPr>
        <w:t>37</w:t>
      </w:r>
      <w:r w:rsidR="008A65AF">
        <w:rPr>
          <w:noProof/>
        </w:rPr>
        <w:fldChar w:fldCharType="end"/>
      </w:r>
      <w:bookmarkEnd w:id="163"/>
      <w:r>
        <w:t>. Projected energy consumption by residential lighting sources</w:t>
      </w:r>
      <w:r w:rsidR="00BA371A">
        <w:t xml:space="preserve"> in New Zealand</w:t>
      </w:r>
      <w:r>
        <w:t>, 2010 to 2030</w:t>
      </w:r>
      <w:r w:rsidR="006540A8">
        <w:t xml:space="preserve"> (without intervention).</w:t>
      </w:r>
      <w:bookmarkEnd w:id="164"/>
    </w:p>
    <w:p w:rsidR="00C072D1" w:rsidRPr="00C072D1" w:rsidRDefault="00C072D1" w:rsidP="00C072D1"/>
    <w:p w:rsidR="00405FB0" w:rsidRDefault="00405FB0" w:rsidP="00405FB0">
      <w:pPr>
        <w:pStyle w:val="Caption"/>
        <w:keepNext/>
      </w:pPr>
      <w:bookmarkStart w:id="165" w:name="_Ref424649918"/>
      <w:bookmarkStart w:id="166" w:name="_Toc426387823"/>
      <w:r>
        <w:t xml:space="preserve">Table </w:t>
      </w:r>
      <w:r w:rsidR="00B525E0">
        <w:fldChar w:fldCharType="begin"/>
      </w:r>
      <w:r>
        <w:instrText xml:space="preserve"> SEQ Table \* ARABIC </w:instrText>
      </w:r>
      <w:r w:rsidR="00B525E0">
        <w:fldChar w:fldCharType="separate"/>
      </w:r>
      <w:r w:rsidR="002C13E2">
        <w:rPr>
          <w:noProof/>
        </w:rPr>
        <w:t>8</w:t>
      </w:r>
      <w:r w:rsidR="00B525E0">
        <w:fldChar w:fldCharType="end"/>
      </w:r>
      <w:bookmarkEnd w:id="165"/>
      <w:r>
        <w:t xml:space="preserve">. Technology mix in commercial (non-industrial) </w:t>
      </w:r>
      <w:r w:rsidR="00310EF6">
        <w:t>spaces</w:t>
      </w:r>
      <w:r w:rsidR="00932ABE">
        <w:t xml:space="preserve"> </w:t>
      </w:r>
      <w:r w:rsidR="00310EF6">
        <w:t xml:space="preserve">estimated for 2014 and predicted in 2020 </w:t>
      </w:r>
      <w:r w:rsidR="00E516F4">
        <w:t xml:space="preserve">(McKinsey 2012) </w:t>
      </w:r>
      <w:r w:rsidR="00310EF6">
        <w:t>and 2030</w:t>
      </w:r>
      <w:r w:rsidR="00E516F4">
        <w:t xml:space="preserve"> without further regulatory intervention</w:t>
      </w:r>
      <w:r>
        <w:t>.</w:t>
      </w:r>
      <w:bookmarkEnd w:id="166"/>
    </w:p>
    <w:tbl>
      <w:tblPr>
        <w:tblW w:w="6096" w:type="dxa"/>
        <w:tblInd w:w="108" w:type="dxa"/>
        <w:tblLook w:val="04A0" w:firstRow="1" w:lastRow="0" w:firstColumn="1" w:lastColumn="0" w:noHBand="0" w:noVBand="1"/>
      </w:tblPr>
      <w:tblGrid>
        <w:gridCol w:w="2268"/>
        <w:gridCol w:w="1134"/>
        <w:gridCol w:w="1276"/>
        <w:gridCol w:w="1418"/>
      </w:tblGrid>
      <w:tr w:rsidR="004F3226" w:rsidRPr="00A668A6" w:rsidTr="00B660EE">
        <w:trPr>
          <w:trHeight w:val="24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226" w:rsidRPr="00A668A6" w:rsidRDefault="004F3226" w:rsidP="00B660EE">
            <w:pPr>
              <w:spacing w:after="0" w:line="240" w:lineRule="auto"/>
              <w:outlineLvl w:val="0"/>
              <w:rPr>
                <w:rFonts w:eastAsia="Times New Roman"/>
                <w:color w:val="000000"/>
                <w:sz w:val="18"/>
                <w:szCs w:val="18"/>
                <w:lang w:eastAsia="en-AU"/>
              </w:rPr>
            </w:pPr>
          </w:p>
        </w:tc>
        <w:tc>
          <w:tcPr>
            <w:tcW w:w="1134"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2015</w:t>
            </w:r>
          </w:p>
        </w:tc>
        <w:tc>
          <w:tcPr>
            <w:tcW w:w="1276"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2020</w:t>
            </w:r>
          </w:p>
        </w:tc>
        <w:tc>
          <w:tcPr>
            <w:tcW w:w="1418"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2030</w:t>
            </w:r>
          </w:p>
        </w:tc>
      </w:tr>
      <w:tr w:rsidR="004F3226" w:rsidRPr="00A668A6" w:rsidTr="00B660EE">
        <w:trPr>
          <w:trHeight w:val="24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226" w:rsidRPr="00A668A6" w:rsidRDefault="004F3226" w:rsidP="00B660EE">
            <w:pPr>
              <w:spacing w:after="0" w:line="240" w:lineRule="auto"/>
              <w:outlineLvl w:val="0"/>
              <w:rPr>
                <w:rFonts w:eastAsia="Times New Roman"/>
                <w:color w:val="000000"/>
                <w:sz w:val="18"/>
                <w:szCs w:val="18"/>
                <w:lang w:eastAsia="en-AU"/>
              </w:rPr>
            </w:pPr>
            <w:r w:rsidRPr="00A668A6">
              <w:rPr>
                <w:rFonts w:eastAsia="Times New Roman"/>
                <w:color w:val="000000"/>
                <w:sz w:val="18"/>
                <w:szCs w:val="18"/>
                <w:lang w:eastAsia="en-AU"/>
              </w:rPr>
              <w:t>Incandescent</w:t>
            </w:r>
          </w:p>
        </w:tc>
        <w:tc>
          <w:tcPr>
            <w:tcW w:w="1134"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1.2%</w:t>
            </w:r>
          </w:p>
        </w:tc>
        <w:tc>
          <w:tcPr>
            <w:tcW w:w="1276"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0.3%</w:t>
            </w:r>
          </w:p>
        </w:tc>
        <w:tc>
          <w:tcPr>
            <w:tcW w:w="1418"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0.0%</w:t>
            </w:r>
          </w:p>
        </w:tc>
      </w:tr>
      <w:tr w:rsidR="004F3226" w:rsidRPr="00A668A6" w:rsidTr="00B660EE">
        <w:trPr>
          <w:trHeight w:val="24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226" w:rsidRPr="00A668A6" w:rsidRDefault="004F3226" w:rsidP="00B660EE">
            <w:pPr>
              <w:spacing w:after="0" w:line="240" w:lineRule="auto"/>
              <w:outlineLvl w:val="0"/>
              <w:rPr>
                <w:rFonts w:eastAsia="Times New Roman"/>
                <w:color w:val="000000"/>
                <w:sz w:val="18"/>
                <w:szCs w:val="18"/>
                <w:lang w:eastAsia="en-AU"/>
              </w:rPr>
            </w:pPr>
            <w:r w:rsidRPr="00A668A6">
              <w:rPr>
                <w:rFonts w:eastAsia="Times New Roman"/>
                <w:color w:val="000000"/>
                <w:sz w:val="18"/>
                <w:szCs w:val="18"/>
                <w:lang w:eastAsia="en-AU"/>
              </w:rPr>
              <w:t>Halogen</w:t>
            </w:r>
          </w:p>
        </w:tc>
        <w:tc>
          <w:tcPr>
            <w:tcW w:w="1134"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4.5%</w:t>
            </w:r>
          </w:p>
        </w:tc>
        <w:tc>
          <w:tcPr>
            <w:tcW w:w="1276"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2.2%</w:t>
            </w:r>
          </w:p>
        </w:tc>
        <w:tc>
          <w:tcPr>
            <w:tcW w:w="1418"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0.5%</w:t>
            </w:r>
          </w:p>
        </w:tc>
      </w:tr>
      <w:tr w:rsidR="004F3226" w:rsidRPr="00A668A6" w:rsidTr="00B660EE">
        <w:trPr>
          <w:trHeight w:val="24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226" w:rsidRPr="00A668A6" w:rsidRDefault="004F3226" w:rsidP="00B660EE">
            <w:pPr>
              <w:spacing w:after="0" w:line="240" w:lineRule="auto"/>
              <w:outlineLvl w:val="0"/>
              <w:rPr>
                <w:rFonts w:eastAsia="Times New Roman"/>
                <w:color w:val="000000"/>
                <w:sz w:val="18"/>
                <w:szCs w:val="18"/>
                <w:lang w:eastAsia="en-AU"/>
              </w:rPr>
            </w:pPr>
            <w:r w:rsidRPr="00A668A6">
              <w:rPr>
                <w:rFonts w:eastAsia="Times New Roman"/>
                <w:color w:val="000000"/>
                <w:sz w:val="18"/>
                <w:szCs w:val="18"/>
                <w:lang w:eastAsia="en-AU"/>
              </w:rPr>
              <w:t>HID</w:t>
            </w:r>
          </w:p>
        </w:tc>
        <w:tc>
          <w:tcPr>
            <w:tcW w:w="1134"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5.1%</w:t>
            </w:r>
          </w:p>
        </w:tc>
        <w:tc>
          <w:tcPr>
            <w:tcW w:w="1276"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3.1%</w:t>
            </w:r>
          </w:p>
        </w:tc>
        <w:tc>
          <w:tcPr>
            <w:tcW w:w="1418"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1.1%</w:t>
            </w:r>
          </w:p>
        </w:tc>
      </w:tr>
      <w:tr w:rsidR="004F3226" w:rsidRPr="00A668A6" w:rsidTr="00B660EE">
        <w:trPr>
          <w:trHeight w:val="24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226" w:rsidRPr="00A668A6" w:rsidRDefault="004F3226" w:rsidP="00B660EE">
            <w:pPr>
              <w:spacing w:after="0" w:line="240" w:lineRule="auto"/>
              <w:outlineLvl w:val="0"/>
              <w:rPr>
                <w:rFonts w:eastAsia="Times New Roman"/>
                <w:color w:val="000000"/>
                <w:sz w:val="18"/>
                <w:szCs w:val="18"/>
                <w:lang w:eastAsia="en-AU"/>
              </w:rPr>
            </w:pPr>
            <w:r w:rsidRPr="00A668A6">
              <w:rPr>
                <w:rFonts w:eastAsia="Times New Roman"/>
                <w:color w:val="000000"/>
                <w:sz w:val="18"/>
                <w:szCs w:val="18"/>
                <w:lang w:eastAsia="en-AU"/>
              </w:rPr>
              <w:t>LFL</w:t>
            </w:r>
          </w:p>
        </w:tc>
        <w:tc>
          <w:tcPr>
            <w:tcW w:w="1134"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40.6%</w:t>
            </w:r>
          </w:p>
        </w:tc>
        <w:tc>
          <w:tcPr>
            <w:tcW w:w="1276"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24.8%</w:t>
            </w:r>
          </w:p>
        </w:tc>
        <w:tc>
          <w:tcPr>
            <w:tcW w:w="1418"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9.2%</w:t>
            </w:r>
          </w:p>
        </w:tc>
      </w:tr>
      <w:tr w:rsidR="004F3226" w:rsidRPr="00A668A6" w:rsidTr="00B660EE">
        <w:trPr>
          <w:trHeight w:val="24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226" w:rsidRPr="00A668A6" w:rsidRDefault="004F3226" w:rsidP="00B660EE">
            <w:pPr>
              <w:spacing w:after="0" w:line="240" w:lineRule="auto"/>
              <w:outlineLvl w:val="0"/>
              <w:rPr>
                <w:rFonts w:eastAsia="Times New Roman"/>
                <w:color w:val="000000"/>
                <w:sz w:val="18"/>
                <w:szCs w:val="18"/>
                <w:lang w:eastAsia="en-AU"/>
              </w:rPr>
            </w:pPr>
            <w:r w:rsidRPr="00A668A6">
              <w:rPr>
                <w:rFonts w:eastAsia="Times New Roman"/>
                <w:color w:val="000000"/>
                <w:sz w:val="18"/>
                <w:szCs w:val="18"/>
                <w:lang w:eastAsia="en-AU"/>
              </w:rPr>
              <w:t>CFL</w:t>
            </w:r>
          </w:p>
        </w:tc>
        <w:tc>
          <w:tcPr>
            <w:tcW w:w="1134"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14.5%</w:t>
            </w:r>
          </w:p>
        </w:tc>
        <w:tc>
          <w:tcPr>
            <w:tcW w:w="1276"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7.4%</w:t>
            </w:r>
          </w:p>
        </w:tc>
        <w:tc>
          <w:tcPr>
            <w:tcW w:w="1418"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1.9%</w:t>
            </w:r>
          </w:p>
        </w:tc>
      </w:tr>
      <w:tr w:rsidR="004F3226" w:rsidRPr="00A668A6" w:rsidTr="00B660EE">
        <w:trPr>
          <w:trHeight w:val="24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226" w:rsidRPr="00A668A6" w:rsidRDefault="004F3226" w:rsidP="00B660EE">
            <w:pPr>
              <w:spacing w:after="0" w:line="240" w:lineRule="auto"/>
              <w:outlineLvl w:val="0"/>
              <w:rPr>
                <w:rFonts w:eastAsia="Times New Roman"/>
                <w:color w:val="000000"/>
                <w:sz w:val="18"/>
                <w:szCs w:val="18"/>
                <w:lang w:eastAsia="en-AU"/>
              </w:rPr>
            </w:pPr>
            <w:r w:rsidRPr="00A668A6">
              <w:rPr>
                <w:rFonts w:eastAsia="Times New Roman"/>
                <w:color w:val="000000"/>
                <w:sz w:val="18"/>
                <w:szCs w:val="18"/>
                <w:lang w:eastAsia="en-AU"/>
              </w:rPr>
              <w:t>LED</w:t>
            </w:r>
          </w:p>
        </w:tc>
        <w:tc>
          <w:tcPr>
            <w:tcW w:w="1134"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34.1%</w:t>
            </w:r>
          </w:p>
        </w:tc>
        <w:tc>
          <w:tcPr>
            <w:tcW w:w="1276"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62.3%</w:t>
            </w:r>
          </w:p>
        </w:tc>
        <w:tc>
          <w:tcPr>
            <w:tcW w:w="1418"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87.2%</w:t>
            </w:r>
          </w:p>
        </w:tc>
      </w:tr>
    </w:tbl>
    <w:p w:rsidR="008126CF" w:rsidRPr="00A668A6" w:rsidRDefault="008126CF" w:rsidP="00CA124C">
      <w:pPr>
        <w:rPr>
          <w:lang w:eastAsia="en-AU"/>
        </w:rPr>
      </w:pPr>
    </w:p>
    <w:p w:rsidR="004F3226" w:rsidRPr="00A668A6" w:rsidRDefault="004F3226" w:rsidP="0090401B">
      <w:pPr>
        <w:pStyle w:val="Caption"/>
        <w:keepNext/>
      </w:pPr>
      <w:bookmarkStart w:id="167" w:name="_Toc426387824"/>
      <w:r w:rsidRPr="00A668A6">
        <w:t xml:space="preserve">Table </w:t>
      </w:r>
      <w:r w:rsidRPr="00A668A6">
        <w:fldChar w:fldCharType="begin"/>
      </w:r>
      <w:r w:rsidRPr="00A668A6">
        <w:instrText xml:space="preserve"> SEQ Table \* ARABIC </w:instrText>
      </w:r>
      <w:r w:rsidRPr="00A668A6">
        <w:fldChar w:fldCharType="separate"/>
      </w:r>
      <w:r w:rsidR="002C13E2">
        <w:rPr>
          <w:noProof/>
        </w:rPr>
        <w:t>9</w:t>
      </w:r>
      <w:r w:rsidRPr="00A668A6">
        <w:fldChar w:fldCharType="end"/>
      </w:r>
      <w:r w:rsidRPr="00A668A6">
        <w:t xml:space="preserve">. Technology mix in residential spaces estimated for 2014 and predicted in 2020 (McKinsey 2012) and </w:t>
      </w:r>
      <w:r w:rsidR="00A45490" w:rsidRPr="00A668A6">
        <w:t xml:space="preserve">extrapolated to </w:t>
      </w:r>
      <w:r w:rsidRPr="00A668A6">
        <w:t>2030 without f</w:t>
      </w:r>
      <w:r w:rsidR="00A45490" w:rsidRPr="00A668A6">
        <w:t>urther regulatory intervention.</w:t>
      </w:r>
      <w:bookmarkEnd w:id="167"/>
    </w:p>
    <w:tbl>
      <w:tblPr>
        <w:tblW w:w="6096" w:type="dxa"/>
        <w:tblInd w:w="108" w:type="dxa"/>
        <w:tblLook w:val="04A0" w:firstRow="1" w:lastRow="0" w:firstColumn="1" w:lastColumn="0" w:noHBand="0" w:noVBand="1"/>
      </w:tblPr>
      <w:tblGrid>
        <w:gridCol w:w="2268"/>
        <w:gridCol w:w="1134"/>
        <w:gridCol w:w="1276"/>
        <w:gridCol w:w="1418"/>
      </w:tblGrid>
      <w:tr w:rsidR="004F3226" w:rsidRPr="00A668A6" w:rsidTr="00B660EE">
        <w:trPr>
          <w:trHeight w:val="24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226" w:rsidRPr="00A668A6" w:rsidRDefault="004F3226" w:rsidP="00B660EE">
            <w:pPr>
              <w:spacing w:after="0" w:line="240" w:lineRule="auto"/>
              <w:outlineLvl w:val="0"/>
              <w:rPr>
                <w:rFonts w:eastAsia="Times New Roman"/>
                <w:color w:val="000000"/>
                <w:sz w:val="18"/>
                <w:szCs w:val="18"/>
                <w:lang w:eastAsia="en-AU"/>
              </w:rPr>
            </w:pPr>
          </w:p>
        </w:tc>
        <w:tc>
          <w:tcPr>
            <w:tcW w:w="1134"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2015</w:t>
            </w:r>
          </w:p>
        </w:tc>
        <w:tc>
          <w:tcPr>
            <w:tcW w:w="1276"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2020</w:t>
            </w:r>
          </w:p>
        </w:tc>
        <w:tc>
          <w:tcPr>
            <w:tcW w:w="1418"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2030</w:t>
            </w:r>
          </w:p>
        </w:tc>
      </w:tr>
      <w:tr w:rsidR="004F3226" w:rsidRPr="00A668A6" w:rsidTr="00B660EE">
        <w:trPr>
          <w:trHeight w:val="24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226" w:rsidRPr="00A668A6" w:rsidRDefault="004F3226" w:rsidP="00B660EE">
            <w:pPr>
              <w:spacing w:after="0" w:line="240" w:lineRule="auto"/>
              <w:outlineLvl w:val="0"/>
              <w:rPr>
                <w:rFonts w:eastAsia="Times New Roman"/>
                <w:color w:val="000000"/>
                <w:sz w:val="18"/>
                <w:szCs w:val="18"/>
                <w:lang w:eastAsia="en-AU"/>
              </w:rPr>
            </w:pPr>
            <w:r w:rsidRPr="00A668A6">
              <w:rPr>
                <w:rFonts w:eastAsia="Times New Roman"/>
                <w:color w:val="000000"/>
                <w:sz w:val="18"/>
                <w:szCs w:val="18"/>
                <w:lang w:eastAsia="en-AU"/>
              </w:rPr>
              <w:t>Incandescent</w:t>
            </w:r>
          </w:p>
        </w:tc>
        <w:tc>
          <w:tcPr>
            <w:tcW w:w="1134"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14.0%</w:t>
            </w:r>
          </w:p>
        </w:tc>
        <w:tc>
          <w:tcPr>
            <w:tcW w:w="1276"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9.0%</w:t>
            </w:r>
          </w:p>
        </w:tc>
        <w:tc>
          <w:tcPr>
            <w:tcW w:w="1418"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3.0%</w:t>
            </w:r>
          </w:p>
        </w:tc>
      </w:tr>
      <w:tr w:rsidR="004F3226" w:rsidRPr="00A668A6" w:rsidTr="00B660EE">
        <w:trPr>
          <w:trHeight w:val="24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226" w:rsidRPr="00A668A6" w:rsidRDefault="004F3226" w:rsidP="00B660EE">
            <w:pPr>
              <w:spacing w:after="0" w:line="240" w:lineRule="auto"/>
              <w:outlineLvl w:val="0"/>
              <w:rPr>
                <w:rFonts w:eastAsia="Times New Roman"/>
                <w:color w:val="000000"/>
                <w:sz w:val="18"/>
                <w:szCs w:val="18"/>
                <w:lang w:eastAsia="en-AU"/>
              </w:rPr>
            </w:pPr>
            <w:r w:rsidRPr="00A668A6">
              <w:rPr>
                <w:rFonts w:eastAsia="Times New Roman"/>
                <w:color w:val="000000"/>
                <w:sz w:val="18"/>
                <w:szCs w:val="18"/>
                <w:lang w:eastAsia="en-AU"/>
              </w:rPr>
              <w:t>MV Halogen</w:t>
            </w:r>
          </w:p>
        </w:tc>
        <w:tc>
          <w:tcPr>
            <w:tcW w:w="1134"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18.3%</w:t>
            </w:r>
          </w:p>
        </w:tc>
        <w:tc>
          <w:tcPr>
            <w:tcW w:w="1276"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15.3%</w:t>
            </w:r>
          </w:p>
        </w:tc>
        <w:tc>
          <w:tcPr>
            <w:tcW w:w="1418"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5.3%</w:t>
            </w:r>
          </w:p>
        </w:tc>
      </w:tr>
      <w:tr w:rsidR="004F3226" w:rsidRPr="00A668A6" w:rsidTr="00B660EE">
        <w:trPr>
          <w:trHeight w:val="24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226" w:rsidRPr="00A668A6" w:rsidRDefault="004F3226" w:rsidP="00B660EE">
            <w:pPr>
              <w:spacing w:after="0" w:line="240" w:lineRule="auto"/>
              <w:outlineLvl w:val="0"/>
              <w:rPr>
                <w:rFonts w:eastAsia="Times New Roman"/>
                <w:color w:val="000000"/>
                <w:sz w:val="18"/>
                <w:szCs w:val="18"/>
                <w:lang w:eastAsia="en-AU"/>
              </w:rPr>
            </w:pPr>
            <w:r w:rsidRPr="00A668A6">
              <w:rPr>
                <w:rFonts w:eastAsia="Times New Roman"/>
                <w:color w:val="000000"/>
                <w:sz w:val="18"/>
                <w:szCs w:val="18"/>
                <w:lang w:eastAsia="en-AU"/>
              </w:rPr>
              <w:t>ELV Halogen</w:t>
            </w:r>
          </w:p>
        </w:tc>
        <w:tc>
          <w:tcPr>
            <w:tcW w:w="1134"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15.8%</w:t>
            </w:r>
          </w:p>
        </w:tc>
        <w:tc>
          <w:tcPr>
            <w:tcW w:w="1276"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5.8%</w:t>
            </w:r>
          </w:p>
        </w:tc>
        <w:tc>
          <w:tcPr>
            <w:tcW w:w="1418"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1.8%</w:t>
            </w:r>
          </w:p>
        </w:tc>
      </w:tr>
      <w:tr w:rsidR="004F3226" w:rsidRPr="00A668A6" w:rsidTr="00B660EE">
        <w:trPr>
          <w:trHeight w:val="24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226" w:rsidRPr="00A668A6" w:rsidRDefault="004F3226" w:rsidP="00B660EE">
            <w:pPr>
              <w:spacing w:after="0" w:line="240" w:lineRule="auto"/>
              <w:outlineLvl w:val="0"/>
              <w:rPr>
                <w:rFonts w:eastAsia="Times New Roman"/>
                <w:color w:val="000000"/>
                <w:sz w:val="18"/>
                <w:szCs w:val="18"/>
                <w:lang w:eastAsia="en-AU"/>
              </w:rPr>
            </w:pPr>
            <w:r w:rsidRPr="00A668A6">
              <w:rPr>
                <w:rFonts w:eastAsia="Times New Roman"/>
                <w:color w:val="000000"/>
                <w:sz w:val="18"/>
                <w:szCs w:val="18"/>
                <w:lang w:eastAsia="en-AU"/>
              </w:rPr>
              <w:t>LFL</w:t>
            </w:r>
          </w:p>
        </w:tc>
        <w:tc>
          <w:tcPr>
            <w:tcW w:w="1134"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9.0%</w:t>
            </w:r>
          </w:p>
        </w:tc>
        <w:tc>
          <w:tcPr>
            <w:tcW w:w="1276"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8.0%</w:t>
            </w:r>
          </w:p>
        </w:tc>
        <w:tc>
          <w:tcPr>
            <w:tcW w:w="1418"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6.0%</w:t>
            </w:r>
          </w:p>
        </w:tc>
      </w:tr>
      <w:tr w:rsidR="004F3226" w:rsidRPr="00A668A6" w:rsidTr="00B660EE">
        <w:trPr>
          <w:trHeight w:val="24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226" w:rsidRPr="00A668A6" w:rsidRDefault="004F3226" w:rsidP="00B660EE">
            <w:pPr>
              <w:spacing w:after="0" w:line="240" w:lineRule="auto"/>
              <w:outlineLvl w:val="0"/>
              <w:rPr>
                <w:rFonts w:eastAsia="Times New Roman"/>
                <w:color w:val="000000"/>
                <w:sz w:val="18"/>
                <w:szCs w:val="18"/>
                <w:lang w:eastAsia="en-AU"/>
              </w:rPr>
            </w:pPr>
            <w:r w:rsidRPr="00A668A6">
              <w:rPr>
                <w:rFonts w:eastAsia="Times New Roman"/>
                <w:color w:val="000000"/>
                <w:sz w:val="18"/>
                <w:szCs w:val="18"/>
                <w:lang w:eastAsia="en-AU"/>
              </w:rPr>
              <w:t>CFL</w:t>
            </w:r>
          </w:p>
        </w:tc>
        <w:tc>
          <w:tcPr>
            <w:tcW w:w="1134"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36.3%</w:t>
            </w:r>
          </w:p>
        </w:tc>
        <w:tc>
          <w:tcPr>
            <w:tcW w:w="1276"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31.3%</w:t>
            </w:r>
          </w:p>
        </w:tc>
        <w:tc>
          <w:tcPr>
            <w:tcW w:w="1418"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16.8%</w:t>
            </w:r>
          </w:p>
        </w:tc>
      </w:tr>
      <w:tr w:rsidR="004F3226" w:rsidRPr="00A668A6" w:rsidTr="00B660EE">
        <w:trPr>
          <w:trHeight w:val="24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226" w:rsidRPr="00A668A6" w:rsidRDefault="004F3226" w:rsidP="00B660EE">
            <w:pPr>
              <w:spacing w:after="0" w:line="240" w:lineRule="auto"/>
              <w:outlineLvl w:val="0"/>
              <w:rPr>
                <w:rFonts w:eastAsia="Times New Roman"/>
                <w:color w:val="000000"/>
                <w:sz w:val="18"/>
                <w:szCs w:val="18"/>
                <w:lang w:eastAsia="en-AU"/>
              </w:rPr>
            </w:pPr>
            <w:r w:rsidRPr="00A668A6">
              <w:rPr>
                <w:rFonts w:eastAsia="Times New Roman"/>
                <w:color w:val="000000"/>
                <w:sz w:val="18"/>
                <w:szCs w:val="18"/>
                <w:lang w:eastAsia="en-AU"/>
              </w:rPr>
              <w:t>LED</w:t>
            </w:r>
          </w:p>
        </w:tc>
        <w:tc>
          <w:tcPr>
            <w:tcW w:w="1134"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6.7%</w:t>
            </w:r>
          </w:p>
        </w:tc>
        <w:tc>
          <w:tcPr>
            <w:tcW w:w="1276"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30.7%</w:t>
            </w:r>
          </w:p>
        </w:tc>
        <w:tc>
          <w:tcPr>
            <w:tcW w:w="1418" w:type="dxa"/>
            <w:tcBorders>
              <w:top w:val="single" w:sz="4" w:space="0" w:color="auto"/>
              <w:bottom w:val="single" w:sz="4" w:space="0" w:color="auto"/>
              <w:right w:val="single" w:sz="4" w:space="0" w:color="auto"/>
            </w:tcBorders>
            <w:vAlign w:val="center"/>
          </w:tcPr>
          <w:p w:rsidR="004F3226" w:rsidRPr="00A668A6" w:rsidRDefault="004F3226" w:rsidP="00B660EE">
            <w:pPr>
              <w:spacing w:after="0" w:line="240" w:lineRule="auto"/>
              <w:outlineLvl w:val="0"/>
              <w:rPr>
                <w:sz w:val="18"/>
                <w:szCs w:val="18"/>
              </w:rPr>
            </w:pPr>
            <w:r w:rsidRPr="00A668A6">
              <w:rPr>
                <w:sz w:val="18"/>
                <w:szCs w:val="18"/>
              </w:rPr>
              <w:t>67.2%</w:t>
            </w:r>
          </w:p>
        </w:tc>
      </w:tr>
    </w:tbl>
    <w:p w:rsidR="004F3226" w:rsidRDefault="004F3226" w:rsidP="00CA124C">
      <w:pPr>
        <w:rPr>
          <w:lang w:eastAsia="en-AU"/>
        </w:rPr>
      </w:pPr>
    </w:p>
    <w:p w:rsidR="00C25E06" w:rsidRDefault="00B73875" w:rsidP="00CA124C">
      <w:pPr>
        <w:rPr>
          <w:lang w:eastAsia="en-AU"/>
        </w:rPr>
      </w:pPr>
      <w:r>
        <w:rPr>
          <w:lang w:eastAsia="en-AU"/>
        </w:rPr>
        <w:t xml:space="preserve">Installed stock projections suggest that </w:t>
      </w:r>
      <w:r w:rsidR="00A45490">
        <w:rPr>
          <w:lang w:eastAsia="en-AU"/>
        </w:rPr>
        <w:t>overall;</w:t>
      </w:r>
      <w:r>
        <w:rPr>
          <w:lang w:eastAsia="en-AU"/>
        </w:rPr>
        <w:t xml:space="preserve"> there will be average growth in installed units Australia-wide of approximately 1.</w:t>
      </w:r>
      <w:r w:rsidR="00AE1CC4">
        <w:rPr>
          <w:lang w:eastAsia="en-AU"/>
        </w:rPr>
        <w:t>5</w:t>
      </w:r>
      <w:r>
        <w:rPr>
          <w:lang w:eastAsia="en-AU"/>
        </w:rPr>
        <w:t xml:space="preserve">% in residential settings and 6.4% in non-residential settings, which will </w:t>
      </w:r>
      <w:r w:rsidR="00AE1CC4">
        <w:rPr>
          <w:lang w:eastAsia="en-AU"/>
        </w:rPr>
        <w:t>deliver</w:t>
      </w:r>
      <w:r>
        <w:rPr>
          <w:lang w:eastAsia="en-AU"/>
        </w:rPr>
        <w:t xml:space="preserve"> 3.4% growth yearly average in </w:t>
      </w:r>
      <w:r w:rsidR="00AE1CC4">
        <w:rPr>
          <w:lang w:eastAsia="en-AU"/>
        </w:rPr>
        <w:t>installed stock</w:t>
      </w:r>
      <w:r>
        <w:rPr>
          <w:lang w:eastAsia="en-AU"/>
        </w:rPr>
        <w:t xml:space="preserve"> (</w:t>
      </w:r>
      <w:r w:rsidR="004A0973">
        <w:rPr>
          <w:highlight w:val="yellow"/>
          <w:lang w:eastAsia="en-AU"/>
        </w:rPr>
        <w:fldChar w:fldCharType="begin"/>
      </w:r>
      <w:r w:rsidR="004A0973">
        <w:rPr>
          <w:lang w:eastAsia="en-AU"/>
        </w:rPr>
        <w:instrText xml:space="preserve"> REF _Ref424675462 \h </w:instrText>
      </w:r>
      <w:r w:rsidR="004A0973">
        <w:rPr>
          <w:highlight w:val="yellow"/>
          <w:lang w:eastAsia="en-AU"/>
        </w:rPr>
      </w:r>
      <w:r w:rsidR="004A0973">
        <w:rPr>
          <w:highlight w:val="yellow"/>
          <w:lang w:eastAsia="en-AU"/>
        </w:rPr>
        <w:fldChar w:fldCharType="separate"/>
      </w:r>
      <w:r w:rsidR="002C13E2">
        <w:t xml:space="preserve">Figure </w:t>
      </w:r>
      <w:r w:rsidR="002C13E2">
        <w:rPr>
          <w:noProof/>
        </w:rPr>
        <w:t>30</w:t>
      </w:r>
      <w:r w:rsidR="004A0973">
        <w:rPr>
          <w:highlight w:val="yellow"/>
          <w:lang w:eastAsia="en-AU"/>
        </w:rPr>
        <w:fldChar w:fldCharType="end"/>
      </w:r>
      <w:r w:rsidR="00AE1CC4">
        <w:t>)</w:t>
      </w:r>
      <w:r>
        <w:rPr>
          <w:lang w:eastAsia="en-AU"/>
        </w:rPr>
        <w:t>.</w:t>
      </w:r>
    </w:p>
    <w:p w:rsidR="00A5767B" w:rsidRDefault="00A5767B" w:rsidP="00E96970">
      <w:pPr>
        <w:pStyle w:val="Heading2"/>
      </w:pPr>
      <w:bookmarkStart w:id="168" w:name="_Toc366162153"/>
      <w:bookmarkStart w:id="169" w:name="_Toc426387757"/>
      <w:r w:rsidRPr="003107D2">
        <w:t>Greenhouse gas emissions</w:t>
      </w:r>
      <w:bookmarkEnd w:id="168"/>
      <w:bookmarkEnd w:id="169"/>
    </w:p>
    <w:p w:rsidR="00A5767B" w:rsidRDefault="00A5767B" w:rsidP="00CA124C">
      <w:pPr>
        <w:rPr>
          <w:lang w:eastAsia="en-AU"/>
        </w:rPr>
      </w:pPr>
      <w:r>
        <w:rPr>
          <w:lang w:eastAsia="en-AU"/>
        </w:rPr>
        <w:t xml:space="preserve">In the combined residential and commercial sectors of Australia and New Zealand, the energy savings introduced in the previous section which would be incurred with majority uptake of LED </w:t>
      </w:r>
      <w:r w:rsidR="00A45490">
        <w:rPr>
          <w:lang w:eastAsia="en-AU"/>
        </w:rPr>
        <w:t>technologies (</w:t>
      </w:r>
      <w:r>
        <w:rPr>
          <w:lang w:eastAsia="en-AU"/>
        </w:rPr>
        <w:t>without further regulatory intervention) would amount to a saving of 4.4 megatonnes of greenhouse gas emissions in Australia</w:t>
      </w:r>
      <w:r w:rsidR="00534E9B">
        <w:rPr>
          <w:lang w:eastAsia="en-AU"/>
        </w:rPr>
        <w:t xml:space="preserve"> (</w:t>
      </w:r>
      <w:r>
        <w:rPr>
          <w:lang w:eastAsia="en-AU"/>
        </w:rPr>
        <w:t>, as 2015 estimates show that emissions are currently 14.6 megatonnes, but could fall to 10.1 megatonnes C0</w:t>
      </w:r>
      <w:r w:rsidRPr="00043495">
        <w:rPr>
          <w:vertAlign w:val="subscript"/>
          <w:lang w:eastAsia="en-AU"/>
        </w:rPr>
        <w:t>2</w:t>
      </w:r>
      <w:r>
        <w:rPr>
          <w:lang w:eastAsia="en-AU"/>
        </w:rPr>
        <w:t>-e. In New Zealand, national estimates for combined residential and commercial lighting suggest current greenhouse gas emissions are 1.25 megatonnes, which would fall to 0.91 megatonnes C02-e, translating to a saving of 0.34C0</w:t>
      </w:r>
      <w:r w:rsidRPr="00B529A6">
        <w:rPr>
          <w:vertAlign w:val="subscript"/>
          <w:lang w:eastAsia="en-AU"/>
        </w:rPr>
        <w:t>2</w:t>
      </w:r>
      <w:r>
        <w:rPr>
          <w:lang w:eastAsia="en-AU"/>
        </w:rPr>
        <w:t>-e.</w:t>
      </w:r>
    </w:p>
    <w:p w:rsidR="005F1C54" w:rsidRPr="006748A0" w:rsidRDefault="005F1C54" w:rsidP="006748A0">
      <w:pPr>
        <w:pStyle w:val="Caption"/>
        <w:keepNext/>
      </w:pPr>
      <w:bookmarkStart w:id="170" w:name="_Toc426387825"/>
      <w:r w:rsidRPr="006748A0">
        <w:lastRenderedPageBreak/>
        <w:t xml:space="preserve">Table </w:t>
      </w:r>
      <w:r w:rsidRPr="005F1C54">
        <w:fldChar w:fldCharType="begin"/>
      </w:r>
      <w:r w:rsidRPr="006748A0">
        <w:instrText xml:space="preserve"> SEQ Table \* ARABIC </w:instrText>
      </w:r>
      <w:r w:rsidRPr="005F1C54">
        <w:fldChar w:fldCharType="separate"/>
      </w:r>
      <w:r w:rsidR="002C13E2">
        <w:rPr>
          <w:noProof/>
        </w:rPr>
        <w:t>10</w:t>
      </w:r>
      <w:r w:rsidRPr="005F1C54">
        <w:fldChar w:fldCharType="end"/>
      </w:r>
      <w:r w:rsidRPr="006748A0">
        <w:t>. Summary of energy consumption and greenhouse gas emissions in Australia and New Zealand in 2015, and projected in 2020 and 2030 (without further regulatory intervention).</w:t>
      </w:r>
      <w:bookmarkEnd w:id="170"/>
    </w:p>
    <w:tbl>
      <w:tblPr>
        <w:tblStyle w:val="TableGrid"/>
        <w:tblW w:w="0" w:type="auto"/>
        <w:tblLook w:val="04A0" w:firstRow="1" w:lastRow="0" w:firstColumn="1" w:lastColumn="0" w:noHBand="0" w:noVBand="1"/>
      </w:tblPr>
      <w:tblGrid>
        <w:gridCol w:w="1907"/>
        <w:gridCol w:w="1907"/>
        <w:gridCol w:w="2007"/>
        <w:gridCol w:w="2017"/>
        <w:gridCol w:w="2017"/>
      </w:tblGrid>
      <w:tr w:rsidR="005F1C54" w:rsidRPr="00FF0BE9" w:rsidTr="006224FD">
        <w:trPr>
          <w:tblHeader/>
        </w:trPr>
        <w:tc>
          <w:tcPr>
            <w:tcW w:w="3814" w:type="dxa"/>
            <w:gridSpan w:val="2"/>
            <w:shd w:val="clear" w:color="auto" w:fill="9BBB59" w:themeFill="accent3"/>
            <w:vAlign w:val="center"/>
          </w:tcPr>
          <w:p w:rsidR="005F1C54" w:rsidRPr="00FF0BE9" w:rsidRDefault="005F1C54" w:rsidP="00B660EE">
            <w:pPr>
              <w:rPr>
                <w:b/>
                <w:color w:val="FFFFFF" w:themeColor="background1"/>
                <w:sz w:val="18"/>
              </w:rPr>
            </w:pPr>
            <w:r>
              <w:rPr>
                <w:b/>
                <w:color w:val="FFFFFF" w:themeColor="background1"/>
                <w:sz w:val="18"/>
              </w:rPr>
              <w:t>Australia</w:t>
            </w:r>
          </w:p>
        </w:tc>
        <w:tc>
          <w:tcPr>
            <w:tcW w:w="2007" w:type="dxa"/>
            <w:shd w:val="clear" w:color="auto" w:fill="9BBB59" w:themeFill="accent3"/>
            <w:vAlign w:val="center"/>
          </w:tcPr>
          <w:p w:rsidR="005F1C54" w:rsidRPr="00FF0BE9" w:rsidRDefault="005F1C54" w:rsidP="00B660EE">
            <w:pPr>
              <w:jc w:val="center"/>
              <w:rPr>
                <w:b/>
                <w:color w:val="FFFFFF" w:themeColor="background1"/>
                <w:sz w:val="18"/>
              </w:rPr>
            </w:pPr>
            <w:r w:rsidRPr="00FF0BE9">
              <w:rPr>
                <w:b/>
                <w:color w:val="FFFFFF" w:themeColor="background1"/>
                <w:sz w:val="18"/>
              </w:rPr>
              <w:t>2015</w:t>
            </w:r>
          </w:p>
        </w:tc>
        <w:tc>
          <w:tcPr>
            <w:tcW w:w="2017" w:type="dxa"/>
            <w:shd w:val="clear" w:color="auto" w:fill="9BBB59" w:themeFill="accent3"/>
            <w:vAlign w:val="center"/>
          </w:tcPr>
          <w:p w:rsidR="005F1C54" w:rsidRPr="00FF0BE9" w:rsidRDefault="005F1C54" w:rsidP="00B660EE">
            <w:pPr>
              <w:jc w:val="center"/>
              <w:rPr>
                <w:b/>
                <w:color w:val="FFFFFF" w:themeColor="background1"/>
                <w:sz w:val="18"/>
              </w:rPr>
            </w:pPr>
            <w:r w:rsidRPr="00FF0BE9">
              <w:rPr>
                <w:b/>
                <w:color w:val="FFFFFF" w:themeColor="background1"/>
                <w:sz w:val="18"/>
              </w:rPr>
              <w:t>2020</w:t>
            </w:r>
          </w:p>
        </w:tc>
        <w:tc>
          <w:tcPr>
            <w:tcW w:w="2017" w:type="dxa"/>
            <w:shd w:val="clear" w:color="auto" w:fill="9BBB59" w:themeFill="accent3"/>
            <w:vAlign w:val="center"/>
          </w:tcPr>
          <w:p w:rsidR="005F1C54" w:rsidRPr="00FF0BE9" w:rsidRDefault="005F1C54" w:rsidP="00B660EE">
            <w:pPr>
              <w:jc w:val="center"/>
              <w:rPr>
                <w:b/>
                <w:color w:val="FFFFFF" w:themeColor="background1"/>
                <w:sz w:val="18"/>
              </w:rPr>
            </w:pPr>
            <w:r w:rsidRPr="00FF0BE9">
              <w:rPr>
                <w:b/>
                <w:color w:val="FFFFFF" w:themeColor="background1"/>
                <w:sz w:val="18"/>
              </w:rPr>
              <w:t>2030</w:t>
            </w:r>
          </w:p>
        </w:tc>
      </w:tr>
      <w:tr w:rsidR="005F1C54" w:rsidRPr="00FF0BE9" w:rsidTr="00B660EE">
        <w:tc>
          <w:tcPr>
            <w:tcW w:w="1907" w:type="dxa"/>
            <w:vMerge w:val="restart"/>
            <w:vAlign w:val="center"/>
          </w:tcPr>
          <w:p w:rsidR="005F1C54" w:rsidRPr="00FF0BE9" w:rsidRDefault="005F1C54" w:rsidP="00B660EE">
            <w:pPr>
              <w:rPr>
                <w:sz w:val="18"/>
              </w:rPr>
            </w:pPr>
            <w:r w:rsidRPr="00FF0BE9">
              <w:rPr>
                <w:sz w:val="18"/>
              </w:rPr>
              <w:t>Energy consumption (PJ p.a.)</w:t>
            </w:r>
          </w:p>
        </w:tc>
        <w:tc>
          <w:tcPr>
            <w:tcW w:w="1907" w:type="dxa"/>
            <w:vAlign w:val="center"/>
          </w:tcPr>
          <w:p w:rsidR="005F1C54" w:rsidRPr="00FF0BE9" w:rsidRDefault="005F1C54" w:rsidP="00B660EE">
            <w:pPr>
              <w:rPr>
                <w:sz w:val="18"/>
              </w:rPr>
            </w:pPr>
            <w:r>
              <w:rPr>
                <w:sz w:val="18"/>
              </w:rPr>
              <w:t>Residential</w:t>
            </w:r>
          </w:p>
        </w:tc>
        <w:tc>
          <w:tcPr>
            <w:tcW w:w="2007" w:type="dxa"/>
            <w:vAlign w:val="center"/>
          </w:tcPr>
          <w:p w:rsidR="005F1C54" w:rsidRPr="00FF0BE9" w:rsidRDefault="005F1C54" w:rsidP="00B660EE">
            <w:pPr>
              <w:jc w:val="center"/>
              <w:rPr>
                <w:sz w:val="18"/>
              </w:rPr>
            </w:pPr>
            <w:r>
              <w:rPr>
                <w:sz w:val="18"/>
              </w:rPr>
              <w:t>27.0</w:t>
            </w:r>
          </w:p>
        </w:tc>
        <w:tc>
          <w:tcPr>
            <w:tcW w:w="2017" w:type="dxa"/>
            <w:vAlign w:val="center"/>
          </w:tcPr>
          <w:p w:rsidR="005F1C54" w:rsidRPr="00FF0BE9" w:rsidRDefault="005F1C54" w:rsidP="00B660EE">
            <w:pPr>
              <w:jc w:val="center"/>
              <w:rPr>
                <w:sz w:val="18"/>
              </w:rPr>
            </w:pPr>
            <w:r>
              <w:rPr>
                <w:sz w:val="18"/>
              </w:rPr>
              <w:t>23.5</w:t>
            </w:r>
          </w:p>
        </w:tc>
        <w:tc>
          <w:tcPr>
            <w:tcW w:w="2017" w:type="dxa"/>
            <w:vAlign w:val="center"/>
          </w:tcPr>
          <w:p w:rsidR="005F1C54" w:rsidRPr="00FF0BE9" w:rsidRDefault="005F1C54" w:rsidP="00B660EE">
            <w:pPr>
              <w:jc w:val="center"/>
              <w:rPr>
                <w:sz w:val="18"/>
              </w:rPr>
            </w:pPr>
            <w:r>
              <w:rPr>
                <w:sz w:val="18"/>
              </w:rPr>
              <w:t>16.2</w:t>
            </w:r>
          </w:p>
        </w:tc>
      </w:tr>
      <w:tr w:rsidR="005F1C54" w:rsidRPr="00FF0BE9" w:rsidTr="00B660EE">
        <w:tc>
          <w:tcPr>
            <w:tcW w:w="1907" w:type="dxa"/>
            <w:vMerge/>
            <w:vAlign w:val="center"/>
          </w:tcPr>
          <w:p w:rsidR="005F1C54" w:rsidRPr="00FF0BE9" w:rsidRDefault="005F1C54" w:rsidP="00B660EE">
            <w:pPr>
              <w:rPr>
                <w:sz w:val="18"/>
              </w:rPr>
            </w:pPr>
          </w:p>
        </w:tc>
        <w:tc>
          <w:tcPr>
            <w:tcW w:w="1907" w:type="dxa"/>
            <w:vAlign w:val="center"/>
          </w:tcPr>
          <w:p w:rsidR="005F1C54" w:rsidRPr="00FF0BE9" w:rsidRDefault="005F1C54" w:rsidP="00B660EE">
            <w:pPr>
              <w:rPr>
                <w:sz w:val="18"/>
              </w:rPr>
            </w:pPr>
            <w:r>
              <w:rPr>
                <w:sz w:val="18"/>
              </w:rPr>
              <w:t>Commercial</w:t>
            </w:r>
          </w:p>
        </w:tc>
        <w:tc>
          <w:tcPr>
            <w:tcW w:w="2007" w:type="dxa"/>
            <w:vAlign w:val="center"/>
          </w:tcPr>
          <w:p w:rsidR="005F1C54" w:rsidRPr="00FF0BE9" w:rsidRDefault="005F1C54" w:rsidP="00B660EE">
            <w:pPr>
              <w:jc w:val="center"/>
              <w:rPr>
                <w:sz w:val="18"/>
              </w:rPr>
            </w:pPr>
            <w:r>
              <w:rPr>
                <w:sz w:val="18"/>
              </w:rPr>
              <w:t>32.7</w:t>
            </w:r>
          </w:p>
        </w:tc>
        <w:tc>
          <w:tcPr>
            <w:tcW w:w="2017" w:type="dxa"/>
            <w:vAlign w:val="center"/>
          </w:tcPr>
          <w:p w:rsidR="005F1C54" w:rsidRPr="00FF0BE9" w:rsidRDefault="005F1C54" w:rsidP="00B660EE">
            <w:pPr>
              <w:jc w:val="center"/>
              <w:rPr>
                <w:sz w:val="18"/>
              </w:rPr>
            </w:pPr>
            <w:r>
              <w:rPr>
                <w:sz w:val="18"/>
              </w:rPr>
              <w:t>29.9</w:t>
            </w:r>
          </w:p>
        </w:tc>
        <w:tc>
          <w:tcPr>
            <w:tcW w:w="2017" w:type="dxa"/>
            <w:vAlign w:val="center"/>
          </w:tcPr>
          <w:p w:rsidR="005F1C54" w:rsidRPr="00FF0BE9" w:rsidRDefault="005F1C54" w:rsidP="00B660EE">
            <w:pPr>
              <w:jc w:val="center"/>
              <w:rPr>
                <w:sz w:val="18"/>
              </w:rPr>
            </w:pPr>
            <w:r>
              <w:rPr>
                <w:sz w:val="18"/>
              </w:rPr>
              <w:t>25.7</w:t>
            </w:r>
          </w:p>
        </w:tc>
      </w:tr>
      <w:tr w:rsidR="005F1C54" w:rsidRPr="00FF0BE9" w:rsidTr="00B660EE">
        <w:tc>
          <w:tcPr>
            <w:tcW w:w="1907" w:type="dxa"/>
            <w:vMerge/>
            <w:vAlign w:val="center"/>
          </w:tcPr>
          <w:p w:rsidR="005F1C54" w:rsidRDefault="005F1C54" w:rsidP="00B660EE">
            <w:pPr>
              <w:rPr>
                <w:sz w:val="18"/>
              </w:rPr>
            </w:pPr>
          </w:p>
        </w:tc>
        <w:tc>
          <w:tcPr>
            <w:tcW w:w="1907" w:type="dxa"/>
            <w:vAlign w:val="center"/>
          </w:tcPr>
          <w:p w:rsidR="005F1C54" w:rsidRPr="00FF0BE9" w:rsidRDefault="005F1C54" w:rsidP="00B660EE">
            <w:pPr>
              <w:rPr>
                <w:b/>
                <w:sz w:val="18"/>
              </w:rPr>
            </w:pPr>
            <w:r w:rsidRPr="00FF0BE9">
              <w:rPr>
                <w:b/>
                <w:sz w:val="18"/>
              </w:rPr>
              <w:t>Total</w:t>
            </w:r>
          </w:p>
        </w:tc>
        <w:tc>
          <w:tcPr>
            <w:tcW w:w="2007" w:type="dxa"/>
            <w:vAlign w:val="center"/>
          </w:tcPr>
          <w:p w:rsidR="005F1C54" w:rsidRPr="00FF0BE9" w:rsidRDefault="005F1C54" w:rsidP="00B660EE">
            <w:pPr>
              <w:jc w:val="center"/>
              <w:rPr>
                <w:b/>
                <w:sz w:val="18"/>
              </w:rPr>
            </w:pPr>
            <w:r w:rsidRPr="00FF0BE9">
              <w:rPr>
                <w:b/>
                <w:sz w:val="18"/>
              </w:rPr>
              <w:t>59.7</w:t>
            </w:r>
          </w:p>
        </w:tc>
        <w:tc>
          <w:tcPr>
            <w:tcW w:w="2017" w:type="dxa"/>
            <w:vAlign w:val="center"/>
          </w:tcPr>
          <w:p w:rsidR="005F1C54" w:rsidRPr="00FF0BE9" w:rsidRDefault="005F1C54" w:rsidP="00B660EE">
            <w:pPr>
              <w:jc w:val="center"/>
              <w:rPr>
                <w:b/>
                <w:sz w:val="18"/>
              </w:rPr>
            </w:pPr>
            <w:r w:rsidRPr="00FF0BE9">
              <w:rPr>
                <w:b/>
                <w:sz w:val="18"/>
              </w:rPr>
              <w:t>53.4</w:t>
            </w:r>
          </w:p>
        </w:tc>
        <w:tc>
          <w:tcPr>
            <w:tcW w:w="2017" w:type="dxa"/>
            <w:vAlign w:val="center"/>
          </w:tcPr>
          <w:p w:rsidR="005F1C54" w:rsidRPr="00FF0BE9" w:rsidRDefault="005F1C54" w:rsidP="00B660EE">
            <w:pPr>
              <w:jc w:val="center"/>
              <w:rPr>
                <w:b/>
                <w:sz w:val="18"/>
              </w:rPr>
            </w:pPr>
            <w:r w:rsidRPr="00FF0BE9">
              <w:rPr>
                <w:b/>
                <w:sz w:val="18"/>
              </w:rPr>
              <w:t>41.9</w:t>
            </w:r>
          </w:p>
        </w:tc>
      </w:tr>
      <w:tr w:rsidR="005F1C54" w:rsidRPr="00FF0BE9" w:rsidTr="00B660EE">
        <w:tc>
          <w:tcPr>
            <w:tcW w:w="1907" w:type="dxa"/>
            <w:vMerge w:val="restart"/>
            <w:vAlign w:val="center"/>
          </w:tcPr>
          <w:p w:rsidR="005F1C54" w:rsidRPr="00FF0BE9" w:rsidRDefault="005F1C54" w:rsidP="00B660EE">
            <w:pPr>
              <w:rPr>
                <w:sz w:val="18"/>
              </w:rPr>
            </w:pPr>
            <w:r>
              <w:rPr>
                <w:sz w:val="18"/>
              </w:rPr>
              <w:t>Greenhouse gas emissions (Mt C0</w:t>
            </w:r>
            <w:r w:rsidRPr="00FF0BE9">
              <w:rPr>
                <w:sz w:val="18"/>
                <w:vertAlign w:val="subscript"/>
              </w:rPr>
              <w:t>2</w:t>
            </w:r>
            <w:r>
              <w:rPr>
                <w:sz w:val="18"/>
              </w:rPr>
              <w:t>-e)</w:t>
            </w:r>
          </w:p>
        </w:tc>
        <w:tc>
          <w:tcPr>
            <w:tcW w:w="1907" w:type="dxa"/>
            <w:vAlign w:val="center"/>
          </w:tcPr>
          <w:p w:rsidR="005F1C54" w:rsidRPr="00FF0BE9" w:rsidRDefault="005F1C54" w:rsidP="00B660EE">
            <w:pPr>
              <w:rPr>
                <w:sz w:val="18"/>
              </w:rPr>
            </w:pPr>
            <w:r>
              <w:rPr>
                <w:sz w:val="18"/>
              </w:rPr>
              <w:t>Residential</w:t>
            </w:r>
          </w:p>
        </w:tc>
        <w:tc>
          <w:tcPr>
            <w:tcW w:w="2007" w:type="dxa"/>
            <w:vAlign w:val="center"/>
          </w:tcPr>
          <w:p w:rsidR="005F1C54" w:rsidRPr="00FF0BE9" w:rsidRDefault="005F1C54" w:rsidP="00B660EE">
            <w:pPr>
              <w:jc w:val="center"/>
              <w:rPr>
                <w:sz w:val="18"/>
              </w:rPr>
            </w:pPr>
            <w:r>
              <w:rPr>
                <w:sz w:val="18"/>
              </w:rPr>
              <w:t>6.6</w:t>
            </w:r>
          </w:p>
        </w:tc>
        <w:tc>
          <w:tcPr>
            <w:tcW w:w="2017" w:type="dxa"/>
            <w:vAlign w:val="center"/>
          </w:tcPr>
          <w:p w:rsidR="005F1C54" w:rsidRPr="00FF0BE9" w:rsidRDefault="005F1C54" w:rsidP="00B660EE">
            <w:pPr>
              <w:jc w:val="center"/>
              <w:rPr>
                <w:sz w:val="18"/>
              </w:rPr>
            </w:pPr>
            <w:r>
              <w:rPr>
                <w:sz w:val="18"/>
              </w:rPr>
              <w:t>5.7</w:t>
            </w:r>
          </w:p>
        </w:tc>
        <w:tc>
          <w:tcPr>
            <w:tcW w:w="2017" w:type="dxa"/>
            <w:vAlign w:val="center"/>
          </w:tcPr>
          <w:p w:rsidR="005F1C54" w:rsidRPr="00FF0BE9" w:rsidRDefault="005F1C54" w:rsidP="00B660EE">
            <w:pPr>
              <w:jc w:val="center"/>
              <w:rPr>
                <w:sz w:val="18"/>
              </w:rPr>
            </w:pPr>
            <w:r>
              <w:rPr>
                <w:sz w:val="18"/>
              </w:rPr>
              <w:t>3.9</w:t>
            </w:r>
          </w:p>
        </w:tc>
      </w:tr>
      <w:tr w:rsidR="005F1C54" w:rsidRPr="00FF0BE9" w:rsidTr="00B660EE">
        <w:tc>
          <w:tcPr>
            <w:tcW w:w="1907" w:type="dxa"/>
            <w:vMerge/>
            <w:vAlign w:val="center"/>
          </w:tcPr>
          <w:p w:rsidR="005F1C54" w:rsidRPr="00FF0BE9" w:rsidRDefault="005F1C54" w:rsidP="00B660EE">
            <w:pPr>
              <w:rPr>
                <w:sz w:val="18"/>
              </w:rPr>
            </w:pPr>
          </w:p>
        </w:tc>
        <w:tc>
          <w:tcPr>
            <w:tcW w:w="1907" w:type="dxa"/>
            <w:vAlign w:val="center"/>
          </w:tcPr>
          <w:p w:rsidR="005F1C54" w:rsidRPr="00FF0BE9" w:rsidRDefault="005F1C54" w:rsidP="00B660EE">
            <w:pPr>
              <w:rPr>
                <w:sz w:val="18"/>
              </w:rPr>
            </w:pPr>
            <w:r>
              <w:rPr>
                <w:sz w:val="18"/>
              </w:rPr>
              <w:t>Commercial</w:t>
            </w:r>
          </w:p>
        </w:tc>
        <w:tc>
          <w:tcPr>
            <w:tcW w:w="2007" w:type="dxa"/>
            <w:vAlign w:val="center"/>
          </w:tcPr>
          <w:p w:rsidR="005F1C54" w:rsidRPr="00FF0BE9" w:rsidRDefault="005F1C54" w:rsidP="00B660EE">
            <w:pPr>
              <w:jc w:val="center"/>
              <w:rPr>
                <w:sz w:val="18"/>
              </w:rPr>
            </w:pPr>
            <w:r>
              <w:rPr>
                <w:sz w:val="18"/>
              </w:rPr>
              <w:t>8.0</w:t>
            </w:r>
          </w:p>
        </w:tc>
        <w:tc>
          <w:tcPr>
            <w:tcW w:w="2017" w:type="dxa"/>
            <w:vAlign w:val="center"/>
          </w:tcPr>
          <w:p w:rsidR="005F1C54" w:rsidRPr="00FF0BE9" w:rsidRDefault="005F1C54" w:rsidP="00B660EE">
            <w:pPr>
              <w:jc w:val="center"/>
              <w:rPr>
                <w:sz w:val="18"/>
              </w:rPr>
            </w:pPr>
            <w:r>
              <w:rPr>
                <w:sz w:val="18"/>
              </w:rPr>
              <w:t>7.3</w:t>
            </w:r>
          </w:p>
        </w:tc>
        <w:tc>
          <w:tcPr>
            <w:tcW w:w="2017" w:type="dxa"/>
            <w:vAlign w:val="center"/>
          </w:tcPr>
          <w:p w:rsidR="005F1C54" w:rsidRPr="00FF0BE9" w:rsidRDefault="005F1C54" w:rsidP="00B660EE">
            <w:pPr>
              <w:jc w:val="center"/>
              <w:rPr>
                <w:sz w:val="18"/>
              </w:rPr>
            </w:pPr>
            <w:r>
              <w:rPr>
                <w:sz w:val="18"/>
              </w:rPr>
              <w:t>6.3</w:t>
            </w:r>
          </w:p>
        </w:tc>
      </w:tr>
      <w:tr w:rsidR="005F1C54" w:rsidRPr="00FF0BE9" w:rsidTr="00B660EE">
        <w:tc>
          <w:tcPr>
            <w:tcW w:w="1907" w:type="dxa"/>
            <w:vMerge/>
            <w:vAlign w:val="center"/>
          </w:tcPr>
          <w:p w:rsidR="005F1C54" w:rsidRPr="00FF0BE9" w:rsidRDefault="005F1C54" w:rsidP="00B660EE">
            <w:pPr>
              <w:rPr>
                <w:sz w:val="18"/>
              </w:rPr>
            </w:pPr>
          </w:p>
        </w:tc>
        <w:tc>
          <w:tcPr>
            <w:tcW w:w="1907" w:type="dxa"/>
            <w:vAlign w:val="center"/>
          </w:tcPr>
          <w:p w:rsidR="005F1C54" w:rsidRPr="00FF0BE9" w:rsidRDefault="005F1C54" w:rsidP="00B660EE">
            <w:pPr>
              <w:rPr>
                <w:b/>
                <w:sz w:val="18"/>
              </w:rPr>
            </w:pPr>
            <w:r w:rsidRPr="00FF0BE9">
              <w:rPr>
                <w:b/>
                <w:sz w:val="18"/>
              </w:rPr>
              <w:t>Total</w:t>
            </w:r>
          </w:p>
        </w:tc>
        <w:tc>
          <w:tcPr>
            <w:tcW w:w="2007" w:type="dxa"/>
            <w:vAlign w:val="center"/>
          </w:tcPr>
          <w:p w:rsidR="005F1C54" w:rsidRPr="00FF0BE9" w:rsidRDefault="005F1C54" w:rsidP="00B660EE">
            <w:pPr>
              <w:jc w:val="center"/>
              <w:rPr>
                <w:b/>
                <w:sz w:val="18"/>
              </w:rPr>
            </w:pPr>
            <w:r w:rsidRPr="00FF0BE9">
              <w:rPr>
                <w:b/>
                <w:sz w:val="18"/>
              </w:rPr>
              <w:t>14.6</w:t>
            </w:r>
          </w:p>
        </w:tc>
        <w:tc>
          <w:tcPr>
            <w:tcW w:w="2017" w:type="dxa"/>
            <w:vAlign w:val="center"/>
          </w:tcPr>
          <w:p w:rsidR="005F1C54" w:rsidRPr="00FF0BE9" w:rsidRDefault="005F1C54" w:rsidP="00B660EE">
            <w:pPr>
              <w:jc w:val="center"/>
              <w:rPr>
                <w:b/>
                <w:sz w:val="18"/>
              </w:rPr>
            </w:pPr>
            <w:r w:rsidRPr="00FF0BE9">
              <w:rPr>
                <w:b/>
                <w:sz w:val="18"/>
              </w:rPr>
              <w:t>14.0</w:t>
            </w:r>
          </w:p>
        </w:tc>
        <w:tc>
          <w:tcPr>
            <w:tcW w:w="2017" w:type="dxa"/>
            <w:vAlign w:val="center"/>
          </w:tcPr>
          <w:p w:rsidR="005F1C54" w:rsidRPr="00FF0BE9" w:rsidRDefault="005F1C54" w:rsidP="00B660EE">
            <w:pPr>
              <w:jc w:val="center"/>
              <w:rPr>
                <w:b/>
                <w:sz w:val="18"/>
              </w:rPr>
            </w:pPr>
            <w:r w:rsidRPr="00FF0BE9">
              <w:rPr>
                <w:b/>
                <w:sz w:val="18"/>
              </w:rPr>
              <w:t>10.2</w:t>
            </w:r>
          </w:p>
        </w:tc>
      </w:tr>
      <w:tr w:rsidR="005F1C54" w:rsidRPr="00FF0BE9" w:rsidTr="00B660EE">
        <w:tc>
          <w:tcPr>
            <w:tcW w:w="3814" w:type="dxa"/>
            <w:gridSpan w:val="2"/>
            <w:shd w:val="clear" w:color="auto" w:fill="000000" w:themeFill="text1"/>
            <w:vAlign w:val="center"/>
          </w:tcPr>
          <w:p w:rsidR="005F1C54" w:rsidRPr="00FF0BE9" w:rsidRDefault="005F1C54" w:rsidP="00B660EE">
            <w:pPr>
              <w:rPr>
                <w:b/>
                <w:color w:val="FFFFFF" w:themeColor="background1"/>
                <w:sz w:val="18"/>
              </w:rPr>
            </w:pPr>
            <w:r>
              <w:rPr>
                <w:b/>
                <w:color w:val="FFFFFF" w:themeColor="background1"/>
                <w:sz w:val="18"/>
              </w:rPr>
              <w:t>New Zealand</w:t>
            </w:r>
          </w:p>
        </w:tc>
        <w:tc>
          <w:tcPr>
            <w:tcW w:w="2007" w:type="dxa"/>
            <w:shd w:val="clear" w:color="auto" w:fill="000000" w:themeFill="text1"/>
            <w:vAlign w:val="center"/>
          </w:tcPr>
          <w:p w:rsidR="005F1C54" w:rsidRPr="00FF0BE9" w:rsidRDefault="005F1C54" w:rsidP="00B660EE">
            <w:pPr>
              <w:jc w:val="center"/>
              <w:rPr>
                <w:b/>
                <w:color w:val="FFFFFF" w:themeColor="background1"/>
                <w:sz w:val="18"/>
              </w:rPr>
            </w:pPr>
            <w:r w:rsidRPr="00FF0BE9">
              <w:rPr>
                <w:b/>
                <w:color w:val="FFFFFF" w:themeColor="background1"/>
                <w:sz w:val="18"/>
              </w:rPr>
              <w:t>2015</w:t>
            </w:r>
          </w:p>
        </w:tc>
        <w:tc>
          <w:tcPr>
            <w:tcW w:w="2017" w:type="dxa"/>
            <w:shd w:val="clear" w:color="auto" w:fill="000000" w:themeFill="text1"/>
            <w:vAlign w:val="center"/>
          </w:tcPr>
          <w:p w:rsidR="005F1C54" w:rsidRPr="00FF0BE9" w:rsidRDefault="005F1C54" w:rsidP="00B660EE">
            <w:pPr>
              <w:jc w:val="center"/>
              <w:rPr>
                <w:b/>
                <w:color w:val="FFFFFF" w:themeColor="background1"/>
                <w:sz w:val="18"/>
              </w:rPr>
            </w:pPr>
            <w:r w:rsidRPr="00FF0BE9">
              <w:rPr>
                <w:b/>
                <w:color w:val="FFFFFF" w:themeColor="background1"/>
                <w:sz w:val="18"/>
              </w:rPr>
              <w:t>2020</w:t>
            </w:r>
          </w:p>
        </w:tc>
        <w:tc>
          <w:tcPr>
            <w:tcW w:w="2017" w:type="dxa"/>
            <w:shd w:val="clear" w:color="auto" w:fill="000000" w:themeFill="text1"/>
            <w:vAlign w:val="center"/>
          </w:tcPr>
          <w:p w:rsidR="005F1C54" w:rsidRPr="00FF0BE9" w:rsidRDefault="005F1C54" w:rsidP="00B660EE">
            <w:pPr>
              <w:jc w:val="center"/>
              <w:rPr>
                <w:b/>
                <w:color w:val="FFFFFF" w:themeColor="background1"/>
                <w:sz w:val="18"/>
              </w:rPr>
            </w:pPr>
            <w:r w:rsidRPr="00FF0BE9">
              <w:rPr>
                <w:b/>
                <w:color w:val="FFFFFF" w:themeColor="background1"/>
                <w:sz w:val="18"/>
              </w:rPr>
              <w:t>2030</w:t>
            </w:r>
          </w:p>
        </w:tc>
      </w:tr>
      <w:tr w:rsidR="005F1C54" w:rsidRPr="00FF0BE9" w:rsidTr="00B660EE">
        <w:tc>
          <w:tcPr>
            <w:tcW w:w="1907" w:type="dxa"/>
            <w:vMerge w:val="restart"/>
            <w:vAlign w:val="center"/>
          </w:tcPr>
          <w:p w:rsidR="005F1C54" w:rsidRPr="00FF0BE9" w:rsidRDefault="005F1C54" w:rsidP="00B660EE">
            <w:pPr>
              <w:rPr>
                <w:sz w:val="18"/>
              </w:rPr>
            </w:pPr>
            <w:r w:rsidRPr="00FF0BE9">
              <w:rPr>
                <w:sz w:val="18"/>
              </w:rPr>
              <w:t>Energy consumption (PJ p.a.)</w:t>
            </w:r>
          </w:p>
        </w:tc>
        <w:tc>
          <w:tcPr>
            <w:tcW w:w="1907" w:type="dxa"/>
            <w:vAlign w:val="center"/>
          </w:tcPr>
          <w:p w:rsidR="005F1C54" w:rsidRPr="00FF0BE9" w:rsidRDefault="005F1C54" w:rsidP="00B660EE">
            <w:pPr>
              <w:rPr>
                <w:sz w:val="18"/>
              </w:rPr>
            </w:pPr>
            <w:r>
              <w:rPr>
                <w:sz w:val="18"/>
              </w:rPr>
              <w:t>Residential</w:t>
            </w:r>
          </w:p>
        </w:tc>
        <w:tc>
          <w:tcPr>
            <w:tcW w:w="2007" w:type="dxa"/>
            <w:vAlign w:val="center"/>
          </w:tcPr>
          <w:p w:rsidR="005F1C54" w:rsidRPr="00FF0BE9" w:rsidRDefault="005F1C54" w:rsidP="00B660EE">
            <w:pPr>
              <w:jc w:val="center"/>
              <w:rPr>
                <w:sz w:val="18"/>
              </w:rPr>
            </w:pPr>
            <w:r>
              <w:rPr>
                <w:sz w:val="18"/>
              </w:rPr>
              <w:t>4.5</w:t>
            </w:r>
          </w:p>
        </w:tc>
        <w:tc>
          <w:tcPr>
            <w:tcW w:w="2017" w:type="dxa"/>
            <w:vAlign w:val="center"/>
          </w:tcPr>
          <w:p w:rsidR="005F1C54" w:rsidRPr="00FF0BE9" w:rsidRDefault="005F1C54" w:rsidP="00B660EE">
            <w:pPr>
              <w:jc w:val="center"/>
              <w:rPr>
                <w:sz w:val="18"/>
              </w:rPr>
            </w:pPr>
            <w:r>
              <w:rPr>
                <w:sz w:val="18"/>
              </w:rPr>
              <w:t>4.0</w:t>
            </w:r>
          </w:p>
        </w:tc>
        <w:tc>
          <w:tcPr>
            <w:tcW w:w="2017" w:type="dxa"/>
            <w:vAlign w:val="center"/>
          </w:tcPr>
          <w:p w:rsidR="005F1C54" w:rsidRPr="00FF0BE9" w:rsidRDefault="005F1C54" w:rsidP="00B660EE">
            <w:pPr>
              <w:jc w:val="center"/>
              <w:rPr>
                <w:sz w:val="18"/>
              </w:rPr>
            </w:pPr>
            <w:r>
              <w:rPr>
                <w:sz w:val="18"/>
              </w:rPr>
              <w:t>2.5</w:t>
            </w:r>
          </w:p>
        </w:tc>
      </w:tr>
      <w:tr w:rsidR="005F1C54" w:rsidRPr="00FF0BE9" w:rsidTr="00B660EE">
        <w:tc>
          <w:tcPr>
            <w:tcW w:w="1907" w:type="dxa"/>
            <w:vMerge/>
            <w:vAlign w:val="center"/>
          </w:tcPr>
          <w:p w:rsidR="005F1C54" w:rsidRPr="00FF0BE9" w:rsidRDefault="005F1C54" w:rsidP="00B660EE">
            <w:pPr>
              <w:rPr>
                <w:sz w:val="18"/>
              </w:rPr>
            </w:pPr>
          </w:p>
        </w:tc>
        <w:tc>
          <w:tcPr>
            <w:tcW w:w="1907" w:type="dxa"/>
            <w:vAlign w:val="center"/>
          </w:tcPr>
          <w:p w:rsidR="005F1C54" w:rsidRPr="00FF0BE9" w:rsidRDefault="005F1C54" w:rsidP="00B660EE">
            <w:pPr>
              <w:rPr>
                <w:sz w:val="18"/>
              </w:rPr>
            </w:pPr>
            <w:r>
              <w:rPr>
                <w:sz w:val="18"/>
              </w:rPr>
              <w:t>Commercial</w:t>
            </w:r>
          </w:p>
        </w:tc>
        <w:tc>
          <w:tcPr>
            <w:tcW w:w="2007" w:type="dxa"/>
            <w:vAlign w:val="center"/>
          </w:tcPr>
          <w:p w:rsidR="005F1C54" w:rsidRPr="00FF0BE9" w:rsidRDefault="005F1C54" w:rsidP="00B660EE">
            <w:pPr>
              <w:jc w:val="center"/>
              <w:rPr>
                <w:sz w:val="18"/>
              </w:rPr>
            </w:pPr>
            <w:r>
              <w:rPr>
                <w:sz w:val="18"/>
              </w:rPr>
              <w:t>8.9</w:t>
            </w:r>
          </w:p>
        </w:tc>
        <w:tc>
          <w:tcPr>
            <w:tcW w:w="2017" w:type="dxa"/>
            <w:vAlign w:val="center"/>
          </w:tcPr>
          <w:p w:rsidR="005F1C54" w:rsidRPr="00FF0BE9" w:rsidRDefault="005F1C54" w:rsidP="00B660EE">
            <w:pPr>
              <w:jc w:val="center"/>
              <w:rPr>
                <w:sz w:val="18"/>
              </w:rPr>
            </w:pPr>
            <w:r>
              <w:rPr>
                <w:sz w:val="18"/>
              </w:rPr>
              <w:t>7.9</w:t>
            </w:r>
          </w:p>
        </w:tc>
        <w:tc>
          <w:tcPr>
            <w:tcW w:w="2017" w:type="dxa"/>
            <w:vAlign w:val="center"/>
          </w:tcPr>
          <w:p w:rsidR="005F1C54" w:rsidRPr="00FF0BE9" w:rsidRDefault="005F1C54" w:rsidP="00B660EE">
            <w:pPr>
              <w:jc w:val="center"/>
              <w:rPr>
                <w:sz w:val="18"/>
              </w:rPr>
            </w:pPr>
            <w:r>
              <w:rPr>
                <w:sz w:val="18"/>
              </w:rPr>
              <w:t>6.7</w:t>
            </w:r>
          </w:p>
        </w:tc>
      </w:tr>
      <w:tr w:rsidR="005F1C54" w:rsidRPr="00FF0BE9" w:rsidTr="00B660EE">
        <w:tc>
          <w:tcPr>
            <w:tcW w:w="1907" w:type="dxa"/>
            <w:vMerge/>
            <w:vAlign w:val="center"/>
          </w:tcPr>
          <w:p w:rsidR="005F1C54" w:rsidRDefault="005F1C54" w:rsidP="00B660EE">
            <w:pPr>
              <w:rPr>
                <w:sz w:val="18"/>
              </w:rPr>
            </w:pPr>
          </w:p>
        </w:tc>
        <w:tc>
          <w:tcPr>
            <w:tcW w:w="1907" w:type="dxa"/>
            <w:vAlign w:val="center"/>
          </w:tcPr>
          <w:p w:rsidR="005F1C54" w:rsidRPr="00FF0BE9" w:rsidRDefault="005F1C54" w:rsidP="00B660EE">
            <w:pPr>
              <w:rPr>
                <w:b/>
                <w:sz w:val="18"/>
              </w:rPr>
            </w:pPr>
            <w:r w:rsidRPr="00FF0BE9">
              <w:rPr>
                <w:b/>
                <w:sz w:val="18"/>
              </w:rPr>
              <w:t>Total</w:t>
            </w:r>
          </w:p>
        </w:tc>
        <w:tc>
          <w:tcPr>
            <w:tcW w:w="2007" w:type="dxa"/>
            <w:vAlign w:val="center"/>
          </w:tcPr>
          <w:p w:rsidR="005F1C54" w:rsidRPr="00FF0BE9" w:rsidRDefault="005F1C54" w:rsidP="00B660EE">
            <w:pPr>
              <w:jc w:val="center"/>
              <w:rPr>
                <w:b/>
                <w:sz w:val="18"/>
              </w:rPr>
            </w:pPr>
            <w:r>
              <w:rPr>
                <w:b/>
                <w:sz w:val="18"/>
              </w:rPr>
              <w:t>13.4</w:t>
            </w:r>
          </w:p>
        </w:tc>
        <w:tc>
          <w:tcPr>
            <w:tcW w:w="2017" w:type="dxa"/>
            <w:vAlign w:val="center"/>
          </w:tcPr>
          <w:p w:rsidR="005F1C54" w:rsidRPr="00FF0BE9" w:rsidRDefault="005F1C54" w:rsidP="00B660EE">
            <w:pPr>
              <w:jc w:val="center"/>
              <w:rPr>
                <w:b/>
                <w:sz w:val="18"/>
              </w:rPr>
            </w:pPr>
            <w:r>
              <w:rPr>
                <w:b/>
                <w:sz w:val="18"/>
              </w:rPr>
              <w:t>11.9</w:t>
            </w:r>
          </w:p>
        </w:tc>
        <w:tc>
          <w:tcPr>
            <w:tcW w:w="2017" w:type="dxa"/>
            <w:vAlign w:val="center"/>
          </w:tcPr>
          <w:p w:rsidR="005F1C54" w:rsidRPr="00FF0BE9" w:rsidRDefault="005F1C54" w:rsidP="00B660EE">
            <w:pPr>
              <w:jc w:val="center"/>
              <w:rPr>
                <w:b/>
                <w:sz w:val="18"/>
              </w:rPr>
            </w:pPr>
            <w:r>
              <w:rPr>
                <w:b/>
                <w:sz w:val="18"/>
              </w:rPr>
              <w:t>9.2</w:t>
            </w:r>
          </w:p>
        </w:tc>
      </w:tr>
      <w:tr w:rsidR="005F1C54" w:rsidRPr="00FF0BE9" w:rsidTr="00B660EE">
        <w:tc>
          <w:tcPr>
            <w:tcW w:w="1907" w:type="dxa"/>
            <w:vMerge w:val="restart"/>
            <w:vAlign w:val="center"/>
          </w:tcPr>
          <w:p w:rsidR="005F1C54" w:rsidRPr="00FF0BE9" w:rsidRDefault="005F1C54" w:rsidP="00B660EE">
            <w:pPr>
              <w:rPr>
                <w:sz w:val="18"/>
              </w:rPr>
            </w:pPr>
            <w:r>
              <w:rPr>
                <w:sz w:val="18"/>
              </w:rPr>
              <w:t>Greenhouse gas emissions (Mt C0</w:t>
            </w:r>
            <w:r w:rsidRPr="00FF0BE9">
              <w:rPr>
                <w:sz w:val="18"/>
                <w:vertAlign w:val="subscript"/>
              </w:rPr>
              <w:t>2</w:t>
            </w:r>
            <w:r>
              <w:rPr>
                <w:sz w:val="18"/>
              </w:rPr>
              <w:t>-e)</w:t>
            </w:r>
          </w:p>
        </w:tc>
        <w:tc>
          <w:tcPr>
            <w:tcW w:w="1907" w:type="dxa"/>
            <w:vAlign w:val="center"/>
          </w:tcPr>
          <w:p w:rsidR="005F1C54" w:rsidRPr="00FF0BE9" w:rsidRDefault="005F1C54" w:rsidP="00B660EE">
            <w:pPr>
              <w:rPr>
                <w:sz w:val="18"/>
              </w:rPr>
            </w:pPr>
            <w:r>
              <w:rPr>
                <w:sz w:val="18"/>
              </w:rPr>
              <w:t>Residential</w:t>
            </w:r>
          </w:p>
        </w:tc>
        <w:tc>
          <w:tcPr>
            <w:tcW w:w="2007" w:type="dxa"/>
            <w:vAlign w:val="center"/>
          </w:tcPr>
          <w:p w:rsidR="005F1C54" w:rsidRPr="00FF0BE9" w:rsidRDefault="005F1C54" w:rsidP="00B660EE">
            <w:pPr>
              <w:jc w:val="center"/>
              <w:rPr>
                <w:sz w:val="18"/>
              </w:rPr>
            </w:pPr>
            <w:r>
              <w:rPr>
                <w:sz w:val="18"/>
              </w:rPr>
              <w:t>0.17</w:t>
            </w:r>
          </w:p>
        </w:tc>
        <w:tc>
          <w:tcPr>
            <w:tcW w:w="2017" w:type="dxa"/>
            <w:vAlign w:val="center"/>
          </w:tcPr>
          <w:p w:rsidR="005F1C54" w:rsidRPr="00FF0BE9" w:rsidRDefault="005F1C54" w:rsidP="00B660EE">
            <w:pPr>
              <w:jc w:val="center"/>
              <w:rPr>
                <w:sz w:val="18"/>
              </w:rPr>
            </w:pPr>
            <w:r>
              <w:rPr>
                <w:sz w:val="18"/>
              </w:rPr>
              <w:t>0.15</w:t>
            </w:r>
          </w:p>
        </w:tc>
        <w:tc>
          <w:tcPr>
            <w:tcW w:w="2017" w:type="dxa"/>
            <w:vAlign w:val="center"/>
          </w:tcPr>
          <w:p w:rsidR="005F1C54" w:rsidRPr="00FF0BE9" w:rsidRDefault="005F1C54" w:rsidP="00B660EE">
            <w:pPr>
              <w:jc w:val="center"/>
              <w:rPr>
                <w:sz w:val="18"/>
              </w:rPr>
            </w:pPr>
            <w:r>
              <w:rPr>
                <w:sz w:val="18"/>
              </w:rPr>
              <w:t>0.10</w:t>
            </w:r>
          </w:p>
        </w:tc>
      </w:tr>
      <w:tr w:rsidR="005F1C54" w:rsidRPr="00FF0BE9" w:rsidTr="00B660EE">
        <w:tc>
          <w:tcPr>
            <w:tcW w:w="1907" w:type="dxa"/>
            <w:vMerge/>
            <w:vAlign w:val="center"/>
          </w:tcPr>
          <w:p w:rsidR="005F1C54" w:rsidRPr="00FF0BE9" w:rsidRDefault="005F1C54" w:rsidP="00B660EE">
            <w:pPr>
              <w:rPr>
                <w:sz w:val="18"/>
              </w:rPr>
            </w:pPr>
          </w:p>
        </w:tc>
        <w:tc>
          <w:tcPr>
            <w:tcW w:w="1907" w:type="dxa"/>
            <w:vAlign w:val="center"/>
          </w:tcPr>
          <w:p w:rsidR="005F1C54" w:rsidRPr="00FF0BE9" w:rsidRDefault="005F1C54" w:rsidP="00B660EE">
            <w:pPr>
              <w:rPr>
                <w:sz w:val="18"/>
              </w:rPr>
            </w:pPr>
            <w:r>
              <w:rPr>
                <w:sz w:val="18"/>
              </w:rPr>
              <w:t>Commercial</w:t>
            </w:r>
          </w:p>
        </w:tc>
        <w:tc>
          <w:tcPr>
            <w:tcW w:w="2007" w:type="dxa"/>
            <w:vAlign w:val="center"/>
          </w:tcPr>
          <w:p w:rsidR="005F1C54" w:rsidRPr="00FF0BE9" w:rsidRDefault="005F1C54" w:rsidP="00B660EE">
            <w:pPr>
              <w:jc w:val="center"/>
              <w:rPr>
                <w:sz w:val="18"/>
              </w:rPr>
            </w:pPr>
            <w:r>
              <w:rPr>
                <w:sz w:val="18"/>
              </w:rPr>
              <w:t>2.2</w:t>
            </w:r>
          </w:p>
        </w:tc>
        <w:tc>
          <w:tcPr>
            <w:tcW w:w="2017" w:type="dxa"/>
            <w:vAlign w:val="center"/>
          </w:tcPr>
          <w:p w:rsidR="005F1C54" w:rsidRPr="00FF0BE9" w:rsidRDefault="005F1C54" w:rsidP="00B660EE">
            <w:pPr>
              <w:jc w:val="center"/>
              <w:rPr>
                <w:sz w:val="18"/>
              </w:rPr>
            </w:pPr>
            <w:r>
              <w:rPr>
                <w:sz w:val="18"/>
              </w:rPr>
              <w:t>1.9</w:t>
            </w:r>
          </w:p>
        </w:tc>
        <w:tc>
          <w:tcPr>
            <w:tcW w:w="2017" w:type="dxa"/>
            <w:vAlign w:val="center"/>
          </w:tcPr>
          <w:p w:rsidR="005F1C54" w:rsidRPr="00FF0BE9" w:rsidRDefault="005F1C54" w:rsidP="00B660EE">
            <w:pPr>
              <w:jc w:val="center"/>
              <w:rPr>
                <w:sz w:val="18"/>
              </w:rPr>
            </w:pPr>
            <w:r>
              <w:rPr>
                <w:sz w:val="18"/>
              </w:rPr>
              <w:t>1.6</w:t>
            </w:r>
          </w:p>
        </w:tc>
      </w:tr>
      <w:tr w:rsidR="005F1C54" w:rsidRPr="00FF0BE9" w:rsidTr="00B660EE">
        <w:tc>
          <w:tcPr>
            <w:tcW w:w="1907" w:type="dxa"/>
            <w:vMerge/>
            <w:vAlign w:val="center"/>
          </w:tcPr>
          <w:p w:rsidR="005F1C54" w:rsidRPr="00FF0BE9" w:rsidRDefault="005F1C54" w:rsidP="00B660EE">
            <w:pPr>
              <w:rPr>
                <w:sz w:val="18"/>
              </w:rPr>
            </w:pPr>
          </w:p>
        </w:tc>
        <w:tc>
          <w:tcPr>
            <w:tcW w:w="1907" w:type="dxa"/>
            <w:vAlign w:val="center"/>
          </w:tcPr>
          <w:p w:rsidR="005F1C54" w:rsidRPr="00FF0BE9" w:rsidRDefault="005F1C54" w:rsidP="00B660EE">
            <w:pPr>
              <w:rPr>
                <w:b/>
                <w:sz w:val="18"/>
              </w:rPr>
            </w:pPr>
            <w:r w:rsidRPr="00FF0BE9">
              <w:rPr>
                <w:b/>
                <w:sz w:val="18"/>
              </w:rPr>
              <w:t>Total</w:t>
            </w:r>
          </w:p>
        </w:tc>
        <w:tc>
          <w:tcPr>
            <w:tcW w:w="2007" w:type="dxa"/>
            <w:vAlign w:val="center"/>
          </w:tcPr>
          <w:p w:rsidR="005F1C54" w:rsidRPr="00FF0BE9" w:rsidRDefault="005F1C54" w:rsidP="00B660EE">
            <w:pPr>
              <w:jc w:val="center"/>
              <w:rPr>
                <w:b/>
                <w:sz w:val="18"/>
              </w:rPr>
            </w:pPr>
            <w:r>
              <w:rPr>
                <w:b/>
                <w:sz w:val="18"/>
              </w:rPr>
              <w:t>2.4</w:t>
            </w:r>
          </w:p>
        </w:tc>
        <w:tc>
          <w:tcPr>
            <w:tcW w:w="2017" w:type="dxa"/>
            <w:vAlign w:val="center"/>
          </w:tcPr>
          <w:p w:rsidR="005F1C54" w:rsidRPr="00FF0BE9" w:rsidRDefault="005F1C54" w:rsidP="00B660EE">
            <w:pPr>
              <w:jc w:val="center"/>
              <w:rPr>
                <w:b/>
                <w:sz w:val="18"/>
              </w:rPr>
            </w:pPr>
            <w:r>
              <w:rPr>
                <w:b/>
                <w:sz w:val="18"/>
              </w:rPr>
              <w:t>2.1</w:t>
            </w:r>
          </w:p>
        </w:tc>
        <w:tc>
          <w:tcPr>
            <w:tcW w:w="2017" w:type="dxa"/>
            <w:vAlign w:val="center"/>
          </w:tcPr>
          <w:p w:rsidR="005F1C54" w:rsidRPr="00FF0BE9" w:rsidRDefault="005F1C54" w:rsidP="00B660EE">
            <w:pPr>
              <w:jc w:val="center"/>
              <w:rPr>
                <w:b/>
                <w:sz w:val="18"/>
              </w:rPr>
            </w:pPr>
            <w:r>
              <w:rPr>
                <w:b/>
                <w:sz w:val="18"/>
              </w:rPr>
              <w:t>1.7</w:t>
            </w:r>
          </w:p>
        </w:tc>
      </w:tr>
    </w:tbl>
    <w:p w:rsidR="005F1C54" w:rsidRDefault="005F1C54" w:rsidP="00CA124C">
      <w:pPr>
        <w:rPr>
          <w:lang w:eastAsia="en-AU"/>
        </w:rPr>
      </w:pPr>
    </w:p>
    <w:p w:rsidR="00A5767B" w:rsidRDefault="00A5767B" w:rsidP="00E96970">
      <w:pPr>
        <w:pStyle w:val="Heading2"/>
      </w:pPr>
      <w:bookmarkStart w:id="171" w:name="_Toc426387758"/>
      <w:r>
        <w:t>Full Transition to Efficient lighting (Residential)</w:t>
      </w:r>
      <w:bookmarkEnd w:id="171"/>
    </w:p>
    <w:p w:rsidR="00CA124C" w:rsidRDefault="006D4E45" w:rsidP="004B6727">
      <w:pPr>
        <w:pStyle w:val="E3BodyText"/>
      </w:pPr>
      <w:r>
        <w:rPr>
          <w:lang w:eastAsia="en-AU"/>
        </w:rPr>
        <w:t>Residential energy savings which could be aff</w:t>
      </w:r>
      <w:r w:rsidR="00E2108A">
        <w:rPr>
          <w:lang w:eastAsia="en-AU"/>
        </w:rPr>
        <w:t xml:space="preserve">orded from a </w:t>
      </w:r>
      <w:r w:rsidR="00A5767B">
        <w:rPr>
          <w:lang w:eastAsia="en-AU"/>
        </w:rPr>
        <w:t xml:space="preserve">full </w:t>
      </w:r>
      <w:r w:rsidR="00E2108A">
        <w:rPr>
          <w:lang w:eastAsia="en-AU"/>
        </w:rPr>
        <w:t xml:space="preserve">conversion to LED </w:t>
      </w:r>
      <w:r>
        <w:rPr>
          <w:lang w:eastAsia="en-AU"/>
        </w:rPr>
        <w:t xml:space="preserve">and CFL lamps </w:t>
      </w:r>
      <w:r w:rsidR="00A5767B">
        <w:rPr>
          <w:lang w:eastAsia="en-AU"/>
        </w:rPr>
        <w:t xml:space="preserve">(most likely requiring some government intervention) </w:t>
      </w:r>
      <w:r>
        <w:rPr>
          <w:lang w:eastAsia="en-AU"/>
        </w:rPr>
        <w:t>are detailed in</w:t>
      </w:r>
      <w:r w:rsidR="00F11B81">
        <w:rPr>
          <w:lang w:eastAsia="en-AU"/>
        </w:rPr>
        <w:t xml:space="preserve"> </w:t>
      </w:r>
      <w:r w:rsidR="00F11B81">
        <w:rPr>
          <w:lang w:eastAsia="en-AU"/>
        </w:rPr>
        <w:fldChar w:fldCharType="begin"/>
      </w:r>
      <w:r w:rsidR="00F11B81">
        <w:rPr>
          <w:lang w:eastAsia="en-AU"/>
        </w:rPr>
        <w:instrText xml:space="preserve"> REF _Ref426367983 \h </w:instrText>
      </w:r>
      <w:r w:rsidR="00F11B81">
        <w:rPr>
          <w:lang w:eastAsia="en-AU"/>
        </w:rPr>
      </w:r>
      <w:r w:rsidR="00F11B81">
        <w:rPr>
          <w:lang w:eastAsia="en-AU"/>
        </w:rPr>
        <w:fldChar w:fldCharType="separate"/>
      </w:r>
      <w:r w:rsidR="002C13E2">
        <w:t xml:space="preserve">Table </w:t>
      </w:r>
      <w:r w:rsidR="002C13E2">
        <w:rPr>
          <w:noProof/>
        </w:rPr>
        <w:t>12</w:t>
      </w:r>
      <w:r w:rsidR="00F11B81">
        <w:rPr>
          <w:lang w:eastAsia="en-AU"/>
        </w:rPr>
        <w:fldChar w:fldCharType="end"/>
      </w:r>
      <w:r w:rsidRPr="00E2108A">
        <w:rPr>
          <w:lang w:eastAsia="en-AU"/>
        </w:rPr>
        <w:t>.</w:t>
      </w:r>
      <w:r w:rsidR="00E50A8A">
        <w:rPr>
          <w:lang w:eastAsia="en-AU"/>
        </w:rPr>
        <w:t xml:space="preserve"> </w:t>
      </w:r>
      <w:r w:rsidRPr="0093605C">
        <w:t xml:space="preserve">Household annual energy savings, from these calculations, would be around $180 p.a. per household for both Australian and New Zealand households (assuming an </w:t>
      </w:r>
      <w:r w:rsidR="001C650E">
        <w:t>electricity cost of 25c/kWh).</w:t>
      </w:r>
    </w:p>
    <w:p w:rsidR="000B2467" w:rsidRDefault="000B2467" w:rsidP="004B6727">
      <w:pPr>
        <w:pStyle w:val="E3BodyText"/>
      </w:pPr>
    </w:p>
    <w:p w:rsidR="00A219E2" w:rsidRPr="00A219E2" w:rsidRDefault="00EE22D4" w:rsidP="00EE22D4">
      <w:pPr>
        <w:pStyle w:val="Caption"/>
      </w:pPr>
      <w:bookmarkStart w:id="172" w:name="_Toc426387826"/>
      <w:r>
        <w:t xml:space="preserve">Table </w:t>
      </w:r>
      <w:r>
        <w:fldChar w:fldCharType="begin"/>
      </w:r>
      <w:r>
        <w:instrText xml:space="preserve"> SEQ Table \* ARABIC </w:instrText>
      </w:r>
      <w:r>
        <w:fldChar w:fldCharType="separate"/>
      </w:r>
      <w:r w:rsidR="002C13E2">
        <w:rPr>
          <w:noProof/>
        </w:rPr>
        <w:t>11</w:t>
      </w:r>
      <w:r>
        <w:fldChar w:fldCharType="end"/>
      </w:r>
      <w:r>
        <w:t xml:space="preserve"> </w:t>
      </w:r>
      <w:r w:rsidR="00B301E4" w:rsidRPr="00A219E2">
        <w:t>Current Average technology mix in Australian and New Zealand Households</w:t>
      </w:r>
      <w:bookmarkEnd w:id="172"/>
    </w:p>
    <w:tbl>
      <w:tblPr>
        <w:tblStyle w:val="TableGrid"/>
        <w:tblW w:w="0" w:type="auto"/>
        <w:tblLook w:val="04A0" w:firstRow="1" w:lastRow="0" w:firstColumn="1" w:lastColumn="0" w:noHBand="0" w:noVBand="1"/>
      </w:tblPr>
      <w:tblGrid>
        <w:gridCol w:w="1855"/>
        <w:gridCol w:w="973"/>
        <w:gridCol w:w="952"/>
        <w:gridCol w:w="952"/>
        <w:gridCol w:w="1282"/>
        <w:gridCol w:w="1261"/>
        <w:gridCol w:w="1282"/>
        <w:gridCol w:w="1298"/>
      </w:tblGrid>
      <w:tr w:rsidR="00F6554A" w:rsidRPr="00F6554A" w:rsidTr="006224FD">
        <w:trPr>
          <w:trHeight w:val="420"/>
          <w:tblHeader/>
        </w:trPr>
        <w:tc>
          <w:tcPr>
            <w:tcW w:w="9855" w:type="dxa"/>
            <w:gridSpan w:val="8"/>
            <w:noWrap/>
            <w:hideMark/>
          </w:tcPr>
          <w:p w:rsidR="00F6554A" w:rsidRPr="00F6554A" w:rsidRDefault="00F6554A" w:rsidP="00F6554A">
            <w:pPr>
              <w:rPr>
                <w:b/>
                <w:bCs/>
                <w:sz w:val="16"/>
                <w:szCs w:val="16"/>
              </w:rPr>
            </w:pPr>
            <w:r w:rsidRPr="00F6554A">
              <w:rPr>
                <w:b/>
                <w:bCs/>
                <w:sz w:val="16"/>
                <w:szCs w:val="16"/>
              </w:rPr>
              <w:t>Current (2010/2012)</w:t>
            </w:r>
          </w:p>
        </w:tc>
      </w:tr>
      <w:tr w:rsidR="00F6554A" w:rsidRPr="00F6554A" w:rsidTr="006224FD">
        <w:trPr>
          <w:trHeight w:val="315"/>
          <w:tblHeader/>
        </w:trPr>
        <w:tc>
          <w:tcPr>
            <w:tcW w:w="1855" w:type="dxa"/>
            <w:noWrap/>
            <w:hideMark/>
          </w:tcPr>
          <w:p w:rsidR="00F6554A" w:rsidRPr="00F6554A" w:rsidRDefault="00F6554A">
            <w:pPr>
              <w:rPr>
                <w:sz w:val="16"/>
                <w:szCs w:val="16"/>
              </w:rPr>
            </w:pPr>
            <w:r w:rsidRPr="00F6554A">
              <w:rPr>
                <w:sz w:val="16"/>
                <w:szCs w:val="16"/>
              </w:rPr>
              <w:t> </w:t>
            </w:r>
            <w:r w:rsidR="00A66912" w:rsidRPr="00F6554A">
              <w:rPr>
                <w:b/>
                <w:bCs/>
                <w:sz w:val="16"/>
                <w:szCs w:val="16"/>
              </w:rPr>
              <w:t>Lamp mix per house</w:t>
            </w:r>
          </w:p>
        </w:tc>
        <w:tc>
          <w:tcPr>
            <w:tcW w:w="973" w:type="dxa"/>
            <w:noWrap/>
            <w:hideMark/>
          </w:tcPr>
          <w:p w:rsidR="00F6554A" w:rsidRPr="00F6554A" w:rsidRDefault="00F6554A" w:rsidP="00F6554A">
            <w:pPr>
              <w:rPr>
                <w:b/>
                <w:bCs/>
                <w:sz w:val="16"/>
                <w:szCs w:val="16"/>
              </w:rPr>
            </w:pPr>
            <w:r w:rsidRPr="00F6554A">
              <w:rPr>
                <w:b/>
                <w:bCs/>
                <w:sz w:val="16"/>
                <w:szCs w:val="16"/>
              </w:rPr>
              <w:t>Lamps</w:t>
            </w:r>
            <w:r w:rsidR="00A66912">
              <w:rPr>
                <w:b/>
                <w:bCs/>
                <w:sz w:val="16"/>
                <w:szCs w:val="16"/>
              </w:rPr>
              <w:br/>
              <w:t>AU</w:t>
            </w:r>
            <w:r w:rsidR="00A66912">
              <w:rPr>
                <w:b/>
                <w:bCs/>
                <w:sz w:val="16"/>
                <w:szCs w:val="16"/>
              </w:rPr>
              <w:br/>
              <w:t>2010</w:t>
            </w:r>
          </w:p>
        </w:tc>
        <w:tc>
          <w:tcPr>
            <w:tcW w:w="952" w:type="dxa"/>
            <w:noWrap/>
            <w:hideMark/>
          </w:tcPr>
          <w:p w:rsidR="00F6554A" w:rsidRPr="00F6554A" w:rsidRDefault="00F6554A" w:rsidP="00F6554A">
            <w:pPr>
              <w:rPr>
                <w:b/>
                <w:bCs/>
                <w:sz w:val="16"/>
                <w:szCs w:val="16"/>
              </w:rPr>
            </w:pPr>
            <w:r w:rsidRPr="00F6554A">
              <w:rPr>
                <w:b/>
                <w:bCs/>
                <w:sz w:val="16"/>
                <w:szCs w:val="16"/>
              </w:rPr>
              <w:t>Lamps</w:t>
            </w:r>
            <w:r w:rsidR="00A66912">
              <w:rPr>
                <w:b/>
                <w:bCs/>
                <w:sz w:val="16"/>
                <w:szCs w:val="16"/>
              </w:rPr>
              <w:br/>
              <w:t>NZ</w:t>
            </w:r>
            <w:r w:rsidR="00A66912">
              <w:rPr>
                <w:b/>
                <w:bCs/>
                <w:sz w:val="16"/>
                <w:szCs w:val="16"/>
              </w:rPr>
              <w:br/>
              <w:t>2012</w:t>
            </w:r>
          </w:p>
        </w:tc>
        <w:tc>
          <w:tcPr>
            <w:tcW w:w="952" w:type="dxa"/>
            <w:noWrap/>
            <w:hideMark/>
          </w:tcPr>
          <w:p w:rsidR="00F6554A" w:rsidRPr="00F6554A" w:rsidRDefault="00F6554A" w:rsidP="00F6554A">
            <w:pPr>
              <w:rPr>
                <w:sz w:val="16"/>
                <w:szCs w:val="16"/>
              </w:rPr>
            </w:pPr>
            <w:r w:rsidRPr="00F6554A">
              <w:rPr>
                <w:sz w:val="16"/>
                <w:szCs w:val="16"/>
              </w:rPr>
              <w:t> </w:t>
            </w:r>
            <w:r w:rsidR="00A66912" w:rsidRPr="00F6554A">
              <w:rPr>
                <w:b/>
                <w:bCs/>
                <w:sz w:val="16"/>
                <w:szCs w:val="16"/>
              </w:rPr>
              <w:t>Av Lamp</w:t>
            </w:r>
            <w:r w:rsidR="00A66912">
              <w:rPr>
                <w:b/>
                <w:bCs/>
                <w:sz w:val="16"/>
                <w:szCs w:val="16"/>
              </w:rPr>
              <w:t xml:space="preserve"> </w:t>
            </w:r>
            <w:r w:rsidR="00A66912" w:rsidRPr="00F6554A">
              <w:rPr>
                <w:b/>
                <w:bCs/>
                <w:sz w:val="16"/>
                <w:szCs w:val="16"/>
              </w:rPr>
              <w:t>Power (W)</w:t>
            </w:r>
          </w:p>
        </w:tc>
        <w:tc>
          <w:tcPr>
            <w:tcW w:w="1282" w:type="dxa"/>
            <w:noWrap/>
            <w:hideMark/>
          </w:tcPr>
          <w:p w:rsidR="00A66912" w:rsidRPr="00F6554A" w:rsidRDefault="00F6554A" w:rsidP="00F6554A">
            <w:pPr>
              <w:rPr>
                <w:b/>
                <w:bCs/>
                <w:sz w:val="16"/>
                <w:szCs w:val="16"/>
              </w:rPr>
            </w:pPr>
            <w:r w:rsidRPr="00F6554A">
              <w:rPr>
                <w:b/>
                <w:bCs/>
                <w:sz w:val="16"/>
                <w:szCs w:val="16"/>
              </w:rPr>
              <w:t>Energy kWh p.a.</w:t>
            </w:r>
            <w:r w:rsidR="00A66912">
              <w:rPr>
                <w:b/>
                <w:bCs/>
                <w:sz w:val="16"/>
                <w:szCs w:val="16"/>
              </w:rPr>
              <w:br/>
              <w:t>AU</w:t>
            </w:r>
            <w:r w:rsidR="00A66912">
              <w:rPr>
                <w:b/>
                <w:bCs/>
                <w:sz w:val="16"/>
                <w:szCs w:val="16"/>
              </w:rPr>
              <w:br/>
              <w:t>2010</w:t>
            </w:r>
          </w:p>
        </w:tc>
        <w:tc>
          <w:tcPr>
            <w:tcW w:w="1261" w:type="dxa"/>
            <w:noWrap/>
            <w:hideMark/>
          </w:tcPr>
          <w:p w:rsidR="00F6554A" w:rsidRPr="00F6554A" w:rsidRDefault="00F6554A" w:rsidP="00F6554A">
            <w:pPr>
              <w:rPr>
                <w:b/>
                <w:bCs/>
                <w:sz w:val="16"/>
                <w:szCs w:val="16"/>
              </w:rPr>
            </w:pPr>
            <w:r w:rsidRPr="00F6554A">
              <w:rPr>
                <w:b/>
                <w:bCs/>
                <w:sz w:val="16"/>
                <w:szCs w:val="16"/>
              </w:rPr>
              <w:t xml:space="preserve">Energy Cost </w:t>
            </w:r>
            <w:r w:rsidR="00A66912">
              <w:rPr>
                <w:b/>
                <w:bCs/>
                <w:sz w:val="16"/>
                <w:szCs w:val="16"/>
              </w:rPr>
              <w:br/>
            </w:r>
            <w:r w:rsidR="00A66912" w:rsidRPr="00F6554A">
              <w:rPr>
                <w:b/>
                <w:bCs/>
                <w:sz w:val="16"/>
                <w:szCs w:val="16"/>
              </w:rPr>
              <w:t>(@25c/kWh)</w:t>
            </w:r>
            <w:r w:rsidR="00A66912">
              <w:rPr>
                <w:b/>
                <w:bCs/>
                <w:sz w:val="16"/>
                <w:szCs w:val="16"/>
              </w:rPr>
              <w:br/>
            </w:r>
            <w:r w:rsidR="00A66912" w:rsidRPr="00F6554A">
              <w:rPr>
                <w:b/>
                <w:bCs/>
                <w:sz w:val="16"/>
                <w:szCs w:val="16"/>
              </w:rPr>
              <w:t>Australia 2010</w:t>
            </w:r>
          </w:p>
        </w:tc>
        <w:tc>
          <w:tcPr>
            <w:tcW w:w="1282" w:type="dxa"/>
            <w:noWrap/>
            <w:hideMark/>
          </w:tcPr>
          <w:p w:rsidR="00F6554A" w:rsidRPr="00F6554A" w:rsidRDefault="00F6554A" w:rsidP="00F6554A">
            <w:pPr>
              <w:rPr>
                <w:b/>
                <w:bCs/>
                <w:sz w:val="16"/>
                <w:szCs w:val="16"/>
              </w:rPr>
            </w:pPr>
            <w:r w:rsidRPr="00F6554A">
              <w:rPr>
                <w:b/>
                <w:bCs/>
                <w:sz w:val="16"/>
                <w:szCs w:val="16"/>
              </w:rPr>
              <w:t>Energy kWh p.a.</w:t>
            </w:r>
            <w:r w:rsidR="00A66912">
              <w:rPr>
                <w:b/>
                <w:bCs/>
                <w:sz w:val="16"/>
                <w:szCs w:val="16"/>
              </w:rPr>
              <w:br/>
            </w:r>
            <w:r w:rsidR="00A66912" w:rsidRPr="00F6554A">
              <w:rPr>
                <w:b/>
                <w:bCs/>
                <w:sz w:val="16"/>
                <w:szCs w:val="16"/>
              </w:rPr>
              <w:t>NZ</w:t>
            </w:r>
            <w:r w:rsidR="00A66912">
              <w:rPr>
                <w:b/>
                <w:bCs/>
                <w:sz w:val="16"/>
                <w:szCs w:val="16"/>
              </w:rPr>
              <w:br/>
            </w:r>
            <w:r w:rsidR="00A66912" w:rsidRPr="00F6554A">
              <w:rPr>
                <w:b/>
                <w:bCs/>
                <w:sz w:val="16"/>
                <w:szCs w:val="16"/>
              </w:rPr>
              <w:t>2012</w:t>
            </w:r>
          </w:p>
        </w:tc>
        <w:tc>
          <w:tcPr>
            <w:tcW w:w="1298" w:type="dxa"/>
            <w:noWrap/>
            <w:hideMark/>
          </w:tcPr>
          <w:p w:rsidR="00F6554A" w:rsidRPr="00F6554A" w:rsidRDefault="00F6554A" w:rsidP="00F6554A">
            <w:pPr>
              <w:rPr>
                <w:b/>
                <w:bCs/>
                <w:sz w:val="16"/>
                <w:szCs w:val="16"/>
              </w:rPr>
            </w:pPr>
            <w:r w:rsidRPr="00F6554A">
              <w:rPr>
                <w:b/>
                <w:bCs/>
                <w:sz w:val="16"/>
                <w:szCs w:val="16"/>
              </w:rPr>
              <w:t xml:space="preserve">Energy Cost </w:t>
            </w:r>
            <w:r w:rsidR="00A66912">
              <w:rPr>
                <w:b/>
                <w:bCs/>
                <w:sz w:val="16"/>
                <w:szCs w:val="16"/>
              </w:rPr>
              <w:br/>
            </w:r>
            <w:r w:rsidR="00A66912" w:rsidRPr="00F6554A">
              <w:rPr>
                <w:b/>
                <w:bCs/>
                <w:sz w:val="16"/>
                <w:szCs w:val="16"/>
              </w:rPr>
              <w:t>(@25c/kWh)</w:t>
            </w:r>
            <w:r w:rsidR="00A66912">
              <w:rPr>
                <w:b/>
                <w:bCs/>
                <w:sz w:val="16"/>
                <w:szCs w:val="16"/>
              </w:rPr>
              <w:br/>
            </w:r>
            <w:r w:rsidR="00A66912" w:rsidRPr="00F6554A">
              <w:rPr>
                <w:b/>
                <w:bCs/>
                <w:sz w:val="16"/>
                <w:szCs w:val="16"/>
              </w:rPr>
              <w:t>NZ 2012</w:t>
            </w:r>
          </w:p>
        </w:tc>
      </w:tr>
      <w:tr w:rsidR="00F6554A" w:rsidRPr="00F6554A" w:rsidTr="006224FD">
        <w:trPr>
          <w:trHeight w:val="315"/>
        </w:trPr>
        <w:tc>
          <w:tcPr>
            <w:tcW w:w="1855" w:type="dxa"/>
            <w:noWrap/>
            <w:hideMark/>
          </w:tcPr>
          <w:p w:rsidR="00F6554A" w:rsidRPr="00F6554A" w:rsidRDefault="00F6554A">
            <w:pPr>
              <w:rPr>
                <w:sz w:val="16"/>
                <w:szCs w:val="16"/>
              </w:rPr>
            </w:pPr>
            <w:r w:rsidRPr="00F6554A">
              <w:rPr>
                <w:sz w:val="16"/>
                <w:szCs w:val="16"/>
              </w:rPr>
              <w:t>MV incandescent</w:t>
            </w:r>
          </w:p>
        </w:tc>
        <w:tc>
          <w:tcPr>
            <w:tcW w:w="973" w:type="dxa"/>
            <w:noWrap/>
            <w:hideMark/>
          </w:tcPr>
          <w:p w:rsidR="00F6554A" w:rsidRPr="00F6554A" w:rsidRDefault="00F6554A" w:rsidP="00F6554A">
            <w:pPr>
              <w:rPr>
                <w:sz w:val="16"/>
                <w:szCs w:val="16"/>
              </w:rPr>
            </w:pPr>
            <w:r w:rsidRPr="00F6554A">
              <w:rPr>
                <w:sz w:val="16"/>
                <w:szCs w:val="16"/>
              </w:rPr>
              <w:t>11.0</w:t>
            </w:r>
          </w:p>
        </w:tc>
        <w:tc>
          <w:tcPr>
            <w:tcW w:w="952" w:type="dxa"/>
            <w:noWrap/>
            <w:hideMark/>
          </w:tcPr>
          <w:p w:rsidR="00F6554A" w:rsidRPr="00F6554A" w:rsidRDefault="00F6554A" w:rsidP="00F6554A">
            <w:pPr>
              <w:rPr>
                <w:sz w:val="16"/>
                <w:szCs w:val="16"/>
              </w:rPr>
            </w:pPr>
            <w:r w:rsidRPr="00F6554A">
              <w:rPr>
                <w:sz w:val="16"/>
                <w:szCs w:val="16"/>
              </w:rPr>
              <w:t>20.8</w:t>
            </w:r>
          </w:p>
        </w:tc>
        <w:tc>
          <w:tcPr>
            <w:tcW w:w="952" w:type="dxa"/>
            <w:noWrap/>
            <w:hideMark/>
          </w:tcPr>
          <w:p w:rsidR="00F6554A" w:rsidRPr="00F6554A" w:rsidRDefault="00F6554A" w:rsidP="00F6554A">
            <w:pPr>
              <w:rPr>
                <w:sz w:val="16"/>
                <w:szCs w:val="16"/>
              </w:rPr>
            </w:pPr>
            <w:r w:rsidRPr="00F6554A">
              <w:rPr>
                <w:sz w:val="16"/>
                <w:szCs w:val="16"/>
              </w:rPr>
              <w:t>73</w:t>
            </w:r>
          </w:p>
        </w:tc>
        <w:tc>
          <w:tcPr>
            <w:tcW w:w="1282" w:type="dxa"/>
            <w:noWrap/>
            <w:hideMark/>
          </w:tcPr>
          <w:p w:rsidR="00F6554A" w:rsidRPr="00F6554A" w:rsidRDefault="00F6554A" w:rsidP="00F6554A">
            <w:pPr>
              <w:rPr>
                <w:sz w:val="16"/>
                <w:szCs w:val="16"/>
              </w:rPr>
            </w:pPr>
            <w:r w:rsidRPr="00F6554A">
              <w:rPr>
                <w:sz w:val="16"/>
                <w:szCs w:val="16"/>
              </w:rPr>
              <w:t>438</w:t>
            </w:r>
          </w:p>
        </w:tc>
        <w:tc>
          <w:tcPr>
            <w:tcW w:w="1261" w:type="dxa"/>
            <w:noWrap/>
            <w:hideMark/>
          </w:tcPr>
          <w:p w:rsidR="00F6554A" w:rsidRPr="00F6554A" w:rsidRDefault="00F6554A" w:rsidP="00F6554A">
            <w:pPr>
              <w:rPr>
                <w:sz w:val="16"/>
                <w:szCs w:val="16"/>
              </w:rPr>
            </w:pPr>
            <w:r w:rsidRPr="00F6554A">
              <w:rPr>
                <w:sz w:val="16"/>
                <w:szCs w:val="16"/>
              </w:rPr>
              <w:t>109</w:t>
            </w:r>
          </w:p>
        </w:tc>
        <w:tc>
          <w:tcPr>
            <w:tcW w:w="1282" w:type="dxa"/>
            <w:noWrap/>
            <w:hideMark/>
          </w:tcPr>
          <w:p w:rsidR="00F6554A" w:rsidRPr="00F6554A" w:rsidRDefault="00F6554A" w:rsidP="00F6554A">
            <w:pPr>
              <w:rPr>
                <w:sz w:val="16"/>
                <w:szCs w:val="16"/>
              </w:rPr>
            </w:pPr>
            <w:r w:rsidRPr="00F6554A">
              <w:rPr>
                <w:sz w:val="16"/>
                <w:szCs w:val="16"/>
              </w:rPr>
              <w:t>829</w:t>
            </w:r>
          </w:p>
        </w:tc>
        <w:tc>
          <w:tcPr>
            <w:tcW w:w="1298" w:type="dxa"/>
            <w:noWrap/>
            <w:hideMark/>
          </w:tcPr>
          <w:p w:rsidR="00F6554A" w:rsidRPr="00F6554A" w:rsidRDefault="00F6554A" w:rsidP="00F6554A">
            <w:pPr>
              <w:rPr>
                <w:sz w:val="16"/>
                <w:szCs w:val="16"/>
              </w:rPr>
            </w:pPr>
            <w:r w:rsidRPr="00F6554A">
              <w:rPr>
                <w:sz w:val="16"/>
                <w:szCs w:val="16"/>
              </w:rPr>
              <w:t>207</w:t>
            </w:r>
          </w:p>
        </w:tc>
      </w:tr>
      <w:tr w:rsidR="00F6554A" w:rsidRPr="00F6554A" w:rsidTr="006224FD">
        <w:trPr>
          <w:trHeight w:val="315"/>
        </w:trPr>
        <w:tc>
          <w:tcPr>
            <w:tcW w:w="1855" w:type="dxa"/>
            <w:noWrap/>
            <w:hideMark/>
          </w:tcPr>
          <w:p w:rsidR="00F6554A" w:rsidRPr="00F6554A" w:rsidRDefault="00F6554A">
            <w:pPr>
              <w:rPr>
                <w:sz w:val="16"/>
                <w:szCs w:val="16"/>
              </w:rPr>
            </w:pPr>
            <w:r w:rsidRPr="00F6554A">
              <w:rPr>
                <w:sz w:val="16"/>
                <w:szCs w:val="16"/>
              </w:rPr>
              <w:t>MV halogen</w:t>
            </w:r>
          </w:p>
        </w:tc>
        <w:tc>
          <w:tcPr>
            <w:tcW w:w="973" w:type="dxa"/>
            <w:noWrap/>
            <w:hideMark/>
          </w:tcPr>
          <w:p w:rsidR="00F6554A" w:rsidRPr="00F6554A" w:rsidRDefault="00F6554A" w:rsidP="00F6554A">
            <w:pPr>
              <w:rPr>
                <w:sz w:val="16"/>
                <w:szCs w:val="16"/>
              </w:rPr>
            </w:pPr>
            <w:r w:rsidRPr="00F6554A">
              <w:rPr>
                <w:sz w:val="16"/>
                <w:szCs w:val="16"/>
              </w:rPr>
              <w:t>4.4</w:t>
            </w:r>
          </w:p>
        </w:tc>
        <w:tc>
          <w:tcPr>
            <w:tcW w:w="952" w:type="dxa"/>
            <w:noWrap/>
            <w:hideMark/>
          </w:tcPr>
          <w:p w:rsidR="00F6554A" w:rsidRPr="00F6554A" w:rsidRDefault="00F6554A" w:rsidP="00F6554A">
            <w:pPr>
              <w:rPr>
                <w:sz w:val="16"/>
                <w:szCs w:val="16"/>
              </w:rPr>
            </w:pPr>
            <w:r w:rsidRPr="00F6554A">
              <w:rPr>
                <w:sz w:val="16"/>
                <w:szCs w:val="16"/>
              </w:rPr>
              <w:t>1.5</w:t>
            </w:r>
          </w:p>
        </w:tc>
        <w:tc>
          <w:tcPr>
            <w:tcW w:w="952" w:type="dxa"/>
            <w:noWrap/>
            <w:hideMark/>
          </w:tcPr>
          <w:p w:rsidR="00F6554A" w:rsidRPr="00F6554A" w:rsidRDefault="00F6554A" w:rsidP="00F6554A">
            <w:pPr>
              <w:rPr>
                <w:sz w:val="16"/>
                <w:szCs w:val="16"/>
              </w:rPr>
            </w:pPr>
            <w:r w:rsidRPr="00F6554A">
              <w:rPr>
                <w:sz w:val="16"/>
                <w:szCs w:val="16"/>
              </w:rPr>
              <w:t>51</w:t>
            </w:r>
          </w:p>
        </w:tc>
        <w:tc>
          <w:tcPr>
            <w:tcW w:w="1282" w:type="dxa"/>
            <w:noWrap/>
            <w:hideMark/>
          </w:tcPr>
          <w:p w:rsidR="00F6554A" w:rsidRPr="00F6554A" w:rsidRDefault="00F6554A" w:rsidP="00F6554A">
            <w:pPr>
              <w:rPr>
                <w:sz w:val="16"/>
                <w:szCs w:val="16"/>
              </w:rPr>
            </w:pPr>
            <w:r w:rsidRPr="00F6554A">
              <w:rPr>
                <w:sz w:val="16"/>
                <w:szCs w:val="16"/>
              </w:rPr>
              <w:t>123</w:t>
            </w:r>
          </w:p>
        </w:tc>
        <w:tc>
          <w:tcPr>
            <w:tcW w:w="1261" w:type="dxa"/>
            <w:noWrap/>
            <w:hideMark/>
          </w:tcPr>
          <w:p w:rsidR="00F6554A" w:rsidRPr="00F6554A" w:rsidRDefault="00F6554A" w:rsidP="00F6554A">
            <w:pPr>
              <w:rPr>
                <w:sz w:val="16"/>
                <w:szCs w:val="16"/>
              </w:rPr>
            </w:pPr>
            <w:r w:rsidRPr="00F6554A">
              <w:rPr>
                <w:sz w:val="16"/>
                <w:szCs w:val="16"/>
              </w:rPr>
              <w:t>31</w:t>
            </w:r>
          </w:p>
        </w:tc>
        <w:tc>
          <w:tcPr>
            <w:tcW w:w="1282" w:type="dxa"/>
            <w:noWrap/>
            <w:hideMark/>
          </w:tcPr>
          <w:p w:rsidR="00F6554A" w:rsidRPr="00F6554A" w:rsidRDefault="00F6554A" w:rsidP="00F6554A">
            <w:pPr>
              <w:rPr>
                <w:sz w:val="16"/>
                <w:szCs w:val="16"/>
              </w:rPr>
            </w:pPr>
            <w:r w:rsidRPr="00F6554A">
              <w:rPr>
                <w:sz w:val="16"/>
                <w:szCs w:val="16"/>
              </w:rPr>
              <w:t>42</w:t>
            </w:r>
          </w:p>
        </w:tc>
        <w:tc>
          <w:tcPr>
            <w:tcW w:w="1298" w:type="dxa"/>
            <w:noWrap/>
            <w:hideMark/>
          </w:tcPr>
          <w:p w:rsidR="00F6554A" w:rsidRPr="00F6554A" w:rsidRDefault="00F6554A" w:rsidP="00F6554A">
            <w:pPr>
              <w:rPr>
                <w:sz w:val="16"/>
                <w:szCs w:val="16"/>
              </w:rPr>
            </w:pPr>
            <w:r w:rsidRPr="00F6554A">
              <w:rPr>
                <w:sz w:val="16"/>
                <w:szCs w:val="16"/>
              </w:rPr>
              <w:t>10</w:t>
            </w:r>
          </w:p>
        </w:tc>
      </w:tr>
      <w:tr w:rsidR="00F6554A" w:rsidRPr="00F6554A" w:rsidTr="006224FD">
        <w:trPr>
          <w:trHeight w:val="315"/>
        </w:trPr>
        <w:tc>
          <w:tcPr>
            <w:tcW w:w="1855" w:type="dxa"/>
            <w:noWrap/>
            <w:hideMark/>
          </w:tcPr>
          <w:p w:rsidR="00F6554A" w:rsidRPr="00F6554A" w:rsidRDefault="00F6554A">
            <w:pPr>
              <w:rPr>
                <w:sz w:val="16"/>
                <w:szCs w:val="16"/>
              </w:rPr>
            </w:pPr>
            <w:r w:rsidRPr="00F6554A">
              <w:rPr>
                <w:sz w:val="16"/>
                <w:szCs w:val="16"/>
              </w:rPr>
              <w:t>ELV halogen</w:t>
            </w:r>
          </w:p>
        </w:tc>
        <w:tc>
          <w:tcPr>
            <w:tcW w:w="973" w:type="dxa"/>
            <w:noWrap/>
            <w:hideMark/>
          </w:tcPr>
          <w:p w:rsidR="00F6554A" w:rsidRPr="00F6554A" w:rsidRDefault="00F6554A" w:rsidP="00F6554A">
            <w:pPr>
              <w:rPr>
                <w:sz w:val="16"/>
                <w:szCs w:val="16"/>
              </w:rPr>
            </w:pPr>
            <w:r w:rsidRPr="00F6554A">
              <w:rPr>
                <w:sz w:val="16"/>
                <w:szCs w:val="16"/>
              </w:rPr>
              <w:t>12.3</w:t>
            </w:r>
          </w:p>
        </w:tc>
        <w:tc>
          <w:tcPr>
            <w:tcW w:w="952" w:type="dxa"/>
            <w:noWrap/>
            <w:hideMark/>
          </w:tcPr>
          <w:p w:rsidR="00F6554A" w:rsidRPr="00F6554A" w:rsidRDefault="00F6554A" w:rsidP="00F6554A">
            <w:pPr>
              <w:rPr>
                <w:sz w:val="16"/>
                <w:szCs w:val="16"/>
              </w:rPr>
            </w:pPr>
            <w:r w:rsidRPr="00F6554A">
              <w:rPr>
                <w:sz w:val="16"/>
                <w:szCs w:val="16"/>
              </w:rPr>
              <w:t>2.3</w:t>
            </w:r>
          </w:p>
        </w:tc>
        <w:tc>
          <w:tcPr>
            <w:tcW w:w="952" w:type="dxa"/>
            <w:noWrap/>
            <w:hideMark/>
          </w:tcPr>
          <w:p w:rsidR="00F6554A" w:rsidRPr="00F6554A" w:rsidRDefault="00F6554A" w:rsidP="00F6554A">
            <w:pPr>
              <w:rPr>
                <w:sz w:val="16"/>
                <w:szCs w:val="16"/>
              </w:rPr>
            </w:pPr>
            <w:r w:rsidRPr="00F6554A">
              <w:rPr>
                <w:sz w:val="16"/>
                <w:szCs w:val="16"/>
              </w:rPr>
              <w:t>49</w:t>
            </w:r>
          </w:p>
        </w:tc>
        <w:tc>
          <w:tcPr>
            <w:tcW w:w="1282" w:type="dxa"/>
            <w:noWrap/>
            <w:hideMark/>
          </w:tcPr>
          <w:p w:rsidR="00F6554A" w:rsidRPr="00F6554A" w:rsidRDefault="00F6554A" w:rsidP="00F6554A">
            <w:pPr>
              <w:rPr>
                <w:sz w:val="16"/>
                <w:szCs w:val="16"/>
              </w:rPr>
            </w:pPr>
            <w:r w:rsidRPr="00F6554A">
              <w:rPr>
                <w:sz w:val="16"/>
                <w:szCs w:val="16"/>
              </w:rPr>
              <w:t>330</w:t>
            </w:r>
          </w:p>
        </w:tc>
        <w:tc>
          <w:tcPr>
            <w:tcW w:w="1261" w:type="dxa"/>
            <w:noWrap/>
            <w:hideMark/>
          </w:tcPr>
          <w:p w:rsidR="00F6554A" w:rsidRPr="00F6554A" w:rsidRDefault="00F6554A" w:rsidP="00F6554A">
            <w:pPr>
              <w:rPr>
                <w:sz w:val="16"/>
                <w:szCs w:val="16"/>
              </w:rPr>
            </w:pPr>
            <w:r w:rsidRPr="00F6554A">
              <w:rPr>
                <w:sz w:val="16"/>
                <w:szCs w:val="16"/>
              </w:rPr>
              <w:t>82</w:t>
            </w:r>
          </w:p>
        </w:tc>
        <w:tc>
          <w:tcPr>
            <w:tcW w:w="1282" w:type="dxa"/>
            <w:noWrap/>
            <w:hideMark/>
          </w:tcPr>
          <w:p w:rsidR="00F6554A" w:rsidRPr="00F6554A" w:rsidRDefault="00F6554A" w:rsidP="00F6554A">
            <w:pPr>
              <w:rPr>
                <w:sz w:val="16"/>
                <w:szCs w:val="16"/>
              </w:rPr>
            </w:pPr>
            <w:r w:rsidRPr="00F6554A">
              <w:rPr>
                <w:sz w:val="16"/>
                <w:szCs w:val="16"/>
              </w:rPr>
              <w:t>62</w:t>
            </w:r>
          </w:p>
        </w:tc>
        <w:tc>
          <w:tcPr>
            <w:tcW w:w="1298" w:type="dxa"/>
            <w:noWrap/>
            <w:hideMark/>
          </w:tcPr>
          <w:p w:rsidR="00F6554A" w:rsidRPr="00F6554A" w:rsidRDefault="00F6554A" w:rsidP="00F6554A">
            <w:pPr>
              <w:rPr>
                <w:sz w:val="16"/>
                <w:szCs w:val="16"/>
              </w:rPr>
            </w:pPr>
            <w:r w:rsidRPr="00F6554A">
              <w:rPr>
                <w:sz w:val="16"/>
                <w:szCs w:val="16"/>
              </w:rPr>
              <w:t>15</w:t>
            </w:r>
          </w:p>
        </w:tc>
      </w:tr>
      <w:tr w:rsidR="00F6554A" w:rsidRPr="00F6554A" w:rsidTr="006224FD">
        <w:trPr>
          <w:trHeight w:val="315"/>
        </w:trPr>
        <w:tc>
          <w:tcPr>
            <w:tcW w:w="1855" w:type="dxa"/>
            <w:noWrap/>
            <w:hideMark/>
          </w:tcPr>
          <w:p w:rsidR="00F6554A" w:rsidRPr="00F6554A" w:rsidRDefault="00F6554A">
            <w:pPr>
              <w:rPr>
                <w:sz w:val="16"/>
                <w:szCs w:val="16"/>
              </w:rPr>
            </w:pPr>
            <w:r w:rsidRPr="00F6554A">
              <w:rPr>
                <w:sz w:val="16"/>
                <w:szCs w:val="16"/>
              </w:rPr>
              <w:t>CFL</w:t>
            </w:r>
          </w:p>
        </w:tc>
        <w:tc>
          <w:tcPr>
            <w:tcW w:w="973" w:type="dxa"/>
            <w:noWrap/>
            <w:hideMark/>
          </w:tcPr>
          <w:p w:rsidR="00F6554A" w:rsidRPr="00F6554A" w:rsidRDefault="00F6554A" w:rsidP="00F6554A">
            <w:pPr>
              <w:rPr>
                <w:sz w:val="16"/>
                <w:szCs w:val="16"/>
              </w:rPr>
            </w:pPr>
            <w:r w:rsidRPr="00F6554A">
              <w:rPr>
                <w:sz w:val="16"/>
                <w:szCs w:val="16"/>
              </w:rPr>
              <w:t>15.0</w:t>
            </w:r>
          </w:p>
        </w:tc>
        <w:tc>
          <w:tcPr>
            <w:tcW w:w="952" w:type="dxa"/>
            <w:noWrap/>
            <w:hideMark/>
          </w:tcPr>
          <w:p w:rsidR="00F6554A" w:rsidRPr="00F6554A" w:rsidRDefault="00F6554A" w:rsidP="00F6554A">
            <w:pPr>
              <w:rPr>
                <w:sz w:val="16"/>
                <w:szCs w:val="16"/>
              </w:rPr>
            </w:pPr>
            <w:r w:rsidRPr="00F6554A">
              <w:rPr>
                <w:sz w:val="16"/>
                <w:szCs w:val="16"/>
              </w:rPr>
              <w:t>8.7</w:t>
            </w:r>
          </w:p>
        </w:tc>
        <w:tc>
          <w:tcPr>
            <w:tcW w:w="952" w:type="dxa"/>
            <w:noWrap/>
            <w:hideMark/>
          </w:tcPr>
          <w:p w:rsidR="00F6554A" w:rsidRPr="00F6554A" w:rsidRDefault="00F6554A" w:rsidP="00F6554A">
            <w:pPr>
              <w:rPr>
                <w:sz w:val="16"/>
                <w:szCs w:val="16"/>
              </w:rPr>
            </w:pPr>
            <w:r w:rsidRPr="00F6554A">
              <w:rPr>
                <w:sz w:val="16"/>
                <w:szCs w:val="16"/>
              </w:rPr>
              <w:t>14</w:t>
            </w:r>
          </w:p>
        </w:tc>
        <w:tc>
          <w:tcPr>
            <w:tcW w:w="1282" w:type="dxa"/>
            <w:noWrap/>
            <w:hideMark/>
          </w:tcPr>
          <w:p w:rsidR="00F6554A" w:rsidRPr="00F6554A" w:rsidRDefault="00F6554A" w:rsidP="00F6554A">
            <w:pPr>
              <w:rPr>
                <w:sz w:val="16"/>
                <w:szCs w:val="16"/>
              </w:rPr>
            </w:pPr>
            <w:r w:rsidRPr="00F6554A">
              <w:rPr>
                <w:sz w:val="16"/>
                <w:szCs w:val="16"/>
              </w:rPr>
              <w:t>112</w:t>
            </w:r>
          </w:p>
        </w:tc>
        <w:tc>
          <w:tcPr>
            <w:tcW w:w="1261" w:type="dxa"/>
            <w:noWrap/>
            <w:hideMark/>
          </w:tcPr>
          <w:p w:rsidR="00F6554A" w:rsidRPr="00F6554A" w:rsidRDefault="00F6554A" w:rsidP="00F6554A">
            <w:pPr>
              <w:rPr>
                <w:sz w:val="16"/>
                <w:szCs w:val="16"/>
              </w:rPr>
            </w:pPr>
            <w:r w:rsidRPr="00F6554A">
              <w:rPr>
                <w:sz w:val="16"/>
                <w:szCs w:val="16"/>
              </w:rPr>
              <w:t>28</w:t>
            </w:r>
          </w:p>
        </w:tc>
        <w:tc>
          <w:tcPr>
            <w:tcW w:w="1282" w:type="dxa"/>
            <w:noWrap/>
            <w:hideMark/>
          </w:tcPr>
          <w:p w:rsidR="00F6554A" w:rsidRPr="00F6554A" w:rsidRDefault="00F6554A" w:rsidP="00F6554A">
            <w:pPr>
              <w:rPr>
                <w:sz w:val="16"/>
                <w:szCs w:val="16"/>
              </w:rPr>
            </w:pPr>
            <w:r w:rsidRPr="00F6554A">
              <w:rPr>
                <w:sz w:val="16"/>
                <w:szCs w:val="16"/>
              </w:rPr>
              <w:t>65</w:t>
            </w:r>
          </w:p>
        </w:tc>
        <w:tc>
          <w:tcPr>
            <w:tcW w:w="1298" w:type="dxa"/>
            <w:noWrap/>
            <w:hideMark/>
          </w:tcPr>
          <w:p w:rsidR="00F6554A" w:rsidRPr="00F6554A" w:rsidRDefault="00F6554A" w:rsidP="00F6554A">
            <w:pPr>
              <w:rPr>
                <w:sz w:val="16"/>
                <w:szCs w:val="16"/>
              </w:rPr>
            </w:pPr>
            <w:r w:rsidRPr="00F6554A">
              <w:rPr>
                <w:sz w:val="16"/>
                <w:szCs w:val="16"/>
              </w:rPr>
              <w:t>16</w:t>
            </w:r>
          </w:p>
        </w:tc>
      </w:tr>
      <w:tr w:rsidR="00F6554A" w:rsidRPr="00F6554A" w:rsidTr="006224FD">
        <w:trPr>
          <w:trHeight w:val="315"/>
        </w:trPr>
        <w:tc>
          <w:tcPr>
            <w:tcW w:w="1855" w:type="dxa"/>
            <w:noWrap/>
            <w:hideMark/>
          </w:tcPr>
          <w:p w:rsidR="00F6554A" w:rsidRPr="00F6554A" w:rsidRDefault="00F6554A">
            <w:pPr>
              <w:rPr>
                <w:sz w:val="16"/>
                <w:szCs w:val="16"/>
              </w:rPr>
            </w:pPr>
            <w:r w:rsidRPr="00F6554A">
              <w:rPr>
                <w:sz w:val="16"/>
                <w:szCs w:val="16"/>
              </w:rPr>
              <w:t>Linear fluorescent</w:t>
            </w:r>
          </w:p>
        </w:tc>
        <w:tc>
          <w:tcPr>
            <w:tcW w:w="973" w:type="dxa"/>
            <w:noWrap/>
            <w:hideMark/>
          </w:tcPr>
          <w:p w:rsidR="00F6554A" w:rsidRPr="00F6554A" w:rsidRDefault="00F6554A" w:rsidP="00F6554A">
            <w:pPr>
              <w:rPr>
                <w:sz w:val="16"/>
                <w:szCs w:val="16"/>
              </w:rPr>
            </w:pPr>
            <w:r w:rsidRPr="00F6554A">
              <w:rPr>
                <w:sz w:val="16"/>
                <w:szCs w:val="16"/>
              </w:rPr>
              <w:t>4.4</w:t>
            </w:r>
          </w:p>
        </w:tc>
        <w:tc>
          <w:tcPr>
            <w:tcW w:w="952" w:type="dxa"/>
            <w:noWrap/>
            <w:hideMark/>
          </w:tcPr>
          <w:p w:rsidR="00F6554A" w:rsidRPr="00F6554A" w:rsidRDefault="00F6554A" w:rsidP="00F6554A">
            <w:pPr>
              <w:rPr>
                <w:sz w:val="16"/>
                <w:szCs w:val="16"/>
              </w:rPr>
            </w:pPr>
            <w:r w:rsidRPr="00F6554A">
              <w:rPr>
                <w:sz w:val="16"/>
                <w:szCs w:val="16"/>
              </w:rPr>
              <w:t>0.9</w:t>
            </w:r>
          </w:p>
        </w:tc>
        <w:tc>
          <w:tcPr>
            <w:tcW w:w="952" w:type="dxa"/>
            <w:noWrap/>
            <w:hideMark/>
          </w:tcPr>
          <w:p w:rsidR="00F6554A" w:rsidRPr="00F6554A" w:rsidRDefault="00F6554A" w:rsidP="00F6554A">
            <w:pPr>
              <w:rPr>
                <w:sz w:val="16"/>
                <w:szCs w:val="16"/>
              </w:rPr>
            </w:pPr>
            <w:r w:rsidRPr="00F6554A">
              <w:rPr>
                <w:sz w:val="16"/>
                <w:szCs w:val="16"/>
              </w:rPr>
              <w:t>41</w:t>
            </w:r>
          </w:p>
        </w:tc>
        <w:tc>
          <w:tcPr>
            <w:tcW w:w="1282" w:type="dxa"/>
            <w:noWrap/>
            <w:hideMark/>
          </w:tcPr>
          <w:p w:rsidR="00F6554A" w:rsidRPr="00F6554A" w:rsidRDefault="00F6554A" w:rsidP="00F6554A">
            <w:pPr>
              <w:rPr>
                <w:sz w:val="16"/>
                <w:szCs w:val="16"/>
              </w:rPr>
            </w:pPr>
            <w:r w:rsidRPr="00F6554A">
              <w:rPr>
                <w:sz w:val="16"/>
                <w:szCs w:val="16"/>
              </w:rPr>
              <w:t>100</w:t>
            </w:r>
          </w:p>
        </w:tc>
        <w:tc>
          <w:tcPr>
            <w:tcW w:w="1261" w:type="dxa"/>
            <w:noWrap/>
            <w:hideMark/>
          </w:tcPr>
          <w:p w:rsidR="00F6554A" w:rsidRPr="00F6554A" w:rsidRDefault="00F6554A" w:rsidP="00F6554A">
            <w:pPr>
              <w:rPr>
                <w:sz w:val="16"/>
                <w:szCs w:val="16"/>
              </w:rPr>
            </w:pPr>
            <w:r w:rsidRPr="00F6554A">
              <w:rPr>
                <w:sz w:val="16"/>
                <w:szCs w:val="16"/>
              </w:rPr>
              <w:t>25</w:t>
            </w:r>
          </w:p>
        </w:tc>
        <w:tc>
          <w:tcPr>
            <w:tcW w:w="1282" w:type="dxa"/>
            <w:noWrap/>
            <w:hideMark/>
          </w:tcPr>
          <w:p w:rsidR="00F6554A" w:rsidRPr="00F6554A" w:rsidRDefault="00F6554A" w:rsidP="00F6554A">
            <w:pPr>
              <w:rPr>
                <w:sz w:val="16"/>
                <w:szCs w:val="16"/>
              </w:rPr>
            </w:pPr>
            <w:r w:rsidRPr="00F6554A">
              <w:rPr>
                <w:sz w:val="16"/>
                <w:szCs w:val="16"/>
              </w:rPr>
              <w:t>21</w:t>
            </w:r>
          </w:p>
        </w:tc>
        <w:tc>
          <w:tcPr>
            <w:tcW w:w="1298" w:type="dxa"/>
            <w:noWrap/>
            <w:hideMark/>
          </w:tcPr>
          <w:p w:rsidR="00F6554A" w:rsidRPr="00F6554A" w:rsidRDefault="00F6554A" w:rsidP="00F6554A">
            <w:pPr>
              <w:rPr>
                <w:sz w:val="16"/>
                <w:szCs w:val="16"/>
              </w:rPr>
            </w:pPr>
            <w:r w:rsidRPr="00F6554A">
              <w:rPr>
                <w:sz w:val="16"/>
                <w:szCs w:val="16"/>
              </w:rPr>
              <w:t>5</w:t>
            </w:r>
          </w:p>
        </w:tc>
      </w:tr>
      <w:tr w:rsidR="00F6554A" w:rsidRPr="00F6554A" w:rsidTr="006224FD">
        <w:trPr>
          <w:trHeight w:val="315"/>
        </w:trPr>
        <w:tc>
          <w:tcPr>
            <w:tcW w:w="1855" w:type="dxa"/>
            <w:noWrap/>
            <w:hideMark/>
          </w:tcPr>
          <w:p w:rsidR="00F6554A" w:rsidRPr="00F6554A" w:rsidRDefault="00F6554A">
            <w:pPr>
              <w:rPr>
                <w:sz w:val="16"/>
                <w:szCs w:val="16"/>
              </w:rPr>
            </w:pPr>
            <w:r w:rsidRPr="00F6554A">
              <w:rPr>
                <w:sz w:val="16"/>
                <w:szCs w:val="16"/>
              </w:rPr>
              <w:t>LED</w:t>
            </w:r>
          </w:p>
        </w:tc>
        <w:tc>
          <w:tcPr>
            <w:tcW w:w="973" w:type="dxa"/>
            <w:noWrap/>
            <w:hideMark/>
          </w:tcPr>
          <w:p w:rsidR="00F6554A" w:rsidRPr="00F6554A" w:rsidRDefault="00F6554A" w:rsidP="00F6554A">
            <w:pPr>
              <w:rPr>
                <w:sz w:val="16"/>
                <w:szCs w:val="16"/>
              </w:rPr>
            </w:pPr>
            <w:r w:rsidRPr="00F6554A">
              <w:rPr>
                <w:sz w:val="16"/>
                <w:szCs w:val="16"/>
              </w:rPr>
              <w:t>0.7</w:t>
            </w:r>
          </w:p>
        </w:tc>
        <w:tc>
          <w:tcPr>
            <w:tcW w:w="952" w:type="dxa"/>
            <w:noWrap/>
            <w:hideMark/>
          </w:tcPr>
          <w:p w:rsidR="00F6554A" w:rsidRPr="00F6554A" w:rsidRDefault="00F6554A" w:rsidP="00F6554A">
            <w:pPr>
              <w:rPr>
                <w:sz w:val="16"/>
                <w:szCs w:val="16"/>
              </w:rPr>
            </w:pPr>
            <w:r w:rsidRPr="00F6554A">
              <w:rPr>
                <w:sz w:val="16"/>
                <w:szCs w:val="16"/>
              </w:rPr>
              <w:t>0.2</w:t>
            </w:r>
          </w:p>
        </w:tc>
        <w:tc>
          <w:tcPr>
            <w:tcW w:w="952" w:type="dxa"/>
            <w:noWrap/>
            <w:hideMark/>
          </w:tcPr>
          <w:p w:rsidR="00F6554A" w:rsidRPr="00F6554A" w:rsidRDefault="00F6554A" w:rsidP="00F6554A">
            <w:pPr>
              <w:rPr>
                <w:sz w:val="16"/>
                <w:szCs w:val="16"/>
              </w:rPr>
            </w:pPr>
            <w:r w:rsidRPr="00F6554A">
              <w:rPr>
                <w:sz w:val="16"/>
                <w:szCs w:val="16"/>
              </w:rPr>
              <w:t>10</w:t>
            </w:r>
          </w:p>
        </w:tc>
        <w:tc>
          <w:tcPr>
            <w:tcW w:w="1282" w:type="dxa"/>
            <w:noWrap/>
            <w:hideMark/>
          </w:tcPr>
          <w:p w:rsidR="00F6554A" w:rsidRPr="00F6554A" w:rsidRDefault="00F6554A" w:rsidP="00F6554A">
            <w:pPr>
              <w:rPr>
                <w:sz w:val="16"/>
                <w:szCs w:val="16"/>
              </w:rPr>
            </w:pPr>
            <w:r w:rsidRPr="00F6554A">
              <w:rPr>
                <w:sz w:val="16"/>
                <w:szCs w:val="16"/>
              </w:rPr>
              <w:t>4</w:t>
            </w:r>
          </w:p>
        </w:tc>
        <w:tc>
          <w:tcPr>
            <w:tcW w:w="1261" w:type="dxa"/>
            <w:noWrap/>
            <w:hideMark/>
          </w:tcPr>
          <w:p w:rsidR="00F6554A" w:rsidRPr="00F6554A" w:rsidRDefault="00F6554A" w:rsidP="00F6554A">
            <w:pPr>
              <w:rPr>
                <w:sz w:val="16"/>
                <w:szCs w:val="16"/>
              </w:rPr>
            </w:pPr>
            <w:r w:rsidRPr="00F6554A">
              <w:rPr>
                <w:sz w:val="16"/>
                <w:szCs w:val="16"/>
              </w:rPr>
              <w:t>1</w:t>
            </w:r>
          </w:p>
        </w:tc>
        <w:tc>
          <w:tcPr>
            <w:tcW w:w="1282" w:type="dxa"/>
            <w:noWrap/>
            <w:hideMark/>
          </w:tcPr>
          <w:p w:rsidR="00F6554A" w:rsidRPr="00F6554A" w:rsidRDefault="00F6554A" w:rsidP="00F6554A">
            <w:pPr>
              <w:rPr>
                <w:sz w:val="16"/>
                <w:szCs w:val="16"/>
              </w:rPr>
            </w:pPr>
            <w:r w:rsidRPr="00F6554A">
              <w:rPr>
                <w:sz w:val="16"/>
                <w:szCs w:val="16"/>
              </w:rPr>
              <w:t>1</w:t>
            </w:r>
          </w:p>
        </w:tc>
        <w:tc>
          <w:tcPr>
            <w:tcW w:w="1298" w:type="dxa"/>
            <w:noWrap/>
            <w:hideMark/>
          </w:tcPr>
          <w:p w:rsidR="00F6554A" w:rsidRPr="00F6554A" w:rsidRDefault="00F6554A" w:rsidP="00F6554A">
            <w:pPr>
              <w:rPr>
                <w:sz w:val="16"/>
                <w:szCs w:val="16"/>
              </w:rPr>
            </w:pPr>
            <w:r w:rsidRPr="00F6554A">
              <w:rPr>
                <w:sz w:val="16"/>
                <w:szCs w:val="16"/>
              </w:rPr>
              <w:t>0</w:t>
            </w:r>
          </w:p>
        </w:tc>
      </w:tr>
      <w:tr w:rsidR="00F6554A" w:rsidRPr="00F6554A" w:rsidTr="006224FD">
        <w:trPr>
          <w:trHeight w:val="315"/>
        </w:trPr>
        <w:tc>
          <w:tcPr>
            <w:tcW w:w="1855" w:type="dxa"/>
            <w:noWrap/>
            <w:hideMark/>
          </w:tcPr>
          <w:p w:rsidR="00F6554A" w:rsidRPr="00F6554A" w:rsidRDefault="00F6554A">
            <w:pPr>
              <w:rPr>
                <w:b/>
                <w:bCs/>
                <w:sz w:val="16"/>
                <w:szCs w:val="16"/>
              </w:rPr>
            </w:pPr>
            <w:r w:rsidRPr="00F6554A">
              <w:rPr>
                <w:b/>
                <w:bCs/>
                <w:sz w:val="16"/>
                <w:szCs w:val="16"/>
              </w:rPr>
              <w:t>Total</w:t>
            </w:r>
          </w:p>
        </w:tc>
        <w:tc>
          <w:tcPr>
            <w:tcW w:w="973" w:type="dxa"/>
            <w:noWrap/>
            <w:hideMark/>
          </w:tcPr>
          <w:p w:rsidR="00F6554A" w:rsidRPr="00F6554A" w:rsidRDefault="00F6554A" w:rsidP="00F6554A">
            <w:pPr>
              <w:rPr>
                <w:b/>
                <w:bCs/>
                <w:sz w:val="16"/>
                <w:szCs w:val="16"/>
              </w:rPr>
            </w:pPr>
            <w:r w:rsidRPr="00F6554A">
              <w:rPr>
                <w:b/>
                <w:bCs/>
                <w:sz w:val="16"/>
                <w:szCs w:val="16"/>
              </w:rPr>
              <w:t>48</w:t>
            </w:r>
          </w:p>
        </w:tc>
        <w:tc>
          <w:tcPr>
            <w:tcW w:w="952" w:type="dxa"/>
            <w:noWrap/>
            <w:hideMark/>
          </w:tcPr>
          <w:p w:rsidR="00F6554A" w:rsidRPr="00F6554A" w:rsidRDefault="00F6554A" w:rsidP="00F6554A">
            <w:pPr>
              <w:rPr>
                <w:b/>
                <w:bCs/>
                <w:sz w:val="16"/>
                <w:szCs w:val="16"/>
              </w:rPr>
            </w:pPr>
            <w:r w:rsidRPr="00F6554A">
              <w:rPr>
                <w:b/>
                <w:bCs/>
                <w:sz w:val="16"/>
                <w:szCs w:val="16"/>
              </w:rPr>
              <w:t>34.5</w:t>
            </w:r>
          </w:p>
        </w:tc>
        <w:tc>
          <w:tcPr>
            <w:tcW w:w="952" w:type="dxa"/>
            <w:noWrap/>
            <w:hideMark/>
          </w:tcPr>
          <w:p w:rsidR="00F6554A" w:rsidRPr="00F6554A" w:rsidRDefault="00F6554A" w:rsidP="00F6554A">
            <w:pPr>
              <w:rPr>
                <w:sz w:val="16"/>
                <w:szCs w:val="16"/>
              </w:rPr>
            </w:pPr>
          </w:p>
        </w:tc>
        <w:tc>
          <w:tcPr>
            <w:tcW w:w="1282" w:type="dxa"/>
            <w:noWrap/>
            <w:hideMark/>
          </w:tcPr>
          <w:p w:rsidR="00F6554A" w:rsidRPr="00F6554A" w:rsidRDefault="00F6554A" w:rsidP="00F6554A">
            <w:pPr>
              <w:rPr>
                <w:b/>
                <w:bCs/>
                <w:sz w:val="16"/>
                <w:szCs w:val="16"/>
              </w:rPr>
            </w:pPr>
            <w:r w:rsidRPr="00F6554A">
              <w:rPr>
                <w:b/>
                <w:bCs/>
                <w:sz w:val="16"/>
                <w:szCs w:val="16"/>
              </w:rPr>
              <w:t>1106</w:t>
            </w:r>
          </w:p>
        </w:tc>
        <w:tc>
          <w:tcPr>
            <w:tcW w:w="1261" w:type="dxa"/>
            <w:noWrap/>
            <w:hideMark/>
          </w:tcPr>
          <w:p w:rsidR="00F6554A" w:rsidRPr="00F6554A" w:rsidRDefault="00F6554A" w:rsidP="00F6554A">
            <w:pPr>
              <w:rPr>
                <w:b/>
                <w:bCs/>
                <w:sz w:val="16"/>
                <w:szCs w:val="16"/>
              </w:rPr>
            </w:pPr>
            <w:r w:rsidRPr="00F6554A">
              <w:rPr>
                <w:b/>
                <w:bCs/>
                <w:sz w:val="16"/>
                <w:szCs w:val="16"/>
              </w:rPr>
              <w:t>277</w:t>
            </w:r>
          </w:p>
        </w:tc>
        <w:tc>
          <w:tcPr>
            <w:tcW w:w="1282" w:type="dxa"/>
            <w:noWrap/>
            <w:hideMark/>
          </w:tcPr>
          <w:p w:rsidR="00F6554A" w:rsidRPr="00F6554A" w:rsidRDefault="00F6554A" w:rsidP="00F6554A">
            <w:pPr>
              <w:rPr>
                <w:b/>
                <w:bCs/>
                <w:sz w:val="16"/>
                <w:szCs w:val="16"/>
              </w:rPr>
            </w:pPr>
            <w:r w:rsidRPr="00F6554A">
              <w:rPr>
                <w:b/>
                <w:bCs/>
                <w:sz w:val="16"/>
                <w:szCs w:val="16"/>
              </w:rPr>
              <w:t>1019</w:t>
            </w:r>
          </w:p>
        </w:tc>
        <w:tc>
          <w:tcPr>
            <w:tcW w:w="1298" w:type="dxa"/>
            <w:noWrap/>
            <w:hideMark/>
          </w:tcPr>
          <w:p w:rsidR="00F6554A" w:rsidRPr="00F6554A" w:rsidRDefault="00F6554A" w:rsidP="00F6554A">
            <w:pPr>
              <w:rPr>
                <w:b/>
                <w:bCs/>
                <w:sz w:val="16"/>
                <w:szCs w:val="16"/>
              </w:rPr>
            </w:pPr>
            <w:r w:rsidRPr="00F6554A">
              <w:rPr>
                <w:b/>
                <w:bCs/>
                <w:sz w:val="16"/>
                <w:szCs w:val="16"/>
              </w:rPr>
              <w:t>255</w:t>
            </w:r>
          </w:p>
        </w:tc>
      </w:tr>
    </w:tbl>
    <w:p w:rsidR="00B301E4" w:rsidRDefault="00B301E4" w:rsidP="00CA124C">
      <w:pPr>
        <w:rPr>
          <w:bCs/>
          <w:i/>
          <w:lang w:eastAsia="en-AU"/>
        </w:rPr>
      </w:pPr>
    </w:p>
    <w:p w:rsidR="007D3D12" w:rsidRDefault="007D3D12" w:rsidP="00CA124C">
      <w:pPr>
        <w:rPr>
          <w:bCs/>
          <w:i/>
          <w:lang w:eastAsia="en-AU"/>
        </w:rPr>
      </w:pPr>
    </w:p>
    <w:p w:rsidR="007D3D12" w:rsidRDefault="007D3D12" w:rsidP="00CA124C">
      <w:pPr>
        <w:rPr>
          <w:bCs/>
          <w:i/>
          <w:lang w:eastAsia="en-AU"/>
        </w:rPr>
      </w:pPr>
    </w:p>
    <w:p w:rsidR="007D3D12" w:rsidRDefault="007D3D12" w:rsidP="00CA124C">
      <w:pPr>
        <w:rPr>
          <w:bCs/>
          <w:i/>
          <w:lang w:eastAsia="en-AU"/>
        </w:rPr>
      </w:pPr>
    </w:p>
    <w:p w:rsidR="007D3D12" w:rsidRPr="00EE22D4" w:rsidRDefault="007D3D12" w:rsidP="00CA124C">
      <w:pPr>
        <w:rPr>
          <w:bCs/>
          <w:i/>
          <w:lang w:eastAsia="en-AU"/>
        </w:rPr>
      </w:pPr>
    </w:p>
    <w:p w:rsidR="00F6554A" w:rsidRDefault="00EE22D4" w:rsidP="00EE22D4">
      <w:pPr>
        <w:pStyle w:val="Caption"/>
      </w:pPr>
      <w:bookmarkStart w:id="173" w:name="_Ref426367983"/>
      <w:bookmarkStart w:id="174" w:name="_Toc426387827"/>
      <w:r>
        <w:t xml:space="preserve">Table </w:t>
      </w:r>
      <w:r>
        <w:fldChar w:fldCharType="begin"/>
      </w:r>
      <w:r>
        <w:instrText xml:space="preserve"> SEQ Table \* ARABIC </w:instrText>
      </w:r>
      <w:r>
        <w:fldChar w:fldCharType="separate"/>
      </w:r>
      <w:r w:rsidR="002C13E2">
        <w:rPr>
          <w:noProof/>
        </w:rPr>
        <w:t>12</w:t>
      </w:r>
      <w:r>
        <w:fldChar w:fldCharType="end"/>
      </w:r>
      <w:bookmarkEnd w:id="173"/>
      <w:r>
        <w:t xml:space="preserve"> </w:t>
      </w:r>
      <w:r w:rsidR="00F6554A" w:rsidRPr="00F70073">
        <w:t>Potential for household lighting energy savings from converting to CFL and LED (compared to Australia 2010 and New Zealand 2012</w:t>
      </w:r>
      <w:r w:rsidR="00F6554A">
        <w:t>.</w:t>
      </w:r>
      <w:bookmarkEnd w:id="174"/>
    </w:p>
    <w:tbl>
      <w:tblPr>
        <w:tblStyle w:val="TableGrid"/>
        <w:tblW w:w="0" w:type="auto"/>
        <w:tblLook w:val="04A0" w:firstRow="1" w:lastRow="0" w:firstColumn="1" w:lastColumn="0" w:noHBand="0" w:noVBand="1"/>
      </w:tblPr>
      <w:tblGrid>
        <w:gridCol w:w="2562"/>
        <w:gridCol w:w="1617"/>
        <w:gridCol w:w="1471"/>
        <w:gridCol w:w="1438"/>
        <w:gridCol w:w="1471"/>
        <w:gridCol w:w="1296"/>
      </w:tblGrid>
      <w:tr w:rsidR="00F6554A" w:rsidRPr="00F6554A" w:rsidTr="006224FD">
        <w:trPr>
          <w:trHeight w:val="420"/>
          <w:tblHeader/>
        </w:trPr>
        <w:tc>
          <w:tcPr>
            <w:tcW w:w="9855" w:type="dxa"/>
            <w:gridSpan w:val="6"/>
            <w:noWrap/>
            <w:hideMark/>
          </w:tcPr>
          <w:p w:rsidR="00F6554A" w:rsidRPr="00F6554A" w:rsidRDefault="00F6554A" w:rsidP="00F6554A">
            <w:pPr>
              <w:rPr>
                <w:sz w:val="16"/>
                <w:szCs w:val="16"/>
              </w:rPr>
            </w:pPr>
            <w:r w:rsidRPr="00F6554A">
              <w:rPr>
                <w:b/>
                <w:bCs/>
                <w:sz w:val="16"/>
                <w:szCs w:val="16"/>
              </w:rPr>
              <w:t>Potential</w:t>
            </w:r>
          </w:p>
        </w:tc>
      </w:tr>
      <w:tr w:rsidR="00F6554A" w:rsidRPr="00F6554A" w:rsidTr="006224FD">
        <w:trPr>
          <w:trHeight w:val="315"/>
          <w:tblHeader/>
        </w:trPr>
        <w:tc>
          <w:tcPr>
            <w:tcW w:w="2562" w:type="dxa"/>
            <w:noWrap/>
            <w:hideMark/>
          </w:tcPr>
          <w:p w:rsidR="00F6554A" w:rsidRPr="00F6554A" w:rsidRDefault="00F6554A" w:rsidP="00F6554A">
            <w:pPr>
              <w:rPr>
                <w:sz w:val="16"/>
                <w:szCs w:val="16"/>
              </w:rPr>
            </w:pPr>
            <w:r w:rsidRPr="00F6554A">
              <w:rPr>
                <w:sz w:val="16"/>
                <w:szCs w:val="16"/>
              </w:rPr>
              <w:t> </w:t>
            </w:r>
            <w:r w:rsidR="00A66912" w:rsidRPr="00F6554A">
              <w:rPr>
                <w:b/>
                <w:bCs/>
                <w:sz w:val="16"/>
                <w:szCs w:val="16"/>
              </w:rPr>
              <w:t>Lamp mix per house</w:t>
            </w:r>
          </w:p>
        </w:tc>
        <w:tc>
          <w:tcPr>
            <w:tcW w:w="1617" w:type="dxa"/>
            <w:noWrap/>
            <w:hideMark/>
          </w:tcPr>
          <w:p w:rsidR="00F6554A" w:rsidRPr="00F6554A" w:rsidRDefault="00A66912" w:rsidP="00F6554A">
            <w:pPr>
              <w:rPr>
                <w:sz w:val="16"/>
                <w:szCs w:val="16"/>
              </w:rPr>
            </w:pPr>
            <w:r w:rsidRPr="00F6554A">
              <w:rPr>
                <w:sz w:val="16"/>
                <w:szCs w:val="16"/>
              </w:rPr>
              <w:t> </w:t>
            </w:r>
            <w:r w:rsidRPr="00F6554A">
              <w:rPr>
                <w:b/>
                <w:bCs/>
                <w:sz w:val="16"/>
                <w:szCs w:val="16"/>
              </w:rPr>
              <w:t xml:space="preserve">Av </w:t>
            </w:r>
            <w:r w:rsidR="00E50A8A">
              <w:rPr>
                <w:b/>
                <w:bCs/>
                <w:sz w:val="16"/>
                <w:szCs w:val="16"/>
              </w:rPr>
              <w:t xml:space="preserve">New </w:t>
            </w:r>
            <w:r w:rsidRPr="00F6554A">
              <w:rPr>
                <w:b/>
                <w:bCs/>
                <w:sz w:val="16"/>
                <w:szCs w:val="16"/>
              </w:rPr>
              <w:t>Lamp</w:t>
            </w:r>
            <w:r>
              <w:rPr>
                <w:b/>
                <w:bCs/>
                <w:sz w:val="16"/>
                <w:szCs w:val="16"/>
              </w:rPr>
              <w:t xml:space="preserve"> </w:t>
            </w:r>
            <w:r w:rsidRPr="00F6554A">
              <w:rPr>
                <w:b/>
                <w:bCs/>
                <w:sz w:val="16"/>
                <w:szCs w:val="16"/>
              </w:rPr>
              <w:t>Power (W)</w:t>
            </w:r>
          </w:p>
        </w:tc>
        <w:tc>
          <w:tcPr>
            <w:tcW w:w="1471" w:type="dxa"/>
            <w:noWrap/>
            <w:hideMark/>
          </w:tcPr>
          <w:p w:rsidR="00F6554A" w:rsidRPr="00F6554A" w:rsidRDefault="00A66912" w:rsidP="00F6554A">
            <w:pPr>
              <w:rPr>
                <w:b/>
                <w:bCs/>
                <w:sz w:val="16"/>
                <w:szCs w:val="16"/>
              </w:rPr>
            </w:pPr>
            <w:r w:rsidRPr="00F6554A">
              <w:rPr>
                <w:b/>
                <w:bCs/>
                <w:sz w:val="16"/>
                <w:szCs w:val="16"/>
              </w:rPr>
              <w:t>Energy kWh p.a.</w:t>
            </w:r>
            <w:r>
              <w:rPr>
                <w:b/>
                <w:bCs/>
                <w:sz w:val="16"/>
                <w:szCs w:val="16"/>
              </w:rPr>
              <w:br/>
              <w:t>AU</w:t>
            </w:r>
            <w:r>
              <w:rPr>
                <w:b/>
                <w:bCs/>
                <w:sz w:val="16"/>
                <w:szCs w:val="16"/>
              </w:rPr>
              <w:br/>
              <w:t>Potential</w:t>
            </w:r>
          </w:p>
        </w:tc>
        <w:tc>
          <w:tcPr>
            <w:tcW w:w="1438" w:type="dxa"/>
            <w:noWrap/>
            <w:hideMark/>
          </w:tcPr>
          <w:p w:rsidR="00F6554A" w:rsidRPr="00F6554A" w:rsidRDefault="00A66912" w:rsidP="00F6554A">
            <w:pPr>
              <w:rPr>
                <w:b/>
                <w:bCs/>
                <w:sz w:val="16"/>
                <w:szCs w:val="16"/>
              </w:rPr>
            </w:pPr>
            <w:r w:rsidRPr="00F6554A">
              <w:rPr>
                <w:b/>
                <w:bCs/>
                <w:sz w:val="16"/>
                <w:szCs w:val="16"/>
              </w:rPr>
              <w:t xml:space="preserve">Energy Cost </w:t>
            </w:r>
            <w:r>
              <w:rPr>
                <w:b/>
                <w:bCs/>
                <w:sz w:val="16"/>
                <w:szCs w:val="16"/>
              </w:rPr>
              <w:br/>
            </w:r>
            <w:r w:rsidRPr="00F6554A">
              <w:rPr>
                <w:b/>
                <w:bCs/>
                <w:sz w:val="16"/>
                <w:szCs w:val="16"/>
              </w:rPr>
              <w:t>(@25c/kWh)</w:t>
            </w:r>
            <w:r>
              <w:rPr>
                <w:b/>
                <w:bCs/>
                <w:sz w:val="16"/>
                <w:szCs w:val="16"/>
              </w:rPr>
              <w:br/>
              <w:t>Australia</w:t>
            </w:r>
          </w:p>
        </w:tc>
        <w:tc>
          <w:tcPr>
            <w:tcW w:w="1471" w:type="dxa"/>
            <w:noWrap/>
            <w:hideMark/>
          </w:tcPr>
          <w:p w:rsidR="00F6554A" w:rsidRPr="00F6554A" w:rsidRDefault="00A66912" w:rsidP="00F6554A">
            <w:pPr>
              <w:rPr>
                <w:b/>
                <w:bCs/>
                <w:sz w:val="16"/>
                <w:szCs w:val="16"/>
              </w:rPr>
            </w:pPr>
            <w:r w:rsidRPr="00F6554A">
              <w:rPr>
                <w:b/>
                <w:bCs/>
                <w:sz w:val="16"/>
                <w:szCs w:val="16"/>
              </w:rPr>
              <w:t>Energy kWh p.a.</w:t>
            </w:r>
            <w:r>
              <w:rPr>
                <w:b/>
                <w:bCs/>
                <w:sz w:val="16"/>
                <w:szCs w:val="16"/>
              </w:rPr>
              <w:br/>
            </w:r>
            <w:r w:rsidRPr="00F6554A">
              <w:rPr>
                <w:b/>
                <w:bCs/>
                <w:sz w:val="16"/>
                <w:szCs w:val="16"/>
              </w:rPr>
              <w:t>NZ</w:t>
            </w:r>
            <w:r>
              <w:rPr>
                <w:b/>
                <w:bCs/>
                <w:sz w:val="16"/>
                <w:szCs w:val="16"/>
              </w:rPr>
              <w:br/>
            </w:r>
            <w:r w:rsidRPr="00F6554A">
              <w:rPr>
                <w:b/>
                <w:bCs/>
                <w:sz w:val="16"/>
                <w:szCs w:val="16"/>
              </w:rPr>
              <w:t>Potential</w:t>
            </w:r>
          </w:p>
        </w:tc>
        <w:tc>
          <w:tcPr>
            <w:tcW w:w="1296" w:type="dxa"/>
            <w:noWrap/>
            <w:hideMark/>
          </w:tcPr>
          <w:p w:rsidR="00F6554A" w:rsidRPr="00F6554A" w:rsidRDefault="00A66912" w:rsidP="00F6554A">
            <w:pPr>
              <w:rPr>
                <w:b/>
                <w:bCs/>
                <w:sz w:val="16"/>
                <w:szCs w:val="16"/>
              </w:rPr>
            </w:pPr>
            <w:r w:rsidRPr="00F6554A">
              <w:rPr>
                <w:b/>
                <w:bCs/>
                <w:sz w:val="16"/>
                <w:szCs w:val="16"/>
              </w:rPr>
              <w:t xml:space="preserve">Energy Cost </w:t>
            </w:r>
            <w:r>
              <w:rPr>
                <w:b/>
                <w:bCs/>
                <w:sz w:val="16"/>
                <w:szCs w:val="16"/>
              </w:rPr>
              <w:br/>
            </w:r>
            <w:r w:rsidRPr="00F6554A">
              <w:rPr>
                <w:b/>
                <w:bCs/>
                <w:sz w:val="16"/>
                <w:szCs w:val="16"/>
              </w:rPr>
              <w:t>(@25c/kWh)</w:t>
            </w:r>
            <w:r>
              <w:rPr>
                <w:b/>
                <w:bCs/>
                <w:sz w:val="16"/>
                <w:szCs w:val="16"/>
              </w:rPr>
              <w:br/>
            </w:r>
            <w:r w:rsidRPr="00F6554A">
              <w:rPr>
                <w:b/>
                <w:bCs/>
                <w:sz w:val="16"/>
                <w:szCs w:val="16"/>
              </w:rPr>
              <w:t>NZ</w:t>
            </w:r>
          </w:p>
        </w:tc>
      </w:tr>
      <w:tr w:rsidR="00F6554A" w:rsidRPr="00F6554A" w:rsidTr="00F6554A">
        <w:trPr>
          <w:trHeight w:val="315"/>
        </w:trPr>
        <w:tc>
          <w:tcPr>
            <w:tcW w:w="2562" w:type="dxa"/>
            <w:noWrap/>
            <w:hideMark/>
          </w:tcPr>
          <w:p w:rsidR="00F6554A" w:rsidRPr="00F6554A" w:rsidRDefault="00F6554A">
            <w:pPr>
              <w:rPr>
                <w:sz w:val="16"/>
                <w:szCs w:val="16"/>
              </w:rPr>
            </w:pPr>
            <w:r>
              <w:rPr>
                <w:sz w:val="16"/>
                <w:szCs w:val="16"/>
              </w:rPr>
              <w:t xml:space="preserve">MV incandescent -&gt; </w:t>
            </w:r>
            <w:r w:rsidRPr="00F6554A">
              <w:rPr>
                <w:b/>
                <w:sz w:val="16"/>
                <w:szCs w:val="16"/>
              </w:rPr>
              <w:t>LED</w:t>
            </w:r>
            <w:r>
              <w:rPr>
                <w:b/>
                <w:sz w:val="16"/>
                <w:szCs w:val="16"/>
              </w:rPr>
              <w:t>/CFL</w:t>
            </w:r>
          </w:p>
        </w:tc>
        <w:tc>
          <w:tcPr>
            <w:tcW w:w="1617" w:type="dxa"/>
            <w:noWrap/>
            <w:hideMark/>
          </w:tcPr>
          <w:p w:rsidR="00F6554A" w:rsidRPr="00F6554A" w:rsidRDefault="00F6554A" w:rsidP="00F6554A">
            <w:pPr>
              <w:rPr>
                <w:sz w:val="16"/>
                <w:szCs w:val="16"/>
              </w:rPr>
            </w:pPr>
            <w:r w:rsidRPr="00F6554A">
              <w:rPr>
                <w:sz w:val="16"/>
                <w:szCs w:val="16"/>
              </w:rPr>
              <w:t>15</w:t>
            </w:r>
          </w:p>
        </w:tc>
        <w:tc>
          <w:tcPr>
            <w:tcW w:w="1471" w:type="dxa"/>
            <w:noWrap/>
            <w:hideMark/>
          </w:tcPr>
          <w:p w:rsidR="00F6554A" w:rsidRPr="00F6554A" w:rsidRDefault="00F6554A" w:rsidP="00F6554A">
            <w:pPr>
              <w:rPr>
                <w:sz w:val="16"/>
                <w:szCs w:val="16"/>
              </w:rPr>
            </w:pPr>
            <w:r w:rsidRPr="00F6554A">
              <w:rPr>
                <w:sz w:val="16"/>
                <w:szCs w:val="16"/>
              </w:rPr>
              <w:t>88</w:t>
            </w:r>
          </w:p>
        </w:tc>
        <w:tc>
          <w:tcPr>
            <w:tcW w:w="1438" w:type="dxa"/>
            <w:noWrap/>
            <w:hideMark/>
          </w:tcPr>
          <w:p w:rsidR="00F6554A" w:rsidRPr="00F6554A" w:rsidRDefault="00F6554A" w:rsidP="00F6554A">
            <w:pPr>
              <w:rPr>
                <w:sz w:val="16"/>
                <w:szCs w:val="16"/>
              </w:rPr>
            </w:pPr>
            <w:r w:rsidRPr="00F6554A">
              <w:rPr>
                <w:sz w:val="16"/>
                <w:szCs w:val="16"/>
              </w:rPr>
              <w:t>22</w:t>
            </w:r>
          </w:p>
        </w:tc>
        <w:tc>
          <w:tcPr>
            <w:tcW w:w="1471" w:type="dxa"/>
            <w:noWrap/>
            <w:hideMark/>
          </w:tcPr>
          <w:p w:rsidR="00F6554A" w:rsidRPr="00F6554A" w:rsidRDefault="00F6554A" w:rsidP="00F6554A">
            <w:pPr>
              <w:rPr>
                <w:sz w:val="16"/>
                <w:szCs w:val="16"/>
              </w:rPr>
            </w:pPr>
            <w:r w:rsidRPr="00F6554A">
              <w:rPr>
                <w:sz w:val="16"/>
                <w:szCs w:val="16"/>
              </w:rPr>
              <w:t>166</w:t>
            </w:r>
          </w:p>
        </w:tc>
        <w:tc>
          <w:tcPr>
            <w:tcW w:w="1296" w:type="dxa"/>
            <w:noWrap/>
            <w:hideMark/>
          </w:tcPr>
          <w:p w:rsidR="00F6554A" w:rsidRPr="00F6554A" w:rsidRDefault="00F6554A" w:rsidP="00F6554A">
            <w:pPr>
              <w:rPr>
                <w:sz w:val="16"/>
                <w:szCs w:val="16"/>
              </w:rPr>
            </w:pPr>
            <w:r w:rsidRPr="00F6554A">
              <w:rPr>
                <w:sz w:val="16"/>
                <w:szCs w:val="16"/>
              </w:rPr>
              <w:t>41</w:t>
            </w:r>
          </w:p>
        </w:tc>
      </w:tr>
      <w:tr w:rsidR="00F6554A" w:rsidRPr="00F6554A" w:rsidTr="00F6554A">
        <w:trPr>
          <w:trHeight w:val="315"/>
        </w:trPr>
        <w:tc>
          <w:tcPr>
            <w:tcW w:w="2562" w:type="dxa"/>
            <w:noWrap/>
            <w:hideMark/>
          </w:tcPr>
          <w:p w:rsidR="00F6554A" w:rsidRPr="00F6554A" w:rsidRDefault="00F6554A">
            <w:pPr>
              <w:rPr>
                <w:sz w:val="16"/>
                <w:szCs w:val="16"/>
              </w:rPr>
            </w:pPr>
            <w:r w:rsidRPr="00F6554A">
              <w:rPr>
                <w:sz w:val="16"/>
                <w:szCs w:val="16"/>
              </w:rPr>
              <w:t xml:space="preserve">MV halogen -&gt; </w:t>
            </w:r>
            <w:r w:rsidRPr="00F6554A">
              <w:rPr>
                <w:b/>
                <w:sz w:val="16"/>
                <w:szCs w:val="16"/>
              </w:rPr>
              <w:t>LED</w:t>
            </w:r>
            <w:r>
              <w:rPr>
                <w:b/>
                <w:sz w:val="16"/>
                <w:szCs w:val="16"/>
              </w:rPr>
              <w:t>/CFL</w:t>
            </w:r>
          </w:p>
        </w:tc>
        <w:tc>
          <w:tcPr>
            <w:tcW w:w="1617" w:type="dxa"/>
            <w:noWrap/>
            <w:hideMark/>
          </w:tcPr>
          <w:p w:rsidR="00F6554A" w:rsidRPr="00F6554A" w:rsidRDefault="00F6554A" w:rsidP="00F6554A">
            <w:pPr>
              <w:rPr>
                <w:sz w:val="16"/>
                <w:szCs w:val="16"/>
              </w:rPr>
            </w:pPr>
            <w:r w:rsidRPr="00F6554A">
              <w:rPr>
                <w:sz w:val="16"/>
                <w:szCs w:val="16"/>
              </w:rPr>
              <w:t>15</w:t>
            </w:r>
          </w:p>
        </w:tc>
        <w:tc>
          <w:tcPr>
            <w:tcW w:w="1471" w:type="dxa"/>
            <w:noWrap/>
            <w:hideMark/>
          </w:tcPr>
          <w:p w:rsidR="00F6554A" w:rsidRPr="00F6554A" w:rsidRDefault="00F6554A" w:rsidP="00F6554A">
            <w:pPr>
              <w:rPr>
                <w:sz w:val="16"/>
                <w:szCs w:val="16"/>
              </w:rPr>
            </w:pPr>
            <w:r w:rsidRPr="00F6554A">
              <w:rPr>
                <w:sz w:val="16"/>
                <w:szCs w:val="16"/>
              </w:rPr>
              <w:t>35</w:t>
            </w:r>
          </w:p>
        </w:tc>
        <w:tc>
          <w:tcPr>
            <w:tcW w:w="1438" w:type="dxa"/>
            <w:noWrap/>
            <w:hideMark/>
          </w:tcPr>
          <w:p w:rsidR="00F6554A" w:rsidRPr="00F6554A" w:rsidRDefault="00F6554A" w:rsidP="00F6554A">
            <w:pPr>
              <w:rPr>
                <w:sz w:val="16"/>
                <w:szCs w:val="16"/>
              </w:rPr>
            </w:pPr>
            <w:r w:rsidRPr="00F6554A">
              <w:rPr>
                <w:sz w:val="16"/>
                <w:szCs w:val="16"/>
              </w:rPr>
              <w:t>9</w:t>
            </w:r>
          </w:p>
        </w:tc>
        <w:tc>
          <w:tcPr>
            <w:tcW w:w="1471" w:type="dxa"/>
            <w:noWrap/>
            <w:hideMark/>
          </w:tcPr>
          <w:p w:rsidR="00F6554A" w:rsidRPr="00F6554A" w:rsidRDefault="00F6554A" w:rsidP="00F6554A">
            <w:pPr>
              <w:rPr>
                <w:sz w:val="16"/>
                <w:szCs w:val="16"/>
              </w:rPr>
            </w:pPr>
            <w:r w:rsidRPr="00F6554A">
              <w:rPr>
                <w:sz w:val="16"/>
                <w:szCs w:val="16"/>
              </w:rPr>
              <w:t>12</w:t>
            </w:r>
          </w:p>
        </w:tc>
        <w:tc>
          <w:tcPr>
            <w:tcW w:w="1296" w:type="dxa"/>
            <w:noWrap/>
            <w:hideMark/>
          </w:tcPr>
          <w:p w:rsidR="00F6554A" w:rsidRPr="00F6554A" w:rsidRDefault="00F6554A" w:rsidP="00F6554A">
            <w:pPr>
              <w:rPr>
                <w:sz w:val="16"/>
                <w:szCs w:val="16"/>
              </w:rPr>
            </w:pPr>
            <w:r w:rsidRPr="00F6554A">
              <w:rPr>
                <w:sz w:val="16"/>
                <w:szCs w:val="16"/>
              </w:rPr>
              <w:t>3</w:t>
            </w:r>
          </w:p>
        </w:tc>
      </w:tr>
      <w:tr w:rsidR="00F6554A" w:rsidRPr="00F6554A" w:rsidTr="00F6554A">
        <w:trPr>
          <w:trHeight w:val="315"/>
        </w:trPr>
        <w:tc>
          <w:tcPr>
            <w:tcW w:w="2562" w:type="dxa"/>
            <w:noWrap/>
            <w:hideMark/>
          </w:tcPr>
          <w:p w:rsidR="00F6554A" w:rsidRPr="00F6554A" w:rsidRDefault="00F6554A">
            <w:pPr>
              <w:rPr>
                <w:sz w:val="16"/>
                <w:szCs w:val="16"/>
              </w:rPr>
            </w:pPr>
            <w:r w:rsidRPr="00F6554A">
              <w:rPr>
                <w:sz w:val="16"/>
                <w:szCs w:val="16"/>
              </w:rPr>
              <w:t>ELV halogen -&gt;</w:t>
            </w:r>
            <w:r w:rsidRPr="00F6554A">
              <w:rPr>
                <w:b/>
                <w:sz w:val="16"/>
                <w:szCs w:val="16"/>
              </w:rPr>
              <w:t xml:space="preserve"> LED</w:t>
            </w:r>
            <w:r>
              <w:rPr>
                <w:b/>
                <w:sz w:val="16"/>
                <w:szCs w:val="16"/>
              </w:rPr>
              <w:t>/CFL</w:t>
            </w:r>
          </w:p>
        </w:tc>
        <w:tc>
          <w:tcPr>
            <w:tcW w:w="1617" w:type="dxa"/>
            <w:noWrap/>
            <w:hideMark/>
          </w:tcPr>
          <w:p w:rsidR="00F6554A" w:rsidRPr="00F6554A" w:rsidRDefault="00F6554A" w:rsidP="00F6554A">
            <w:pPr>
              <w:rPr>
                <w:sz w:val="16"/>
                <w:szCs w:val="16"/>
              </w:rPr>
            </w:pPr>
            <w:r w:rsidRPr="00F6554A">
              <w:rPr>
                <w:sz w:val="16"/>
                <w:szCs w:val="16"/>
              </w:rPr>
              <w:t>8</w:t>
            </w:r>
          </w:p>
        </w:tc>
        <w:tc>
          <w:tcPr>
            <w:tcW w:w="1471" w:type="dxa"/>
            <w:noWrap/>
            <w:hideMark/>
          </w:tcPr>
          <w:p w:rsidR="00F6554A" w:rsidRPr="00F6554A" w:rsidRDefault="00F6554A" w:rsidP="00F6554A">
            <w:pPr>
              <w:rPr>
                <w:sz w:val="16"/>
                <w:szCs w:val="16"/>
              </w:rPr>
            </w:pPr>
            <w:r w:rsidRPr="00F6554A">
              <w:rPr>
                <w:sz w:val="16"/>
                <w:szCs w:val="16"/>
              </w:rPr>
              <w:t>54</w:t>
            </w:r>
          </w:p>
        </w:tc>
        <w:tc>
          <w:tcPr>
            <w:tcW w:w="1438" w:type="dxa"/>
            <w:noWrap/>
            <w:hideMark/>
          </w:tcPr>
          <w:p w:rsidR="00F6554A" w:rsidRPr="00F6554A" w:rsidRDefault="00F6554A" w:rsidP="00F6554A">
            <w:pPr>
              <w:rPr>
                <w:sz w:val="16"/>
                <w:szCs w:val="16"/>
              </w:rPr>
            </w:pPr>
            <w:r w:rsidRPr="00F6554A">
              <w:rPr>
                <w:sz w:val="16"/>
                <w:szCs w:val="16"/>
              </w:rPr>
              <w:t>13</w:t>
            </w:r>
          </w:p>
        </w:tc>
        <w:tc>
          <w:tcPr>
            <w:tcW w:w="1471" w:type="dxa"/>
            <w:noWrap/>
            <w:hideMark/>
          </w:tcPr>
          <w:p w:rsidR="00F6554A" w:rsidRPr="00F6554A" w:rsidRDefault="00F6554A" w:rsidP="00F6554A">
            <w:pPr>
              <w:rPr>
                <w:sz w:val="16"/>
                <w:szCs w:val="16"/>
              </w:rPr>
            </w:pPr>
            <w:r w:rsidRPr="00F6554A">
              <w:rPr>
                <w:sz w:val="16"/>
                <w:szCs w:val="16"/>
              </w:rPr>
              <w:t>10</w:t>
            </w:r>
          </w:p>
        </w:tc>
        <w:tc>
          <w:tcPr>
            <w:tcW w:w="1296" w:type="dxa"/>
            <w:noWrap/>
            <w:hideMark/>
          </w:tcPr>
          <w:p w:rsidR="00F6554A" w:rsidRPr="00F6554A" w:rsidRDefault="00F6554A" w:rsidP="00F6554A">
            <w:pPr>
              <w:rPr>
                <w:sz w:val="16"/>
                <w:szCs w:val="16"/>
              </w:rPr>
            </w:pPr>
            <w:r w:rsidRPr="00F6554A">
              <w:rPr>
                <w:sz w:val="16"/>
                <w:szCs w:val="16"/>
              </w:rPr>
              <w:t>3</w:t>
            </w:r>
          </w:p>
        </w:tc>
      </w:tr>
      <w:tr w:rsidR="00F6554A" w:rsidRPr="00F6554A" w:rsidTr="00F6554A">
        <w:trPr>
          <w:trHeight w:val="315"/>
        </w:trPr>
        <w:tc>
          <w:tcPr>
            <w:tcW w:w="2562" w:type="dxa"/>
            <w:noWrap/>
            <w:hideMark/>
          </w:tcPr>
          <w:p w:rsidR="00F6554A" w:rsidRPr="00F6554A" w:rsidRDefault="00F6554A">
            <w:pPr>
              <w:rPr>
                <w:sz w:val="16"/>
                <w:szCs w:val="16"/>
              </w:rPr>
            </w:pPr>
            <w:r w:rsidRPr="00F6554A">
              <w:rPr>
                <w:sz w:val="16"/>
                <w:szCs w:val="16"/>
              </w:rPr>
              <w:t>CFL</w:t>
            </w:r>
          </w:p>
        </w:tc>
        <w:tc>
          <w:tcPr>
            <w:tcW w:w="1617" w:type="dxa"/>
            <w:noWrap/>
            <w:hideMark/>
          </w:tcPr>
          <w:p w:rsidR="00F6554A" w:rsidRPr="00F6554A" w:rsidRDefault="00F6554A" w:rsidP="00F6554A">
            <w:pPr>
              <w:rPr>
                <w:sz w:val="16"/>
                <w:szCs w:val="16"/>
              </w:rPr>
            </w:pPr>
            <w:r w:rsidRPr="00F6554A">
              <w:rPr>
                <w:sz w:val="16"/>
                <w:szCs w:val="16"/>
              </w:rPr>
              <w:t>14</w:t>
            </w:r>
          </w:p>
        </w:tc>
        <w:tc>
          <w:tcPr>
            <w:tcW w:w="1471" w:type="dxa"/>
            <w:noWrap/>
            <w:hideMark/>
          </w:tcPr>
          <w:p w:rsidR="00F6554A" w:rsidRPr="00F6554A" w:rsidRDefault="00F6554A" w:rsidP="00F6554A">
            <w:pPr>
              <w:rPr>
                <w:sz w:val="16"/>
                <w:szCs w:val="16"/>
              </w:rPr>
            </w:pPr>
            <w:r w:rsidRPr="00F6554A">
              <w:rPr>
                <w:sz w:val="16"/>
                <w:szCs w:val="16"/>
              </w:rPr>
              <w:t>112</w:t>
            </w:r>
          </w:p>
        </w:tc>
        <w:tc>
          <w:tcPr>
            <w:tcW w:w="1438" w:type="dxa"/>
            <w:noWrap/>
            <w:hideMark/>
          </w:tcPr>
          <w:p w:rsidR="00F6554A" w:rsidRPr="00F6554A" w:rsidRDefault="00F6554A" w:rsidP="00F6554A">
            <w:pPr>
              <w:rPr>
                <w:sz w:val="16"/>
                <w:szCs w:val="16"/>
              </w:rPr>
            </w:pPr>
            <w:r w:rsidRPr="00F6554A">
              <w:rPr>
                <w:sz w:val="16"/>
                <w:szCs w:val="16"/>
              </w:rPr>
              <w:t>28</w:t>
            </w:r>
          </w:p>
        </w:tc>
        <w:tc>
          <w:tcPr>
            <w:tcW w:w="1471" w:type="dxa"/>
            <w:noWrap/>
            <w:hideMark/>
          </w:tcPr>
          <w:p w:rsidR="00F6554A" w:rsidRPr="00F6554A" w:rsidRDefault="00F6554A" w:rsidP="00F6554A">
            <w:pPr>
              <w:rPr>
                <w:sz w:val="16"/>
                <w:szCs w:val="16"/>
              </w:rPr>
            </w:pPr>
            <w:r w:rsidRPr="00F6554A">
              <w:rPr>
                <w:sz w:val="16"/>
                <w:szCs w:val="16"/>
              </w:rPr>
              <w:t>65</w:t>
            </w:r>
          </w:p>
        </w:tc>
        <w:tc>
          <w:tcPr>
            <w:tcW w:w="1296" w:type="dxa"/>
            <w:noWrap/>
            <w:hideMark/>
          </w:tcPr>
          <w:p w:rsidR="00F6554A" w:rsidRPr="00F6554A" w:rsidRDefault="00F6554A" w:rsidP="00F6554A">
            <w:pPr>
              <w:rPr>
                <w:sz w:val="16"/>
                <w:szCs w:val="16"/>
              </w:rPr>
            </w:pPr>
            <w:r w:rsidRPr="00F6554A">
              <w:rPr>
                <w:sz w:val="16"/>
                <w:szCs w:val="16"/>
              </w:rPr>
              <w:t>16</w:t>
            </w:r>
          </w:p>
        </w:tc>
      </w:tr>
      <w:tr w:rsidR="00F6554A" w:rsidRPr="00F6554A" w:rsidTr="00F6554A">
        <w:trPr>
          <w:trHeight w:val="315"/>
        </w:trPr>
        <w:tc>
          <w:tcPr>
            <w:tcW w:w="2562" w:type="dxa"/>
            <w:noWrap/>
            <w:hideMark/>
          </w:tcPr>
          <w:p w:rsidR="00F6554A" w:rsidRPr="00F6554A" w:rsidRDefault="00F6554A">
            <w:pPr>
              <w:rPr>
                <w:sz w:val="16"/>
                <w:szCs w:val="16"/>
              </w:rPr>
            </w:pPr>
            <w:r w:rsidRPr="00F6554A">
              <w:rPr>
                <w:sz w:val="16"/>
                <w:szCs w:val="16"/>
              </w:rPr>
              <w:t>Linear fluorescent</w:t>
            </w:r>
          </w:p>
        </w:tc>
        <w:tc>
          <w:tcPr>
            <w:tcW w:w="1617" w:type="dxa"/>
            <w:noWrap/>
            <w:hideMark/>
          </w:tcPr>
          <w:p w:rsidR="00F6554A" w:rsidRPr="00F6554A" w:rsidRDefault="00F6554A" w:rsidP="00F6554A">
            <w:pPr>
              <w:rPr>
                <w:sz w:val="16"/>
                <w:szCs w:val="16"/>
              </w:rPr>
            </w:pPr>
            <w:r w:rsidRPr="00F6554A">
              <w:rPr>
                <w:sz w:val="16"/>
                <w:szCs w:val="16"/>
              </w:rPr>
              <w:t>41</w:t>
            </w:r>
          </w:p>
        </w:tc>
        <w:tc>
          <w:tcPr>
            <w:tcW w:w="1471" w:type="dxa"/>
            <w:noWrap/>
            <w:hideMark/>
          </w:tcPr>
          <w:p w:rsidR="00F6554A" w:rsidRPr="00F6554A" w:rsidRDefault="00F6554A" w:rsidP="00F6554A">
            <w:pPr>
              <w:rPr>
                <w:sz w:val="16"/>
                <w:szCs w:val="16"/>
              </w:rPr>
            </w:pPr>
            <w:r w:rsidRPr="00F6554A">
              <w:rPr>
                <w:sz w:val="16"/>
                <w:szCs w:val="16"/>
              </w:rPr>
              <w:t>100</w:t>
            </w:r>
          </w:p>
        </w:tc>
        <w:tc>
          <w:tcPr>
            <w:tcW w:w="1438" w:type="dxa"/>
            <w:noWrap/>
            <w:hideMark/>
          </w:tcPr>
          <w:p w:rsidR="00F6554A" w:rsidRPr="00F6554A" w:rsidRDefault="00F6554A" w:rsidP="00F6554A">
            <w:pPr>
              <w:rPr>
                <w:sz w:val="16"/>
                <w:szCs w:val="16"/>
              </w:rPr>
            </w:pPr>
            <w:r w:rsidRPr="00F6554A">
              <w:rPr>
                <w:sz w:val="16"/>
                <w:szCs w:val="16"/>
              </w:rPr>
              <w:t>25</w:t>
            </w:r>
          </w:p>
        </w:tc>
        <w:tc>
          <w:tcPr>
            <w:tcW w:w="1471" w:type="dxa"/>
            <w:noWrap/>
            <w:hideMark/>
          </w:tcPr>
          <w:p w:rsidR="00F6554A" w:rsidRPr="00F6554A" w:rsidRDefault="00F6554A" w:rsidP="00F6554A">
            <w:pPr>
              <w:rPr>
                <w:sz w:val="16"/>
                <w:szCs w:val="16"/>
              </w:rPr>
            </w:pPr>
            <w:r w:rsidRPr="00F6554A">
              <w:rPr>
                <w:sz w:val="16"/>
                <w:szCs w:val="16"/>
              </w:rPr>
              <w:t>21</w:t>
            </w:r>
          </w:p>
        </w:tc>
        <w:tc>
          <w:tcPr>
            <w:tcW w:w="1296" w:type="dxa"/>
            <w:noWrap/>
            <w:hideMark/>
          </w:tcPr>
          <w:p w:rsidR="00F6554A" w:rsidRPr="00F6554A" w:rsidRDefault="00F6554A" w:rsidP="00F6554A">
            <w:pPr>
              <w:rPr>
                <w:sz w:val="16"/>
                <w:szCs w:val="16"/>
              </w:rPr>
            </w:pPr>
            <w:r w:rsidRPr="00F6554A">
              <w:rPr>
                <w:sz w:val="16"/>
                <w:szCs w:val="16"/>
              </w:rPr>
              <w:t>5</w:t>
            </w:r>
          </w:p>
        </w:tc>
      </w:tr>
      <w:tr w:rsidR="00F6554A" w:rsidRPr="00F6554A" w:rsidTr="00F6554A">
        <w:trPr>
          <w:trHeight w:val="315"/>
        </w:trPr>
        <w:tc>
          <w:tcPr>
            <w:tcW w:w="2562" w:type="dxa"/>
            <w:noWrap/>
            <w:hideMark/>
          </w:tcPr>
          <w:p w:rsidR="00F6554A" w:rsidRPr="00F6554A" w:rsidRDefault="00F6554A">
            <w:pPr>
              <w:rPr>
                <w:sz w:val="16"/>
                <w:szCs w:val="16"/>
              </w:rPr>
            </w:pPr>
            <w:r w:rsidRPr="00F6554A">
              <w:rPr>
                <w:sz w:val="16"/>
                <w:szCs w:val="16"/>
              </w:rPr>
              <w:t>LED</w:t>
            </w:r>
          </w:p>
        </w:tc>
        <w:tc>
          <w:tcPr>
            <w:tcW w:w="1617" w:type="dxa"/>
            <w:noWrap/>
            <w:hideMark/>
          </w:tcPr>
          <w:p w:rsidR="00F6554A" w:rsidRPr="00F6554A" w:rsidRDefault="00F6554A" w:rsidP="00F6554A">
            <w:pPr>
              <w:rPr>
                <w:sz w:val="16"/>
                <w:szCs w:val="16"/>
              </w:rPr>
            </w:pPr>
            <w:r w:rsidRPr="00F6554A">
              <w:rPr>
                <w:sz w:val="16"/>
                <w:szCs w:val="16"/>
              </w:rPr>
              <w:t>10</w:t>
            </w:r>
          </w:p>
        </w:tc>
        <w:tc>
          <w:tcPr>
            <w:tcW w:w="1471" w:type="dxa"/>
            <w:noWrap/>
            <w:hideMark/>
          </w:tcPr>
          <w:p w:rsidR="00F6554A" w:rsidRPr="00F6554A" w:rsidRDefault="00F6554A" w:rsidP="00F6554A">
            <w:pPr>
              <w:rPr>
                <w:sz w:val="16"/>
                <w:szCs w:val="16"/>
              </w:rPr>
            </w:pPr>
            <w:r w:rsidRPr="00F6554A">
              <w:rPr>
                <w:sz w:val="16"/>
                <w:szCs w:val="16"/>
              </w:rPr>
              <w:t>4</w:t>
            </w:r>
          </w:p>
        </w:tc>
        <w:tc>
          <w:tcPr>
            <w:tcW w:w="1438" w:type="dxa"/>
            <w:noWrap/>
            <w:hideMark/>
          </w:tcPr>
          <w:p w:rsidR="00F6554A" w:rsidRPr="00F6554A" w:rsidRDefault="00F6554A" w:rsidP="00F6554A">
            <w:pPr>
              <w:rPr>
                <w:sz w:val="16"/>
                <w:szCs w:val="16"/>
              </w:rPr>
            </w:pPr>
            <w:r w:rsidRPr="00F6554A">
              <w:rPr>
                <w:sz w:val="16"/>
                <w:szCs w:val="16"/>
              </w:rPr>
              <w:t>1</w:t>
            </w:r>
          </w:p>
        </w:tc>
        <w:tc>
          <w:tcPr>
            <w:tcW w:w="1471" w:type="dxa"/>
            <w:noWrap/>
            <w:hideMark/>
          </w:tcPr>
          <w:p w:rsidR="00F6554A" w:rsidRPr="00F6554A" w:rsidRDefault="00F6554A" w:rsidP="00F6554A">
            <w:pPr>
              <w:rPr>
                <w:sz w:val="16"/>
                <w:szCs w:val="16"/>
              </w:rPr>
            </w:pPr>
            <w:r w:rsidRPr="00F6554A">
              <w:rPr>
                <w:sz w:val="16"/>
                <w:szCs w:val="16"/>
              </w:rPr>
              <w:t>1</w:t>
            </w:r>
          </w:p>
        </w:tc>
        <w:tc>
          <w:tcPr>
            <w:tcW w:w="1296" w:type="dxa"/>
            <w:noWrap/>
            <w:hideMark/>
          </w:tcPr>
          <w:p w:rsidR="00F6554A" w:rsidRPr="00F6554A" w:rsidRDefault="00F6554A" w:rsidP="00F6554A">
            <w:pPr>
              <w:rPr>
                <w:sz w:val="16"/>
                <w:szCs w:val="16"/>
              </w:rPr>
            </w:pPr>
            <w:r w:rsidRPr="00F6554A">
              <w:rPr>
                <w:sz w:val="16"/>
                <w:szCs w:val="16"/>
              </w:rPr>
              <w:t>0</w:t>
            </w:r>
          </w:p>
        </w:tc>
      </w:tr>
      <w:tr w:rsidR="00F6554A" w:rsidRPr="00F6554A" w:rsidTr="00F6554A">
        <w:trPr>
          <w:trHeight w:val="315"/>
        </w:trPr>
        <w:tc>
          <w:tcPr>
            <w:tcW w:w="2562" w:type="dxa"/>
            <w:noWrap/>
            <w:hideMark/>
          </w:tcPr>
          <w:p w:rsidR="00F6554A" w:rsidRPr="00F6554A" w:rsidRDefault="00F6554A" w:rsidP="00F6554A">
            <w:pPr>
              <w:rPr>
                <w:sz w:val="16"/>
                <w:szCs w:val="16"/>
              </w:rPr>
            </w:pPr>
            <w:r w:rsidRPr="00F6554A">
              <w:rPr>
                <w:sz w:val="16"/>
                <w:szCs w:val="16"/>
              </w:rPr>
              <w:t> </w:t>
            </w:r>
          </w:p>
        </w:tc>
        <w:tc>
          <w:tcPr>
            <w:tcW w:w="1617" w:type="dxa"/>
            <w:noWrap/>
            <w:hideMark/>
          </w:tcPr>
          <w:p w:rsidR="00F6554A" w:rsidRPr="00F6554A" w:rsidRDefault="00F6554A" w:rsidP="00F6554A">
            <w:pPr>
              <w:rPr>
                <w:sz w:val="16"/>
                <w:szCs w:val="16"/>
              </w:rPr>
            </w:pPr>
          </w:p>
        </w:tc>
        <w:tc>
          <w:tcPr>
            <w:tcW w:w="1471" w:type="dxa"/>
            <w:noWrap/>
            <w:hideMark/>
          </w:tcPr>
          <w:p w:rsidR="00F6554A" w:rsidRPr="00F6554A" w:rsidRDefault="00F6554A" w:rsidP="00F6554A">
            <w:pPr>
              <w:rPr>
                <w:b/>
                <w:bCs/>
                <w:sz w:val="16"/>
                <w:szCs w:val="16"/>
              </w:rPr>
            </w:pPr>
            <w:r w:rsidRPr="00F6554A">
              <w:rPr>
                <w:b/>
                <w:bCs/>
                <w:sz w:val="16"/>
                <w:szCs w:val="16"/>
              </w:rPr>
              <w:t>392</w:t>
            </w:r>
          </w:p>
        </w:tc>
        <w:tc>
          <w:tcPr>
            <w:tcW w:w="1438" w:type="dxa"/>
            <w:noWrap/>
            <w:hideMark/>
          </w:tcPr>
          <w:p w:rsidR="00F6554A" w:rsidRPr="00F6554A" w:rsidRDefault="00F6554A" w:rsidP="00F6554A">
            <w:pPr>
              <w:rPr>
                <w:b/>
                <w:bCs/>
                <w:sz w:val="16"/>
                <w:szCs w:val="16"/>
              </w:rPr>
            </w:pPr>
            <w:r w:rsidRPr="00F6554A">
              <w:rPr>
                <w:b/>
                <w:bCs/>
                <w:sz w:val="16"/>
                <w:szCs w:val="16"/>
              </w:rPr>
              <w:t>98</w:t>
            </w:r>
          </w:p>
        </w:tc>
        <w:tc>
          <w:tcPr>
            <w:tcW w:w="1471" w:type="dxa"/>
            <w:noWrap/>
            <w:hideMark/>
          </w:tcPr>
          <w:p w:rsidR="00F6554A" w:rsidRPr="00F6554A" w:rsidRDefault="00F6554A" w:rsidP="00F6554A">
            <w:pPr>
              <w:rPr>
                <w:b/>
                <w:bCs/>
                <w:sz w:val="16"/>
                <w:szCs w:val="16"/>
              </w:rPr>
            </w:pPr>
            <w:r w:rsidRPr="00F6554A">
              <w:rPr>
                <w:b/>
                <w:bCs/>
                <w:sz w:val="16"/>
                <w:szCs w:val="16"/>
              </w:rPr>
              <w:t>275</w:t>
            </w:r>
          </w:p>
        </w:tc>
        <w:tc>
          <w:tcPr>
            <w:tcW w:w="1296" w:type="dxa"/>
            <w:noWrap/>
            <w:hideMark/>
          </w:tcPr>
          <w:p w:rsidR="00F6554A" w:rsidRPr="00F6554A" w:rsidRDefault="00F6554A" w:rsidP="00F6554A">
            <w:pPr>
              <w:rPr>
                <w:b/>
                <w:bCs/>
                <w:sz w:val="16"/>
                <w:szCs w:val="16"/>
              </w:rPr>
            </w:pPr>
            <w:r w:rsidRPr="00F6554A">
              <w:rPr>
                <w:b/>
                <w:bCs/>
                <w:sz w:val="16"/>
                <w:szCs w:val="16"/>
              </w:rPr>
              <w:t>69</w:t>
            </w:r>
          </w:p>
        </w:tc>
      </w:tr>
      <w:tr w:rsidR="00F6554A" w:rsidRPr="00F6554A" w:rsidTr="00F6554A">
        <w:trPr>
          <w:trHeight w:val="315"/>
        </w:trPr>
        <w:tc>
          <w:tcPr>
            <w:tcW w:w="2562" w:type="dxa"/>
            <w:noWrap/>
            <w:hideMark/>
          </w:tcPr>
          <w:p w:rsidR="00F6554A" w:rsidRPr="00F6554A" w:rsidRDefault="00F6554A">
            <w:pPr>
              <w:rPr>
                <w:sz w:val="16"/>
                <w:szCs w:val="16"/>
              </w:rPr>
            </w:pPr>
            <w:r w:rsidRPr="00F6554A">
              <w:rPr>
                <w:sz w:val="16"/>
                <w:szCs w:val="16"/>
              </w:rPr>
              <w:t>Energy saving %</w:t>
            </w:r>
          </w:p>
        </w:tc>
        <w:tc>
          <w:tcPr>
            <w:tcW w:w="1617" w:type="dxa"/>
            <w:noWrap/>
            <w:hideMark/>
          </w:tcPr>
          <w:p w:rsidR="00F6554A" w:rsidRPr="00F6554A" w:rsidRDefault="00F6554A" w:rsidP="00F6554A">
            <w:pPr>
              <w:rPr>
                <w:sz w:val="16"/>
                <w:szCs w:val="16"/>
              </w:rPr>
            </w:pPr>
          </w:p>
        </w:tc>
        <w:tc>
          <w:tcPr>
            <w:tcW w:w="1471" w:type="dxa"/>
            <w:noWrap/>
            <w:hideMark/>
          </w:tcPr>
          <w:p w:rsidR="00F6554A" w:rsidRPr="00F6554A" w:rsidRDefault="00F6554A" w:rsidP="00F6554A">
            <w:pPr>
              <w:rPr>
                <w:sz w:val="16"/>
                <w:szCs w:val="16"/>
              </w:rPr>
            </w:pPr>
            <w:r w:rsidRPr="00F6554A">
              <w:rPr>
                <w:sz w:val="16"/>
                <w:szCs w:val="16"/>
              </w:rPr>
              <w:t>65%</w:t>
            </w:r>
          </w:p>
        </w:tc>
        <w:tc>
          <w:tcPr>
            <w:tcW w:w="1438" w:type="dxa"/>
            <w:noWrap/>
            <w:hideMark/>
          </w:tcPr>
          <w:p w:rsidR="00F6554A" w:rsidRPr="00F6554A" w:rsidRDefault="00F6554A" w:rsidP="00F6554A">
            <w:pPr>
              <w:rPr>
                <w:sz w:val="16"/>
                <w:szCs w:val="16"/>
              </w:rPr>
            </w:pPr>
          </w:p>
        </w:tc>
        <w:tc>
          <w:tcPr>
            <w:tcW w:w="1471" w:type="dxa"/>
            <w:noWrap/>
            <w:hideMark/>
          </w:tcPr>
          <w:p w:rsidR="00F6554A" w:rsidRPr="00F6554A" w:rsidRDefault="00F6554A" w:rsidP="00F6554A">
            <w:pPr>
              <w:rPr>
                <w:sz w:val="16"/>
                <w:szCs w:val="16"/>
              </w:rPr>
            </w:pPr>
            <w:r w:rsidRPr="00F6554A">
              <w:rPr>
                <w:sz w:val="16"/>
                <w:szCs w:val="16"/>
              </w:rPr>
              <w:t>73%</w:t>
            </w:r>
          </w:p>
        </w:tc>
        <w:tc>
          <w:tcPr>
            <w:tcW w:w="1296" w:type="dxa"/>
            <w:noWrap/>
            <w:hideMark/>
          </w:tcPr>
          <w:p w:rsidR="00F6554A" w:rsidRPr="00F6554A" w:rsidRDefault="00F6554A" w:rsidP="00F6554A">
            <w:pPr>
              <w:rPr>
                <w:sz w:val="16"/>
                <w:szCs w:val="16"/>
              </w:rPr>
            </w:pPr>
            <w:r w:rsidRPr="00F6554A">
              <w:rPr>
                <w:sz w:val="16"/>
                <w:szCs w:val="16"/>
              </w:rPr>
              <w:t> </w:t>
            </w:r>
          </w:p>
        </w:tc>
      </w:tr>
      <w:tr w:rsidR="001556E0" w:rsidRPr="00F6554A" w:rsidTr="00F6554A">
        <w:trPr>
          <w:trHeight w:val="315"/>
        </w:trPr>
        <w:tc>
          <w:tcPr>
            <w:tcW w:w="2562" w:type="dxa"/>
            <w:noWrap/>
          </w:tcPr>
          <w:p w:rsidR="001556E0" w:rsidRPr="00F6554A" w:rsidRDefault="001556E0">
            <w:pPr>
              <w:rPr>
                <w:sz w:val="16"/>
                <w:szCs w:val="16"/>
              </w:rPr>
            </w:pPr>
            <w:r>
              <w:rPr>
                <w:sz w:val="16"/>
                <w:szCs w:val="16"/>
              </w:rPr>
              <w:t>Energy Cost Savings</w:t>
            </w:r>
          </w:p>
        </w:tc>
        <w:tc>
          <w:tcPr>
            <w:tcW w:w="1617" w:type="dxa"/>
            <w:noWrap/>
          </w:tcPr>
          <w:p w:rsidR="001556E0" w:rsidRPr="00F6554A" w:rsidRDefault="001556E0" w:rsidP="00F6554A">
            <w:pPr>
              <w:rPr>
                <w:sz w:val="16"/>
                <w:szCs w:val="16"/>
              </w:rPr>
            </w:pPr>
          </w:p>
        </w:tc>
        <w:tc>
          <w:tcPr>
            <w:tcW w:w="1471" w:type="dxa"/>
            <w:noWrap/>
          </w:tcPr>
          <w:p w:rsidR="001556E0" w:rsidRPr="00F6554A" w:rsidRDefault="001556E0" w:rsidP="00F6554A">
            <w:pPr>
              <w:rPr>
                <w:sz w:val="16"/>
                <w:szCs w:val="16"/>
              </w:rPr>
            </w:pPr>
          </w:p>
        </w:tc>
        <w:tc>
          <w:tcPr>
            <w:tcW w:w="1438" w:type="dxa"/>
            <w:noWrap/>
          </w:tcPr>
          <w:p w:rsidR="001556E0" w:rsidRPr="00F6554A" w:rsidRDefault="001556E0" w:rsidP="00F6554A">
            <w:pPr>
              <w:rPr>
                <w:sz w:val="16"/>
                <w:szCs w:val="16"/>
              </w:rPr>
            </w:pPr>
            <w:r>
              <w:rPr>
                <w:sz w:val="16"/>
                <w:szCs w:val="16"/>
              </w:rPr>
              <w:t>$179</w:t>
            </w:r>
          </w:p>
        </w:tc>
        <w:tc>
          <w:tcPr>
            <w:tcW w:w="1471" w:type="dxa"/>
            <w:noWrap/>
          </w:tcPr>
          <w:p w:rsidR="001556E0" w:rsidRPr="00F6554A" w:rsidRDefault="001556E0" w:rsidP="00F6554A">
            <w:pPr>
              <w:rPr>
                <w:sz w:val="16"/>
                <w:szCs w:val="16"/>
              </w:rPr>
            </w:pPr>
          </w:p>
        </w:tc>
        <w:tc>
          <w:tcPr>
            <w:tcW w:w="1296" w:type="dxa"/>
            <w:noWrap/>
          </w:tcPr>
          <w:p w:rsidR="001556E0" w:rsidRPr="00F6554A" w:rsidRDefault="001556E0" w:rsidP="00F6554A">
            <w:pPr>
              <w:rPr>
                <w:sz w:val="16"/>
                <w:szCs w:val="16"/>
              </w:rPr>
            </w:pPr>
            <w:r>
              <w:rPr>
                <w:sz w:val="16"/>
                <w:szCs w:val="16"/>
              </w:rPr>
              <w:t>$186</w:t>
            </w:r>
          </w:p>
        </w:tc>
      </w:tr>
    </w:tbl>
    <w:p w:rsidR="00F6554A" w:rsidRDefault="00F6554A" w:rsidP="00CA124C">
      <w:pPr>
        <w:rPr>
          <w:lang w:eastAsia="en-AU"/>
        </w:rPr>
      </w:pPr>
    </w:p>
    <w:p w:rsidR="00043495" w:rsidRDefault="00043495" w:rsidP="00AD3B67">
      <w:pPr>
        <w:rPr>
          <w:lang w:eastAsia="en-AU"/>
        </w:rPr>
      </w:pPr>
    </w:p>
    <w:p w:rsidR="00B529A6" w:rsidRDefault="00B529A6" w:rsidP="00AD3B67"/>
    <w:p w:rsidR="00A5767B" w:rsidRDefault="00A5767B" w:rsidP="00AD3B67"/>
    <w:p w:rsidR="00A5767B" w:rsidRDefault="00A5767B" w:rsidP="00AD3B67"/>
    <w:p w:rsidR="00A5767B" w:rsidRPr="003107D2" w:rsidRDefault="00A5767B" w:rsidP="00AD3B67">
      <w:pPr>
        <w:sectPr w:rsidR="00A5767B" w:rsidRPr="003107D2" w:rsidSect="00AD2A5C">
          <w:headerReference w:type="default" r:id="rId95"/>
          <w:pgSz w:w="11907" w:h="16840" w:code="9"/>
          <w:pgMar w:top="1134" w:right="1134" w:bottom="1418" w:left="1134" w:header="142" w:footer="709" w:gutter="0"/>
          <w:cols w:space="720"/>
          <w:titlePg/>
          <w:docGrid w:linePitch="360"/>
        </w:sectPr>
      </w:pPr>
    </w:p>
    <w:p w:rsidR="00631365" w:rsidRDefault="00631365" w:rsidP="00631365">
      <w:pPr>
        <w:pStyle w:val="Heading1"/>
      </w:pPr>
      <w:bookmarkStart w:id="175" w:name="_Toc426387759"/>
      <w:bookmarkStart w:id="176" w:name="_Toc366162163"/>
      <w:r w:rsidRPr="003107D2">
        <w:lastRenderedPageBreak/>
        <w:t>Relevant standards and regulations in Australia and New Zealand</w:t>
      </w:r>
      <w:bookmarkEnd w:id="175"/>
    </w:p>
    <w:p w:rsidR="00AD2A5C" w:rsidRDefault="00AD2A5C" w:rsidP="00631365">
      <w:pPr>
        <w:pStyle w:val="Heading2"/>
      </w:pPr>
      <w:bookmarkStart w:id="177" w:name="_Toc426387760"/>
      <w:r w:rsidRPr="003107D2">
        <w:t>Test and efficiency standards/labelling</w:t>
      </w:r>
      <w:bookmarkEnd w:id="176"/>
      <w:bookmarkEnd w:id="177"/>
    </w:p>
    <w:p w:rsidR="00010197" w:rsidRPr="00AA203A" w:rsidRDefault="00AA203A" w:rsidP="00AA203A">
      <w:pPr>
        <w:pStyle w:val="E3BodyText"/>
      </w:pPr>
      <w:r w:rsidRPr="00AA203A">
        <w:t xml:space="preserve">There are currently no </w:t>
      </w:r>
      <w:r w:rsidR="006A5D1E">
        <w:t xml:space="preserve">efficacy and performance test standards or </w:t>
      </w:r>
      <w:r>
        <w:t>mandatory MEPS or labelling schemes in place for LED lighting in Australia or New Zealand. However there are a range of regulations, programs and voluntary schemes outlined below that relate to lighting energy use more generally and in this wa</w:t>
      </w:r>
      <w:r w:rsidR="00D96334">
        <w:t>y</w:t>
      </w:r>
      <w:r>
        <w:t xml:space="preserve"> can influence LED lighting.</w:t>
      </w:r>
    </w:p>
    <w:p w:rsidR="0082741E" w:rsidRDefault="0082741E" w:rsidP="00E96970">
      <w:pPr>
        <w:pStyle w:val="Heading3"/>
      </w:pPr>
      <w:bookmarkStart w:id="178" w:name="_Toc426387761"/>
      <w:r>
        <w:t>Current Australian and New Zealand test laboratory capability</w:t>
      </w:r>
      <w:bookmarkEnd w:id="178"/>
    </w:p>
    <w:p w:rsidR="00010197" w:rsidRDefault="00AA203A" w:rsidP="00AA203A">
      <w:pPr>
        <w:pStyle w:val="E3BodyText"/>
      </w:pPr>
      <w:r>
        <w:t>There are at least four lighting</w:t>
      </w:r>
      <w:r w:rsidR="00010197" w:rsidRPr="00AA203A">
        <w:t xml:space="preserve"> testing laboratories in Australia and </w:t>
      </w:r>
      <w:r w:rsidR="003A2D6F">
        <w:t xml:space="preserve">three </w:t>
      </w:r>
      <w:r>
        <w:t xml:space="preserve">in </w:t>
      </w:r>
      <w:r w:rsidR="00010197" w:rsidRPr="00AA203A">
        <w:t xml:space="preserve">New Zealand </w:t>
      </w:r>
      <w:r>
        <w:t xml:space="preserve">that </w:t>
      </w:r>
      <w:r w:rsidR="00010197" w:rsidRPr="00AA203A">
        <w:t>are able to perform lighting compliance tests, particularly in complian</w:t>
      </w:r>
      <w:r>
        <w:t>ce with international standards.  However, as outlined below, until 2015 there was an absence of international LED test standards, meaning that test laboratories may have been testing against an assortment of national level standards from other countries.  In 2013</w:t>
      </w:r>
      <w:r w:rsidR="00D96334">
        <w:t>,</w:t>
      </w:r>
      <w:r>
        <w:t xml:space="preserve"> three test laboratories from Australia and one from New Zealand took part in an international inter-laboratory comparison exercise organised by the IEA 4E SSL Annex </w:t>
      </w:r>
      <w:r w:rsidR="006A5D1E">
        <w:t>that compared</w:t>
      </w:r>
      <w:r>
        <w:t xml:space="preserve"> the measurement accuracy of 110 laboratories worldwide testing </w:t>
      </w:r>
      <w:r w:rsidR="006A5D1E">
        <w:t xml:space="preserve">LED </w:t>
      </w:r>
      <w:r>
        <w:t>lamps and luminaires. Proficiency testing is used to establish whether a laboratory can be accredited for a specific test standard.</w:t>
      </w:r>
    </w:p>
    <w:p w:rsidR="008E4207" w:rsidRDefault="008E4207" w:rsidP="00AA203A">
      <w:pPr>
        <w:pStyle w:val="E3BodyText"/>
      </w:pPr>
      <w:r>
        <w:t xml:space="preserve">Additional lighting test laboratories are </w:t>
      </w:r>
      <w:r w:rsidR="00D96334">
        <w:t xml:space="preserve">also </w:t>
      </w:r>
      <w:r>
        <w:t>available in other countries in the region.</w:t>
      </w:r>
    </w:p>
    <w:p w:rsidR="000F60DE" w:rsidRPr="00E96970" w:rsidRDefault="000F60DE" w:rsidP="00E96970">
      <w:pPr>
        <w:pStyle w:val="Heading3"/>
      </w:pPr>
      <w:bookmarkStart w:id="179" w:name="_Ref365898073"/>
      <w:bookmarkStart w:id="180" w:name="_Toc255119886"/>
      <w:bookmarkStart w:id="181" w:name="_Toc404613325"/>
      <w:bookmarkStart w:id="182" w:name="_Toc426387762"/>
      <w:r w:rsidRPr="00E96970">
        <w:t xml:space="preserve">MEPS Regulations </w:t>
      </w:r>
      <w:bookmarkEnd w:id="179"/>
      <w:bookmarkEnd w:id="180"/>
      <w:bookmarkEnd w:id="181"/>
      <w:r w:rsidR="00D96334" w:rsidRPr="00E96970">
        <w:t>for Appliance Energy Efficiency</w:t>
      </w:r>
      <w:bookmarkEnd w:id="182"/>
    </w:p>
    <w:p w:rsidR="000F60DE" w:rsidRPr="0093605C" w:rsidRDefault="000F60DE" w:rsidP="000F60DE">
      <w:pPr>
        <w:pStyle w:val="E3BodyText"/>
      </w:pPr>
      <w:r w:rsidRPr="0093605C">
        <w:t>In Australia</w:t>
      </w:r>
      <w:r>
        <w:t>,</w:t>
      </w:r>
      <w:r w:rsidR="00932ABE">
        <w:t xml:space="preserve"> </w:t>
      </w:r>
      <w:r>
        <w:t>d</w:t>
      </w:r>
      <w:r w:rsidRPr="0093605C">
        <w:t>eterminations under the GEMS Act set out specific product requirements.  Requirements are described either directly in the determination, or the determination will refer to the applicable clause in a product standard – for lighting products the latter applies with some clarifications contained within the determination itself.</w:t>
      </w:r>
      <w:r>
        <w:t xml:space="preserve"> Currently lighting determinations under the GEMS Act apply to:</w:t>
      </w:r>
      <w:r w:rsidR="00932ABE">
        <w:t xml:space="preserve"> </w:t>
      </w:r>
      <w:r>
        <w:t>incandescent, CFLi, linear fluorescent, ballasts for fluorescent lamps, and transformers and convertors for halogen lighting.</w:t>
      </w:r>
    </w:p>
    <w:p w:rsidR="000F60DE" w:rsidRPr="00AA203A" w:rsidRDefault="000F60DE" w:rsidP="00AA203A">
      <w:pPr>
        <w:pStyle w:val="E3BodyText"/>
      </w:pPr>
      <w:r w:rsidRPr="0093605C">
        <w:t xml:space="preserve">In New Zealand, </w:t>
      </w:r>
      <w:r>
        <w:t xml:space="preserve">certain </w:t>
      </w:r>
      <w:r w:rsidRPr="0093605C">
        <w:t xml:space="preserve">lighting products are covered by the </w:t>
      </w:r>
      <w:r w:rsidRPr="0093605C">
        <w:rPr>
          <w:i/>
        </w:rPr>
        <w:t>Energy Efficiency (Energy Using Products) Regulations 2002</w:t>
      </w:r>
      <w:r w:rsidRPr="0093605C">
        <w:t xml:space="preserve"> and must meet certain requirements before they can be legally sold.  General requirements are set out in the regulations, and specific details for each product type, such as MEPS and labelling details, are described in product standards.</w:t>
      </w:r>
      <w:r>
        <w:t xml:space="preserve"> New Zealand has MEPS for CFLi, linear fluorescent, ballasts for fluorescent lamps, and transformers and convertors for halogen lighting.</w:t>
      </w:r>
    </w:p>
    <w:p w:rsidR="00AD2A5C" w:rsidRPr="003107D2" w:rsidRDefault="00D96334" w:rsidP="00E96970">
      <w:pPr>
        <w:pStyle w:val="Heading2"/>
      </w:pPr>
      <w:bookmarkStart w:id="183" w:name="_Toc255119887"/>
      <w:bookmarkStart w:id="184" w:name="_Toc404613327"/>
      <w:bookmarkStart w:id="185" w:name="_Toc426387763"/>
      <w:r w:rsidRPr="0093605C">
        <w:t xml:space="preserve">Other Relevant Standards, Regulations and </w:t>
      </w:r>
      <w:bookmarkEnd w:id="183"/>
      <w:r w:rsidRPr="0093605C">
        <w:t>Government Programs</w:t>
      </w:r>
      <w:bookmarkEnd w:id="184"/>
      <w:bookmarkEnd w:id="185"/>
    </w:p>
    <w:p w:rsidR="00CF37BC" w:rsidRPr="003107D2" w:rsidRDefault="00CF37BC" w:rsidP="00E96970">
      <w:pPr>
        <w:pStyle w:val="Heading3"/>
      </w:pPr>
      <w:bookmarkStart w:id="186" w:name="_Toc426387764"/>
      <w:r w:rsidRPr="003107D2">
        <w:t xml:space="preserve">Interior </w:t>
      </w:r>
      <w:r w:rsidR="004C1A06" w:rsidRPr="003107D2">
        <w:t>lighting</w:t>
      </w:r>
      <w:bookmarkEnd w:id="186"/>
    </w:p>
    <w:p w:rsidR="00CF37BC" w:rsidRPr="003107D2" w:rsidRDefault="00CF37BC" w:rsidP="00CF37BC">
      <w:pPr>
        <w:pStyle w:val="E3BodyText"/>
      </w:pPr>
      <w:r w:rsidRPr="003107D2">
        <w:t>The AS/NZS 1680 series for interior lighting contain minimum recommended illumination levels for performing a range of visual tasks efficiently and without visual discomfort. The standards which comprise AS/NZS 1680.2 provide recommendations for specific applications, while Part 4 of the Standard provides recommendations for maintenance techniques of lighting systems. This includes cleaning, relamping and ensuring the luminaires are suited to the lamp to prolong operating time.</w:t>
      </w:r>
      <w:r w:rsidR="008E4207">
        <w:t xml:space="preserve">  Only a limited part of the standard is referred to in regulation.  The guidance on lighting levels provided by the standard is particularly relevant to evaluating the adequacy of lighting levels delivered by LED retrofit installations.</w:t>
      </w:r>
    </w:p>
    <w:p w:rsidR="00AD2A5C" w:rsidRPr="003107D2" w:rsidRDefault="00AD2A5C" w:rsidP="00E96970">
      <w:pPr>
        <w:pStyle w:val="Heading3"/>
      </w:pPr>
      <w:bookmarkStart w:id="187" w:name="_Toc426387765"/>
      <w:r w:rsidRPr="003107D2">
        <w:lastRenderedPageBreak/>
        <w:t>National Construction Code and Building Code of Australia</w:t>
      </w:r>
      <w:bookmarkEnd w:id="187"/>
    </w:p>
    <w:p w:rsidR="00D96334" w:rsidRPr="0093605C" w:rsidRDefault="00D96334" w:rsidP="00D96334">
      <w:pPr>
        <w:pStyle w:val="E3Bullets"/>
        <w:numPr>
          <w:ilvl w:val="0"/>
          <w:numId w:val="0"/>
        </w:numPr>
        <w:contextualSpacing w:val="0"/>
      </w:pPr>
      <w:r>
        <w:t xml:space="preserve">The </w:t>
      </w:r>
      <w:r w:rsidRPr="00D96334">
        <w:t>Building Code of Australia (BCA) lighting efficiency provisions</w:t>
      </w:r>
      <w:r w:rsidR="00932ABE">
        <w:t xml:space="preserve"> </w:t>
      </w:r>
      <w:r w:rsidRPr="0093605C">
        <w:t>first came into effect in May 2005 and various lighting provisions have been added since, for both commercial and residential buildings.  The primary mechanism for these provisions is a maximum illumination power density requirement (Watts/m</w:t>
      </w:r>
      <w:r w:rsidRPr="0093605C">
        <w:rPr>
          <w:vertAlign w:val="superscript"/>
        </w:rPr>
        <w:t>2</w:t>
      </w:r>
      <w:r w:rsidRPr="0093605C">
        <w:t>) for new construction or significant renovation.  Since May 2011, the maximum aggregated lamp power density of hard-wired electric residential lighting is:</w:t>
      </w:r>
    </w:p>
    <w:p w:rsidR="00D96334" w:rsidRPr="0093605C" w:rsidRDefault="00D96334" w:rsidP="00D96334">
      <w:pPr>
        <w:pStyle w:val="E3SubSubBullets"/>
        <w:contextualSpacing w:val="0"/>
      </w:pPr>
      <w:r w:rsidRPr="0093605C">
        <w:t>5 Watts/m</w:t>
      </w:r>
      <w:r w:rsidRPr="0093605C">
        <w:rPr>
          <w:vertAlign w:val="superscript"/>
        </w:rPr>
        <w:t>2</w:t>
      </w:r>
      <w:r w:rsidRPr="0093605C">
        <w:t xml:space="preserve"> for internal areas</w:t>
      </w:r>
    </w:p>
    <w:p w:rsidR="00D96334" w:rsidRPr="0093605C" w:rsidRDefault="00D96334" w:rsidP="00D96334">
      <w:pPr>
        <w:pStyle w:val="E3SubSubBullets"/>
        <w:contextualSpacing w:val="0"/>
      </w:pPr>
      <w:r w:rsidRPr="0093605C">
        <w:t>4 Watts/m</w:t>
      </w:r>
      <w:r w:rsidRPr="0093605C">
        <w:rPr>
          <w:vertAlign w:val="superscript"/>
        </w:rPr>
        <w:t>2</w:t>
      </w:r>
      <w:r w:rsidRPr="0093605C">
        <w:t xml:space="preserve"> for exterior areas</w:t>
      </w:r>
    </w:p>
    <w:p w:rsidR="001A65F7" w:rsidRPr="00DD1F9C" w:rsidRDefault="00D96334" w:rsidP="00AD2A5C">
      <w:pPr>
        <w:pStyle w:val="E3SubSubBullets"/>
        <w:contextualSpacing w:val="0"/>
      </w:pPr>
      <w:r w:rsidRPr="0093605C">
        <w:t>3 Watts/m</w:t>
      </w:r>
      <w:r w:rsidRPr="0093605C">
        <w:rPr>
          <w:vertAlign w:val="superscript"/>
        </w:rPr>
        <w:t>2</w:t>
      </w:r>
      <w:r w:rsidRPr="0093605C">
        <w:t xml:space="preserve"> for garages.  </w:t>
      </w:r>
    </w:p>
    <w:p w:rsidR="00AD2A5C" w:rsidRPr="00DD1F9C" w:rsidRDefault="00DD1F9C" w:rsidP="00AD2A5C">
      <w:pPr>
        <w:pStyle w:val="E3BodyText"/>
      </w:pPr>
      <w:r w:rsidRPr="00DD1F9C">
        <w:t xml:space="preserve">For non-residential buildings, the lighting power density is dependent on the building use and space </w:t>
      </w:r>
      <w:r w:rsidR="00AD2A5C" w:rsidRPr="00DD1F9C">
        <w:t>(</w:t>
      </w:r>
      <w:r w:rsidR="00B525E0">
        <w:fldChar w:fldCharType="begin"/>
      </w:r>
      <w:r w:rsidR="00B53DE9">
        <w:instrText xml:space="preserve"> REF _Ref424119945 \h </w:instrText>
      </w:r>
      <w:r w:rsidR="00B525E0">
        <w:fldChar w:fldCharType="separate"/>
      </w:r>
      <w:r w:rsidR="002C13E2">
        <w:t xml:space="preserve">Table </w:t>
      </w:r>
      <w:r w:rsidR="002C13E2">
        <w:rPr>
          <w:noProof/>
        </w:rPr>
        <w:t>13</w:t>
      </w:r>
      <w:r w:rsidR="00B525E0">
        <w:fldChar w:fldCharType="end"/>
      </w:r>
      <w:r w:rsidR="00AD2A5C" w:rsidRPr="00DD1F9C">
        <w:t xml:space="preserve">). The illumination power density includes power loss through ballasts and control devices. The power densities given in </w:t>
      </w:r>
      <w:r w:rsidR="00B525E0">
        <w:fldChar w:fldCharType="begin"/>
      </w:r>
      <w:r w:rsidR="00B53DE9">
        <w:instrText xml:space="preserve"> REF _Ref424119945 \h </w:instrText>
      </w:r>
      <w:r w:rsidR="00B525E0">
        <w:fldChar w:fldCharType="separate"/>
      </w:r>
      <w:r w:rsidR="002C13E2">
        <w:t xml:space="preserve">Table </w:t>
      </w:r>
      <w:r w:rsidR="002C13E2">
        <w:rPr>
          <w:noProof/>
        </w:rPr>
        <w:t>13</w:t>
      </w:r>
      <w:r w:rsidR="00B525E0">
        <w:fldChar w:fldCharType="end"/>
      </w:r>
      <w:r w:rsidR="00AD2A5C" w:rsidRPr="00DD1F9C">
        <w:t>are based on lighting design that complies with the Australian Standard for interior lighting (AS 1680), but also provide a safety margin, take into account physical limitations of lighting installations and are set at a level that can be achieved through a combination of practical surface reflectance, high efficacy lamps and efficient control gear and luminaires (ABCB 2010).</w:t>
      </w:r>
    </w:p>
    <w:p w:rsidR="00F86E3A" w:rsidRDefault="00F86E3A" w:rsidP="00F86E3A">
      <w:pPr>
        <w:pStyle w:val="Caption"/>
        <w:keepNext/>
      </w:pPr>
      <w:bookmarkStart w:id="188" w:name="_Ref424119945"/>
      <w:bookmarkStart w:id="189" w:name="_Toc426387828"/>
      <w:r>
        <w:t xml:space="preserve">Table </w:t>
      </w:r>
      <w:r w:rsidR="00B525E0">
        <w:fldChar w:fldCharType="begin"/>
      </w:r>
      <w:r>
        <w:instrText xml:space="preserve"> SEQ Table \* ARABIC </w:instrText>
      </w:r>
      <w:r w:rsidR="00B525E0">
        <w:fldChar w:fldCharType="separate"/>
      </w:r>
      <w:r w:rsidR="002C13E2">
        <w:rPr>
          <w:noProof/>
        </w:rPr>
        <w:t>13</w:t>
      </w:r>
      <w:r w:rsidR="00B525E0">
        <w:fldChar w:fldCharType="end"/>
      </w:r>
      <w:bookmarkEnd w:id="188"/>
      <w:r>
        <w:t>.</w:t>
      </w:r>
      <w:r w:rsidRPr="00424490">
        <w:t>BCA maximum illuminated power densities for select spaces in commercial buildings, and corresponding AS 1680 lighting levels and lumens per watt (ABCB 2010).</w:t>
      </w:r>
      <w:bookmarkEnd w:id="189"/>
    </w:p>
    <w:tbl>
      <w:tblPr>
        <w:tblStyle w:val="TableGrid"/>
        <w:tblW w:w="0" w:type="auto"/>
        <w:jc w:val="center"/>
        <w:tblLook w:val="04A0" w:firstRow="1" w:lastRow="0" w:firstColumn="1" w:lastColumn="0" w:noHBand="0" w:noVBand="1"/>
      </w:tblPr>
      <w:tblGrid>
        <w:gridCol w:w="3848"/>
        <w:gridCol w:w="855"/>
        <w:gridCol w:w="2433"/>
        <w:gridCol w:w="1158"/>
      </w:tblGrid>
      <w:tr w:rsidR="00AD2A5C" w:rsidRPr="001A65F7" w:rsidTr="008E2F48">
        <w:trPr>
          <w:cantSplit/>
          <w:tblHeader/>
          <w:jc w:val="center"/>
        </w:trPr>
        <w:tc>
          <w:tcPr>
            <w:tcW w:w="0" w:type="auto"/>
            <w:shd w:val="clear" w:color="auto" w:fill="000000" w:themeFill="text1"/>
          </w:tcPr>
          <w:p w:rsidR="00AD2A5C" w:rsidRPr="001A65F7" w:rsidRDefault="00AD2A5C" w:rsidP="000D11FB">
            <w:pPr>
              <w:pStyle w:val="E3TableHeading"/>
            </w:pPr>
            <w:r w:rsidRPr="001A65F7">
              <w:t>Building Space</w:t>
            </w:r>
          </w:p>
        </w:tc>
        <w:tc>
          <w:tcPr>
            <w:tcW w:w="0" w:type="auto"/>
            <w:shd w:val="clear" w:color="auto" w:fill="000000" w:themeFill="text1"/>
          </w:tcPr>
          <w:p w:rsidR="00AD2A5C" w:rsidRPr="001A65F7" w:rsidRDefault="00AD2A5C" w:rsidP="000D11FB">
            <w:pPr>
              <w:pStyle w:val="E3TableHeading"/>
            </w:pPr>
            <w:r w:rsidRPr="001A65F7">
              <w:t>Watts/</w:t>
            </w:r>
            <w:r w:rsidRPr="001A65F7">
              <w:rPr>
                <w:szCs w:val="20"/>
              </w:rPr>
              <w:t>m</w:t>
            </w:r>
            <w:r w:rsidRPr="001A65F7">
              <w:rPr>
                <w:szCs w:val="20"/>
                <w:vertAlign w:val="superscript"/>
              </w:rPr>
              <w:t>2</w:t>
            </w:r>
          </w:p>
        </w:tc>
        <w:tc>
          <w:tcPr>
            <w:tcW w:w="0" w:type="auto"/>
            <w:shd w:val="clear" w:color="auto" w:fill="000000" w:themeFill="text1"/>
          </w:tcPr>
          <w:p w:rsidR="002757B3" w:rsidRDefault="00AD2A5C" w:rsidP="002757B3">
            <w:pPr>
              <w:pStyle w:val="E3TableHeading"/>
            </w:pPr>
            <w:r w:rsidRPr="001A65F7">
              <w:t>Recommended Lux Level</w:t>
            </w:r>
          </w:p>
          <w:p w:rsidR="00AD2A5C" w:rsidRPr="001A65F7" w:rsidRDefault="002757B3" w:rsidP="002757B3">
            <w:pPr>
              <w:pStyle w:val="E3TableHeading"/>
            </w:pPr>
            <w:r>
              <w:t>(AS/NZS 1680 Interior Lighting)</w:t>
            </w:r>
          </w:p>
        </w:tc>
        <w:tc>
          <w:tcPr>
            <w:tcW w:w="0" w:type="auto"/>
            <w:shd w:val="clear" w:color="auto" w:fill="000000" w:themeFill="text1"/>
          </w:tcPr>
          <w:p w:rsidR="00AD2A5C" w:rsidRPr="001A65F7" w:rsidRDefault="00AD2A5C" w:rsidP="000D11FB">
            <w:pPr>
              <w:pStyle w:val="E3TableHeading"/>
            </w:pPr>
            <w:r w:rsidRPr="001A65F7">
              <w:t>Lumens/Watt</w:t>
            </w:r>
          </w:p>
        </w:tc>
      </w:tr>
      <w:tr w:rsidR="00AD2A5C" w:rsidRPr="001A65F7" w:rsidTr="008E2F48">
        <w:trPr>
          <w:cantSplit/>
          <w:jc w:val="center"/>
        </w:trPr>
        <w:tc>
          <w:tcPr>
            <w:tcW w:w="0" w:type="auto"/>
          </w:tcPr>
          <w:p w:rsidR="00AD2A5C" w:rsidRPr="001A65F7" w:rsidRDefault="00AD2A5C" w:rsidP="00255AA3">
            <w:pPr>
              <w:pStyle w:val="E3Tabletext"/>
            </w:pPr>
            <w:r w:rsidRPr="001A65F7">
              <w:t>Board room and conference room</w:t>
            </w:r>
          </w:p>
        </w:tc>
        <w:tc>
          <w:tcPr>
            <w:tcW w:w="0" w:type="auto"/>
          </w:tcPr>
          <w:p w:rsidR="00AD2A5C" w:rsidRPr="001A65F7" w:rsidRDefault="00AD2A5C" w:rsidP="00255AA3">
            <w:pPr>
              <w:pStyle w:val="centredE3tabletext"/>
            </w:pPr>
            <w:r w:rsidRPr="001A65F7">
              <w:t>10</w:t>
            </w:r>
          </w:p>
        </w:tc>
        <w:tc>
          <w:tcPr>
            <w:tcW w:w="0" w:type="auto"/>
          </w:tcPr>
          <w:p w:rsidR="00AD2A5C" w:rsidRPr="001A65F7" w:rsidRDefault="00AD2A5C" w:rsidP="00255AA3">
            <w:pPr>
              <w:pStyle w:val="centredE3tabletext"/>
            </w:pPr>
            <w:r w:rsidRPr="001A65F7">
              <w:t>240</w:t>
            </w:r>
          </w:p>
        </w:tc>
        <w:tc>
          <w:tcPr>
            <w:tcW w:w="0" w:type="auto"/>
          </w:tcPr>
          <w:p w:rsidR="00AD2A5C" w:rsidRPr="001A65F7" w:rsidRDefault="00AD2A5C" w:rsidP="00255AA3">
            <w:pPr>
              <w:pStyle w:val="centredE3tabletext"/>
            </w:pPr>
            <w:r w:rsidRPr="001A65F7">
              <w:t>24</w:t>
            </w:r>
          </w:p>
        </w:tc>
      </w:tr>
      <w:tr w:rsidR="00AD2A5C" w:rsidRPr="001A65F7" w:rsidTr="008E2F48">
        <w:trPr>
          <w:cantSplit/>
          <w:jc w:val="center"/>
        </w:trPr>
        <w:tc>
          <w:tcPr>
            <w:tcW w:w="0" w:type="auto"/>
          </w:tcPr>
          <w:p w:rsidR="00AD2A5C" w:rsidRPr="001A65F7" w:rsidRDefault="00AD2A5C" w:rsidP="00255AA3">
            <w:pPr>
              <w:pStyle w:val="E3Tabletext"/>
            </w:pPr>
            <w:r w:rsidRPr="001A65F7">
              <w:t>Corridors</w:t>
            </w:r>
          </w:p>
        </w:tc>
        <w:tc>
          <w:tcPr>
            <w:tcW w:w="0" w:type="auto"/>
          </w:tcPr>
          <w:p w:rsidR="00AD2A5C" w:rsidRPr="001A65F7" w:rsidRDefault="00AD2A5C" w:rsidP="00255AA3">
            <w:pPr>
              <w:pStyle w:val="centredE3tabletext"/>
            </w:pPr>
            <w:r w:rsidRPr="001A65F7">
              <w:t>6</w:t>
            </w:r>
          </w:p>
        </w:tc>
        <w:tc>
          <w:tcPr>
            <w:tcW w:w="0" w:type="auto"/>
          </w:tcPr>
          <w:p w:rsidR="00AD2A5C" w:rsidRPr="001A65F7" w:rsidRDefault="00AD2A5C" w:rsidP="00255AA3">
            <w:pPr>
              <w:pStyle w:val="centredE3tabletext"/>
            </w:pPr>
            <w:r w:rsidRPr="001A65F7">
              <w:t>160</w:t>
            </w:r>
          </w:p>
        </w:tc>
        <w:tc>
          <w:tcPr>
            <w:tcW w:w="0" w:type="auto"/>
          </w:tcPr>
          <w:p w:rsidR="00AD2A5C" w:rsidRPr="001A65F7" w:rsidRDefault="00AD2A5C" w:rsidP="00255AA3">
            <w:pPr>
              <w:pStyle w:val="centredE3tabletext"/>
            </w:pPr>
            <w:r w:rsidRPr="001A65F7">
              <w:t>27</w:t>
            </w:r>
          </w:p>
        </w:tc>
      </w:tr>
      <w:tr w:rsidR="00AD2A5C" w:rsidRPr="001A65F7" w:rsidTr="008E2F48">
        <w:trPr>
          <w:cantSplit/>
          <w:jc w:val="center"/>
        </w:trPr>
        <w:tc>
          <w:tcPr>
            <w:tcW w:w="0" w:type="auto"/>
          </w:tcPr>
          <w:p w:rsidR="00AD2A5C" w:rsidRPr="001A65F7" w:rsidRDefault="00AD2A5C" w:rsidP="00255AA3">
            <w:pPr>
              <w:pStyle w:val="E3Tabletext"/>
            </w:pPr>
            <w:r w:rsidRPr="001A65F7">
              <w:t>Entry lobby from outside the building</w:t>
            </w:r>
          </w:p>
        </w:tc>
        <w:tc>
          <w:tcPr>
            <w:tcW w:w="0" w:type="auto"/>
          </w:tcPr>
          <w:p w:rsidR="00AD2A5C" w:rsidRPr="001A65F7" w:rsidRDefault="00AD2A5C" w:rsidP="00255AA3">
            <w:pPr>
              <w:pStyle w:val="centredE3tabletext"/>
            </w:pPr>
            <w:r w:rsidRPr="001A65F7">
              <w:t>15</w:t>
            </w:r>
          </w:p>
        </w:tc>
        <w:tc>
          <w:tcPr>
            <w:tcW w:w="0" w:type="auto"/>
          </w:tcPr>
          <w:p w:rsidR="00AD2A5C" w:rsidRPr="001A65F7" w:rsidRDefault="00AD2A5C" w:rsidP="00255AA3">
            <w:pPr>
              <w:pStyle w:val="centredE3tabletext"/>
            </w:pPr>
            <w:r w:rsidRPr="001A65F7">
              <w:t>160</w:t>
            </w:r>
          </w:p>
        </w:tc>
        <w:tc>
          <w:tcPr>
            <w:tcW w:w="0" w:type="auto"/>
          </w:tcPr>
          <w:p w:rsidR="00AD2A5C" w:rsidRPr="001A65F7" w:rsidRDefault="00AD2A5C" w:rsidP="00255AA3">
            <w:pPr>
              <w:pStyle w:val="centredE3tabletext"/>
            </w:pPr>
            <w:r w:rsidRPr="001A65F7">
              <w:t>11</w:t>
            </w:r>
          </w:p>
        </w:tc>
      </w:tr>
      <w:tr w:rsidR="00AD2A5C" w:rsidRPr="001A65F7" w:rsidTr="008E2F48">
        <w:trPr>
          <w:cantSplit/>
          <w:jc w:val="center"/>
        </w:trPr>
        <w:tc>
          <w:tcPr>
            <w:tcW w:w="0" w:type="auto"/>
          </w:tcPr>
          <w:p w:rsidR="00AD2A5C" w:rsidRPr="001A65F7" w:rsidRDefault="00AD2A5C" w:rsidP="00255AA3">
            <w:pPr>
              <w:pStyle w:val="E3Tabletext"/>
            </w:pPr>
            <w:r w:rsidRPr="001A65F7">
              <w:t>Office – artificially lit to an ambient level of 200 lux or more</w:t>
            </w:r>
          </w:p>
        </w:tc>
        <w:tc>
          <w:tcPr>
            <w:tcW w:w="0" w:type="auto"/>
          </w:tcPr>
          <w:p w:rsidR="00AD2A5C" w:rsidRPr="001A65F7" w:rsidRDefault="00AD2A5C" w:rsidP="00255AA3">
            <w:pPr>
              <w:pStyle w:val="centredE3tabletext"/>
            </w:pPr>
            <w:r w:rsidRPr="001A65F7">
              <w:t>9</w:t>
            </w:r>
          </w:p>
        </w:tc>
        <w:tc>
          <w:tcPr>
            <w:tcW w:w="0" w:type="auto"/>
          </w:tcPr>
          <w:p w:rsidR="00AD2A5C" w:rsidRPr="001A65F7" w:rsidRDefault="00AD2A5C" w:rsidP="00255AA3">
            <w:pPr>
              <w:pStyle w:val="centredE3tabletext"/>
            </w:pPr>
            <w:r w:rsidRPr="001A65F7">
              <w:t>320</w:t>
            </w:r>
          </w:p>
        </w:tc>
        <w:tc>
          <w:tcPr>
            <w:tcW w:w="0" w:type="auto"/>
          </w:tcPr>
          <w:p w:rsidR="00AD2A5C" w:rsidRPr="001A65F7" w:rsidRDefault="00AD2A5C" w:rsidP="00255AA3">
            <w:pPr>
              <w:pStyle w:val="centredE3tabletext"/>
            </w:pPr>
            <w:r w:rsidRPr="001A65F7">
              <w:t>33</w:t>
            </w:r>
          </w:p>
        </w:tc>
      </w:tr>
      <w:tr w:rsidR="00AD2A5C" w:rsidRPr="001A65F7" w:rsidTr="008E2F48">
        <w:trPr>
          <w:cantSplit/>
          <w:jc w:val="center"/>
        </w:trPr>
        <w:tc>
          <w:tcPr>
            <w:tcW w:w="0" w:type="auto"/>
          </w:tcPr>
          <w:p w:rsidR="00AD2A5C" w:rsidRPr="001A65F7" w:rsidRDefault="00AD2A5C" w:rsidP="00255AA3">
            <w:pPr>
              <w:pStyle w:val="E3Tabletext"/>
            </w:pPr>
            <w:r w:rsidRPr="001A65F7">
              <w:t>Office – artificially lit to an ambient level of less than 200 lux</w:t>
            </w:r>
          </w:p>
        </w:tc>
        <w:tc>
          <w:tcPr>
            <w:tcW w:w="0" w:type="auto"/>
          </w:tcPr>
          <w:p w:rsidR="00AD2A5C" w:rsidRPr="001A65F7" w:rsidRDefault="00AD2A5C" w:rsidP="00255AA3">
            <w:pPr>
              <w:pStyle w:val="centredE3tabletext"/>
            </w:pPr>
            <w:r w:rsidRPr="001A65F7">
              <w:t>7</w:t>
            </w:r>
          </w:p>
        </w:tc>
        <w:tc>
          <w:tcPr>
            <w:tcW w:w="0" w:type="auto"/>
          </w:tcPr>
          <w:p w:rsidR="00AD2A5C" w:rsidRPr="001A65F7" w:rsidRDefault="00AD2A5C" w:rsidP="00255AA3">
            <w:pPr>
              <w:pStyle w:val="centredE3tabletext"/>
            </w:pPr>
            <w:r w:rsidRPr="001A65F7">
              <w:t>160</w:t>
            </w:r>
          </w:p>
        </w:tc>
        <w:tc>
          <w:tcPr>
            <w:tcW w:w="0" w:type="auto"/>
          </w:tcPr>
          <w:p w:rsidR="00AD2A5C" w:rsidRPr="001A65F7" w:rsidRDefault="00AD2A5C" w:rsidP="00255AA3">
            <w:pPr>
              <w:pStyle w:val="centredE3tabletext"/>
            </w:pPr>
            <w:r w:rsidRPr="001A65F7">
              <w:t>23</w:t>
            </w:r>
          </w:p>
        </w:tc>
      </w:tr>
      <w:tr w:rsidR="00AD2A5C" w:rsidRPr="00010197" w:rsidTr="008E2F48">
        <w:trPr>
          <w:cantSplit/>
          <w:jc w:val="center"/>
        </w:trPr>
        <w:tc>
          <w:tcPr>
            <w:tcW w:w="0" w:type="auto"/>
          </w:tcPr>
          <w:p w:rsidR="00AD2A5C" w:rsidRPr="001A65F7" w:rsidRDefault="00AD2A5C" w:rsidP="00255AA3">
            <w:pPr>
              <w:pStyle w:val="E3Tabletext"/>
            </w:pPr>
            <w:r w:rsidRPr="001A65F7">
              <w:t>School – general purpose learning areas and tutorial rooms</w:t>
            </w:r>
          </w:p>
        </w:tc>
        <w:tc>
          <w:tcPr>
            <w:tcW w:w="0" w:type="auto"/>
          </w:tcPr>
          <w:p w:rsidR="00AD2A5C" w:rsidRPr="001A65F7" w:rsidRDefault="00AD2A5C" w:rsidP="00255AA3">
            <w:pPr>
              <w:pStyle w:val="centredE3tabletext"/>
            </w:pPr>
            <w:r w:rsidRPr="001A65F7">
              <w:t>8</w:t>
            </w:r>
          </w:p>
        </w:tc>
        <w:tc>
          <w:tcPr>
            <w:tcW w:w="0" w:type="auto"/>
          </w:tcPr>
          <w:p w:rsidR="00AD2A5C" w:rsidRPr="001A65F7" w:rsidRDefault="00AD2A5C" w:rsidP="00255AA3">
            <w:pPr>
              <w:pStyle w:val="centredE3tabletext"/>
            </w:pPr>
            <w:r w:rsidRPr="001A65F7">
              <w:t>320</w:t>
            </w:r>
          </w:p>
        </w:tc>
        <w:tc>
          <w:tcPr>
            <w:tcW w:w="0" w:type="auto"/>
          </w:tcPr>
          <w:p w:rsidR="00AD2A5C" w:rsidRPr="001A65F7" w:rsidRDefault="00AD2A5C" w:rsidP="00255AA3">
            <w:pPr>
              <w:pStyle w:val="centredE3tabletext"/>
            </w:pPr>
            <w:r w:rsidRPr="001A65F7">
              <w:t>40</w:t>
            </w:r>
          </w:p>
        </w:tc>
      </w:tr>
    </w:tbl>
    <w:p w:rsidR="00AD2A5C" w:rsidRPr="00010197" w:rsidRDefault="00AD2A5C" w:rsidP="00AD2A5C">
      <w:pPr>
        <w:pStyle w:val="E3BodyText"/>
        <w:rPr>
          <w:highlight w:val="cyan"/>
        </w:rPr>
      </w:pPr>
    </w:p>
    <w:p w:rsidR="00AD2A5C" w:rsidRPr="001A65F7" w:rsidRDefault="00AD2A5C" w:rsidP="00AD2A5C">
      <w:pPr>
        <w:pStyle w:val="E3BodyText"/>
      </w:pPr>
      <w:r w:rsidRPr="001A65F7">
        <w:t xml:space="preserve">An adjustment can be applied to the maximum illuminated power density to recognise the use of energy control devices such as dimmers, timers and daylight sensors. The adjustment factor is a graduated scale, depending on the area of lights controlled by devices such as occupancy sensors. </w:t>
      </w:r>
    </w:p>
    <w:p w:rsidR="00CF37BC" w:rsidRPr="00402CA9" w:rsidRDefault="00CF37BC" w:rsidP="00E96970">
      <w:pPr>
        <w:pStyle w:val="Heading3"/>
      </w:pPr>
      <w:bookmarkStart w:id="190" w:name="_Toc426387766"/>
      <w:r w:rsidRPr="00402CA9">
        <w:t xml:space="preserve">Commercial Building Disclosure </w:t>
      </w:r>
      <w:r w:rsidR="00506C8E" w:rsidRPr="00402CA9">
        <w:t>(CBD)</w:t>
      </w:r>
      <w:r w:rsidR="00A17DD8">
        <w:t xml:space="preserve"> (Australia)</w:t>
      </w:r>
      <w:bookmarkEnd w:id="190"/>
    </w:p>
    <w:p w:rsidR="00A17DD8" w:rsidRDefault="00506C8E" w:rsidP="00AD2A5C">
      <w:pPr>
        <w:pStyle w:val="E3BodyText"/>
      </w:pPr>
      <w:r w:rsidRPr="00402CA9">
        <w:t xml:space="preserve">CBD is a national program </w:t>
      </w:r>
      <w:r w:rsidR="00A17DD8">
        <w:t xml:space="preserve">which </w:t>
      </w:r>
      <w:r w:rsidR="00A17DD8" w:rsidRPr="0093605C">
        <w:t xml:space="preserve">requires premises, </w:t>
      </w:r>
      <w:r w:rsidR="00A17DD8" w:rsidRPr="00402CA9">
        <w:t xml:space="preserve">of 2000 </w:t>
      </w:r>
      <w:r w:rsidR="00A17DD8" w:rsidRPr="00402CA9">
        <w:rPr>
          <w:szCs w:val="20"/>
        </w:rPr>
        <w:t>m</w:t>
      </w:r>
      <w:r w:rsidR="00A17DD8" w:rsidRPr="00402CA9">
        <w:rPr>
          <w:szCs w:val="20"/>
          <w:vertAlign w:val="superscript"/>
        </w:rPr>
        <w:t>2</w:t>
      </w:r>
      <w:r w:rsidR="00A17DD8" w:rsidRPr="00402CA9">
        <w:t xml:space="preserve"> or more</w:t>
      </w:r>
      <w:r w:rsidR="00A17DD8" w:rsidRPr="0093605C">
        <w:t xml:space="preserve">, to disclose a National Australian Built Environment Rating System (NABERS) rating and the results of a tenancy lighting assessment, when being offered for sale or lease.  The tenancy lighting assessment measures the power density of the installed general lighting system </w:t>
      </w:r>
      <w:r w:rsidR="00A17DD8" w:rsidRPr="00402CA9">
        <w:t>by calculating the Nominal Lighting Power Density (NLPD) of the relevant functional space in the building</w:t>
      </w:r>
      <w:r w:rsidR="00A17DD8" w:rsidRPr="0093605C">
        <w:t xml:space="preserve"> and can also include proposed lighting systems.  The lighting provisions came into force in November 2011 (see the </w:t>
      </w:r>
      <w:hyperlink r:id="rId96" w:history="1">
        <w:r w:rsidR="00A17DD8" w:rsidRPr="0093605C">
          <w:rPr>
            <w:rStyle w:val="Hyperlink"/>
          </w:rPr>
          <w:t>CBD website</w:t>
        </w:r>
      </w:hyperlink>
      <w:r w:rsidR="00A17DD8" w:rsidRPr="0093605C">
        <w:t xml:space="preserve"> (www.cbd.gov.au) for more information).  NABERS has been adopted on a voluntary basis in New Zealand.</w:t>
      </w:r>
    </w:p>
    <w:p w:rsidR="00AD2A5C" w:rsidRPr="006B01D3" w:rsidRDefault="00E60008" w:rsidP="00E96970">
      <w:pPr>
        <w:pStyle w:val="Heading3"/>
      </w:pPr>
      <w:bookmarkStart w:id="191" w:name="_Toc426387767"/>
      <w:r>
        <w:t xml:space="preserve">New Zealand </w:t>
      </w:r>
      <w:r w:rsidR="00AD2A5C" w:rsidRPr="006B01D3">
        <w:t>Building Code</w:t>
      </w:r>
      <w:bookmarkEnd w:id="191"/>
    </w:p>
    <w:p w:rsidR="00AD2A5C" w:rsidRDefault="00AD2A5C" w:rsidP="00AD2A5C">
      <w:r w:rsidRPr="006B01D3">
        <w:t>The</w:t>
      </w:r>
      <w:r w:rsidR="00E60008">
        <w:t xml:space="preserve"> New Zealand</w:t>
      </w:r>
      <w:r w:rsidRPr="006B01D3">
        <w:t xml:space="preserve"> Building Code </w:t>
      </w:r>
      <w:r w:rsidR="00E60008">
        <w:t xml:space="preserve">(NZBC) </w:t>
      </w:r>
      <w:r w:rsidRPr="006B01D3">
        <w:t xml:space="preserve">is the first schedule of the </w:t>
      </w:r>
      <w:r w:rsidRPr="006B01D3">
        <w:rPr>
          <w:i/>
        </w:rPr>
        <w:t>Building Regulations 1992</w:t>
      </w:r>
      <w:r w:rsidRPr="006B01D3">
        <w:t xml:space="preserve">. The </w:t>
      </w:r>
      <w:r w:rsidR="00E60008">
        <w:t>NZBC</w:t>
      </w:r>
      <w:r w:rsidRPr="006B01D3">
        <w:t xml:space="preserve"> is a performance-based regulation that sets the standards building work must meet. It covers a variety of building aspects including energy efficiency.</w:t>
      </w:r>
    </w:p>
    <w:p w:rsidR="00AD2A5C" w:rsidRPr="00072130" w:rsidRDefault="00AD2A5C" w:rsidP="00AD2A5C">
      <w:r w:rsidRPr="00072130">
        <w:rPr>
          <w:i/>
        </w:rPr>
        <w:t xml:space="preserve">Clause H1 </w:t>
      </w:r>
      <w:r w:rsidR="00E60008" w:rsidRPr="00072130">
        <w:rPr>
          <w:i/>
        </w:rPr>
        <w:t>Energy Efficiency</w:t>
      </w:r>
      <w:r w:rsidR="00932ABE">
        <w:rPr>
          <w:i/>
        </w:rPr>
        <w:t xml:space="preserve"> </w:t>
      </w:r>
      <w:r w:rsidRPr="00072130">
        <w:t xml:space="preserve">of the </w:t>
      </w:r>
      <w:r w:rsidR="00E60008" w:rsidRPr="00072130">
        <w:t>NZBC</w:t>
      </w:r>
      <w:r w:rsidRPr="00072130">
        <w:t xml:space="preserve"> prescribes energy efficiency performance standards. The objective of Clause H1 is to facilitate the efficient use of energy. </w:t>
      </w:r>
      <w:r w:rsidR="002007AE" w:rsidRPr="00072130">
        <w:t xml:space="preserve">One of the </w:t>
      </w:r>
      <w:r w:rsidRPr="00072130">
        <w:t>functional requirement</w:t>
      </w:r>
      <w:r w:rsidR="002007AE" w:rsidRPr="00072130">
        <w:t>s</w:t>
      </w:r>
      <w:r w:rsidRPr="00072130">
        <w:t xml:space="preserve"> is that ‘Buildings must be constructed to achieve an adequate degree of energy efficiency</w:t>
      </w:r>
      <w:r w:rsidR="002007AE" w:rsidRPr="00072130">
        <w:t xml:space="preserve"> when that energy is used for … providing artificial lighting</w:t>
      </w:r>
      <w:r w:rsidRPr="00072130">
        <w:t>’.</w:t>
      </w:r>
      <w:r w:rsidR="002007AE" w:rsidRPr="00072130">
        <w:t xml:space="preserve"> This requirement only applies to commercial buildings </w:t>
      </w:r>
      <w:r w:rsidR="00E60008" w:rsidRPr="00072130">
        <w:t xml:space="preserve">and communal non-residential buildings </w:t>
      </w:r>
      <w:r w:rsidR="002007AE" w:rsidRPr="00072130">
        <w:t xml:space="preserve">with a floor area greater than 300 </w:t>
      </w:r>
      <w:r w:rsidR="002007AE" w:rsidRPr="00072130">
        <w:rPr>
          <w:szCs w:val="20"/>
        </w:rPr>
        <w:t>m</w:t>
      </w:r>
      <w:r w:rsidR="002007AE" w:rsidRPr="00072130">
        <w:rPr>
          <w:szCs w:val="20"/>
          <w:vertAlign w:val="superscript"/>
        </w:rPr>
        <w:t>2</w:t>
      </w:r>
      <w:r w:rsidR="002007AE" w:rsidRPr="00072130">
        <w:t>.</w:t>
      </w:r>
      <w:r w:rsidR="00314199" w:rsidRPr="00072130">
        <w:t xml:space="preserve"> The provisions of the </w:t>
      </w:r>
      <w:r w:rsidR="00E60008" w:rsidRPr="00072130">
        <w:t>NZBC</w:t>
      </w:r>
      <w:r w:rsidR="00314199" w:rsidRPr="00072130">
        <w:t xml:space="preserve"> are that artificial lighting fixtures must be –</w:t>
      </w:r>
    </w:p>
    <w:p w:rsidR="002007AE" w:rsidRPr="00072130" w:rsidRDefault="002007AE" w:rsidP="00314199">
      <w:pPr>
        <w:pStyle w:val="E3Bullets"/>
      </w:pPr>
      <w:r w:rsidRPr="00072130">
        <w:t>located and sized to limit energy use, consistent with the intended use of space; and</w:t>
      </w:r>
    </w:p>
    <w:p w:rsidR="002007AE" w:rsidRPr="00072130" w:rsidRDefault="002007AE" w:rsidP="00314199">
      <w:pPr>
        <w:pStyle w:val="E3Bullets"/>
      </w:pPr>
      <w:r w:rsidRPr="00072130">
        <w:t>fitted with a means to enable light intensities to be reduced, consistent with reduced activity in the space.</w:t>
      </w:r>
    </w:p>
    <w:p w:rsidR="00E60008" w:rsidRDefault="001B0D48" w:rsidP="00E60008">
      <w:r w:rsidRPr="00072130">
        <w:lastRenderedPageBreak/>
        <w:t xml:space="preserve">Artificial lighting in commercial buildings </w:t>
      </w:r>
      <w:r w:rsidR="00314199" w:rsidRPr="00072130">
        <w:t>must</w:t>
      </w:r>
      <w:r w:rsidRPr="00072130">
        <w:t xml:space="preserve"> comply with NZS 4243.2</w:t>
      </w:r>
      <w:r w:rsidR="00112D38" w:rsidRPr="00072130">
        <w:t>:2007</w:t>
      </w:r>
      <w:r w:rsidR="004A1BD8">
        <w:t xml:space="preserve"> </w:t>
      </w:r>
      <w:r w:rsidR="00112D38" w:rsidRPr="00072130">
        <w:t>Energy efficiency – Large buildings – Lighting</w:t>
      </w:r>
      <w:r w:rsidR="00F249E5" w:rsidRPr="00072130">
        <w:t>,</w:t>
      </w:r>
      <w:r w:rsidR="00932ABE">
        <w:t xml:space="preserve"> </w:t>
      </w:r>
      <w:r w:rsidRPr="00072130">
        <w:t>section</w:t>
      </w:r>
      <w:r w:rsidR="00314199" w:rsidRPr="00072130">
        <w:t>s</w:t>
      </w:r>
      <w:r w:rsidRPr="00072130">
        <w:t xml:space="preserve"> 3.3 or 3.4</w:t>
      </w:r>
      <w:r w:rsidR="00314199" w:rsidRPr="00072130">
        <w:t>,</w:t>
      </w:r>
      <w:r w:rsidRPr="00072130">
        <w:t xml:space="preserve"> to satisfy the </w:t>
      </w:r>
      <w:r w:rsidR="00314199" w:rsidRPr="00072130">
        <w:t>above provisions</w:t>
      </w:r>
      <w:r w:rsidRPr="00072130">
        <w:t>.</w:t>
      </w:r>
      <w:r w:rsidR="0062534A">
        <w:t xml:space="preserve">  The maximum lighting power density </w:t>
      </w:r>
      <w:r w:rsidR="004A1BD8">
        <w:t xml:space="preserve">in the standard </w:t>
      </w:r>
      <w:r w:rsidR="0062534A">
        <w:t>is 12W/m2.</w:t>
      </w:r>
    </w:p>
    <w:p w:rsidR="004A1BD8" w:rsidRDefault="004A1BD8" w:rsidP="00E60008"/>
    <w:p w:rsidR="00E60008" w:rsidRPr="006B01D3" w:rsidRDefault="00E60008" w:rsidP="00E60008">
      <w:r w:rsidRPr="00E60008">
        <w:rPr>
          <w:i/>
        </w:rPr>
        <w:t>Clause G8 Artificial Light</w:t>
      </w:r>
      <w:r>
        <w:t xml:space="preserve"> of the NZBC has been developed to protect people from injury due to inadequate lighting, and stipulates that illuminance at floor level must be no less than 20 lux. There are no specific requirements for lighting energy efficiency of residential premises in the NZBC.</w:t>
      </w:r>
    </w:p>
    <w:p w:rsidR="0050201A" w:rsidRPr="003107D2" w:rsidRDefault="0050201A" w:rsidP="00E96970">
      <w:pPr>
        <w:pStyle w:val="Heading2"/>
      </w:pPr>
      <w:bookmarkStart w:id="192" w:name="_Toc426387768"/>
      <w:r w:rsidRPr="003107D2">
        <w:t>Voluntary programs</w:t>
      </w:r>
      <w:r w:rsidR="00CE79DB">
        <w:t>,</w:t>
      </w:r>
      <w:r w:rsidRPr="003107D2">
        <w:t xml:space="preserve"> incentive schemes</w:t>
      </w:r>
      <w:r w:rsidR="00CE79DB">
        <w:t xml:space="preserve"> and education</w:t>
      </w:r>
      <w:bookmarkEnd w:id="192"/>
    </w:p>
    <w:p w:rsidR="004A0436" w:rsidRDefault="004A0436" w:rsidP="00E96970">
      <w:pPr>
        <w:pStyle w:val="Heading3"/>
      </w:pPr>
      <w:bookmarkStart w:id="193" w:name="_Toc426387769"/>
      <w:r>
        <w:t>Energy Star</w:t>
      </w:r>
      <w:r w:rsidR="000F300D">
        <w:t xml:space="preserve"> (New Zealand)</w:t>
      </w:r>
      <w:bookmarkEnd w:id="193"/>
    </w:p>
    <w:p w:rsidR="00922274" w:rsidRPr="003107D2" w:rsidRDefault="00922274" w:rsidP="00922274">
      <w:pPr>
        <w:pStyle w:val="E3BodyText"/>
      </w:pPr>
      <w:r w:rsidRPr="003107D2">
        <w:rPr>
          <w:smallCaps/>
        </w:rPr>
        <w:t>Energy Star</w:t>
      </w:r>
      <w:r w:rsidRPr="003107D2">
        <w:t xml:space="preserve"> is </w:t>
      </w:r>
      <w:r w:rsidR="000F300D">
        <w:t xml:space="preserve">a voluntary energy efficiency program </w:t>
      </w:r>
      <w:r w:rsidR="00960EF0">
        <w:t xml:space="preserve">originally </w:t>
      </w:r>
      <w:r w:rsidR="000F300D">
        <w:t>established by the U.S. Environment Protection Agency. The New Zealand Energy Efficiency and Conservation Authority administers the New Zealand Energy Star voluntary labelling scheme for a range of products including LED and CFLi lighting</w:t>
      </w:r>
      <w:r w:rsidR="00932ABE">
        <w:t xml:space="preserve"> </w:t>
      </w:r>
      <w:r w:rsidR="00231D78">
        <w:t>and a range of luminaires as a way for consumers to identify the most efficient and best performing products</w:t>
      </w:r>
      <w:r w:rsidR="000F300D">
        <w:t>.</w:t>
      </w:r>
    </w:p>
    <w:p w:rsidR="00922274" w:rsidRPr="003107D2" w:rsidRDefault="00922274" w:rsidP="00922274">
      <w:pPr>
        <w:pStyle w:val="E3BodyText"/>
      </w:pPr>
      <w:r w:rsidRPr="003107D2">
        <w:t xml:space="preserve">The </w:t>
      </w:r>
      <w:r w:rsidRPr="003107D2">
        <w:rPr>
          <w:smallCaps/>
        </w:rPr>
        <w:t>Energy Star</w:t>
      </w:r>
      <w:r w:rsidRPr="003107D2">
        <w:t xml:space="preserve"> program uses an endorsement mark to indicate those models produced by participating manufacturers and suppliers that are performing at a high-efficiency level (top 25% most energy efficient products), as defined under the relevant specification. This provides an independent verification of energy efficiency to consumers, and provides a selling point that manufacturers, suppliers and retailers can use in their promotion of </w:t>
      </w:r>
      <w:r w:rsidR="00531A5E">
        <w:t>lighting products</w:t>
      </w:r>
      <w:r w:rsidRPr="003107D2">
        <w:t xml:space="preserve">. New Zealand currently uses the </w:t>
      </w:r>
      <w:r w:rsidRPr="003107D2">
        <w:rPr>
          <w:smallCaps/>
        </w:rPr>
        <w:t>Energy Star</w:t>
      </w:r>
      <w:r w:rsidRPr="003107D2">
        <w:t xml:space="preserve"> program with significant success</w:t>
      </w:r>
      <w:r w:rsidR="00932ABE">
        <w:t xml:space="preserve"> </w:t>
      </w:r>
      <w:r w:rsidR="00231D78">
        <w:t xml:space="preserve">with </w:t>
      </w:r>
      <w:r w:rsidR="00231D78" w:rsidRPr="003107D2">
        <w:t>consumer brand awareness measured at 78% (2012)</w:t>
      </w:r>
      <w:r w:rsidRPr="003107D2">
        <w:t>.</w:t>
      </w:r>
    </w:p>
    <w:p w:rsidR="00922274" w:rsidRPr="003107D2" w:rsidRDefault="00922274" w:rsidP="00922274">
      <w:pPr>
        <w:pStyle w:val="E3BodyText"/>
      </w:pPr>
      <w:r w:rsidRPr="003107D2">
        <w:t>However, as this is a self-selecting program and only addresses energy performance at the high end of the scale, the program on its own is less effective in addressing the energy efficiency of products than when it is used to complement measures such as MEPS and comparative energy labelling.</w:t>
      </w:r>
    </w:p>
    <w:p w:rsidR="00B521F8" w:rsidRDefault="00B521F8" w:rsidP="00D77EDD">
      <w:pPr>
        <w:pStyle w:val="E3BodyText"/>
      </w:pPr>
      <w:r w:rsidRPr="001C3738">
        <w:t xml:space="preserve">The specification </w:t>
      </w:r>
      <w:r w:rsidR="00D77EDD">
        <w:t>applies to integral LED lamps, defined as a lamp with LEDs, an integrated driver and an ANSI standardised base designed to connect to the branch circuit via an ANSI standardised lampholder/socket, including:</w:t>
      </w:r>
    </w:p>
    <w:p w:rsidR="00D77EDD" w:rsidRPr="00D77EDD" w:rsidRDefault="00D77EDD" w:rsidP="00D77EDD">
      <w:pPr>
        <w:pStyle w:val="E3Bullets"/>
      </w:pPr>
      <w:r w:rsidRPr="00D77EDD">
        <w:t>lamps of a non-standard form</w:t>
      </w:r>
    </w:p>
    <w:p w:rsidR="00D77EDD" w:rsidRDefault="00D77EDD" w:rsidP="00D77EDD">
      <w:pPr>
        <w:pStyle w:val="E3Bullets"/>
      </w:pPr>
      <w:r w:rsidRPr="00D77EDD">
        <w:t>replacements for standard general service incandescent lamps, decorative (candelabra style) lamps and reflector lamps.</w:t>
      </w:r>
    </w:p>
    <w:p w:rsidR="00D77EDD" w:rsidRDefault="00D77EDD" w:rsidP="00D77EDD">
      <w:pPr>
        <w:pStyle w:val="E3BodyText"/>
      </w:pPr>
      <w:r w:rsidRPr="00D77EDD">
        <w:t xml:space="preserve">The requirements of the LED specification are identical to those in the US </w:t>
      </w:r>
      <w:r w:rsidRPr="00D77EDD">
        <w:rPr>
          <w:smallCaps/>
        </w:rPr>
        <w:t>Energy Star</w:t>
      </w:r>
      <w:r w:rsidRPr="00D77EDD">
        <w:t xml:space="preserve"> specification</w:t>
      </w:r>
      <w:r>
        <w:t xml:space="preserve">, with additions to the allowable lamp bases and operating voltage. The requirements specified for all lamps are: correlated colour temperature (CCT); colour maintenance; colour rendering index (CRI); allowable lamp bases; power factor; minimum operating temperature; LED operating frequency; EMC; noise; transient protection; operating voltage; safety requirements; </w:t>
      </w:r>
      <w:r w:rsidR="00922274">
        <w:t>and packaging</w:t>
      </w:r>
      <w:r>
        <w:t>.</w:t>
      </w:r>
      <w:r w:rsidR="00922274">
        <w:t xml:space="preserve"> Additional requirements are specified for non-standard lamps, replacement lamps lumen maintenance and lifetime claims.</w:t>
      </w:r>
    </w:p>
    <w:p w:rsidR="00922274" w:rsidRDefault="00922274" w:rsidP="00922274">
      <w:pPr>
        <w:pStyle w:val="E3BodyText"/>
      </w:pPr>
      <w:r w:rsidRPr="00922274">
        <w:t xml:space="preserve">The New Zealand </w:t>
      </w:r>
      <w:r w:rsidRPr="00922274">
        <w:rPr>
          <w:smallCaps/>
        </w:rPr>
        <w:t>Energy Star</w:t>
      </w:r>
      <w:r w:rsidRPr="00922274">
        <w:t xml:space="preserve"> specification for luminaires came into effect on 1 November 2012 in New Zealand. The objective is the save money on energy bills and bulb replacements and distribute light more efficiently and evenly than standard fixtures, with qualifying luminaires using only a quarter the energy of traditional lighting. The requirements are identical to those in the US </w:t>
      </w:r>
      <w:r w:rsidRPr="00922274">
        <w:rPr>
          <w:smallCaps/>
        </w:rPr>
        <w:t>Energy Star</w:t>
      </w:r>
      <w:r w:rsidRPr="00922274">
        <w:t xml:space="preserve"> specification, with the exception of some amendments (additional lampholder types and changes to the downlight types to meet New Zealand e</w:t>
      </w:r>
      <w:r>
        <w:t>lectrical safety requirements).</w:t>
      </w:r>
    </w:p>
    <w:p w:rsidR="00922274" w:rsidRDefault="00922274" w:rsidP="00922274">
      <w:pPr>
        <w:pStyle w:val="E3BodyText"/>
      </w:pPr>
      <w:r w:rsidRPr="00922274">
        <w:t>The</w:t>
      </w:r>
      <w:r>
        <w:t xml:space="preserve"> luminaire</w:t>
      </w:r>
      <w:r w:rsidR="00932ABE">
        <w:t xml:space="preserve"> </w:t>
      </w:r>
      <w:r w:rsidRPr="00922274">
        <w:rPr>
          <w:smallCaps/>
        </w:rPr>
        <w:t>Energy Star</w:t>
      </w:r>
      <w:r w:rsidRPr="00922274">
        <w:t xml:space="preserve"> specification is primarily for residential luminaires and some commercial luminaires (excludes commercial street, high bay, recessed troffers or other types of lighting employed for general office illumination).</w:t>
      </w:r>
      <w:r>
        <w:t xml:space="preserve"> This includes solid state lighting (SSL) downlight retrofits and all inseparable SSL luminaires including non-directional inseparable SSL luminaires.</w:t>
      </w:r>
    </w:p>
    <w:p w:rsidR="00922274" w:rsidRDefault="00922274" w:rsidP="00922274">
      <w:pPr>
        <w:pStyle w:val="E3BodyText"/>
      </w:pPr>
      <w:r>
        <w:t xml:space="preserve">There are currently 5 models of LED lamps and 26 models of LED luminaires registered with NZ </w:t>
      </w:r>
      <w:r w:rsidRPr="001C3738">
        <w:rPr>
          <w:smallCaps/>
        </w:rPr>
        <w:t>Energy Star</w:t>
      </w:r>
      <w:r>
        <w:t>.</w:t>
      </w:r>
    </w:p>
    <w:p w:rsidR="00010197" w:rsidRDefault="00010197" w:rsidP="00E96970">
      <w:pPr>
        <w:pStyle w:val="Heading3"/>
      </w:pPr>
      <w:bookmarkStart w:id="194" w:name="_Toc426387770"/>
      <w:r>
        <w:t>SSL Quality Scheme</w:t>
      </w:r>
      <w:bookmarkEnd w:id="194"/>
    </w:p>
    <w:p w:rsidR="002F0C54" w:rsidRDefault="002F0C54" w:rsidP="002F0C54">
      <w:pPr>
        <w:pStyle w:val="E3BodyText"/>
      </w:pPr>
      <w:r w:rsidRPr="002F0C54">
        <w:t>The SSL</w:t>
      </w:r>
      <w:r>
        <w:t xml:space="preserve"> Quality Scheme is a voluntary</w:t>
      </w:r>
      <w:r w:rsidR="00240EA0">
        <w:t xml:space="preserve"> industry</w:t>
      </w:r>
      <w:r>
        <w:t xml:space="preserve"> labelling program </w:t>
      </w:r>
      <w:r w:rsidR="00240EA0">
        <w:t>operated</w:t>
      </w:r>
      <w:r>
        <w:t xml:space="preserve"> by Lighting Council Australia</w:t>
      </w:r>
      <w:r w:rsidR="00240EA0">
        <w:t xml:space="preserve"> for SSL luminaires</w:t>
      </w:r>
      <w:r w:rsidR="00F410AB">
        <w:t xml:space="preserve"> (note, only members of Lighting Council Australia or Lighting Council New Zealand can participate in </w:t>
      </w:r>
      <w:r w:rsidR="00F410AB">
        <w:lastRenderedPageBreak/>
        <w:t>the scheme)</w:t>
      </w:r>
      <w:r>
        <w:t>.</w:t>
      </w:r>
      <w:r w:rsidR="00240EA0">
        <w:t xml:space="preserve"> The SSL Quality Scheme is based on the US Department of Energy ‘Market Facts’ label and suppliers must </w:t>
      </w:r>
      <w:r w:rsidR="00231D78">
        <w:t>report on</w:t>
      </w:r>
      <w:r w:rsidR="00240EA0">
        <w:t xml:space="preserve"> a minimum set of critical parameters to participate in the scheme.</w:t>
      </w:r>
    </w:p>
    <w:p w:rsidR="00240EA0" w:rsidRDefault="00240EA0" w:rsidP="00240EA0">
      <w:pPr>
        <w:pStyle w:val="E3Bullets"/>
      </w:pPr>
      <w:r>
        <w:t>Luminaire efficacy</w:t>
      </w:r>
    </w:p>
    <w:p w:rsidR="00240EA0" w:rsidRDefault="00240EA0" w:rsidP="00240EA0">
      <w:pPr>
        <w:pStyle w:val="E3Bullets"/>
      </w:pPr>
      <w:r>
        <w:t>Light output of the luminaire</w:t>
      </w:r>
    </w:p>
    <w:p w:rsidR="00240EA0" w:rsidRDefault="00240EA0" w:rsidP="00240EA0">
      <w:pPr>
        <w:pStyle w:val="E3Bullets"/>
      </w:pPr>
      <w:r>
        <w:t>Measured input power</w:t>
      </w:r>
    </w:p>
    <w:p w:rsidR="00240EA0" w:rsidRDefault="00240EA0" w:rsidP="00240EA0">
      <w:pPr>
        <w:pStyle w:val="E3Bullets"/>
      </w:pPr>
      <w:r>
        <w:t>CCT</w:t>
      </w:r>
    </w:p>
    <w:p w:rsidR="00240EA0" w:rsidRDefault="00240EA0" w:rsidP="00240EA0">
      <w:pPr>
        <w:pStyle w:val="E3Bullets"/>
      </w:pPr>
      <w:r>
        <w:t>CRI</w:t>
      </w:r>
    </w:p>
    <w:p w:rsidR="00240EA0" w:rsidRPr="002F0C54" w:rsidRDefault="00DB559B" w:rsidP="00240EA0">
      <w:pPr>
        <w:pStyle w:val="E3BodyText"/>
      </w:pPr>
      <w:r>
        <w:t xml:space="preserve">The label </w:t>
      </w:r>
      <w:r w:rsidR="00231D78">
        <w:t xml:space="preserve">is intended to </w:t>
      </w:r>
      <w:r w:rsidR="00DF718B">
        <w:t>provide</w:t>
      </w:r>
      <w:r>
        <w:t xml:space="preserve"> the market with confidence that a luminaire with the scheme label matches the performance claims made by the supplier –</w:t>
      </w:r>
      <w:r w:rsidR="00231D78">
        <w:t xml:space="preserve"> however</w:t>
      </w:r>
      <w:r w:rsidR="00932ABE">
        <w:t xml:space="preserve"> </w:t>
      </w:r>
      <w:r w:rsidRPr="00231D78">
        <w:t>it does not set minimum performance requirements like programs such as</w:t>
      </w:r>
      <w:r w:rsidR="00231D78">
        <w:t xml:space="preserve"> regulated MEPS schemes or</w:t>
      </w:r>
      <w:r w:rsidR="00932ABE">
        <w:t xml:space="preserve"> </w:t>
      </w:r>
      <w:r w:rsidRPr="00231D78">
        <w:rPr>
          <w:smallCaps/>
        </w:rPr>
        <w:t>Energy Star</w:t>
      </w:r>
      <w:r>
        <w:t xml:space="preserve">. </w:t>
      </w:r>
      <w:r w:rsidR="00240EA0">
        <w:t xml:space="preserve">Scheme participants must provide test reports or other evidence to Lighting Council Australia to verify their claims, and Lighting Council Australia then registers the product on a </w:t>
      </w:r>
      <w:hyperlink r:id="rId97" w:history="1">
        <w:r w:rsidR="00240EA0" w:rsidRPr="00AB61E3">
          <w:rPr>
            <w:rStyle w:val="Hyperlink"/>
          </w:rPr>
          <w:t>database</w:t>
        </w:r>
      </w:hyperlink>
      <w:r w:rsidR="00AB61E3">
        <w:t>(</w:t>
      </w:r>
      <w:r w:rsidR="00AB61E3" w:rsidRPr="00AB61E3">
        <w:t>www.lightingcouncil.com.au</w:t>
      </w:r>
      <w:r w:rsidR="00AB61E3">
        <w:t>)</w:t>
      </w:r>
      <w:r w:rsidR="00240EA0">
        <w:t>.</w:t>
      </w:r>
      <w:r>
        <w:t xml:space="preserve"> There are currently 194 products registered.</w:t>
      </w:r>
    </w:p>
    <w:p w:rsidR="0050201A" w:rsidRPr="003107D2" w:rsidRDefault="0050201A" w:rsidP="00E96970">
      <w:pPr>
        <w:pStyle w:val="Heading3"/>
      </w:pPr>
      <w:bookmarkStart w:id="195" w:name="_Toc426387771"/>
      <w:r w:rsidRPr="003107D2">
        <w:t>Incentives</w:t>
      </w:r>
      <w:bookmarkEnd w:id="195"/>
    </w:p>
    <w:p w:rsidR="0050201A" w:rsidRPr="003107D2" w:rsidRDefault="0050201A" w:rsidP="00E96970">
      <w:pPr>
        <w:pStyle w:val="Heading4"/>
      </w:pPr>
      <w:r w:rsidRPr="003107D2">
        <w:t>Australia</w:t>
      </w:r>
    </w:p>
    <w:p w:rsidR="0050201A" w:rsidRPr="003107D2" w:rsidRDefault="0050201A" w:rsidP="0050201A">
      <w:pPr>
        <w:pStyle w:val="E3BodyText"/>
      </w:pPr>
      <w:r w:rsidRPr="003107D2">
        <w:t xml:space="preserve">The </w:t>
      </w:r>
      <w:hyperlink r:id="rId98" w:history="1">
        <w:r w:rsidRPr="00F410AB">
          <w:rPr>
            <w:rStyle w:val="Hyperlink"/>
          </w:rPr>
          <w:t>NSW Energy Savings Scheme (ESS)</w:t>
        </w:r>
      </w:hyperlink>
      <w:r w:rsidR="00F410AB">
        <w:t>(</w:t>
      </w:r>
      <w:r w:rsidR="00F410AB" w:rsidRPr="00F410AB">
        <w:t>www.ess.nsw.gov.au/Projects_an_equipment/Lighting</w:t>
      </w:r>
      <w:r w:rsidR="00F410AB">
        <w:t xml:space="preserve">) </w:t>
      </w:r>
      <w:r w:rsidRPr="003107D2">
        <w:t xml:space="preserve">includes lighting retrofits in commercial or industrial facilities. Evidence is collected on the lighting configuration before and after an upgrade, and testing is conducted to ensure that the final lighting configuration meets relevant lighting standards so output and service levels are maintained. The Commercial Lighting Energy Savings Formula is used to calculate energy savings from an upgrade </w:t>
      </w:r>
      <w:r w:rsidR="00231D78">
        <w:t>and e</w:t>
      </w:r>
      <w:r w:rsidRPr="003107D2">
        <w:t xml:space="preserve">nergy savings certificates are created, which </w:t>
      </w:r>
      <w:r w:rsidR="00231D78">
        <w:t xml:space="preserve">purchased by </w:t>
      </w:r>
      <w:r w:rsidRPr="003107D2">
        <w:t>electricity retailers. Over 2.1 million certificates for commercial lighting upgrades have been surrendered since 2009 – this represents 2.1 million tonnes of CO</w:t>
      </w:r>
      <w:r w:rsidRPr="003107D2">
        <w:rPr>
          <w:vertAlign w:val="subscript"/>
        </w:rPr>
        <w:t>2</w:t>
      </w:r>
      <w:r w:rsidRPr="003107D2">
        <w:t>e that has been reduced or removed from the atmosphere.</w:t>
      </w:r>
    </w:p>
    <w:p w:rsidR="0050201A" w:rsidRPr="003107D2" w:rsidRDefault="0050201A" w:rsidP="00EB0901">
      <w:pPr>
        <w:pStyle w:val="E3BodyText"/>
      </w:pPr>
      <w:r w:rsidRPr="003107D2">
        <w:t xml:space="preserve">The </w:t>
      </w:r>
      <w:hyperlink r:id="rId99" w:history="1">
        <w:r w:rsidRPr="00F410AB">
          <w:rPr>
            <w:rStyle w:val="Hyperlink"/>
          </w:rPr>
          <w:t>Victorian Energy Efficiency Target (VEET) scheme</w:t>
        </w:r>
      </w:hyperlink>
      <w:r w:rsidR="00F410AB">
        <w:t xml:space="preserve">(www.veet.vic.gov.au) </w:t>
      </w:r>
      <w:r w:rsidRPr="003107D2">
        <w:t xml:space="preserve">entitles a commercial energy consumer to a discount on the product installed (an Energy Saver Incentive) when undertaking a commercial lighting upgrade using a business accredited under the scheme to make the energy efficiency improvements. The accredited business creates a Victorian energy efficiency certificate (VEEC) for every one tonne of greenhouse gas abated. </w:t>
      </w:r>
      <w:r w:rsidR="00EB0901">
        <w:t>Up to mid-2015 0.48 million certificates have been generated from business lighting upgrades at 1,725 sites; 7.80 million certificates have been generated from replacing incandescent light globes (mainly residential) with low energy lamps (mainly CFLs) at 825,811 sites; and 3.74 million certificates have been generated from replacing 12 volt halogen downlights (mainly residential) with LED lamps at 147,659 sites.</w:t>
      </w:r>
    </w:p>
    <w:p w:rsidR="0050201A" w:rsidRDefault="0050201A" w:rsidP="0050201A">
      <w:pPr>
        <w:pStyle w:val="E3BodyText"/>
      </w:pPr>
      <w:r w:rsidRPr="003107D2">
        <w:t xml:space="preserve">The </w:t>
      </w:r>
      <w:hyperlink r:id="rId100" w:history="1">
        <w:r w:rsidRPr="00F410AB">
          <w:rPr>
            <w:rStyle w:val="Hyperlink"/>
          </w:rPr>
          <w:t>ACT Energy Efficiency Improvement Scheme (EEIS)</w:t>
        </w:r>
      </w:hyperlink>
      <w:r w:rsidR="00F410AB">
        <w:t>(</w:t>
      </w:r>
      <w:r w:rsidR="00F410AB" w:rsidRPr="004D5473">
        <w:t>www.environment.act.gov.au/energy/energy_efficiency_improvement_scheme_eeis</w:t>
      </w:r>
      <w:r w:rsidR="00F410AB">
        <w:t xml:space="preserve">) </w:t>
      </w:r>
      <w:r w:rsidRPr="003107D2">
        <w:t>began on 1 January 2013 and sets a Territory-wide energy savings target, including obligations for ACT electricity retailers to meet an individual Retailer Energy Savings Obligation (RESO). The EEIS is based on existing schemes such as VEET, ESS and the Residential Energy Efficiency Scheme (South Australia) but is not based on creating and trading certificates. The scheme was recently extended to include ACT business premises.</w:t>
      </w:r>
    </w:p>
    <w:p w:rsidR="00164B43" w:rsidRPr="003107D2" w:rsidRDefault="000B0E48" w:rsidP="0050201A">
      <w:pPr>
        <w:pStyle w:val="E3BodyText"/>
      </w:pPr>
      <w:r>
        <w:t xml:space="preserve">The </w:t>
      </w:r>
      <w:r w:rsidR="00164B43" w:rsidRPr="00164B43">
        <w:t xml:space="preserve">South Australian </w:t>
      </w:r>
      <w:hyperlink r:id="rId101" w:history="1">
        <w:r w:rsidR="00B3394A" w:rsidRPr="00EC347C">
          <w:rPr>
            <w:rStyle w:val="Hyperlink"/>
          </w:rPr>
          <w:t xml:space="preserve">Retailer Energy Efficiency Scheme </w:t>
        </w:r>
      </w:hyperlink>
      <w:r>
        <w:t xml:space="preserve"> (</w:t>
      </w:r>
      <w:hyperlink r:id="rId102" w:history="1">
        <w:r w:rsidRPr="005560AF">
          <w:rPr>
            <w:rStyle w:val="Hyperlink"/>
          </w:rPr>
          <w:t>http://www.sa.gov.au/topics/water-energy-and-environment/energy/rebates-concessions-and-incentives/retailer-energy-efficiency-scheme-rees</w:t>
        </w:r>
      </w:hyperlink>
      <w:r>
        <w:t xml:space="preserve">) </w:t>
      </w:r>
      <w:r w:rsidRPr="000B0E48">
        <w:t>commenced on 1 January 2015 and builds on the Residential Energy Efficiency Scheme, which operated from 2009 to 2014</w:t>
      </w:r>
      <w:r>
        <w:t>.</w:t>
      </w:r>
      <w:r w:rsidRPr="000B0E48">
        <w:t xml:space="preserve"> The objective of the scheme is to reduce household and business energy use, with a focus on low-income households.</w:t>
      </w:r>
      <w:r w:rsidR="00932ABE">
        <w:t xml:space="preserve"> </w:t>
      </w:r>
      <w:r w:rsidRPr="000B0E48">
        <w:t>Energy retailers that exceed certain thresholds are set annual targets for the delivery of energy efficiency activities to households and/or businesses. In addition, retailers with larger residential customer bases are set targets for ensuring that a certain amount of the energy-efficiency activities they deliver go to low-income households; and providing energy audits to low-income households.</w:t>
      </w:r>
      <w:r w:rsidR="00932ABE">
        <w:t xml:space="preserve"> </w:t>
      </w:r>
      <w:r w:rsidRPr="000B0E48">
        <w:t>Energy efficient activities that maybe offered under the</w:t>
      </w:r>
      <w:r>
        <w:t xml:space="preserve"> scheme include the installation of energy efficient lighting in homes and businesses.</w:t>
      </w:r>
    </w:p>
    <w:p w:rsidR="0050201A" w:rsidRPr="003107D2" w:rsidRDefault="0050201A" w:rsidP="00E96970">
      <w:pPr>
        <w:pStyle w:val="Heading4"/>
      </w:pPr>
      <w:r w:rsidRPr="003107D2">
        <w:t>New Zealand</w:t>
      </w:r>
    </w:p>
    <w:p w:rsidR="0050201A" w:rsidRDefault="0050201A" w:rsidP="0050201A">
      <w:r w:rsidRPr="003107D2">
        <w:t>EECA offer</w:t>
      </w:r>
      <w:r w:rsidR="00932ABE">
        <w:t>e</w:t>
      </w:r>
      <w:r w:rsidR="006B0909">
        <w:t>d</w:t>
      </w:r>
      <w:r w:rsidRPr="003107D2">
        <w:t xml:space="preserve"> Commercial Project Grants </w:t>
      </w:r>
      <w:r w:rsidR="006B0909" w:rsidRPr="006B0909">
        <w:t xml:space="preserve">for lighting efficiency projects until July 2015. </w:t>
      </w:r>
    </w:p>
    <w:p w:rsidR="00CE79DB" w:rsidRDefault="00CE79DB" w:rsidP="00E96970">
      <w:pPr>
        <w:pStyle w:val="Heading3"/>
      </w:pPr>
      <w:bookmarkStart w:id="196" w:name="_Toc426387772"/>
      <w:r>
        <w:t>Education</w:t>
      </w:r>
      <w:bookmarkEnd w:id="196"/>
    </w:p>
    <w:p w:rsidR="00CE79DB" w:rsidRDefault="00CE79DB" w:rsidP="00CE79DB">
      <w:pPr>
        <w:pStyle w:val="E3BodyText"/>
      </w:pPr>
      <w:r w:rsidRPr="00CE79DB">
        <w:t xml:space="preserve">The New Zealand </w:t>
      </w:r>
      <w:r w:rsidR="006540A8">
        <w:t>Energyw</w:t>
      </w:r>
      <w:r w:rsidR="00A745D0">
        <w:t>ise Website (</w:t>
      </w:r>
      <w:r w:rsidR="00BC7D54" w:rsidRPr="00BC7D54">
        <w:t>ww</w:t>
      </w:r>
      <w:r w:rsidR="00BD1029">
        <w:t>w</w:t>
      </w:r>
      <w:r w:rsidR="00BC7D54" w:rsidRPr="00BC7D54">
        <w:t>.energywise.govt.nz</w:t>
      </w:r>
      <w:r w:rsidR="00A745D0">
        <w:t>)</w:t>
      </w:r>
      <w:r w:rsidR="00932ABE">
        <w:t xml:space="preserve"> </w:t>
      </w:r>
      <w:r w:rsidR="00A745D0">
        <w:t>contains</w:t>
      </w:r>
      <w:r w:rsidR="00932ABE">
        <w:t xml:space="preserve"> </w:t>
      </w:r>
      <w:r w:rsidR="00C51247">
        <w:t xml:space="preserve">detailed information </w:t>
      </w:r>
      <w:r w:rsidR="00A745D0">
        <w:t>on</w:t>
      </w:r>
      <w:r w:rsidRPr="00CE79DB">
        <w:t xml:space="preserve"> efficient lighting. The website includes calculators, tabulated information and extensive guidance on lighting performance and choices.</w:t>
      </w:r>
    </w:p>
    <w:p w:rsidR="00C51247" w:rsidRPr="00CE79DB" w:rsidRDefault="00C51247" w:rsidP="00CE79DB">
      <w:pPr>
        <w:pStyle w:val="E3BodyText"/>
      </w:pPr>
      <w:r>
        <w:lastRenderedPageBreak/>
        <w:t>The E3 Energy Rating website (</w:t>
      </w:r>
      <w:r w:rsidR="00EE5229" w:rsidRPr="00EE5229">
        <w:t>www.energyrating.gov.au/</w:t>
      </w:r>
      <w:r>
        <w:t xml:space="preserve">) </w:t>
      </w:r>
      <w:r w:rsidR="00EE5229">
        <w:t>contains</w:t>
      </w:r>
      <w:r>
        <w:t xml:space="preserve"> information on lighting energy efficiency including a</w:t>
      </w:r>
      <w:r w:rsidR="00EE5229">
        <w:t xml:space="preserve"> retailer training guide on efficient lighting and design, an efficient lighting training manual fo</w:t>
      </w:r>
      <w:r w:rsidR="00864424">
        <w:t>r related trades and professionals</w:t>
      </w:r>
      <w:r w:rsidR="00196F46">
        <w:t xml:space="preserve"> (under revision to include more information on LED lighting)</w:t>
      </w:r>
      <w:r w:rsidR="00EE5229">
        <w:t>, and a</w:t>
      </w:r>
      <w:r w:rsidR="00932ABE">
        <w:t xml:space="preserve"> </w:t>
      </w:r>
      <w:r w:rsidR="00EE5229">
        <w:t>consumer guide to buying LED lighting.</w:t>
      </w:r>
    </w:p>
    <w:p w:rsidR="00CE79DB" w:rsidRPr="00CE79DB" w:rsidRDefault="00CE79DB" w:rsidP="00CE79DB">
      <w:pPr>
        <w:pStyle w:val="E3BodyText"/>
      </w:pPr>
    </w:p>
    <w:p w:rsidR="00AD3B67" w:rsidRPr="003107D2" w:rsidRDefault="00AD3B67" w:rsidP="00AD3B67">
      <w:pPr>
        <w:sectPr w:rsidR="00AD3B67" w:rsidRPr="003107D2" w:rsidSect="00AD2A5C">
          <w:headerReference w:type="default" r:id="rId103"/>
          <w:pgSz w:w="11907" w:h="16840" w:code="9"/>
          <w:pgMar w:top="1134" w:right="1134" w:bottom="1418" w:left="1134" w:header="142" w:footer="709" w:gutter="0"/>
          <w:cols w:space="720"/>
          <w:titlePg/>
          <w:docGrid w:linePitch="360"/>
        </w:sectPr>
      </w:pPr>
    </w:p>
    <w:p w:rsidR="00631365" w:rsidRDefault="00631365" w:rsidP="00631365">
      <w:pPr>
        <w:pStyle w:val="Heading1"/>
      </w:pPr>
      <w:bookmarkStart w:id="197" w:name="_Toc426387773"/>
      <w:bookmarkStart w:id="198" w:name="_Toc395105353"/>
      <w:bookmarkStart w:id="199" w:name="_Toc354392717"/>
      <w:bookmarkStart w:id="200" w:name="_Toc366162174"/>
      <w:r w:rsidRPr="003107D2">
        <w:lastRenderedPageBreak/>
        <w:t>International energy efficiency programs</w:t>
      </w:r>
      <w:bookmarkEnd w:id="197"/>
    </w:p>
    <w:p w:rsidR="008D466A" w:rsidRDefault="008D466A" w:rsidP="008D466A">
      <w:pPr>
        <w:pStyle w:val="E3BodyText"/>
      </w:pPr>
      <w:r>
        <w:t>A number of countries have already implemented, or are the process of implementing, regulatory or voluntary mechanisms for LED lighting products. These can include:</w:t>
      </w:r>
    </w:p>
    <w:p w:rsidR="008D466A" w:rsidRDefault="008D466A" w:rsidP="008D466A">
      <w:pPr>
        <w:pStyle w:val="E3Bullets"/>
      </w:pPr>
      <w:r>
        <w:t>Minimum Energy Performance Standards (MEPS)</w:t>
      </w:r>
    </w:p>
    <w:p w:rsidR="008D466A" w:rsidRDefault="008D466A" w:rsidP="008D466A">
      <w:pPr>
        <w:pStyle w:val="E3Bullets"/>
      </w:pPr>
      <w:r>
        <w:t>High Efficiency Performance Standards (HEPS)</w:t>
      </w:r>
    </w:p>
    <w:p w:rsidR="008D466A" w:rsidRDefault="008D466A" w:rsidP="008D466A">
      <w:pPr>
        <w:pStyle w:val="E3Bullets"/>
      </w:pPr>
      <w:r>
        <w:t>Comparative Labelling Schemes</w:t>
      </w:r>
    </w:p>
    <w:p w:rsidR="008D466A" w:rsidRDefault="008D466A" w:rsidP="008D466A">
      <w:pPr>
        <w:pStyle w:val="E3Bullets"/>
      </w:pPr>
      <w:r>
        <w:t>Endorsement Labelling Schemes</w:t>
      </w:r>
    </w:p>
    <w:p w:rsidR="008D466A" w:rsidRDefault="008D466A" w:rsidP="008D466A">
      <w:pPr>
        <w:pStyle w:val="E3BodyText"/>
      </w:pPr>
      <w:r>
        <w:t xml:space="preserve">The base levels of both performance standards, </w:t>
      </w:r>
      <w:r w:rsidR="00A45490">
        <w:t>i.e.</w:t>
      </w:r>
      <w:r>
        <w:t xml:space="preserve"> MEPS and comparative labelling schemes, are typically mandated. Whereas higher levels for performance standards, </w:t>
      </w:r>
      <w:r w:rsidR="00A45490">
        <w:t>i.e.</w:t>
      </w:r>
      <w:r>
        <w:t xml:space="preserve"> HEPS and endorsement labelling schemes, are typically voluntary. </w:t>
      </w:r>
    </w:p>
    <w:p w:rsidR="008D466A" w:rsidRDefault="008D466A" w:rsidP="008D466A">
      <w:pPr>
        <w:pStyle w:val="E3BodyText"/>
      </w:pPr>
      <w:r>
        <w:t>Each of these regulatory mechanisms requires test methods for which each nominated parameter shall be measured. The test methods for some or all of the specified parameters may be incorporated within the regulation or be referenced from third party entities, such as:</w:t>
      </w:r>
    </w:p>
    <w:p w:rsidR="008D466A" w:rsidRDefault="008D466A" w:rsidP="008D466A">
      <w:pPr>
        <w:pStyle w:val="E3Bullets"/>
      </w:pPr>
      <w:r>
        <w:t>International Commission on Illumination (CIE)</w:t>
      </w:r>
    </w:p>
    <w:p w:rsidR="008D466A" w:rsidRDefault="008D466A" w:rsidP="008D466A">
      <w:pPr>
        <w:pStyle w:val="E3Bullets"/>
      </w:pPr>
      <w:r>
        <w:t>International Electrotechnical Commission (IEC)</w:t>
      </w:r>
    </w:p>
    <w:p w:rsidR="008D466A" w:rsidRDefault="008D466A" w:rsidP="008D466A">
      <w:pPr>
        <w:pStyle w:val="E3Bullets"/>
      </w:pPr>
      <w:r>
        <w:t>Illuminating Engineering Society of North America (IESNA)</w:t>
      </w:r>
    </w:p>
    <w:p w:rsidR="008D466A" w:rsidRDefault="008D466A" w:rsidP="008D466A">
      <w:pPr>
        <w:pStyle w:val="E3Bullets"/>
      </w:pPr>
      <w:r>
        <w:t>National Standards organisations (</w:t>
      </w:r>
      <w:r w:rsidR="00A45490">
        <w:t>e.g.</w:t>
      </w:r>
      <w:r>
        <w:t xml:space="preserve"> Standards Australia, Standards New Zealand)</w:t>
      </w:r>
    </w:p>
    <w:p w:rsidR="00196F46" w:rsidRDefault="008D466A" w:rsidP="00117097">
      <w:pPr>
        <w:pStyle w:val="E3BodyText"/>
      </w:pPr>
      <w:r w:rsidRPr="00495219">
        <w:t xml:space="preserve">Appendix </w:t>
      </w:r>
      <w:r w:rsidR="00ED1B5F" w:rsidRPr="00495219">
        <w:t xml:space="preserve">B </w:t>
      </w:r>
      <w:r w:rsidRPr="00495219">
        <w:t>su</w:t>
      </w:r>
      <w:r>
        <w:t xml:space="preserve">mmarises the economies that have voluntary and mandatory regulatory regimes for LED lighting products, the scope of LED products covered and the test methods used, for the purpose of identifying which programs are considered appropriate for further investigation by the Australian and New Zealand governments.  At the time of publication, while several countries have implemented labelling schemes or voluntary measures relating to LED products, </w:t>
      </w:r>
      <w:r w:rsidR="00117097">
        <w:t xml:space="preserve">mandatory minimum energy performance standards for LED lamps have been implemented in only a few economies including </w:t>
      </w:r>
      <w:r w:rsidR="00117097" w:rsidRPr="00B3394A">
        <w:t>the EU</w:t>
      </w:r>
      <w:r w:rsidR="00F12830" w:rsidRPr="00B3394A">
        <w:t>,</w:t>
      </w:r>
      <w:r w:rsidR="00932ABE" w:rsidRPr="00B3394A">
        <w:t xml:space="preserve"> </w:t>
      </w:r>
      <w:r w:rsidR="00117097" w:rsidRPr="00B3394A">
        <w:t>Mexico</w:t>
      </w:r>
      <w:r w:rsidR="00932ABE">
        <w:t xml:space="preserve"> </w:t>
      </w:r>
      <w:r w:rsidR="00F12830">
        <w:t>and Malaysia</w:t>
      </w:r>
      <w:r w:rsidR="00117097">
        <w:t>.</w:t>
      </w:r>
      <w:r w:rsidR="00495219">
        <w:t xml:space="preserve"> </w:t>
      </w:r>
      <w:r w:rsidR="00794B4A">
        <w:t>In several other countries, including the USA, MEPS requirements are under development.</w:t>
      </w:r>
    </w:p>
    <w:p w:rsidR="00A03BF7" w:rsidRDefault="00A03BF7" w:rsidP="00117097">
      <w:pPr>
        <w:pStyle w:val="E3BodyText"/>
      </w:pPr>
      <w:r>
        <w:t>Regulatory and voluntary approaches applied to incandescent and CFL lamps are discussed in the Incandescen</w:t>
      </w:r>
      <w:r w:rsidR="00881BED">
        <w:t>t and CFL Product Profile 2014.</w:t>
      </w:r>
    </w:p>
    <w:p w:rsidR="005E5E2E" w:rsidRPr="00D10A78" w:rsidRDefault="005E5E2E" w:rsidP="00D10A78">
      <w:pPr>
        <w:pStyle w:val="Heading2"/>
      </w:pPr>
      <w:bookmarkStart w:id="201" w:name="_Toc426387774"/>
      <w:r w:rsidRPr="00D10A78">
        <w:t>European Union</w:t>
      </w:r>
      <w:bookmarkEnd w:id="198"/>
      <w:bookmarkEnd w:id="201"/>
    </w:p>
    <w:p w:rsidR="005E5E2E" w:rsidRDefault="005E5E2E" w:rsidP="005E5E2E">
      <w:pPr>
        <w:rPr>
          <w:lang w:eastAsia="en-AU"/>
        </w:rPr>
      </w:pPr>
      <w:r>
        <w:rPr>
          <w:lang w:eastAsia="en-AU"/>
        </w:rPr>
        <w:t>The scope</w:t>
      </w:r>
      <w:r w:rsidR="00117097">
        <w:rPr>
          <w:lang w:eastAsia="en-AU"/>
        </w:rPr>
        <w:t xml:space="preserve"> of the EU regulation</w:t>
      </w:r>
      <w:r w:rsidR="00932ABE">
        <w:rPr>
          <w:lang w:eastAsia="en-AU"/>
        </w:rPr>
        <w:t xml:space="preserve"> </w:t>
      </w:r>
      <w:r w:rsidR="00656EA2">
        <w:rPr>
          <w:lang w:eastAsia="en-AU"/>
        </w:rPr>
        <w:t>i</w:t>
      </w:r>
      <w:r w:rsidR="00BD05A6">
        <w:rPr>
          <w:lang w:eastAsia="en-AU"/>
        </w:rPr>
        <w:t>ncl</w:t>
      </w:r>
      <w:r w:rsidR="00656EA2">
        <w:rPr>
          <w:lang w:eastAsia="en-AU"/>
        </w:rPr>
        <w:t>udes</w:t>
      </w:r>
      <w:r>
        <w:rPr>
          <w:lang w:eastAsia="en-AU"/>
        </w:rPr>
        <w:t xml:space="preserve"> lamps (including LED lamps) that have standard single ended caps for domestic use</w:t>
      </w:r>
      <w:r w:rsidR="00BD05A6">
        <w:rPr>
          <w:lang w:eastAsia="en-AU"/>
        </w:rPr>
        <w:t xml:space="preserve"> as well </w:t>
      </w:r>
      <w:r w:rsidR="00BD05A6" w:rsidRPr="00BD05A6">
        <w:rPr>
          <w:lang w:eastAsia="en-AU"/>
        </w:rPr>
        <w:t>double ended halogens</w:t>
      </w:r>
      <w:r w:rsidR="00A45490" w:rsidRPr="00BD05A6">
        <w:rPr>
          <w:lang w:eastAsia="en-AU"/>
        </w:rPr>
        <w:t>.</w:t>
      </w:r>
      <w:r>
        <w:rPr>
          <w:lang w:eastAsia="en-AU"/>
        </w:rPr>
        <w:t xml:space="preserve"> All lamp technologies are covered but have different “weighting” functions based on the inherent efficiency/power relationship of </w:t>
      </w:r>
      <w:r w:rsidR="00117097">
        <w:rPr>
          <w:lang w:eastAsia="en-AU"/>
        </w:rPr>
        <w:t>each</w:t>
      </w:r>
      <w:r>
        <w:rPr>
          <w:lang w:eastAsia="en-AU"/>
        </w:rPr>
        <w:t xml:space="preserve"> technology. These weighting functions facilitate the moderation of technology performances and the use of a unified Energy Efficiency Index, EEI, which benchmarks relative to a “standard” incandescent lamp.</w:t>
      </w:r>
    </w:p>
    <w:p w:rsidR="00794B4A" w:rsidRDefault="00E85FAF" w:rsidP="005E5E2E">
      <w:pPr>
        <w:rPr>
          <w:lang w:eastAsia="en-AU"/>
        </w:rPr>
      </w:pPr>
      <w:r>
        <w:rPr>
          <w:lang w:eastAsia="en-AU"/>
        </w:rPr>
        <w:t>This methodology becomes problematic where the increase in wattage for a particular technology (</w:t>
      </w:r>
      <w:r w:rsidR="00A45490">
        <w:rPr>
          <w:lang w:eastAsia="en-AU"/>
        </w:rPr>
        <w:t>e.g.</w:t>
      </w:r>
      <w:r>
        <w:rPr>
          <w:lang w:eastAsia="en-AU"/>
        </w:rPr>
        <w:t xml:space="preserve"> LED) does not provide an increase in efficacy (which is the basis/theory of the original baseline curve for the “standard” incandescent). Using this baseline presents the issue of whether to provide a secondary weighting function to compensate/correct it to a more realistic function for LED technologies or to accept that the energy efficiency performance is less onerous for lower wattage lamps. The latter is the approach that has been adopted by the EU. The current (2013) MEPS levels for lower wattage non-directional lamps in EC Regulation 244/2009 are therefore relatively low for the capability of LED products when compared to IEA 4E SSL Tier 1, which is discussed below.</w:t>
      </w:r>
    </w:p>
    <w:p w:rsidR="004F3FF8" w:rsidRPr="0093605C" w:rsidRDefault="00117097" w:rsidP="004F3FF8">
      <w:pPr>
        <w:pStyle w:val="E3BodyText"/>
      </w:pPr>
      <w:r>
        <w:t xml:space="preserve">The EU non-directional household lamps regulation came into force in September 2009. This regulation specifies an energy efficiency requirement (generic to all lamp technologies) but no </w:t>
      </w:r>
      <w:r w:rsidR="00BC13AD">
        <w:t xml:space="preserve">other light quality and performance requirements </w:t>
      </w:r>
      <w:r>
        <w:t xml:space="preserve">for LED non-directional lamps. Countries that have adopted this regulation are Jordan, Switzerland </w:t>
      </w:r>
      <w:r>
        <w:lastRenderedPageBreak/>
        <w:t>and Turkey.</w:t>
      </w:r>
      <w:r w:rsidR="004F3FF8">
        <w:t xml:space="preserve"> The regulation is s</w:t>
      </w:r>
      <w:r w:rsidR="004F3FF8" w:rsidRPr="0093605C">
        <w:t xml:space="preserve">et out in 6 stages.  Requirements for the first 4 stages have eliminated low-efficacy lamps, such that all general purpose </w:t>
      </w:r>
      <w:r w:rsidR="00827EED">
        <w:t xml:space="preserve">tungsten filament </w:t>
      </w:r>
      <w:r w:rsidR="004F3FF8" w:rsidRPr="0093605C">
        <w:t xml:space="preserve">incandescent lamps should have been phased-out from the EU market by 1 September 2012. </w:t>
      </w:r>
      <w:r w:rsidR="00332D99">
        <w:t>These stages also</w:t>
      </w:r>
      <w:r w:rsidR="00932ABE">
        <w:t xml:space="preserve"> </w:t>
      </w:r>
      <w:r w:rsidR="00332D99">
        <w:t>specify</w:t>
      </w:r>
      <w:r w:rsidR="00332D99" w:rsidRPr="0093605C">
        <w:t xml:space="preserve"> minimum functionality requirements</w:t>
      </w:r>
      <w:r w:rsidR="00332D99">
        <w:t xml:space="preserve"> for incandescent and CFL lamps</w:t>
      </w:r>
      <w:r w:rsidR="00332D99" w:rsidRPr="0093605C">
        <w:t xml:space="preserve"> including minimum rated lamp lifetime, lumen maintenance, number of switching cycles, starting time, heat-up time, premature failure rate, UVA+UVB radiation, UVC radiation, lamp power factor and colour rendering index</w:t>
      </w:r>
      <w:r w:rsidR="00332D99">
        <w:t xml:space="preserve">. </w:t>
      </w:r>
      <w:r w:rsidR="004F3FF8" w:rsidRPr="0093605C">
        <w:t>Stage 5 (from 1 September 2013)</w:t>
      </w:r>
      <w:r w:rsidR="00332D99">
        <w:t xml:space="preserve"> increases the stringency of these requirements</w:t>
      </w:r>
      <w:r w:rsidR="004F3FF8" w:rsidRPr="0093605C">
        <w:t>.</w:t>
      </w:r>
    </w:p>
    <w:p w:rsidR="004F3FF8" w:rsidRPr="0093605C" w:rsidRDefault="004F3FF8" w:rsidP="004F3FF8">
      <w:pPr>
        <w:pStyle w:val="E3BodyText"/>
      </w:pPr>
      <w:r w:rsidRPr="0093605C">
        <w:t>Stage 6 (</w:t>
      </w:r>
      <w:r w:rsidR="00827EED">
        <w:t xml:space="preserve">was </w:t>
      </w:r>
      <w:r w:rsidRPr="0093605C">
        <w:t xml:space="preserve">to apply from 1 September 2016 </w:t>
      </w:r>
      <w:r w:rsidR="00827EED">
        <w:t>but on March 2015 this was delayed to 2018</w:t>
      </w:r>
      <w:r w:rsidR="00A45490" w:rsidRPr="0093605C">
        <w:t>) sets</w:t>
      </w:r>
      <w:r w:rsidRPr="0093605C">
        <w:t xml:space="preserve"> more stringent efficacy requirements for halogen lamps – specifically, an efficacy increase of 25% (corresponding to the lower limit value of the ‘B’ energy class) for two types of clear lamps:</w:t>
      </w:r>
    </w:p>
    <w:p w:rsidR="004F3FF8" w:rsidRPr="0093605C" w:rsidRDefault="004F3FF8" w:rsidP="00F1452F">
      <w:pPr>
        <w:pStyle w:val="E3BodyText"/>
        <w:numPr>
          <w:ilvl w:val="0"/>
          <w:numId w:val="37"/>
        </w:numPr>
      </w:pPr>
      <w:r w:rsidRPr="0093605C">
        <w:t>Low voltage non-directional halogen lamps</w:t>
      </w:r>
    </w:p>
    <w:p w:rsidR="004F3FF8" w:rsidRPr="0093605C" w:rsidRDefault="004F3FF8" w:rsidP="00F1452F">
      <w:pPr>
        <w:pStyle w:val="E3BodyText"/>
        <w:numPr>
          <w:ilvl w:val="0"/>
          <w:numId w:val="37"/>
        </w:numPr>
      </w:pPr>
      <w:r w:rsidRPr="0093605C">
        <w:t>Mains voltage non-directional halogen lamps, excluding G9 and R7s.</w:t>
      </w:r>
    </w:p>
    <w:p w:rsidR="00117097" w:rsidRPr="00827EED" w:rsidRDefault="004F3FF8" w:rsidP="00827EED">
      <w:pPr>
        <w:pStyle w:val="E3BodyText"/>
        <w:rPr>
          <w:color w:val="76923C" w:themeColor="accent3" w:themeShade="BF"/>
        </w:rPr>
      </w:pPr>
      <w:r w:rsidRPr="0093605C">
        <w:t>Although this is not as stringent as already applies to CFL and LED lamps, this would effectively remove these halogen lamp categories from the market as they would not be able to comply with the new efficacy requirements.</w:t>
      </w:r>
    </w:p>
    <w:p w:rsidR="00BC13AD" w:rsidRDefault="00117097" w:rsidP="00117097">
      <w:r>
        <w:t xml:space="preserve">The EU regulation for directional lamps, light emitting diodes and related equipment </w:t>
      </w:r>
      <w:r w:rsidR="00F467E0">
        <w:t>(</w:t>
      </w:r>
      <w:r w:rsidR="00F467E0" w:rsidRPr="00F467E0">
        <w:t>EC Regulation 1194/2012</w:t>
      </w:r>
      <w:r w:rsidR="00F467E0">
        <w:t xml:space="preserve">) </w:t>
      </w:r>
      <w:r>
        <w:t xml:space="preserve">came into force in July 2012. As well as the energy efficiency requirements  and </w:t>
      </w:r>
      <w:r w:rsidR="00BC13AD">
        <w:t xml:space="preserve">other light quality and performance </w:t>
      </w:r>
      <w:r>
        <w:t xml:space="preserve"> requirements for directional lamps (including LED but specific to each lamp technology), this regulation also provides the specific </w:t>
      </w:r>
      <w:r w:rsidR="00BC13AD">
        <w:t xml:space="preserve">light quality and performance </w:t>
      </w:r>
      <w:r>
        <w:t xml:space="preserve">requirements for non-directional </w:t>
      </w:r>
      <w:r w:rsidR="00F467E0">
        <w:t xml:space="preserve">and directional </w:t>
      </w:r>
      <w:r>
        <w:t>LED lamps (which were not included in the regulation above)</w:t>
      </w:r>
      <w:r w:rsidR="00BC13AD">
        <w:t xml:space="preserve"> including:</w:t>
      </w:r>
    </w:p>
    <w:p w:rsidR="00BC13AD" w:rsidRDefault="00BC13AD" w:rsidP="0030341A">
      <w:pPr>
        <w:pStyle w:val="E3Bullets"/>
      </w:pPr>
      <w:r>
        <w:t>Efficacy;</w:t>
      </w:r>
    </w:p>
    <w:p w:rsidR="0030341A" w:rsidRDefault="0030341A" w:rsidP="0030341A">
      <w:pPr>
        <w:pStyle w:val="E3Bullets"/>
      </w:pPr>
      <w:r>
        <w:t>Lamp survival;</w:t>
      </w:r>
    </w:p>
    <w:p w:rsidR="0030341A" w:rsidRDefault="0030341A" w:rsidP="0030341A">
      <w:pPr>
        <w:pStyle w:val="E3Bullets"/>
      </w:pPr>
      <w:r>
        <w:t>Lumen maintenance;</w:t>
      </w:r>
    </w:p>
    <w:p w:rsidR="0030341A" w:rsidRDefault="0030341A" w:rsidP="0030341A">
      <w:pPr>
        <w:pStyle w:val="E3Bullets"/>
      </w:pPr>
      <w:r>
        <w:t>Switching withstand;</w:t>
      </w:r>
    </w:p>
    <w:p w:rsidR="0030341A" w:rsidRDefault="0030341A" w:rsidP="0030341A">
      <w:pPr>
        <w:pStyle w:val="E3Bullets"/>
      </w:pPr>
      <w:r>
        <w:t>Start time;</w:t>
      </w:r>
    </w:p>
    <w:p w:rsidR="0030341A" w:rsidRDefault="0030341A" w:rsidP="0030341A">
      <w:pPr>
        <w:pStyle w:val="E3Bullets"/>
      </w:pPr>
      <w:r>
        <w:t>Run up time;</w:t>
      </w:r>
    </w:p>
    <w:p w:rsidR="0030341A" w:rsidRDefault="0030341A" w:rsidP="0030341A">
      <w:pPr>
        <w:pStyle w:val="E3Bullets"/>
      </w:pPr>
      <w:r>
        <w:t>Premature Failure Rate;</w:t>
      </w:r>
    </w:p>
    <w:p w:rsidR="0030341A" w:rsidRDefault="0030341A" w:rsidP="0030341A">
      <w:pPr>
        <w:pStyle w:val="E3Bullets"/>
      </w:pPr>
      <w:r>
        <w:t>Colour rendering;</w:t>
      </w:r>
    </w:p>
    <w:p w:rsidR="0030341A" w:rsidRDefault="0030341A" w:rsidP="0030341A">
      <w:pPr>
        <w:pStyle w:val="E3Bullets"/>
      </w:pPr>
      <w:r>
        <w:t>Colour Consistency; and</w:t>
      </w:r>
    </w:p>
    <w:p w:rsidR="00BC13AD" w:rsidRDefault="0030341A" w:rsidP="00117097">
      <w:pPr>
        <w:pStyle w:val="E3Bullets"/>
      </w:pPr>
      <w:r>
        <w:t>Power Factor</w:t>
      </w:r>
    </w:p>
    <w:p w:rsidR="00BC13AD" w:rsidRDefault="00117097" w:rsidP="00117097">
      <w:r>
        <w:t xml:space="preserve">The United Arab Emirates has recently adopted this regulation. </w:t>
      </w:r>
      <w:r w:rsidR="00E85FAF">
        <w:t>The regulation does not specify test methodology, leaving this to member countries.</w:t>
      </w:r>
    </w:p>
    <w:p w:rsidR="005E5E2E" w:rsidRDefault="005E5E2E" w:rsidP="005E5E2E">
      <w:pPr>
        <w:rPr>
          <w:lang w:eastAsia="en-AU"/>
        </w:rPr>
      </w:pPr>
      <w:r>
        <w:rPr>
          <w:lang w:eastAsia="en-AU"/>
        </w:rPr>
        <w:t>In terms of directional lamps, the EU has taken the approach of using performance criteria that firstly defines a directional lamp. This is: a directional lamp is “a lamp having at least 80% light output within a solid angle of π steradians (corresponding to a cone with angle of 120</w:t>
      </w:r>
      <w:r>
        <w:rPr>
          <w:lang w:eastAsia="en-AU"/>
        </w:rPr>
        <w:sym w:font="Symbol" w:char="F0B0"/>
      </w:r>
      <w:r>
        <w:rPr>
          <w:lang w:eastAsia="en-AU"/>
        </w:rPr>
        <w:t xml:space="preserve">)”. In terms of then measuring lamp efficacy, only the luminous flux that is defined as “useful lumens” within a specific </w:t>
      </w:r>
      <w:r w:rsidR="00A45490">
        <w:rPr>
          <w:lang w:eastAsia="en-AU"/>
        </w:rPr>
        <w:t>cone</w:t>
      </w:r>
      <w:r>
        <w:rPr>
          <w:lang w:eastAsia="en-AU"/>
        </w:rPr>
        <w:t xml:space="preserve"> is to be measured. The argument presented was that for a directional lamp, light outside this designated cone provided no useful value to luminous environment; for directional lamps with a beam angle ≥ 90</w:t>
      </w:r>
      <w:r>
        <w:rPr>
          <w:lang w:eastAsia="en-AU"/>
        </w:rPr>
        <w:sym w:font="Symbol" w:char="F0B0"/>
      </w:r>
      <w:r>
        <w:rPr>
          <w:lang w:eastAsia="en-AU"/>
        </w:rPr>
        <w:t xml:space="preserve"> this means a 120</w:t>
      </w:r>
      <w:r>
        <w:rPr>
          <w:lang w:eastAsia="en-AU"/>
        </w:rPr>
        <w:sym w:font="Symbol" w:char="F0B0"/>
      </w:r>
      <w:r>
        <w:rPr>
          <w:lang w:eastAsia="en-AU"/>
        </w:rPr>
        <w:t xml:space="preserve"> cone, and for al</w:t>
      </w:r>
      <w:r w:rsidR="00A03BF7">
        <w:rPr>
          <w:lang w:eastAsia="en-AU"/>
        </w:rPr>
        <w:t>l other directional lamps (</w:t>
      </w:r>
      <w:r w:rsidR="00A45490">
        <w:rPr>
          <w:lang w:eastAsia="en-AU"/>
        </w:rPr>
        <w:t>i.e.</w:t>
      </w:r>
      <w:r w:rsidR="00A03BF7">
        <w:rPr>
          <w:lang w:eastAsia="en-AU"/>
        </w:rPr>
        <w:t xml:space="preserve"> </w:t>
      </w:r>
      <w:r>
        <w:rPr>
          <w:lang w:eastAsia="en-AU"/>
        </w:rPr>
        <w:t>&lt; 90</w:t>
      </w:r>
      <w:r>
        <w:rPr>
          <w:lang w:eastAsia="en-AU"/>
        </w:rPr>
        <w:sym w:font="Symbol" w:char="F0B0"/>
      </w:r>
      <w:r>
        <w:rPr>
          <w:lang w:eastAsia="en-AU"/>
        </w:rPr>
        <w:t xml:space="preserve"> beam angle), it means a 90</w:t>
      </w:r>
      <w:r>
        <w:rPr>
          <w:lang w:eastAsia="en-AU"/>
        </w:rPr>
        <w:sym w:font="Symbol" w:char="F0B0"/>
      </w:r>
      <w:r>
        <w:rPr>
          <w:lang w:eastAsia="en-AU"/>
        </w:rPr>
        <w:t xml:space="preserve"> cone. </w:t>
      </w:r>
    </w:p>
    <w:p w:rsidR="005E5E2E" w:rsidRDefault="005E5E2E" w:rsidP="005E5E2E">
      <w:pPr>
        <w:rPr>
          <w:lang w:eastAsia="en-AU"/>
        </w:rPr>
      </w:pPr>
      <w:r>
        <w:rPr>
          <w:lang w:eastAsia="en-AU"/>
        </w:rPr>
        <w:t>This approach has brought crossed purposes to MEPS (which is fundamentally for energy efficiency) by linking the energy performance parameter and associated criteria to an application issue (</w:t>
      </w:r>
      <w:r w:rsidR="00A45490">
        <w:rPr>
          <w:lang w:eastAsia="en-AU"/>
        </w:rPr>
        <w:t>i.e.</w:t>
      </w:r>
      <w:r>
        <w:rPr>
          <w:lang w:eastAsia="en-AU"/>
        </w:rPr>
        <w:t xml:space="preserve"> beam control). The resulting regulation now dictates/limits the luminous flux that can be included in the measurement of lamp efficacy regardless of whether the extraneous flux (outside the arbitrary cone) contributes in a particular application. There is a valid argument that this “non-useful” luminous flux always contributes to the ambient lighting of the space. From the consumers perspective the validity of this approach is dependent upon the use of the directional lamp – if used as a downlight for general area lighting (as in many </w:t>
      </w:r>
      <w:r w:rsidR="00A45490">
        <w:rPr>
          <w:lang w:eastAsia="en-AU"/>
        </w:rPr>
        <w:t>Australian and</w:t>
      </w:r>
      <w:r w:rsidR="00E85FAF">
        <w:rPr>
          <w:lang w:eastAsia="en-AU"/>
        </w:rPr>
        <w:t xml:space="preserve"> New Zealand </w:t>
      </w:r>
      <w:r>
        <w:rPr>
          <w:lang w:eastAsia="en-AU"/>
        </w:rPr>
        <w:t>homes), the EU definition w</w:t>
      </w:r>
      <w:r w:rsidR="00E85FAF">
        <w:rPr>
          <w:lang w:eastAsia="en-AU"/>
        </w:rPr>
        <w:t>ou</w:t>
      </w:r>
      <w:r>
        <w:rPr>
          <w:lang w:eastAsia="en-AU"/>
        </w:rPr>
        <w:t>l</w:t>
      </w:r>
      <w:r w:rsidR="00E85FAF">
        <w:rPr>
          <w:lang w:eastAsia="en-AU"/>
        </w:rPr>
        <w:t>d</w:t>
      </w:r>
      <w:r>
        <w:rPr>
          <w:lang w:eastAsia="en-AU"/>
        </w:rPr>
        <w:t xml:space="preserve"> exclude consideration of light that will </w:t>
      </w:r>
      <w:r w:rsidR="00E85FAF">
        <w:rPr>
          <w:lang w:eastAsia="en-AU"/>
        </w:rPr>
        <w:t>provide</w:t>
      </w:r>
      <w:r>
        <w:rPr>
          <w:lang w:eastAsia="en-AU"/>
        </w:rPr>
        <w:t xml:space="preserve"> a useful service; if the lamp is instead </w:t>
      </w:r>
      <w:r w:rsidR="00E85FAF">
        <w:rPr>
          <w:lang w:eastAsia="en-AU"/>
        </w:rPr>
        <w:t>used</w:t>
      </w:r>
      <w:r>
        <w:rPr>
          <w:lang w:eastAsia="en-AU"/>
        </w:rPr>
        <w:t xml:space="preserve"> for a specific beam angle to, for example, illuminate a feature on a wall, then the EU approach would be more accurate.</w:t>
      </w:r>
    </w:p>
    <w:p w:rsidR="005E5E2E" w:rsidRDefault="005E5E2E" w:rsidP="005E5E2E">
      <w:pPr>
        <w:rPr>
          <w:lang w:eastAsia="en-AU"/>
        </w:rPr>
      </w:pPr>
      <w:r>
        <w:rPr>
          <w:lang w:eastAsia="en-AU"/>
        </w:rPr>
        <w:t xml:space="preserve">The useful lumens metric </w:t>
      </w:r>
      <w:r w:rsidR="00E85FAF">
        <w:rPr>
          <w:lang w:eastAsia="en-AU"/>
        </w:rPr>
        <w:t xml:space="preserve">also </w:t>
      </w:r>
      <w:r w:rsidR="00864424">
        <w:rPr>
          <w:lang w:eastAsia="en-AU"/>
        </w:rPr>
        <w:t xml:space="preserve">creates </w:t>
      </w:r>
      <w:r>
        <w:rPr>
          <w:lang w:eastAsia="en-AU"/>
        </w:rPr>
        <w:t>difficulties in affordable test methods (in terms of time and equipment required); measurement can only be achieved with the use of a goniophotometer</w:t>
      </w:r>
      <w:r w:rsidR="00E85FAF">
        <w:rPr>
          <w:lang w:eastAsia="en-AU"/>
        </w:rPr>
        <w:t xml:space="preserve"> (rather than an integrating sphere)</w:t>
      </w:r>
      <w:r>
        <w:rPr>
          <w:lang w:eastAsia="en-AU"/>
        </w:rPr>
        <w:t>. This is an expensive asset to purchase and to maintain accreditation for test methods. The cost of a typical total luminous flux test is approximately five times that of a test using an integrating sphere</w:t>
      </w:r>
      <w:r w:rsidR="005757DB">
        <w:rPr>
          <w:lang w:eastAsia="en-AU"/>
        </w:rPr>
        <w:t>. This may potentially be a dis</w:t>
      </w:r>
      <w:r>
        <w:rPr>
          <w:lang w:eastAsia="en-AU"/>
        </w:rPr>
        <w:t>incentive for new manufacturers to enter the market as well as for governments to conduct compliance check testing.</w:t>
      </w:r>
      <w:r w:rsidR="00E85FAF">
        <w:rPr>
          <w:lang w:eastAsia="en-AU"/>
        </w:rPr>
        <w:t xml:space="preserve"> A</w:t>
      </w:r>
      <w:r>
        <w:rPr>
          <w:lang w:eastAsia="en-AU"/>
        </w:rPr>
        <w:t xml:space="preserve">t this stage </w:t>
      </w:r>
      <w:r w:rsidR="00F467E0">
        <w:rPr>
          <w:lang w:eastAsia="en-AU"/>
        </w:rPr>
        <w:t>we are not aware of</w:t>
      </w:r>
      <w:r>
        <w:rPr>
          <w:lang w:eastAsia="en-AU"/>
        </w:rPr>
        <w:t xml:space="preserve"> any </w:t>
      </w:r>
      <w:r w:rsidR="00F467E0">
        <w:rPr>
          <w:lang w:eastAsia="en-AU"/>
        </w:rPr>
        <w:t xml:space="preserve">published results of </w:t>
      </w:r>
      <w:r>
        <w:rPr>
          <w:lang w:eastAsia="en-AU"/>
        </w:rPr>
        <w:t xml:space="preserve">compliance check testing on directional </w:t>
      </w:r>
      <w:r>
        <w:rPr>
          <w:lang w:eastAsia="en-AU"/>
        </w:rPr>
        <w:lastRenderedPageBreak/>
        <w:t>lamps covered under this regulation (it is the responsibility of the member states within the EU to conduct their own compliance check testing).</w:t>
      </w:r>
    </w:p>
    <w:p w:rsidR="00BC13AD" w:rsidRDefault="00BC13AD" w:rsidP="005E5E2E">
      <w:r>
        <w:t>There is no registration system employed by the EU regulations. The philosophy is that products bearing the CE marking will be regarded as conforming to the relevant provisions. Manufacturers (or authorised representatives) are to retain relevant documents relating to conformity assessment performed and declarations issued.</w:t>
      </w:r>
    </w:p>
    <w:p w:rsidR="00F467E0" w:rsidRDefault="00F467E0" w:rsidP="005E5E2E">
      <w:r>
        <w:t>Alongside the current staged approach to lighting MEPS in the EU, a review of the system is also being undertaken</w:t>
      </w:r>
      <w:r w:rsidR="00932ABE">
        <w:t xml:space="preserve"> </w:t>
      </w:r>
      <w:r w:rsidR="003E3D81">
        <w:t>including consideration of further product consolidation of lighting MEPS. The study is expected to be released by the end of 2015, with revisions to regulations being published at a later date and target implementation dates of 2020 and 2024.</w:t>
      </w:r>
    </w:p>
    <w:p w:rsidR="00B935BD" w:rsidRDefault="00B935BD" w:rsidP="00D10A78">
      <w:pPr>
        <w:pStyle w:val="Heading2"/>
      </w:pPr>
      <w:bookmarkStart w:id="202" w:name="_Toc426387775"/>
      <w:r>
        <w:t>Mexico</w:t>
      </w:r>
      <w:bookmarkEnd w:id="202"/>
    </w:p>
    <w:p w:rsidR="00B935BD" w:rsidRDefault="00B935BD" w:rsidP="00B935BD">
      <w:pPr>
        <w:pStyle w:val="E3BodyText"/>
      </w:pPr>
      <w:bookmarkStart w:id="203" w:name="_Toc361901577"/>
      <w:r>
        <w:t xml:space="preserve">The </w:t>
      </w:r>
      <w:r w:rsidRPr="00B935BD">
        <w:t>Mexican Minimum Performance Standard for LED Lamps</w:t>
      </w:r>
      <w:bookmarkEnd w:id="203"/>
      <w:r w:rsidRPr="00B935BD">
        <w:t xml:space="preserve"> applies to all integrated LED lamps omnidirectional and directional, which are used for general illumination in electrical voltages supply of 10</w:t>
      </w:r>
      <w:r>
        <w:t>0 V to 277 V AC, 50 Hz or 60 Hz (with some specified exemptions). This regulation includes energy efficiency and functional requirements and the test methods are incorporated within the regulation.  Parameters include:</w:t>
      </w:r>
    </w:p>
    <w:p w:rsidR="00B935BD" w:rsidRDefault="00B935BD" w:rsidP="00B935BD">
      <w:pPr>
        <w:pStyle w:val="E3Bullets"/>
      </w:pPr>
      <w:r>
        <w:t>Efficacy;</w:t>
      </w:r>
    </w:p>
    <w:p w:rsidR="00B935BD" w:rsidRDefault="00B935BD" w:rsidP="00B935BD">
      <w:pPr>
        <w:pStyle w:val="E3Bullets"/>
      </w:pPr>
      <w:r>
        <w:t>Colour temperature;</w:t>
      </w:r>
    </w:p>
    <w:p w:rsidR="00B935BD" w:rsidRDefault="00B935BD" w:rsidP="00B935BD">
      <w:pPr>
        <w:pStyle w:val="E3Bullets"/>
      </w:pPr>
      <w:r>
        <w:t>Maintained luminous flux;</w:t>
      </w:r>
    </w:p>
    <w:p w:rsidR="00B935BD" w:rsidRDefault="00B935BD" w:rsidP="00B935BD">
      <w:pPr>
        <w:pStyle w:val="E3Bullets"/>
      </w:pPr>
      <w:r>
        <w:t>Colour rendering;</w:t>
      </w:r>
    </w:p>
    <w:p w:rsidR="00B935BD" w:rsidRDefault="00B935BD" w:rsidP="00B935BD">
      <w:pPr>
        <w:pStyle w:val="E3Bullets"/>
      </w:pPr>
      <w:r>
        <w:t>Power Factor;</w:t>
      </w:r>
    </w:p>
    <w:p w:rsidR="00B935BD" w:rsidRDefault="00B935BD" w:rsidP="00B935BD">
      <w:pPr>
        <w:pStyle w:val="E3Bullets"/>
      </w:pPr>
      <w:r>
        <w:t>Transient overvoltage;</w:t>
      </w:r>
    </w:p>
    <w:p w:rsidR="00B935BD" w:rsidRDefault="00B935BD" w:rsidP="00B935BD">
      <w:pPr>
        <w:pStyle w:val="E3Bullets"/>
      </w:pPr>
      <w:r>
        <w:t>Thermal shock; and</w:t>
      </w:r>
    </w:p>
    <w:p w:rsidR="00B935BD" w:rsidRDefault="00B935BD" w:rsidP="00B935BD">
      <w:pPr>
        <w:pStyle w:val="E3Bullets"/>
      </w:pPr>
      <w:r>
        <w:t>Switch withstand.</w:t>
      </w:r>
    </w:p>
    <w:p w:rsidR="005E5E2E" w:rsidRDefault="005E5E2E" w:rsidP="00D10A78">
      <w:pPr>
        <w:pStyle w:val="Heading2"/>
      </w:pPr>
      <w:bookmarkStart w:id="204" w:name="_Toc395105354"/>
      <w:bookmarkStart w:id="205" w:name="_Toc426387776"/>
      <w:r>
        <w:t>International Energy Agency</w:t>
      </w:r>
      <w:bookmarkEnd w:id="204"/>
      <w:bookmarkEnd w:id="205"/>
    </w:p>
    <w:p w:rsidR="005E5E2E" w:rsidRDefault="005E5E2E" w:rsidP="005E5E2E">
      <w:pPr>
        <w:rPr>
          <w:lang w:eastAsia="en-AU"/>
        </w:rPr>
      </w:pPr>
      <w:r>
        <w:rPr>
          <w:lang w:eastAsia="en-AU"/>
        </w:rPr>
        <w:t xml:space="preserve">The </w:t>
      </w:r>
      <w:r w:rsidRPr="00CF19CB">
        <w:rPr>
          <w:lang w:eastAsia="en-AU"/>
        </w:rPr>
        <w:t>International Energy Agency</w:t>
      </w:r>
      <w:r>
        <w:rPr>
          <w:lang w:eastAsia="en-AU"/>
        </w:rPr>
        <w:t>, Energy Efficient End-use Equipment, Solid State Lighting Annex (IEA 4E SSL) was established in 2009 for the purpose of providing</w:t>
      </w:r>
      <w:r w:rsidRPr="00826EE8">
        <w:rPr>
          <w:lang w:eastAsia="en-AU"/>
        </w:rPr>
        <w:t xml:space="preserve"> advice to its ten member countries </w:t>
      </w:r>
      <w:r>
        <w:rPr>
          <w:lang w:eastAsia="en-AU"/>
        </w:rPr>
        <w:t xml:space="preserve">which were </w:t>
      </w:r>
      <w:r w:rsidRPr="00826EE8">
        <w:rPr>
          <w:lang w:eastAsia="en-AU"/>
        </w:rPr>
        <w:t xml:space="preserve">seeking to implement quality assurance programs for SSL lighting. </w:t>
      </w:r>
      <w:r>
        <w:rPr>
          <w:lang w:eastAsia="en-AU"/>
        </w:rPr>
        <w:t>The</w:t>
      </w:r>
      <w:r w:rsidRPr="00826EE8">
        <w:rPr>
          <w:lang w:eastAsia="en-AU"/>
        </w:rPr>
        <w:t xml:space="preserve"> collaboration br</w:t>
      </w:r>
      <w:r w:rsidR="00B935BD">
        <w:rPr>
          <w:lang w:eastAsia="en-AU"/>
        </w:rPr>
        <w:t>ought</w:t>
      </w:r>
      <w:r w:rsidRPr="00826EE8">
        <w:rPr>
          <w:lang w:eastAsia="en-AU"/>
        </w:rPr>
        <w:t xml:space="preserve"> together the governments of Australia, China, Denmark, France, Japan</w:t>
      </w:r>
      <w:r w:rsidR="00B935BD">
        <w:rPr>
          <w:lang w:eastAsia="en-AU"/>
        </w:rPr>
        <w:t xml:space="preserve"> (currently not active)</w:t>
      </w:r>
      <w:r w:rsidRPr="00826EE8">
        <w:rPr>
          <w:lang w:eastAsia="en-AU"/>
        </w:rPr>
        <w:t xml:space="preserve">, The Netherlands, Republic of Korea, Sweden, United Kingdom and United States of America. </w:t>
      </w:r>
    </w:p>
    <w:p w:rsidR="005E5E2E" w:rsidRDefault="00277EF8" w:rsidP="005E5E2E">
      <w:pPr>
        <w:rPr>
          <w:lang w:eastAsia="en-AU"/>
        </w:rPr>
      </w:pPr>
      <w:r>
        <w:rPr>
          <w:lang w:eastAsia="en-AU"/>
        </w:rPr>
        <w:t>A key</w:t>
      </w:r>
      <w:r w:rsidR="005E5E2E">
        <w:rPr>
          <w:lang w:eastAsia="en-AU"/>
        </w:rPr>
        <w:t xml:space="preserve"> collaborative task for IEA 4E SSL has been development of performance tiers for a number of LED product categories. The categories are: non-directional lamp</w:t>
      </w:r>
      <w:r>
        <w:rPr>
          <w:lang w:eastAsia="en-AU"/>
        </w:rPr>
        <w:t>s, directional lamps, downlight luminaires</w:t>
      </w:r>
      <w:r w:rsidR="005E5E2E">
        <w:rPr>
          <w:lang w:eastAsia="en-AU"/>
        </w:rPr>
        <w:t>, linear LED tubes</w:t>
      </w:r>
      <w:r>
        <w:rPr>
          <w:lang w:eastAsia="en-AU"/>
        </w:rPr>
        <w:t xml:space="preserve"> (retrofit and non-retrofit)</w:t>
      </w:r>
      <w:r w:rsidR="005E5E2E">
        <w:rPr>
          <w:lang w:eastAsia="en-AU"/>
        </w:rPr>
        <w:t>, and streetlights</w:t>
      </w:r>
      <w:r>
        <w:rPr>
          <w:lang w:eastAsia="en-AU"/>
        </w:rPr>
        <w:t>/outdoor lighting</w:t>
      </w:r>
      <w:r w:rsidR="005E5E2E">
        <w:rPr>
          <w:lang w:eastAsia="en-AU"/>
        </w:rPr>
        <w:t>. Performance tiers for other products namely planar fixtures, troffer retrofit kits, high bay and low bay commercial fixtures are currently being developed</w:t>
      </w:r>
      <w:r>
        <w:rPr>
          <w:lang w:eastAsia="en-AU"/>
        </w:rPr>
        <w:t>, while there are also plans to update the initial series of performance tiers</w:t>
      </w:r>
      <w:r w:rsidR="005E5E2E">
        <w:rPr>
          <w:lang w:eastAsia="en-AU"/>
        </w:rPr>
        <w:t xml:space="preserve">. </w:t>
      </w:r>
    </w:p>
    <w:p w:rsidR="005E5E2E" w:rsidRDefault="005E5E2E" w:rsidP="005E5E2E">
      <w:pPr>
        <w:rPr>
          <w:lang w:eastAsia="en-AU"/>
        </w:rPr>
      </w:pPr>
      <w:r>
        <w:rPr>
          <w:lang w:eastAsia="en-AU"/>
        </w:rPr>
        <w:t>The tiers are designed to provide a limited (rationalised) set of performances that could be adopted by countries for their energy efficient lighting programs, including MEPS, HEPS, endorsement labels, incentive schemes, procurement schemes and the like. Tier 1 is intended to be the minimum acceptable performance when products are used for grid-connected applications. This would be an appropriate level to consider as a</w:t>
      </w:r>
      <w:r w:rsidR="00540E40">
        <w:rPr>
          <w:lang w:eastAsia="en-AU"/>
        </w:rPr>
        <w:t xml:space="preserve"> MEPS regulation for a country.</w:t>
      </w:r>
    </w:p>
    <w:p w:rsidR="005E5E2E" w:rsidRDefault="005E5E2E" w:rsidP="005E5E2E">
      <w:pPr>
        <w:rPr>
          <w:lang w:eastAsia="en-AU"/>
        </w:rPr>
      </w:pPr>
      <w:r>
        <w:rPr>
          <w:lang w:eastAsia="en-AU"/>
        </w:rPr>
        <w:t>The performance thresholds for these products, unlike the EU regulation, are flat</w:t>
      </w:r>
      <w:r w:rsidR="00277EF8">
        <w:rPr>
          <w:lang w:eastAsia="en-AU"/>
        </w:rPr>
        <w:t>,</w:t>
      </w:r>
      <w:r>
        <w:rPr>
          <w:lang w:eastAsia="en-AU"/>
        </w:rPr>
        <w:t xml:space="preserve"> acknowledging that efficacy is not directly linked to power for these product categories but more so to the product size and ability to manage thermal heat dissipation.</w:t>
      </w:r>
      <w:r w:rsidR="00767801">
        <w:rPr>
          <w:lang w:eastAsia="en-AU"/>
        </w:rPr>
        <w:t xml:space="preserve"> This is further </w:t>
      </w:r>
      <w:r w:rsidR="00767801" w:rsidRPr="00CB41E6">
        <w:rPr>
          <w:lang w:eastAsia="en-AU"/>
        </w:rPr>
        <w:t xml:space="preserve">discussed in </w:t>
      </w:r>
      <w:r w:rsidR="00CB41E6" w:rsidRPr="00CB41E6">
        <w:t>Section</w:t>
      </w:r>
      <w:r w:rsidR="00767801" w:rsidRPr="00CB41E6">
        <w:t xml:space="preserve"> </w:t>
      </w:r>
      <w:r w:rsidR="00CB41E6" w:rsidRPr="00CB41E6">
        <w:fldChar w:fldCharType="begin"/>
      </w:r>
      <w:r w:rsidR="00CB41E6" w:rsidRPr="00CB41E6">
        <w:instrText xml:space="preserve"> REF _Ref426388287 \r \h </w:instrText>
      </w:r>
      <w:r w:rsidR="00CB41E6">
        <w:instrText xml:space="preserve"> \* MERGEFORMAT </w:instrText>
      </w:r>
      <w:r w:rsidR="00CB41E6" w:rsidRPr="00CB41E6">
        <w:fldChar w:fldCharType="separate"/>
      </w:r>
      <w:r w:rsidR="002C13E2">
        <w:t>9.2.2</w:t>
      </w:r>
      <w:r w:rsidR="00CB41E6" w:rsidRPr="00CB41E6">
        <w:fldChar w:fldCharType="end"/>
      </w:r>
      <w:r w:rsidR="00CB41E6" w:rsidRPr="00CB41E6">
        <w:t>.</w:t>
      </w:r>
    </w:p>
    <w:p w:rsidR="005E5E2E" w:rsidRDefault="00277EF8" w:rsidP="005E5E2E">
      <w:pPr>
        <w:rPr>
          <w:lang w:eastAsia="en-AU"/>
        </w:rPr>
      </w:pPr>
      <w:r>
        <w:rPr>
          <w:lang w:eastAsia="en-AU"/>
        </w:rPr>
        <w:t xml:space="preserve">As part of the IES 4E SSL </w:t>
      </w:r>
      <w:r>
        <w:t>2013 Inter-laboratory Comparison, which compared 110 testing laboratories around the world, the Annex developed a common laboratory proficiency test, drawing upon available national test standards</w:t>
      </w:r>
      <w:r w:rsidR="00322EFF">
        <w:t>.  However future Annex work on testing will be directed support and evaluation of the recently</w:t>
      </w:r>
      <w:r w:rsidR="00932ABE">
        <w:t xml:space="preserve"> </w:t>
      </w:r>
      <w:r w:rsidR="005E5E2E">
        <w:rPr>
          <w:lang w:eastAsia="en-AU"/>
        </w:rPr>
        <w:t xml:space="preserve">published test method developed by CIE TC 2.71 for all relevant metrics. </w:t>
      </w:r>
    </w:p>
    <w:p w:rsidR="005E5E2E" w:rsidRDefault="005E5E2E" w:rsidP="005E5E2E">
      <w:pPr>
        <w:rPr>
          <w:lang w:eastAsia="en-AU"/>
        </w:rPr>
      </w:pPr>
      <w:r>
        <w:rPr>
          <w:lang w:eastAsia="en-AU"/>
        </w:rPr>
        <w:t>The SSL Annex also recommends suitable accreditation frameworks for SSL testing laboratories, to ensure a structure for worldwide interim reliability of SSL testing laboratories’ performance data.</w:t>
      </w:r>
    </w:p>
    <w:p w:rsidR="00E020B0" w:rsidRPr="006A789A" w:rsidRDefault="00E020B0" w:rsidP="005E5E2E">
      <w:pPr>
        <w:rPr>
          <w:lang w:eastAsia="en-AU"/>
        </w:rPr>
      </w:pPr>
      <w:r>
        <w:rPr>
          <w:lang w:eastAsia="en-AU"/>
        </w:rPr>
        <w:t>The SSL Annex has also commenced a review of LED lifetime metrics and testing in order to provide advice to governments on this issue.</w:t>
      </w:r>
    </w:p>
    <w:p w:rsidR="005E5E2E" w:rsidRDefault="005E5E2E" w:rsidP="00631365">
      <w:pPr>
        <w:pStyle w:val="Heading2"/>
      </w:pPr>
      <w:bookmarkStart w:id="206" w:name="_Toc395105355"/>
      <w:bookmarkStart w:id="207" w:name="_Toc426387777"/>
      <w:r>
        <w:lastRenderedPageBreak/>
        <w:t>Test Methods</w:t>
      </w:r>
      <w:bookmarkEnd w:id="206"/>
      <w:bookmarkEnd w:id="207"/>
    </w:p>
    <w:p w:rsidR="00BB7CAE" w:rsidRDefault="00BB7CAE" w:rsidP="00BB7CAE">
      <w:r>
        <w:t>The primary test methods relevant to LED lighting products that are referenced by regulatory programs are produced by three organisations: the International Electro-technical Commission (IEC); the International Commission on Illumination (CIE) and the Illuminating Engineering Society of North America (IES). The IES published the initial set of LED test procedures in 2008 and became at that time the de</w:t>
      </w:r>
      <w:r w:rsidR="00932ABE">
        <w:t>-</w:t>
      </w:r>
      <w:r>
        <w:t>facto international test methods as neither the CIE nor IEC had published test methods specific to the needs/sensitivities of LED products.</w:t>
      </w:r>
    </w:p>
    <w:p w:rsidR="00BB7CAE" w:rsidRDefault="00BB7CAE" w:rsidP="00BB7CAE">
      <w:pPr>
        <w:rPr>
          <w:lang w:eastAsia="en-AU"/>
        </w:rPr>
      </w:pPr>
      <w:r>
        <w:t xml:space="preserve">Whilst the IES test procedures are referenced by some countries, mainly for measuring performance metrics within their more established labelling programs, the countries with more recent MEPS regulations have been adopting international test methods from the IEC and CIE. </w:t>
      </w:r>
    </w:p>
    <w:p w:rsidR="005E5E2E" w:rsidRDefault="00E925F4" w:rsidP="005E5E2E">
      <w:pPr>
        <w:rPr>
          <w:lang w:eastAsia="en-AU"/>
        </w:rPr>
      </w:pPr>
      <w:r>
        <w:rPr>
          <w:lang w:eastAsia="en-AU"/>
        </w:rPr>
        <w:t>Until the publication of CIE TC 2.71 in 2015, th</w:t>
      </w:r>
      <w:r w:rsidR="00BB7CAE">
        <w:rPr>
          <w:lang w:eastAsia="en-AU"/>
        </w:rPr>
        <w:t>e</w:t>
      </w:r>
      <w:r>
        <w:rPr>
          <w:lang w:eastAsia="en-AU"/>
        </w:rPr>
        <w:t>re w</w:t>
      </w:r>
      <w:r w:rsidR="00BB7CAE">
        <w:rPr>
          <w:lang w:eastAsia="en-AU"/>
        </w:rPr>
        <w:t>as</w:t>
      </w:r>
      <w:r>
        <w:rPr>
          <w:lang w:eastAsia="en-AU"/>
        </w:rPr>
        <w:t xml:space="preserve"> no </w:t>
      </w:r>
      <w:r w:rsidR="005E5E2E" w:rsidRPr="00423954">
        <w:rPr>
          <w:lang w:eastAsia="en-AU"/>
        </w:rPr>
        <w:t>international test method for SSL products</w:t>
      </w:r>
      <w:r>
        <w:rPr>
          <w:lang w:eastAsia="en-AU"/>
        </w:rPr>
        <w:t xml:space="preserve">. This presented difficulties for </w:t>
      </w:r>
      <w:r w:rsidR="005E5E2E" w:rsidRPr="00423954">
        <w:rPr>
          <w:lang w:eastAsia="en-AU"/>
        </w:rPr>
        <w:t xml:space="preserve">accreditation bodies to carry out SSL proficiency testing </w:t>
      </w:r>
      <w:r>
        <w:rPr>
          <w:lang w:eastAsia="en-AU"/>
        </w:rPr>
        <w:t xml:space="preserve">of test laboratories </w:t>
      </w:r>
      <w:r w:rsidR="005E5E2E" w:rsidRPr="00423954">
        <w:rPr>
          <w:lang w:eastAsia="en-AU"/>
        </w:rPr>
        <w:t xml:space="preserve">as part of their ISO/IEC 17025 </w:t>
      </w:r>
      <w:r w:rsidR="005E5E2E">
        <w:rPr>
          <w:lang w:eastAsia="en-AU"/>
        </w:rPr>
        <w:t>ac</w:t>
      </w:r>
      <w:r w:rsidR="005E5E2E" w:rsidRPr="00423954">
        <w:rPr>
          <w:lang w:eastAsia="en-AU"/>
        </w:rPr>
        <w:t>creditation</w:t>
      </w:r>
      <w:r w:rsidR="005E5E2E">
        <w:rPr>
          <w:lang w:eastAsia="en-AU"/>
        </w:rPr>
        <w:t xml:space="preserve"> (issued by </w:t>
      </w:r>
      <w:r w:rsidR="00C94598">
        <w:rPr>
          <w:lang w:eastAsia="en-AU"/>
        </w:rPr>
        <w:t>laboratory accreditation bodies</w:t>
      </w:r>
      <w:r w:rsidR="005E5E2E">
        <w:rPr>
          <w:lang w:eastAsia="en-AU"/>
        </w:rPr>
        <w:t>, this provides formal recognition of a laboratory’s competency for testing and calibration for specific international standards)</w:t>
      </w:r>
      <w:r w:rsidR="005E5E2E" w:rsidRPr="00423954">
        <w:rPr>
          <w:lang w:eastAsia="en-AU"/>
        </w:rPr>
        <w:t xml:space="preserve">. </w:t>
      </w:r>
      <w:r>
        <w:rPr>
          <w:lang w:eastAsia="en-AU"/>
        </w:rPr>
        <w:t xml:space="preserve">The absence of an international test method has also caused inconsistencies in the way that manufacturers test and rate product performance.  </w:t>
      </w:r>
      <w:r w:rsidR="00BB7CAE">
        <w:rPr>
          <w:lang w:eastAsia="en-AU"/>
        </w:rPr>
        <w:t xml:space="preserve">CIE TC 2.71 </w:t>
      </w:r>
      <w:r w:rsidR="00BB7CAE">
        <w:t>will provide an internationally recognised extensive test method to support future MEPS programs.</w:t>
      </w:r>
    </w:p>
    <w:p w:rsidR="005E5E2E" w:rsidRPr="00D10A78" w:rsidRDefault="005E5E2E" w:rsidP="00D10A78">
      <w:pPr>
        <w:pStyle w:val="Heading3"/>
      </w:pPr>
      <w:bookmarkStart w:id="208" w:name="_Toc426387778"/>
      <w:r w:rsidRPr="00D10A78">
        <w:t>IES LM-79 Electrical and Photometric Measurements of Solid-State Lighting Products</w:t>
      </w:r>
      <w:bookmarkEnd w:id="208"/>
    </w:p>
    <w:p w:rsidR="005E5E2E" w:rsidRDefault="005E5E2E" w:rsidP="005E5E2E">
      <w:pPr>
        <w:rPr>
          <w:lang w:eastAsia="en-AU"/>
        </w:rPr>
      </w:pPr>
      <w:r>
        <w:rPr>
          <w:lang w:eastAsia="en-AU"/>
        </w:rPr>
        <w:t>This IESNA approved method describes procedures and precautions in performing reproducible photometric measurements of LEDs for the following parameters:</w:t>
      </w:r>
    </w:p>
    <w:p w:rsidR="005E5E2E" w:rsidRDefault="005E5E2E" w:rsidP="0081245D">
      <w:pPr>
        <w:pStyle w:val="E3Bullets"/>
      </w:pPr>
      <w:r>
        <w:t>total luminous flux (lumens)</w:t>
      </w:r>
    </w:p>
    <w:p w:rsidR="005E5E2E" w:rsidRDefault="005E5E2E" w:rsidP="0081245D">
      <w:pPr>
        <w:pStyle w:val="E3Bullets"/>
      </w:pPr>
      <w:r>
        <w:t>electrical power (Watts)</w:t>
      </w:r>
    </w:p>
    <w:p w:rsidR="005E5E2E" w:rsidRDefault="005E5E2E" w:rsidP="0081245D">
      <w:pPr>
        <w:pStyle w:val="E3Bullets"/>
      </w:pPr>
      <w:r>
        <w:t>luminous efficacy (lm/Watt)</w:t>
      </w:r>
    </w:p>
    <w:p w:rsidR="005E5E2E" w:rsidRDefault="005E5E2E" w:rsidP="0081245D">
      <w:pPr>
        <w:pStyle w:val="E3Bullets"/>
      </w:pPr>
      <w:r>
        <w:t>chromaticity</w:t>
      </w:r>
    </w:p>
    <w:p w:rsidR="005E5E2E" w:rsidRDefault="005E5E2E" w:rsidP="005E5E2E">
      <w:r>
        <w:rPr>
          <w:lang w:eastAsia="en-AU"/>
        </w:rPr>
        <w:t>The scope a</w:t>
      </w:r>
      <w:r>
        <w:t>pplies to LED-based products incorporating control electronics and heat sinks for products requiring mains voltage or DC power supply. It includes complete LED luminaires and integrated LED sources (LED chips with heat sinks), but does not cover LED products requiring external operating circuits or fixtures designed for LED products but sold without a light source.</w:t>
      </w:r>
    </w:p>
    <w:p w:rsidR="005E5E2E" w:rsidRDefault="005E5E2E" w:rsidP="005E5E2E">
      <w:r>
        <w:t>Traditionally, photometric evaluation of lighting products is based on separate tests for lamps and luminaires (‘relative’ photometry) however for SSL products, LED lamps typically cannot be separated from their luminaire because of heat effects. For this reason, LM-79 requires complete luminaire testing, and is therefore ‘absolute’ photometry.</w:t>
      </w:r>
    </w:p>
    <w:p w:rsidR="005E5E2E" w:rsidRPr="00D10A78" w:rsidRDefault="005E5E2E" w:rsidP="00D10A78">
      <w:pPr>
        <w:pStyle w:val="Heading3"/>
      </w:pPr>
      <w:bookmarkStart w:id="209" w:name="_Toc426387779"/>
      <w:r w:rsidRPr="00D10A78">
        <w:t>IES LM-80 Measuring Lumen Maintenance of LED Light Sources</w:t>
      </w:r>
      <w:bookmarkEnd w:id="209"/>
    </w:p>
    <w:p w:rsidR="005E5E2E" w:rsidRDefault="005E5E2E" w:rsidP="005E5E2E">
      <w:pPr>
        <w:rPr>
          <w:lang w:eastAsia="en-AU"/>
        </w:rPr>
      </w:pPr>
      <w:r>
        <w:rPr>
          <w:lang w:eastAsia="en-AU"/>
        </w:rPr>
        <w:t>This provides the IESNA approved method for measuring lumen maintenance of solid-state (LED) light sources, arrays and modules. This standard essentially applies at the component level and does not cover measurement of luminaires. The standard was developed out of a necessity to define the time taken to reach ‘operational failure’. For most light sources, end of life is categorised by when they ‘burn out’, and lamp life is typically rated at 50% failure rate</w:t>
      </w:r>
      <w:r w:rsidR="0081245D">
        <w:rPr>
          <w:lang w:eastAsia="en-AU"/>
        </w:rPr>
        <w:t xml:space="preserve"> of the sample</w:t>
      </w:r>
      <w:r>
        <w:rPr>
          <w:lang w:eastAsia="en-AU"/>
        </w:rPr>
        <w:t>. LED light sources typically don’t fail in this way as they have no filament to ‘burn’</w:t>
      </w:r>
      <w:r w:rsidR="00097D31">
        <w:rPr>
          <w:lang w:eastAsia="en-AU"/>
        </w:rPr>
        <w:t xml:space="preserve"> (however more recently early failure of electronic</w:t>
      </w:r>
      <w:r w:rsidR="00932ABE">
        <w:rPr>
          <w:lang w:eastAsia="en-AU"/>
        </w:rPr>
        <w:t xml:space="preserve"> </w:t>
      </w:r>
      <w:r w:rsidR="00097D31">
        <w:rPr>
          <w:lang w:eastAsia="en-AU"/>
        </w:rPr>
        <w:t>components has also emerged as a factor)</w:t>
      </w:r>
      <w:r>
        <w:rPr>
          <w:lang w:eastAsia="en-AU"/>
        </w:rPr>
        <w:t>, and so life for LEDs had to be redefined by its useful light output or lumen maintenance – at a given point in the gradual decline of lumen output it would be determined that the LED had reached ‘life’.</w:t>
      </w:r>
    </w:p>
    <w:p w:rsidR="005E5E2E" w:rsidRDefault="005E5E2E" w:rsidP="005E5E2E">
      <w:pPr>
        <w:rPr>
          <w:lang w:eastAsia="en-AU"/>
        </w:rPr>
      </w:pPr>
      <w:r>
        <w:rPr>
          <w:lang w:eastAsia="en-AU"/>
        </w:rPr>
        <w:t>Using this test method, the lumen maintenance is measured under strictly controlled conditions. Measurement is performance at multiple temperatures to address in-situ conditions. Addendum A for LM-80 (January 2014) made adjustment to the chosen case temperatures at which the LED light source is to be tested; it is now required that only two case temperatures be used for LM-80 testing, one of which must be either 55 °C or 85 °C.</w:t>
      </w:r>
    </w:p>
    <w:p w:rsidR="005E5E2E" w:rsidRDefault="005E5E2E" w:rsidP="005E5E2E">
      <w:pPr>
        <w:rPr>
          <w:lang w:eastAsia="en-AU"/>
        </w:rPr>
      </w:pPr>
      <w:r>
        <w:rPr>
          <w:lang w:eastAsia="en-AU"/>
        </w:rPr>
        <w:t>LM-80 does not define or provide methods for estimation of lamp life – a separate estimation method was developed for this, IES TM-21 ‘</w:t>
      </w:r>
      <w:r w:rsidRPr="008C2E1F">
        <w:rPr>
          <w:lang w:eastAsia="en-AU"/>
        </w:rPr>
        <w:t>Projecting Long Term Lumen Maintenance of LED Light Sources</w:t>
      </w:r>
      <w:r>
        <w:rPr>
          <w:lang w:eastAsia="en-AU"/>
        </w:rPr>
        <w:t>’, which is a calculation based application of test results yielded from LM-80.</w:t>
      </w:r>
      <w:r w:rsidR="001D2041">
        <w:rPr>
          <w:lang w:eastAsia="en-AU"/>
        </w:rPr>
        <w:t>It should also be noted that in only measuring arrays, packages and modules, this results of this method may not accurately reflect the performance</w:t>
      </w:r>
      <w:r w:rsidR="00932ABE">
        <w:rPr>
          <w:lang w:eastAsia="en-AU"/>
        </w:rPr>
        <w:t xml:space="preserve"> </w:t>
      </w:r>
      <w:r w:rsidR="001D2041">
        <w:rPr>
          <w:lang w:eastAsia="en-AU"/>
        </w:rPr>
        <w:t>of an integrated LED lamp or luminaire.</w:t>
      </w:r>
    </w:p>
    <w:p w:rsidR="005E5E2E" w:rsidRDefault="005E5E2E" w:rsidP="00D10A78">
      <w:pPr>
        <w:pStyle w:val="Heading3"/>
      </w:pPr>
      <w:bookmarkStart w:id="210" w:name="_Toc426387780"/>
      <w:r>
        <w:lastRenderedPageBreak/>
        <w:t xml:space="preserve">IES LM-84 </w:t>
      </w:r>
      <w:r w:rsidRPr="008216F6">
        <w:t xml:space="preserve">Measuring Luminous Flux and </w:t>
      </w:r>
      <w:r w:rsidR="007D7ED7" w:rsidRPr="008216F6">
        <w:t>Colour</w:t>
      </w:r>
      <w:r w:rsidRPr="008216F6">
        <w:t xml:space="preserve"> Maintenance of LED Lamps, Light Engines, and Luminaires</w:t>
      </w:r>
      <w:bookmarkEnd w:id="210"/>
    </w:p>
    <w:p w:rsidR="005E5E2E" w:rsidRDefault="00864424" w:rsidP="005E5E2E">
      <w:pPr>
        <w:rPr>
          <w:lang w:eastAsia="en-AU"/>
        </w:rPr>
      </w:pPr>
      <w:r>
        <w:rPr>
          <w:lang w:eastAsia="en-AU"/>
        </w:rPr>
        <w:t>This p</w:t>
      </w:r>
      <w:r w:rsidR="005E5E2E">
        <w:rPr>
          <w:lang w:eastAsia="en-AU"/>
        </w:rPr>
        <w:t>rovides the IESNA approved method for measuring the lumen and colour maintenance of LED lamps light engines and luminaires under strict standardised conditions. It was developed because component other than LEDs, such as optical elements, also contribute toward lumen decay over time in LED lamps and luminaires, and a more holistic approach to lumen maintenance testing at the final product level is necessary (compared to LM-80). A new TM-28 standard outlines calculation methods of projecting the measured data from LM-84 to a predicted lifetime. The approach parallels the way the LM-80 and TM-21 are used to project LED component lumen maintenance.</w:t>
      </w:r>
    </w:p>
    <w:p w:rsidR="005E5E2E" w:rsidRDefault="005E5E2E" w:rsidP="00D10A78">
      <w:pPr>
        <w:pStyle w:val="Heading3"/>
      </w:pPr>
      <w:bookmarkStart w:id="211" w:name="_Toc395105356"/>
      <w:bookmarkStart w:id="212" w:name="_Toc426387781"/>
      <w:r>
        <w:t>CIE TC2.71 Test Method for LED Lamps, LED Luminaires and LED Modules</w:t>
      </w:r>
      <w:bookmarkEnd w:id="211"/>
      <w:bookmarkEnd w:id="212"/>
    </w:p>
    <w:p w:rsidR="005E5E2E" w:rsidRDefault="005E5E2E" w:rsidP="005E5E2E">
      <w:pPr>
        <w:rPr>
          <w:lang w:eastAsia="en-AU"/>
        </w:rPr>
      </w:pPr>
      <w:r>
        <w:rPr>
          <w:lang w:eastAsia="en-AU"/>
        </w:rPr>
        <w:t xml:space="preserve">The </w:t>
      </w:r>
      <w:r w:rsidRPr="00AC1BA3">
        <w:rPr>
          <w:lang w:eastAsia="en-AU"/>
        </w:rPr>
        <w:t>International Commission on Illumination</w:t>
      </w:r>
      <w:r>
        <w:rPr>
          <w:lang w:eastAsia="en-AU"/>
        </w:rPr>
        <w:t xml:space="preserve"> (CIE) is a non-profit professional organisation that is the international authority of light, illumination and colour</w:t>
      </w:r>
      <w:r w:rsidR="001D2041">
        <w:rPr>
          <w:lang w:eastAsia="en-AU"/>
        </w:rPr>
        <w:t>. T</w:t>
      </w:r>
      <w:r>
        <w:rPr>
          <w:lang w:eastAsia="en-AU"/>
        </w:rPr>
        <w:t xml:space="preserve">hrough research by a range of technical committees, standards and technical reports are developed and are accepted throughout the world. TC2.71 is a new </w:t>
      </w:r>
      <w:r w:rsidR="001D2041">
        <w:rPr>
          <w:lang w:eastAsia="en-AU"/>
        </w:rPr>
        <w:t xml:space="preserve">international LED </w:t>
      </w:r>
      <w:r>
        <w:rPr>
          <w:lang w:eastAsia="en-AU"/>
        </w:rPr>
        <w:t>test method</w:t>
      </w:r>
      <w:r w:rsidR="001D2041">
        <w:rPr>
          <w:lang w:eastAsia="en-AU"/>
        </w:rPr>
        <w:t xml:space="preserve"> published in 2015</w:t>
      </w:r>
      <w:r>
        <w:rPr>
          <w:lang w:eastAsia="en-AU"/>
        </w:rPr>
        <w:t>. It covers test methods for measurement of initial parameters for luminous flux, luminous intensity distribution and colour qualities. Specifically, these are:</w:t>
      </w:r>
    </w:p>
    <w:p w:rsidR="005E5E2E" w:rsidRDefault="005E5E2E" w:rsidP="001D2041">
      <w:pPr>
        <w:pStyle w:val="E3Bullets"/>
      </w:pPr>
      <w:r>
        <w:t>Minimum light output (lumens) and equivalent wattage</w:t>
      </w:r>
    </w:p>
    <w:p w:rsidR="005E5E2E" w:rsidRDefault="005E5E2E" w:rsidP="001D2041">
      <w:pPr>
        <w:pStyle w:val="E3Bullets"/>
      </w:pPr>
      <w:r>
        <w:t>Minimum lamp luminous efficacy (lumens/Watt)</w:t>
      </w:r>
    </w:p>
    <w:p w:rsidR="005E5E2E" w:rsidRDefault="005E5E2E" w:rsidP="001D2041">
      <w:pPr>
        <w:pStyle w:val="E3Bullets"/>
      </w:pPr>
      <w:r>
        <w:t>Minimum fixture luminous efficacy (lumens/Watt)</w:t>
      </w:r>
    </w:p>
    <w:p w:rsidR="005E5E2E" w:rsidRPr="00C92CB8" w:rsidRDefault="005E5E2E" w:rsidP="001D2041">
      <w:pPr>
        <w:pStyle w:val="E3Bullets"/>
      </w:pPr>
      <w:r w:rsidRPr="00C92CB8">
        <w:t xml:space="preserve">Correlated colour temperature (CCT) </w:t>
      </w:r>
      <w:r>
        <w:t>(</w:t>
      </w:r>
      <w:r w:rsidRPr="00C92CB8">
        <w:t>degrees Kelvin</w:t>
      </w:r>
      <w:r>
        <w:t>)</w:t>
      </w:r>
    </w:p>
    <w:p w:rsidR="005E5E2E" w:rsidRPr="00C92CB8" w:rsidRDefault="005E5E2E" w:rsidP="001D2041">
      <w:pPr>
        <w:pStyle w:val="E3Bullets"/>
      </w:pPr>
      <w:r w:rsidRPr="00C92CB8">
        <w:t>Colour rendering index (CRI)</w:t>
      </w:r>
    </w:p>
    <w:p w:rsidR="005E5E2E" w:rsidRDefault="005E5E2E" w:rsidP="001D2041">
      <w:pPr>
        <w:pStyle w:val="E3Bullets"/>
      </w:pPr>
      <w:r>
        <w:t>Chromaticity tolerance (Du’v’)</w:t>
      </w:r>
    </w:p>
    <w:p w:rsidR="005E5E2E" w:rsidRDefault="005E5E2E" w:rsidP="001D2041">
      <w:pPr>
        <w:pStyle w:val="E3Bullets"/>
      </w:pPr>
      <w:r>
        <w:t>Colour spatial uniformity</w:t>
      </w:r>
    </w:p>
    <w:p w:rsidR="005E5E2E" w:rsidRDefault="005E5E2E" w:rsidP="001D2041">
      <w:pPr>
        <w:pStyle w:val="E3Bullets"/>
      </w:pPr>
      <w:r>
        <w:t>Luminous intensity distribution 0-360°</w:t>
      </w:r>
    </w:p>
    <w:p w:rsidR="005E5E2E" w:rsidRDefault="005E5E2E" w:rsidP="005E5E2E">
      <w:pPr>
        <w:pStyle w:val="E3Bullets"/>
      </w:pPr>
      <w:r>
        <w:t>Centre beam luminous intensity</w:t>
      </w:r>
    </w:p>
    <w:p w:rsidR="005E5E2E" w:rsidRPr="00ED5955" w:rsidRDefault="005E5E2E" w:rsidP="005E5E2E">
      <w:pPr>
        <w:rPr>
          <w:lang w:eastAsia="en-AU"/>
        </w:rPr>
      </w:pPr>
      <w:r>
        <w:rPr>
          <w:lang w:eastAsia="en-AU"/>
        </w:rPr>
        <w:t xml:space="preserve">Note that CIE TC2.71 only covers photometric and electric parameters, and does not include operational performance characteristics such as switching cycles, endurance over the life of the </w:t>
      </w:r>
      <w:r w:rsidR="00A45490">
        <w:rPr>
          <w:lang w:eastAsia="en-AU"/>
        </w:rPr>
        <w:t>neither product, nor</w:t>
      </w:r>
      <w:r>
        <w:rPr>
          <w:lang w:eastAsia="en-AU"/>
        </w:rPr>
        <w:t xml:space="preserve"> UV and flicker; some of these additional parameters are covered by IEC documents discussed in the following sections.</w:t>
      </w:r>
    </w:p>
    <w:p w:rsidR="005E5E2E" w:rsidRDefault="005E5E2E" w:rsidP="00D10A78">
      <w:pPr>
        <w:pStyle w:val="Heading3"/>
      </w:pPr>
      <w:bookmarkStart w:id="213" w:name="_Toc395105357"/>
      <w:bookmarkStart w:id="214" w:name="_Toc426387782"/>
      <w:r>
        <w:t>IEC 62612 Self-ballasted LED lamps for general services – Performance requirements</w:t>
      </w:r>
      <w:bookmarkEnd w:id="213"/>
      <w:bookmarkEnd w:id="214"/>
    </w:p>
    <w:p w:rsidR="00835890" w:rsidRDefault="00835890" w:rsidP="00835890">
      <w:pPr>
        <w:rPr>
          <w:lang w:eastAsia="en-AU"/>
        </w:rPr>
      </w:pPr>
      <w:r>
        <w:rPr>
          <w:lang w:eastAsia="en-AU"/>
        </w:rPr>
        <w:t>The International Electrotechnical Commission (IEC) p</w:t>
      </w:r>
      <w:r>
        <w:t xml:space="preserve">repares and publishes International Standards for all electrical, electronic and related technologies. </w:t>
      </w:r>
      <w:r w:rsidR="005E5E2E">
        <w:rPr>
          <w:lang w:eastAsia="en-AU"/>
        </w:rPr>
        <w:t>This standard was published on 18 June 2013, and covers LED lamps with rated power up to 60 W, with supply voltage between 50 V and 250 V, and having lamp cap as listed in IEC 62560; these being B15d, B22d, E11, E14, E17, E26, E27, GU10, GZ10, GX53.</w:t>
      </w:r>
    </w:p>
    <w:p w:rsidR="005E5E2E" w:rsidRPr="00835890" w:rsidRDefault="005E5E2E" w:rsidP="00835890">
      <w:pPr>
        <w:pStyle w:val="E3BodyText"/>
        <w:rPr>
          <w:lang w:eastAsia="en-AU"/>
        </w:rPr>
      </w:pPr>
      <w:r w:rsidRPr="00835890">
        <w:rPr>
          <w:lang w:eastAsia="en-AU"/>
        </w:rPr>
        <w:t>The standard includes marking requirements for lamp packaging</w:t>
      </w:r>
      <w:r w:rsidR="00835890">
        <w:rPr>
          <w:lang w:eastAsia="en-AU"/>
        </w:rPr>
        <w:t xml:space="preserve"> and specifies t</w:t>
      </w:r>
      <w:r w:rsidRPr="00835890">
        <w:rPr>
          <w:lang w:eastAsia="en-AU"/>
        </w:rPr>
        <w:t xml:space="preserve">est conditions for testing electrical and photometric characteristics </w:t>
      </w:r>
      <w:r w:rsidR="00835890">
        <w:rPr>
          <w:lang w:eastAsia="en-AU"/>
        </w:rPr>
        <w:t xml:space="preserve">that </w:t>
      </w:r>
      <w:r w:rsidRPr="00835890">
        <w:rPr>
          <w:lang w:eastAsia="en-AU"/>
        </w:rPr>
        <w:t>are to be performed on a minimum of 20 test lamps</w:t>
      </w:r>
      <w:r w:rsidR="00835890">
        <w:rPr>
          <w:lang w:eastAsia="en-AU"/>
        </w:rPr>
        <w:t>.</w:t>
      </w:r>
    </w:p>
    <w:p w:rsidR="005E5E2E" w:rsidRDefault="005E5E2E" w:rsidP="005E5E2E">
      <w:r>
        <w:t>The following parameters are ‘initial’ measurements, to be tested at the beginning of lamp life:</w:t>
      </w:r>
    </w:p>
    <w:p w:rsidR="005E5E2E" w:rsidRDefault="005E5E2E" w:rsidP="00835890">
      <w:pPr>
        <w:pStyle w:val="E3Bullets"/>
      </w:pPr>
      <w:r>
        <w:t>Lamp wattage - not exceeding rated wattage by &gt; 15 %</w:t>
      </w:r>
    </w:p>
    <w:p w:rsidR="005E5E2E" w:rsidRDefault="005E5E2E" w:rsidP="00835890">
      <w:pPr>
        <w:pStyle w:val="E3Bullets"/>
      </w:pPr>
      <w:r>
        <w:t xml:space="preserve">Luminous Flux - not less than 90% rated luminous flux </w:t>
      </w:r>
    </w:p>
    <w:p w:rsidR="005E5E2E" w:rsidRDefault="005E5E2E" w:rsidP="005E5E2E">
      <w:pPr>
        <w:pStyle w:val="E3Bullets"/>
      </w:pPr>
      <w:r>
        <w:t>Luminous efficacy – not less than 80 % of the rated LED lamp efficacy as declared by manufacturer or vendor</w:t>
      </w:r>
    </w:p>
    <w:p w:rsidR="005E5E2E" w:rsidRPr="009D4607" w:rsidRDefault="005E5E2E" w:rsidP="005E5E2E">
      <w:r>
        <w:t>For determination of the following parameters, test measurements are to be taken at 25% rated lamp life, with a maximum duration of 6000 hrs:</w:t>
      </w:r>
    </w:p>
    <w:p w:rsidR="005E5E2E" w:rsidRDefault="005E5E2E" w:rsidP="00835890">
      <w:pPr>
        <w:pStyle w:val="E3Bullets"/>
      </w:pPr>
      <w:r>
        <w:t xml:space="preserve">Colour Temperature – within 2700-6500 K with a tolerance category of 7-step MacAdam ellipse size </w:t>
      </w:r>
    </w:p>
    <w:p w:rsidR="005E5E2E" w:rsidRDefault="005E5E2E" w:rsidP="00835890">
      <w:pPr>
        <w:pStyle w:val="E3Bullets"/>
      </w:pPr>
      <w:r>
        <w:t>Colour Rendering (CRI) – variation of &lt; 5 points from rated CRI</w:t>
      </w:r>
    </w:p>
    <w:p w:rsidR="005E5E2E" w:rsidRDefault="005E5E2E" w:rsidP="00835890">
      <w:pPr>
        <w:pStyle w:val="E3Bullets"/>
      </w:pPr>
      <w:r>
        <w:t>Lamp life – defined as the combined result of lumen maintenance performance and the life of the built-in electronic ballast. An endurance test is performed on both lamp and ballast to indicate reliability and life</w:t>
      </w:r>
    </w:p>
    <w:p w:rsidR="005E5E2E" w:rsidRDefault="005E5E2E" w:rsidP="00835890">
      <w:pPr>
        <w:pStyle w:val="E3Bullets"/>
      </w:pPr>
      <w:r>
        <w:t>Lumen maintenance – uses approximation methods to determine expected life (L</w:t>
      </w:r>
      <w:r>
        <w:rPr>
          <w:vertAlign w:val="subscript"/>
        </w:rPr>
        <w:t>50</w:t>
      </w:r>
      <w:r>
        <w:t xml:space="preserve"> or L</w:t>
      </w:r>
      <w:r>
        <w:rPr>
          <w:vertAlign w:val="subscript"/>
        </w:rPr>
        <w:t>70</w:t>
      </w:r>
      <w:r>
        <w:t>), lamps are grouped into “lumen maintenance categories” where each represents the measured luminous flux decreasing in increments of 10 %</w:t>
      </w:r>
    </w:p>
    <w:p w:rsidR="005E5E2E" w:rsidRDefault="005E5E2E" w:rsidP="00835890">
      <w:pPr>
        <w:pStyle w:val="E3BodyText"/>
      </w:pPr>
      <w:r>
        <w:lastRenderedPageBreak/>
        <w:t xml:space="preserve">Note that the life of an LED lamp is the combined effect of gradual light output degradation, mostly caused by material degradation and abrupt light output degradation, mostly caused by electrical component failure </w:t>
      </w:r>
      <w:r>
        <w:rPr>
          <w:rStyle w:val="FootnoteReference"/>
        </w:rPr>
        <w:footnoteReference w:id="4"/>
      </w:r>
      <w:r>
        <w:t>. For this reason, both elements are tested as part of this standard.</w:t>
      </w:r>
    </w:p>
    <w:p w:rsidR="005E5E2E" w:rsidRDefault="005E5E2E" w:rsidP="00835890">
      <w:pPr>
        <w:pStyle w:val="E3BodyText"/>
      </w:pPr>
      <w:r>
        <w:t>IEC FDIS 62612 Section 11.2 includes notes on the significance of lumen maintenance measurement</w:t>
      </w:r>
      <w:r w:rsidR="00E020B0">
        <w:t xml:space="preserve"> which give an insight into the challenges of measuring LED lifetime</w:t>
      </w:r>
      <w:r>
        <w:t>:</w:t>
      </w:r>
    </w:p>
    <w:p w:rsidR="00A601A3" w:rsidRDefault="005E5E2E" w:rsidP="00835890">
      <w:pPr>
        <w:pStyle w:val="E3BodyText"/>
        <w:ind w:left="720"/>
        <w:rPr>
          <w:lang w:eastAsia="en-AU"/>
        </w:rPr>
      </w:pPr>
      <w:r w:rsidRPr="00D751E8">
        <w:rPr>
          <w:lang w:eastAsia="en-AU"/>
        </w:rPr>
        <w:t>NOTE 1</w:t>
      </w:r>
      <w:r w:rsidR="00835890">
        <w:rPr>
          <w:lang w:eastAsia="en-AU"/>
        </w:rPr>
        <w:t xml:space="preserve"> -</w:t>
      </w:r>
      <w:r w:rsidRPr="00D751E8">
        <w:rPr>
          <w:lang w:eastAsia="en-AU"/>
        </w:rPr>
        <w:t xml:space="preserve"> As the typical life of an LED lamp is (very) long, it is regarded as impractical and time consuming within</w:t>
      </w:r>
      <w:r w:rsidR="00932ABE">
        <w:rPr>
          <w:lang w:eastAsia="en-AU"/>
        </w:rPr>
        <w:t xml:space="preserve"> </w:t>
      </w:r>
      <w:r w:rsidRPr="00D751E8">
        <w:rPr>
          <w:lang w:eastAsia="en-AU"/>
        </w:rPr>
        <w:t xml:space="preserve">the scope of this standard to measure the actual lumen reduction over life (e.g. </w:t>
      </w:r>
      <w:r w:rsidRPr="00D751E8">
        <w:rPr>
          <w:i/>
          <w:iCs/>
          <w:lang w:eastAsia="en-AU"/>
        </w:rPr>
        <w:t>L</w:t>
      </w:r>
      <w:r>
        <w:rPr>
          <w:lang w:eastAsia="en-AU"/>
        </w:rPr>
        <w:t>70</w:t>
      </w:r>
      <w:r w:rsidRPr="00D751E8">
        <w:rPr>
          <w:lang w:eastAsia="en-AU"/>
        </w:rPr>
        <w:t>). For that reason this standard</w:t>
      </w:r>
      <w:r w:rsidR="00932ABE">
        <w:rPr>
          <w:lang w:eastAsia="en-AU"/>
        </w:rPr>
        <w:t xml:space="preserve"> </w:t>
      </w:r>
      <w:r w:rsidRPr="00D751E8">
        <w:rPr>
          <w:lang w:eastAsia="en-AU"/>
        </w:rPr>
        <w:t xml:space="preserve">relies on test results to determine the expected lumen maintenance code of any LED lamp. </w:t>
      </w:r>
    </w:p>
    <w:p w:rsidR="00A601A3" w:rsidRDefault="005E5E2E" w:rsidP="00835890">
      <w:pPr>
        <w:pStyle w:val="E3BodyText"/>
        <w:ind w:left="720"/>
        <w:rPr>
          <w:lang w:eastAsia="en-AU"/>
        </w:rPr>
      </w:pPr>
      <w:r>
        <w:rPr>
          <w:lang w:eastAsia="en-AU"/>
        </w:rPr>
        <w:t>N</w:t>
      </w:r>
      <w:r w:rsidRPr="00D751E8">
        <w:rPr>
          <w:lang w:eastAsia="en-AU"/>
        </w:rPr>
        <w:t xml:space="preserve">OTE 2 </w:t>
      </w:r>
      <w:r w:rsidR="00835890">
        <w:rPr>
          <w:lang w:eastAsia="en-AU"/>
        </w:rPr>
        <w:t xml:space="preserve">- </w:t>
      </w:r>
      <w:r w:rsidRPr="00D751E8">
        <w:rPr>
          <w:lang w:eastAsia="en-AU"/>
        </w:rPr>
        <w:t>The actual LED behaviour with regard to lumen-maintenance can differ considerably per type and per</w:t>
      </w:r>
      <w:r w:rsidR="00932ABE">
        <w:rPr>
          <w:lang w:eastAsia="en-AU"/>
        </w:rPr>
        <w:t xml:space="preserve"> </w:t>
      </w:r>
      <w:r w:rsidRPr="00D751E8">
        <w:rPr>
          <w:lang w:eastAsia="en-AU"/>
        </w:rPr>
        <w:t>manufacturer. It is not possible to express the lumen-maintenance of all LEDs in simple mathematical relations. A</w:t>
      </w:r>
      <w:r w:rsidR="00932ABE">
        <w:rPr>
          <w:lang w:eastAsia="en-AU"/>
        </w:rPr>
        <w:t xml:space="preserve"> </w:t>
      </w:r>
      <w:r w:rsidRPr="00D751E8">
        <w:rPr>
          <w:lang w:eastAsia="en-AU"/>
        </w:rPr>
        <w:t xml:space="preserve">fast initial decrease in lumen output does not automatically imply that a particular LED will not make its rated life. </w:t>
      </w:r>
    </w:p>
    <w:p w:rsidR="00A601A3" w:rsidRDefault="005E5E2E" w:rsidP="00835890">
      <w:pPr>
        <w:pStyle w:val="E3BodyText"/>
        <w:ind w:left="720"/>
        <w:rPr>
          <w:lang w:eastAsia="en-AU"/>
        </w:rPr>
      </w:pPr>
      <w:r w:rsidRPr="00D751E8">
        <w:rPr>
          <w:lang w:eastAsia="en-AU"/>
        </w:rPr>
        <w:t xml:space="preserve">NOTE 3 </w:t>
      </w:r>
      <w:r w:rsidR="00835890">
        <w:rPr>
          <w:lang w:eastAsia="en-AU"/>
        </w:rPr>
        <w:t xml:space="preserve">- </w:t>
      </w:r>
      <w:r w:rsidRPr="00D751E8">
        <w:rPr>
          <w:lang w:eastAsia="en-AU"/>
        </w:rPr>
        <w:t>Other methods providing more advanced insight into lumen depreciation over LED lamp life are under</w:t>
      </w:r>
      <w:r w:rsidR="00932ABE">
        <w:rPr>
          <w:lang w:eastAsia="en-AU"/>
        </w:rPr>
        <w:t xml:space="preserve"> </w:t>
      </w:r>
      <w:r w:rsidRPr="00D751E8">
        <w:rPr>
          <w:lang w:eastAsia="en-AU"/>
        </w:rPr>
        <w:t>consideration.</w:t>
      </w:r>
    </w:p>
    <w:p w:rsidR="005E5E2E" w:rsidRDefault="005E5E2E" w:rsidP="005E5E2E">
      <w:r>
        <w:t>Endurance testing for a built-in electronic ballast must be performed on the complete LED and includes:</w:t>
      </w:r>
    </w:p>
    <w:p w:rsidR="005E5E2E" w:rsidRDefault="005E5E2E" w:rsidP="00D60279">
      <w:pPr>
        <w:pStyle w:val="E3Bullets"/>
      </w:pPr>
      <w:r>
        <w:t>A temperature cycling shock test, to be performed on a non-energised lamp</w:t>
      </w:r>
    </w:p>
    <w:p w:rsidR="005E5E2E" w:rsidRDefault="005E5E2E" w:rsidP="00D60279">
      <w:pPr>
        <w:pStyle w:val="E3Bullets"/>
      </w:pPr>
      <w:r>
        <w:t>Supply voltage-switching test</w:t>
      </w:r>
    </w:p>
    <w:p w:rsidR="005E5E2E" w:rsidRDefault="005E5E2E" w:rsidP="00D60279">
      <w:pPr>
        <w:pStyle w:val="E3Bullets"/>
      </w:pPr>
      <w:r>
        <w:t xml:space="preserve">A high temperature performance test, with lamp operating at 45 </w:t>
      </w:r>
      <w:r>
        <w:sym w:font="Symbol" w:char="F0B0"/>
      </w:r>
      <w:r>
        <w:t>C until a test period of 25% rated lamp life (maximum of 6000 hrs) then cooled to room temperature</w:t>
      </w:r>
    </w:p>
    <w:p w:rsidR="005E5E2E" w:rsidRDefault="005E5E2E" w:rsidP="005E5E2E">
      <w:pPr>
        <w:rPr>
          <w:lang w:eastAsia="en-AU"/>
        </w:rPr>
      </w:pPr>
      <w:r>
        <w:rPr>
          <w:lang w:eastAsia="en-AU"/>
        </w:rPr>
        <w:t xml:space="preserve">Test conditions include stability requirements for ambient test-room temperature, test voltage, harmonic content of power supply, orientation of the lamp and general positioning; as well as requirements for thermal stabilisation of the lamp. </w:t>
      </w:r>
    </w:p>
    <w:p w:rsidR="005E5E2E" w:rsidRDefault="005E5E2E" w:rsidP="00D10A78">
      <w:pPr>
        <w:pStyle w:val="Heading3"/>
      </w:pPr>
      <w:bookmarkStart w:id="215" w:name="_Toc395105358"/>
      <w:bookmarkStart w:id="216" w:name="_Toc426387783"/>
      <w:r>
        <w:t>IEC/PAS 62722-2-1 Luminaire performance Part 2-1: Particular requirements for LED luminaires</w:t>
      </w:r>
      <w:bookmarkEnd w:id="215"/>
      <w:bookmarkEnd w:id="216"/>
    </w:p>
    <w:p w:rsidR="005E5E2E" w:rsidRDefault="005E5E2E" w:rsidP="005E5E2E">
      <w:pPr>
        <w:rPr>
          <w:lang w:eastAsia="en-AU"/>
        </w:rPr>
      </w:pPr>
      <w:r>
        <w:rPr>
          <w:lang w:eastAsia="en-AU"/>
        </w:rPr>
        <w:t>Published June 2011, this standard covers performance and environmental requirements for LED luminaires with rated voltage up to 1000 V.</w:t>
      </w:r>
    </w:p>
    <w:p w:rsidR="005E5E2E" w:rsidRDefault="005E5E2E" w:rsidP="005E5E2E">
      <w:pPr>
        <w:rPr>
          <w:lang w:eastAsia="en-AU"/>
        </w:rPr>
      </w:pPr>
      <w:r>
        <w:rPr>
          <w:lang w:eastAsia="en-AU"/>
        </w:rPr>
        <w:t xml:space="preserve">The standard defers to general requirements of IEC 60598-2, Luminaires – Particular requirements (with separate sections for luminaires of various specific </w:t>
      </w:r>
      <w:r w:rsidR="00A45490">
        <w:rPr>
          <w:lang w:eastAsia="en-AU"/>
        </w:rPr>
        <w:t>types</w:t>
      </w:r>
      <w:r>
        <w:rPr>
          <w:lang w:eastAsia="en-AU"/>
        </w:rPr>
        <w:t xml:space="preserve">, such as general purpose, recessed, floodlights, portable garden use, </w:t>
      </w:r>
      <w:r w:rsidR="00A45490">
        <w:rPr>
          <w:lang w:eastAsia="en-AU"/>
        </w:rPr>
        <w:t>etc.</w:t>
      </w:r>
      <w:r>
        <w:rPr>
          <w:lang w:eastAsia="en-AU"/>
        </w:rPr>
        <w:t>). Requirements include the following information:</w:t>
      </w:r>
    </w:p>
    <w:p w:rsidR="005E5E2E" w:rsidRDefault="005E5E2E" w:rsidP="00D60279">
      <w:pPr>
        <w:pStyle w:val="E3Bullets"/>
      </w:pPr>
      <w:r>
        <w:t>Photometric data including intensity distribution, as appropriate for the luminaire type and in accepted regional format.</w:t>
      </w:r>
    </w:p>
    <w:p w:rsidR="005E5E2E" w:rsidRDefault="005E5E2E" w:rsidP="00D60279">
      <w:pPr>
        <w:pStyle w:val="E3Bullets"/>
      </w:pPr>
      <w:r>
        <w:t>Light Output Ratio (LOR) must not be &gt; 10 % from rated value</w:t>
      </w:r>
    </w:p>
    <w:p w:rsidR="005E5E2E" w:rsidRDefault="005E5E2E" w:rsidP="00D60279">
      <w:pPr>
        <w:pStyle w:val="E3Bullets"/>
      </w:pPr>
      <w:r>
        <w:t>Electrical parameters:  rated voltage, input power, standby power losses, emergency lighting charging power; none of these must deviate &gt; 10 % rated values</w:t>
      </w:r>
    </w:p>
    <w:p w:rsidR="005E5E2E" w:rsidRDefault="005E5E2E" w:rsidP="00D60279">
      <w:pPr>
        <w:pStyle w:val="E3Bullets"/>
      </w:pPr>
      <w:r>
        <w:t>Luminaire efficacy to be obtained using the rated light source as the reference lamp in performance tests</w:t>
      </w:r>
    </w:p>
    <w:p w:rsidR="005E5E2E" w:rsidRDefault="005E5E2E" w:rsidP="00D60279">
      <w:pPr>
        <w:pStyle w:val="E3BodyText"/>
      </w:pPr>
      <w:r>
        <w:t>Environmental aspects of luminaire life cycle are assessed; with provision that manufacturers respect safety regulations in region of manufacture, sale and use of the luminaire. They are to provide information on maintenance operations and disassembly and recycling methods for end-of-life.</w:t>
      </w:r>
    </w:p>
    <w:p w:rsidR="005E5E2E" w:rsidRDefault="005E5E2E" w:rsidP="00D10A78">
      <w:pPr>
        <w:pStyle w:val="Heading3"/>
      </w:pPr>
      <w:bookmarkStart w:id="217" w:name="_Toc395105359"/>
      <w:bookmarkStart w:id="218" w:name="_Toc426387784"/>
      <w:r>
        <w:t>IEC/PAS 62717 LED modules for general services – Performance requirements</w:t>
      </w:r>
      <w:bookmarkEnd w:id="217"/>
      <w:bookmarkEnd w:id="218"/>
    </w:p>
    <w:p w:rsidR="005E5E2E" w:rsidRDefault="005E5E2E" w:rsidP="005E5E2E">
      <w:pPr>
        <w:rPr>
          <w:lang w:eastAsia="en-AU"/>
        </w:rPr>
      </w:pPr>
      <w:r>
        <w:rPr>
          <w:lang w:eastAsia="en-AU"/>
        </w:rPr>
        <w:t xml:space="preserve">Published June 2011, this standard specifies performance requirements, test methods and conditions for LED modules. As with IEC/PAS 62612, lifetime and maintenance parameters are validated at a defined finite test time (25 % rated life, with a maximum of 6000 hours). </w:t>
      </w:r>
    </w:p>
    <w:p w:rsidR="005E5E2E" w:rsidRDefault="005E5E2E" w:rsidP="005E5E2E">
      <w:pPr>
        <w:rPr>
          <w:lang w:eastAsia="en-AU"/>
        </w:rPr>
      </w:pPr>
      <w:r>
        <w:rPr>
          <w:lang w:eastAsia="en-AU"/>
        </w:rPr>
        <w:t>The following aspects are required to be tested and reported in order to adhere to this standard:</w:t>
      </w:r>
    </w:p>
    <w:p w:rsidR="005E5E2E" w:rsidRDefault="005E5E2E" w:rsidP="00D60279">
      <w:pPr>
        <w:pStyle w:val="E3Bullets"/>
      </w:pPr>
      <w:r>
        <w:t>Mandatory marking on lamp packaging and/or manufacturer’s website or brochures</w:t>
      </w:r>
    </w:p>
    <w:p w:rsidR="005E5E2E" w:rsidRDefault="005E5E2E" w:rsidP="00D60279">
      <w:pPr>
        <w:pStyle w:val="E3Bullets"/>
      </w:pPr>
      <w:r>
        <w:t>Dimensions including dimensional tolerances</w:t>
      </w:r>
    </w:p>
    <w:p w:rsidR="005E5E2E" w:rsidRDefault="005E5E2E" w:rsidP="00D60279">
      <w:pPr>
        <w:pStyle w:val="E3Bullets"/>
      </w:pPr>
      <w:r>
        <w:t xml:space="preserve">Module wattage – not exceeding </w:t>
      </w:r>
      <w:r>
        <w:sym w:font="Symbol" w:char="F0B1"/>
      </w:r>
      <w:r>
        <w:t xml:space="preserve"> 10 % of the rated value</w:t>
      </w:r>
    </w:p>
    <w:p w:rsidR="005E5E2E" w:rsidRDefault="005E5E2E" w:rsidP="00D60279">
      <w:pPr>
        <w:pStyle w:val="E3Bullets"/>
      </w:pPr>
      <w:r>
        <w:lastRenderedPageBreak/>
        <w:t>Luminous flux – not less than 90 % rated value in any individual LED module; does not include an upper confidence limit for values greater than rated</w:t>
      </w:r>
    </w:p>
    <w:p w:rsidR="005E5E2E" w:rsidRDefault="005E5E2E" w:rsidP="00D60279">
      <w:pPr>
        <w:pStyle w:val="E3Bullets"/>
      </w:pPr>
      <w:r>
        <w:t>Luminous efficacy – not less than 90 % rated value</w:t>
      </w:r>
    </w:p>
    <w:p w:rsidR="005E5E2E" w:rsidRDefault="005E5E2E" w:rsidP="00D60279">
      <w:pPr>
        <w:pStyle w:val="E3Bullets"/>
      </w:pPr>
      <w:r>
        <w:t xml:space="preserve">Chromaticity coordinates – (initial and maintained) must fit into one of four tolerance categories based on 7-step MacAdam ellipse size </w:t>
      </w:r>
    </w:p>
    <w:p w:rsidR="005E5E2E" w:rsidRDefault="005E5E2E" w:rsidP="00D60279">
      <w:pPr>
        <w:pStyle w:val="E3Bullets"/>
      </w:pPr>
      <w:r>
        <w:t>Correlated colour temperature – Must be stated, with rounding to nearest 100 K; preferred values to ensure interchangeability are not yet assigned (though they are in IEC/PAS 62612)</w:t>
      </w:r>
    </w:p>
    <w:p w:rsidR="005E5E2E" w:rsidRDefault="005E5E2E" w:rsidP="00D60279">
      <w:pPr>
        <w:pStyle w:val="E3Bullets"/>
      </w:pPr>
      <w:r>
        <w:t>Colour Rendering (CRI) – initial, variation of &lt; 3 points from rated CRI; maintained, variation of &lt; 5 points from rated CRI</w:t>
      </w:r>
    </w:p>
    <w:p w:rsidR="005E5E2E" w:rsidRDefault="005E5E2E" w:rsidP="00D60279">
      <w:pPr>
        <w:pStyle w:val="E3BodyText"/>
      </w:pPr>
      <w:r>
        <w:t>For directional lamps:</w:t>
      </w:r>
    </w:p>
    <w:p w:rsidR="005E5E2E" w:rsidRDefault="005E5E2E" w:rsidP="00D60279">
      <w:pPr>
        <w:pStyle w:val="E3Bullets"/>
      </w:pPr>
      <w:r>
        <w:t>Peak intensity value – not less than 75 % rated value</w:t>
      </w:r>
    </w:p>
    <w:p w:rsidR="005E5E2E" w:rsidRDefault="005E5E2E" w:rsidP="00D60279">
      <w:pPr>
        <w:pStyle w:val="E3Bullets"/>
      </w:pPr>
      <w:r>
        <w:t>Beam angle – must be within 25 % rated value</w:t>
      </w:r>
    </w:p>
    <w:p w:rsidR="005E5E2E" w:rsidRDefault="005E5E2E" w:rsidP="00D60279">
      <w:pPr>
        <w:pStyle w:val="E3Bullets"/>
      </w:pPr>
      <w:r>
        <w:t>Lumen maintenance – validated at time designated above; categories 9, 8, 7 correspond to maintenance ≥ 90 %, 80 %, 70 %</w:t>
      </w:r>
    </w:p>
    <w:p w:rsidR="005E5E2E" w:rsidRDefault="005E5E2E" w:rsidP="00D60279">
      <w:pPr>
        <w:pStyle w:val="E3Bullets"/>
      </w:pPr>
      <w:r>
        <w:t>Endurance testing:</w:t>
      </w:r>
    </w:p>
    <w:p w:rsidR="005E5E2E" w:rsidRDefault="005E5E2E" w:rsidP="00D60279">
      <w:pPr>
        <w:pStyle w:val="E3Bullets"/>
      </w:pPr>
      <w:r>
        <w:t>Temperature cycling test (with lamp energised)</w:t>
      </w:r>
    </w:p>
    <w:p w:rsidR="005E5E2E" w:rsidRDefault="005E5E2E" w:rsidP="00D60279">
      <w:pPr>
        <w:pStyle w:val="E3Bullets"/>
      </w:pPr>
      <w:r>
        <w:t>Supply switching test</w:t>
      </w:r>
    </w:p>
    <w:p w:rsidR="005E5E2E" w:rsidRDefault="005E5E2E" w:rsidP="005E5E2E">
      <w:pPr>
        <w:pStyle w:val="E3Bullets"/>
      </w:pPr>
      <w:r>
        <w:t>Accelerated operation life test</w:t>
      </w:r>
    </w:p>
    <w:p w:rsidR="005E5E2E" w:rsidRDefault="005E5E2E" w:rsidP="005E5E2E">
      <w:pPr>
        <w:rPr>
          <w:lang w:eastAsia="en-AU"/>
        </w:rPr>
      </w:pPr>
      <w:r>
        <w:rPr>
          <w:lang w:eastAsia="en-AU"/>
        </w:rPr>
        <w:t xml:space="preserve">A new concept of module families allows the LED module manufacturer to use data from previous photometric tests of an existing baseline product as pre-verification of performance for later models in the family. </w:t>
      </w:r>
      <w:r w:rsidR="005B20EC">
        <w:rPr>
          <w:lang w:eastAsia="en-AU"/>
        </w:rPr>
        <w:t xml:space="preserve">Conditions of acceptance for a </w:t>
      </w:r>
      <w:r w:rsidR="00AE2025">
        <w:rPr>
          <w:lang w:eastAsia="en-AU"/>
        </w:rPr>
        <w:t>module’s</w:t>
      </w:r>
      <w:r>
        <w:rPr>
          <w:lang w:eastAsia="en-AU"/>
        </w:rPr>
        <w:t xml:space="preserve"> inclusion in a family are specified, and must be based on consistency in materials, manufacture techniques and proven quality assurance measures. Compliance testing of family members accepts family data for chromaticity coordinates, colour rendering, lumen maintenance and accelerated lifetime testing.</w:t>
      </w:r>
    </w:p>
    <w:p w:rsidR="005B20EC" w:rsidRPr="007601F2" w:rsidRDefault="005B20EC" w:rsidP="005E5E2E">
      <w:pPr>
        <w:rPr>
          <w:lang w:eastAsia="en-AU"/>
        </w:rPr>
      </w:pPr>
      <w:r>
        <w:rPr>
          <w:lang w:eastAsia="en-AU"/>
        </w:rPr>
        <w:t xml:space="preserve">The IEC is also giving consideration for family definitions for </w:t>
      </w:r>
      <w:r w:rsidR="00F350E4">
        <w:rPr>
          <w:lang w:eastAsia="en-AU"/>
        </w:rPr>
        <w:t>self-ballasted LED lamps</w:t>
      </w:r>
      <w:r>
        <w:rPr>
          <w:lang w:eastAsia="en-AU"/>
        </w:rPr>
        <w:t xml:space="preserve"> under </w:t>
      </w:r>
      <w:r w:rsidR="00F350E4" w:rsidRPr="00F350E4">
        <w:rPr>
          <w:lang w:eastAsia="en-AU"/>
        </w:rPr>
        <w:t xml:space="preserve">IEC </w:t>
      </w:r>
      <w:r w:rsidR="00A45490" w:rsidRPr="00F350E4">
        <w:rPr>
          <w:lang w:eastAsia="en-AU"/>
        </w:rPr>
        <w:t>62612</w:t>
      </w:r>
      <w:r w:rsidR="00A45490">
        <w:rPr>
          <w:lang w:eastAsia="en-AU"/>
        </w:rPr>
        <w:t>;</w:t>
      </w:r>
      <w:r w:rsidR="00F350E4">
        <w:rPr>
          <w:lang w:eastAsia="en-AU"/>
        </w:rPr>
        <w:t xml:space="preserve"> however pre-verification may only extend to endurance and lifetime testing in that case.</w:t>
      </w:r>
    </w:p>
    <w:p w:rsidR="00644DC1" w:rsidRPr="00A03BF7" w:rsidRDefault="00346707" w:rsidP="00644DC1">
      <w:pPr>
        <w:pStyle w:val="E3BodyText"/>
      </w:pPr>
      <w:r>
        <w:t>Definitions for products and product families would be one issue to consider if MEPS were to be developed for LED lighting.  The current rapid evolution of LED technology and frequent release of new products could place extra pressure on product registration systems and supplier obligations. However registration systems in Australia and New Zealand are a key aspect of ensuring compliance, and clear product definitions, with requirements for submission of tested performance information an important element of this.</w:t>
      </w:r>
    </w:p>
    <w:p w:rsidR="00813591" w:rsidRPr="00171A6E" w:rsidRDefault="00813591" w:rsidP="00D10A78">
      <w:pPr>
        <w:pStyle w:val="Heading2"/>
      </w:pPr>
      <w:bookmarkStart w:id="219" w:name="_Toc426387785"/>
      <w:r w:rsidRPr="00171A6E">
        <w:t xml:space="preserve">Labelling </w:t>
      </w:r>
      <w:r w:rsidR="00363E2E">
        <w:t xml:space="preserve">and Endorsement </w:t>
      </w:r>
      <w:r w:rsidRPr="00171A6E">
        <w:t>Programs</w:t>
      </w:r>
      <w:bookmarkEnd w:id="199"/>
      <w:bookmarkEnd w:id="219"/>
    </w:p>
    <w:p w:rsidR="00171A6E" w:rsidRDefault="00171A6E" w:rsidP="00171A6E">
      <w:pPr>
        <w:pStyle w:val="E3BodyText"/>
      </w:pPr>
      <w:r w:rsidRPr="006F672D">
        <w:t xml:space="preserve">Appendix </w:t>
      </w:r>
      <w:r w:rsidR="00A45490" w:rsidRPr="006F672D">
        <w:t xml:space="preserve">B </w:t>
      </w:r>
      <w:r w:rsidRPr="006F672D">
        <w:t>d</w:t>
      </w:r>
      <w:r>
        <w:t xml:space="preserve">etails a number of mandatory and voluntary labelling programs that encompass LED lighting.  </w:t>
      </w:r>
      <w:r w:rsidR="00AC0A94">
        <w:t>The following are some examples</w:t>
      </w:r>
      <w:r>
        <w:t>.</w:t>
      </w:r>
    </w:p>
    <w:p w:rsidR="00E45A47" w:rsidRDefault="00E45A47" w:rsidP="00D10A78">
      <w:pPr>
        <w:pStyle w:val="Heading3"/>
      </w:pPr>
      <w:bookmarkStart w:id="220" w:name="_Toc426387786"/>
      <w:r>
        <w:t>USA</w:t>
      </w:r>
      <w:bookmarkEnd w:id="220"/>
    </w:p>
    <w:p w:rsidR="003D66C0" w:rsidRDefault="003D66C0" w:rsidP="003D66C0">
      <w:pPr>
        <w:pStyle w:val="Heading4"/>
      </w:pPr>
      <w:r>
        <w:t>Lighting Facts</w:t>
      </w:r>
      <w:r w:rsidR="00932ABE">
        <w:t xml:space="preserve"> </w:t>
      </w:r>
    </w:p>
    <w:p w:rsidR="00171A6E" w:rsidRDefault="00171A6E" w:rsidP="00171A6E">
      <w:pPr>
        <w:pStyle w:val="E3BodyText"/>
      </w:pPr>
      <w:r>
        <w:t>The US has two ‘Lighting Facts’ labels.  The US Department of Energy (DOE) launched the voluntary LED lighting Facts label in 2008 to promote the accurate and consistent reporting of LED product performance claims. Manufacturers that list their products with LED Lighting Facts voluntarily pledge to report their products’ performance results</w:t>
      </w:r>
      <w:r w:rsidR="003F0CA9" w:rsidRPr="003F0CA9">
        <w:t xml:space="preserve"> according to accredited laboratory measurements</w:t>
      </w:r>
      <w:r>
        <w:t>. Those results appear on the LED Lighting Facts label</w:t>
      </w:r>
      <w:r w:rsidR="003F0CA9" w:rsidRPr="003F0CA9">
        <w:t xml:space="preserve"> and website</w:t>
      </w:r>
      <w:r>
        <w:t xml:space="preserve">, intended to help retailers and other industry buyers make informed purchasing decisions for their lighting inventory. </w:t>
      </w:r>
    </w:p>
    <w:p w:rsidR="00813591" w:rsidRDefault="00171A6E" w:rsidP="00171A6E">
      <w:pPr>
        <w:pStyle w:val="E3BodyText"/>
      </w:pPr>
      <w:r>
        <w:t>The label includes</w:t>
      </w:r>
      <w:r w:rsidR="00813591" w:rsidRPr="00171A6E">
        <w:t xml:space="preserve"> information about lumen output, watt, lm/W, CRI and CCT to be shown on the individual package of each lamp</w:t>
      </w:r>
      <w:r>
        <w:t xml:space="preserve"> along with optional information on lumen maintenance and warranty</w:t>
      </w:r>
      <w:r w:rsidR="00813591" w:rsidRPr="00171A6E">
        <w:t>.</w:t>
      </w:r>
      <w:r>
        <w:t xml:space="preserve"> This label is primarily aimed at retailers and other industry stakeholders</w:t>
      </w:r>
      <w:r w:rsidR="00A03BF7">
        <w:t xml:space="preserve"> with some technical knowledge</w:t>
      </w:r>
      <w:r>
        <w:t>.  The label does not set minimum performance levels</w:t>
      </w:r>
      <w:r w:rsidR="00A85135">
        <w:t xml:space="preserve">, and aims to promote </w:t>
      </w:r>
      <w:r w:rsidR="008648C7">
        <w:t>accuracy</w:t>
      </w:r>
      <w:r w:rsidR="00A85135">
        <w:t xml:space="preserve"> in claims of performance rather than minimum or high performance</w:t>
      </w:r>
      <w:r w:rsidR="008648C7">
        <w:t>, with product testing required</w:t>
      </w:r>
      <w:r w:rsidR="00A85135">
        <w:t xml:space="preserve">.  The Lighting Council Australia </w:t>
      </w:r>
      <w:r w:rsidR="008648C7">
        <w:t>SSL Quality Scheme is based on the Lighting Fact label.</w:t>
      </w:r>
    </w:p>
    <w:p w:rsidR="008648C7" w:rsidRDefault="008648C7" w:rsidP="00171A6E">
      <w:pPr>
        <w:pStyle w:val="E3BodyText"/>
      </w:pPr>
      <w:r>
        <w:t>In 2012 the US Federal Trade Commission also introduced a Lighting Facts label – which must be included on all medium screw based bulbs</w:t>
      </w:r>
      <w:r w:rsidR="00F858CA">
        <w:t xml:space="preserve"> (including LEDs in that category)</w:t>
      </w:r>
      <w:r>
        <w:t>.  No testing is required to support the information included on the label. Emphasising information on lumen output, this label is more aimed at consumers</w:t>
      </w:r>
      <w:r w:rsidR="00F858CA">
        <w:t xml:space="preserve">. </w:t>
      </w:r>
      <w:r w:rsidR="003F0CA9" w:rsidRPr="003F0CA9">
        <w:t xml:space="preserve">To </w:t>
      </w:r>
      <w:r w:rsidR="003F0CA9" w:rsidRPr="003F0CA9">
        <w:lastRenderedPageBreak/>
        <w:t>prevent overlap with the DOE Lighting Facts Label, DOE removed all medium screw base lamps from its program, creating a scheme in which the FTC Lighting Facts label applies to medium screw base lamps, and the DOE Lighting Facts label applies to all other lighting product categories, lamps and luminaires.  For FTC labelling, p</w:t>
      </w:r>
      <w:r w:rsidR="00F858CA">
        <w:t>rominent information on the lumen output and energy cost is located on the front of the packaging, while the label on the back of the packaging provides information on:</w:t>
      </w:r>
    </w:p>
    <w:p w:rsidR="008648C7" w:rsidRPr="008648C7" w:rsidRDefault="008648C7" w:rsidP="008648C7">
      <w:pPr>
        <w:pStyle w:val="E3Bullets"/>
        <w:rPr>
          <w:lang w:eastAsia="en-AU"/>
        </w:rPr>
      </w:pPr>
      <w:r>
        <w:rPr>
          <w:lang w:eastAsia="en-AU"/>
        </w:rPr>
        <w:t>B</w:t>
      </w:r>
      <w:r w:rsidRPr="008648C7">
        <w:rPr>
          <w:lang w:eastAsia="en-AU"/>
        </w:rPr>
        <w:t xml:space="preserve">rightness </w:t>
      </w:r>
      <w:r w:rsidR="00F858CA">
        <w:rPr>
          <w:lang w:eastAsia="en-AU"/>
        </w:rPr>
        <w:t>(lumens)</w:t>
      </w:r>
    </w:p>
    <w:p w:rsidR="008648C7" w:rsidRPr="008648C7" w:rsidRDefault="008648C7" w:rsidP="008648C7">
      <w:pPr>
        <w:pStyle w:val="E3Bullets"/>
        <w:rPr>
          <w:lang w:eastAsia="en-AU"/>
        </w:rPr>
      </w:pPr>
      <w:r>
        <w:rPr>
          <w:lang w:eastAsia="en-AU"/>
        </w:rPr>
        <w:t>E</w:t>
      </w:r>
      <w:r w:rsidRPr="008648C7">
        <w:rPr>
          <w:lang w:eastAsia="en-AU"/>
        </w:rPr>
        <w:t xml:space="preserve">nergy cost </w:t>
      </w:r>
    </w:p>
    <w:p w:rsidR="008648C7" w:rsidRPr="008648C7" w:rsidRDefault="008648C7" w:rsidP="008648C7">
      <w:pPr>
        <w:pStyle w:val="E3Bullets"/>
        <w:rPr>
          <w:lang w:eastAsia="en-AU"/>
        </w:rPr>
      </w:pPr>
      <w:r>
        <w:rPr>
          <w:lang w:eastAsia="en-AU"/>
        </w:rPr>
        <w:t>L</w:t>
      </w:r>
      <w:r w:rsidRPr="008648C7">
        <w:rPr>
          <w:lang w:eastAsia="en-AU"/>
        </w:rPr>
        <w:t xml:space="preserve">ife expectancy </w:t>
      </w:r>
    </w:p>
    <w:p w:rsidR="008648C7" w:rsidRPr="008648C7" w:rsidRDefault="008648C7" w:rsidP="008648C7">
      <w:pPr>
        <w:pStyle w:val="E3Bullets"/>
        <w:rPr>
          <w:lang w:eastAsia="en-AU"/>
        </w:rPr>
      </w:pPr>
      <w:r>
        <w:rPr>
          <w:lang w:eastAsia="en-AU"/>
        </w:rPr>
        <w:t>L</w:t>
      </w:r>
      <w:r w:rsidRPr="008648C7">
        <w:rPr>
          <w:lang w:eastAsia="en-AU"/>
        </w:rPr>
        <w:t>ight appearance (</w:t>
      </w:r>
      <w:r>
        <w:rPr>
          <w:lang w:eastAsia="en-AU"/>
        </w:rPr>
        <w:t>colour temperature</w:t>
      </w:r>
      <w:r w:rsidRPr="008648C7">
        <w:rPr>
          <w:lang w:eastAsia="en-AU"/>
        </w:rPr>
        <w:t xml:space="preserve">) </w:t>
      </w:r>
    </w:p>
    <w:p w:rsidR="008648C7" w:rsidRPr="008648C7" w:rsidRDefault="008648C7" w:rsidP="008648C7">
      <w:pPr>
        <w:pStyle w:val="E3Bullets"/>
        <w:rPr>
          <w:lang w:eastAsia="en-AU"/>
        </w:rPr>
      </w:pPr>
      <w:r>
        <w:rPr>
          <w:lang w:eastAsia="en-AU"/>
        </w:rPr>
        <w:t>W</w:t>
      </w:r>
      <w:r w:rsidRPr="008648C7">
        <w:rPr>
          <w:lang w:eastAsia="en-AU"/>
        </w:rPr>
        <w:t xml:space="preserve">attage </w:t>
      </w:r>
    </w:p>
    <w:p w:rsidR="008648C7" w:rsidRDefault="008648C7" w:rsidP="008648C7">
      <w:pPr>
        <w:pStyle w:val="E3Bullets"/>
      </w:pPr>
      <w:r>
        <w:rPr>
          <w:lang w:eastAsia="en-AU"/>
        </w:rPr>
        <w:t>W</w:t>
      </w:r>
      <w:r w:rsidRPr="008648C7">
        <w:rPr>
          <w:lang w:eastAsia="en-AU"/>
        </w:rPr>
        <w:t>hether the bulb contains mercury</w:t>
      </w:r>
    </w:p>
    <w:p w:rsidR="007C791A" w:rsidRDefault="003D66C0" w:rsidP="007C791A">
      <w:pPr>
        <w:pStyle w:val="Heading4"/>
      </w:pPr>
      <w:r>
        <w:t>Energy Star</w:t>
      </w:r>
    </w:p>
    <w:p w:rsidR="00E45A47" w:rsidRDefault="00E45A47" w:rsidP="00E45A47">
      <w:pPr>
        <w:pStyle w:val="E3BodyText"/>
      </w:pPr>
      <w:r w:rsidRPr="00BF75B4">
        <w:t xml:space="preserve">In the USA, the </w:t>
      </w:r>
      <w:r w:rsidRPr="00BF75B4">
        <w:rPr>
          <w:smallCaps/>
        </w:rPr>
        <w:t>Energy Star</w:t>
      </w:r>
      <w:r w:rsidRPr="00BF75B4">
        <w:t xml:space="preserve"> Program run by the EPA aims to encourage industry best practice by forming partnerships with manufacturers and setting performance targets for appliances. The </w:t>
      </w:r>
      <w:r w:rsidRPr="00BF75B4">
        <w:rPr>
          <w:smallCaps/>
        </w:rPr>
        <w:t>Energy Star</w:t>
      </w:r>
      <w:r w:rsidRPr="00BF75B4">
        <w:t xml:space="preserve"> is a voluntary program and</w:t>
      </w:r>
      <w:r>
        <w:t xml:space="preserve"> has specifications for integral LED lamps and luminaires.</w:t>
      </w:r>
    </w:p>
    <w:p w:rsidR="00E45A47" w:rsidRDefault="00E45A47" w:rsidP="00E45A47">
      <w:pPr>
        <w:pStyle w:val="E3Bullets"/>
        <w:numPr>
          <w:ilvl w:val="0"/>
          <w:numId w:val="0"/>
        </w:numPr>
      </w:pPr>
      <w:r>
        <w:t>Further information on Energy Star is discussed above in relation to the New Zealand Energy Star label.</w:t>
      </w:r>
    </w:p>
    <w:p w:rsidR="008648C7" w:rsidRDefault="00671DEF" w:rsidP="00D10A78">
      <w:pPr>
        <w:pStyle w:val="Heading3"/>
      </w:pPr>
      <w:bookmarkStart w:id="221" w:name="_Toc426387787"/>
      <w:r>
        <w:t>European Union</w:t>
      </w:r>
      <w:bookmarkEnd w:id="221"/>
    </w:p>
    <w:p w:rsidR="00813591" w:rsidRPr="00171A6E" w:rsidRDefault="007C2EFC" w:rsidP="00171A6E">
      <w:pPr>
        <w:pStyle w:val="E3BodyText"/>
      </w:pPr>
      <w:hyperlink r:id="rId104" w:history="1">
        <w:r w:rsidR="00B660EE">
          <w:rPr>
            <w:rStyle w:val="Hyperlink"/>
          </w:rPr>
          <w:t>EU regulation No 874/2012</w:t>
        </w:r>
      </w:hyperlink>
      <w:r w:rsidR="00813591" w:rsidRPr="00171A6E">
        <w:t xml:space="preserve"> </w:t>
      </w:r>
      <w:r w:rsidR="00B660EE" w:rsidRPr="00B660EE">
        <w:t xml:space="preserve">for Energy Labelling of Electrical Lamps and </w:t>
      </w:r>
      <w:r w:rsidR="00A45490" w:rsidRPr="00B660EE">
        <w:t>Luminaires</w:t>
      </w:r>
      <w:r w:rsidR="00B660EE" w:rsidRPr="00B660EE">
        <w:t xml:space="preserve"> specifies energy labelling of household lamps and luminaires designed to operate such lamps</w:t>
      </w:r>
      <w:r w:rsidR="00813591" w:rsidRPr="00171A6E">
        <w:t xml:space="preserve">. </w:t>
      </w:r>
      <w:r w:rsidR="00CF2371" w:rsidRPr="00CF2371">
        <w:t xml:space="preserve">The regulation requires display of energy efficiency class, lumen, </w:t>
      </w:r>
      <w:r w:rsidR="00A45490" w:rsidRPr="00CF2371">
        <w:t>and estimated</w:t>
      </w:r>
      <w:r w:rsidR="00CF2371" w:rsidRPr="00CF2371">
        <w:t xml:space="preserve"> ye</w:t>
      </w:r>
      <w:r w:rsidR="00CF2371">
        <w:t>arly power consumption (in kWh)</w:t>
      </w:r>
      <w:r w:rsidR="00813591" w:rsidRPr="00171A6E">
        <w:t xml:space="preserve">. In addition, beam angle is also required for </w:t>
      </w:r>
      <w:r w:rsidR="00671DEF">
        <w:t>directional lamps</w:t>
      </w:r>
      <w:r w:rsidR="00813591" w:rsidRPr="00171A6E">
        <w:t>.</w:t>
      </w:r>
      <w:r w:rsidR="00671DEF">
        <w:t xml:space="preserve">  The regulation also requires the display of the EU comparative energy performance label.</w:t>
      </w:r>
    </w:p>
    <w:p w:rsidR="00813591" w:rsidRPr="00035859" w:rsidRDefault="00813591" w:rsidP="00171A6E">
      <w:pPr>
        <w:pStyle w:val="E3BodyText"/>
        <w:rPr>
          <w:szCs w:val="19"/>
        </w:rPr>
      </w:pPr>
      <w:r w:rsidRPr="00035859">
        <w:rPr>
          <w:szCs w:val="19"/>
        </w:rPr>
        <w:t xml:space="preserve">EU Regulation No. 244/2009 </w:t>
      </w:r>
      <w:r w:rsidR="00671DEF" w:rsidRPr="00035859">
        <w:rPr>
          <w:szCs w:val="19"/>
        </w:rPr>
        <w:t xml:space="preserve">(non-directional lamps) </w:t>
      </w:r>
      <w:r w:rsidRPr="00035859">
        <w:rPr>
          <w:szCs w:val="19"/>
        </w:rPr>
        <w:t xml:space="preserve">specifies </w:t>
      </w:r>
      <w:r w:rsidR="00671DEF" w:rsidRPr="00035859">
        <w:rPr>
          <w:szCs w:val="19"/>
        </w:rPr>
        <w:t>the</w:t>
      </w:r>
      <w:r w:rsidRPr="00035859">
        <w:rPr>
          <w:szCs w:val="19"/>
        </w:rPr>
        <w:t xml:space="preserve"> display lumen output, lifetime, CCT, warm-up time and a warning if the lamps cannot be dimmed.</w:t>
      </w:r>
    </w:p>
    <w:p w:rsidR="002679AB" w:rsidRPr="00035859" w:rsidRDefault="00813591" w:rsidP="002679AB">
      <w:pPr>
        <w:pStyle w:val="E3BodyText"/>
        <w:rPr>
          <w:szCs w:val="19"/>
        </w:rPr>
      </w:pPr>
      <w:r w:rsidRPr="00035859">
        <w:rPr>
          <w:szCs w:val="19"/>
        </w:rPr>
        <w:t xml:space="preserve">EU LED Quality Charter – </w:t>
      </w:r>
      <w:r w:rsidR="002679AB" w:rsidRPr="00035859">
        <w:rPr>
          <w:szCs w:val="19"/>
        </w:rPr>
        <w:t>The European LED Quality Charter is a voluntary set of criteria established by the European Commission JRC in collaboration with a number of private and public organisations.</w:t>
      </w:r>
    </w:p>
    <w:p w:rsidR="00E453AD" w:rsidRPr="00035859" w:rsidRDefault="00E45A47" w:rsidP="002679AB">
      <w:pPr>
        <w:pStyle w:val="E3BodyText"/>
        <w:rPr>
          <w:rFonts w:eastAsia="Times New Roman"/>
          <w:szCs w:val="19"/>
          <w:lang w:eastAsia="en-AU"/>
        </w:rPr>
      </w:pPr>
      <w:r w:rsidRPr="00035859">
        <w:rPr>
          <w:szCs w:val="19"/>
        </w:rPr>
        <w:t xml:space="preserve">The role of the European LED Quality Charter is to set important voluntary requirements for white LED lamps (not covering modules or luminaires) that can be used now by governments, municipality, energy savings, utilities and other active parties </w:t>
      </w:r>
      <w:r w:rsidR="00A03BF7" w:rsidRPr="00035859">
        <w:rPr>
          <w:szCs w:val="19"/>
        </w:rPr>
        <w:t xml:space="preserve">that may subsidise LEDs </w:t>
      </w:r>
      <w:r w:rsidRPr="00035859">
        <w:rPr>
          <w:szCs w:val="19"/>
        </w:rPr>
        <w:t xml:space="preserve">to ensure the quality of LEDs on the market. </w:t>
      </w:r>
      <w:r w:rsidRPr="00035859">
        <w:rPr>
          <w:szCs w:val="19"/>
          <w:lang w:eastAsia="en-AU"/>
        </w:rPr>
        <w:t>Limited to LED lamps intended primarily for use in the residential sector, the charter</w:t>
      </w:r>
      <w:r w:rsidR="00932ABE" w:rsidRPr="00035859">
        <w:rPr>
          <w:szCs w:val="19"/>
          <w:lang w:eastAsia="en-AU"/>
        </w:rPr>
        <w:t xml:space="preserve"> </w:t>
      </w:r>
      <w:r w:rsidR="00813591" w:rsidRPr="00035859">
        <w:rPr>
          <w:szCs w:val="19"/>
        </w:rPr>
        <w:t>recommends that CRI is displayed on the package.</w:t>
      </w:r>
      <w:r w:rsidR="002679AB" w:rsidRPr="00035859">
        <w:rPr>
          <w:szCs w:val="19"/>
        </w:rPr>
        <w:t xml:space="preserve"> Participating lamps may display the European Quality Charter logo. </w:t>
      </w:r>
      <w:r w:rsidR="002679AB" w:rsidRPr="00035859">
        <w:rPr>
          <w:rFonts w:eastAsia="Times New Roman"/>
          <w:szCs w:val="19"/>
          <w:lang w:eastAsia="en-AU"/>
        </w:rPr>
        <w:t xml:space="preserve">The European Commission reserve the right to test, review or ask for additional information for any product that a participating manufacturer claims is meeting the European LED Quality Charter criteria. </w:t>
      </w:r>
    </w:p>
    <w:p w:rsidR="00E453AD" w:rsidRDefault="00E453AD" w:rsidP="00D10A78">
      <w:pPr>
        <w:pStyle w:val="Heading3"/>
        <w:rPr>
          <w:lang w:eastAsia="en-AU"/>
        </w:rPr>
      </w:pPr>
      <w:bookmarkStart w:id="222" w:name="_Toc426387788"/>
      <w:r>
        <w:rPr>
          <w:lang w:eastAsia="en-AU"/>
        </w:rPr>
        <w:t>Hong Kong</w:t>
      </w:r>
      <w:bookmarkEnd w:id="222"/>
    </w:p>
    <w:p w:rsidR="00E453AD" w:rsidRPr="00363E2E" w:rsidRDefault="00E453AD" w:rsidP="00E453AD">
      <w:pPr>
        <w:pStyle w:val="E3BodyText"/>
      </w:pPr>
      <w:r>
        <w:rPr>
          <w:lang w:eastAsia="en-AU"/>
        </w:rPr>
        <w:t xml:space="preserve">The Hong </w:t>
      </w:r>
      <w:r w:rsidRPr="00363E2E">
        <w:t>Kong Voluntary Energy Efficiency Labelling Scheme (VEELS) for LED Lamps, started June 2011.</w:t>
      </w:r>
      <w:r>
        <w:t xml:space="preserve"> The scheme a</w:t>
      </w:r>
      <w:r w:rsidRPr="00363E2E">
        <w:t>pplies to directional and non-directional LED lamps intended for general lighting purposes having the following characteristics:</w:t>
      </w:r>
    </w:p>
    <w:p w:rsidR="00E453AD" w:rsidRPr="00363E2E" w:rsidRDefault="00E453AD" w:rsidP="00E453AD">
      <w:pPr>
        <w:pStyle w:val="E3Bullets"/>
      </w:pPr>
      <w:r w:rsidRPr="00363E2E">
        <w:t>a rated voltage up to 240 V AC or DC, and</w:t>
      </w:r>
    </w:p>
    <w:p w:rsidR="00E453AD" w:rsidRPr="00363E2E" w:rsidRDefault="00E453AD" w:rsidP="00E453AD">
      <w:pPr>
        <w:pStyle w:val="E3Bullets"/>
      </w:pPr>
      <w:r w:rsidRPr="00363E2E">
        <w:t>a rated voltage frequency of 50 Hz for AC, and</w:t>
      </w:r>
    </w:p>
    <w:p w:rsidR="00E453AD" w:rsidRPr="00363E2E" w:rsidRDefault="00E453AD" w:rsidP="00E453AD">
      <w:pPr>
        <w:pStyle w:val="E3Bullets"/>
      </w:pPr>
      <w:r w:rsidRPr="00363E2E">
        <w:t>a rated lamp wattage up to 60 W.</w:t>
      </w:r>
    </w:p>
    <w:p w:rsidR="00E453AD" w:rsidRPr="00363E2E" w:rsidRDefault="00864424" w:rsidP="00E453AD">
      <w:pPr>
        <w:pStyle w:val="E3BodyText"/>
      </w:pPr>
      <w:r>
        <w:t>It a</w:t>
      </w:r>
      <w:r w:rsidR="00E453AD" w:rsidRPr="00363E2E">
        <w:t>pplies to LED lamps designed with or without dimming operations.</w:t>
      </w:r>
    </w:p>
    <w:p w:rsidR="00E453AD" w:rsidRPr="00363E2E" w:rsidRDefault="00864424" w:rsidP="00E453AD">
      <w:pPr>
        <w:pStyle w:val="E3BodyText"/>
      </w:pPr>
      <w:r>
        <w:t>VEELS d</w:t>
      </w:r>
      <w:r w:rsidR="00E453AD" w:rsidRPr="00363E2E">
        <w:t>oes not cover:</w:t>
      </w:r>
    </w:p>
    <w:p w:rsidR="00E453AD" w:rsidRPr="00E453AD" w:rsidRDefault="00E453AD" w:rsidP="00E453AD">
      <w:pPr>
        <w:pStyle w:val="E3Bullets"/>
      </w:pPr>
      <w:r w:rsidRPr="00E453AD">
        <w:t>LED tubes</w:t>
      </w:r>
    </w:p>
    <w:p w:rsidR="00E453AD" w:rsidRPr="00E453AD" w:rsidRDefault="00E453AD" w:rsidP="00E453AD">
      <w:pPr>
        <w:pStyle w:val="E3Bullets"/>
      </w:pPr>
      <w:r w:rsidRPr="00E453AD">
        <w:t>LED lamps that intentionally produce tinted or coloured light</w:t>
      </w:r>
    </w:p>
    <w:p w:rsidR="00E453AD" w:rsidRPr="00E453AD" w:rsidRDefault="00E453AD" w:rsidP="00E453AD">
      <w:pPr>
        <w:pStyle w:val="E3Bullets"/>
      </w:pPr>
      <w:r w:rsidRPr="00E453AD">
        <w:t>Organic LED (OLED)</w:t>
      </w:r>
    </w:p>
    <w:p w:rsidR="00813591" w:rsidRDefault="00E453AD" w:rsidP="00E453AD">
      <w:pPr>
        <w:pStyle w:val="E3BodyText"/>
      </w:pPr>
      <w:r>
        <w:t>This is a recognition label which shows that the product is certified to meet the minimum energy efficiency and performance requirements.</w:t>
      </w:r>
    </w:p>
    <w:p w:rsidR="00E453AD" w:rsidRPr="00171A6E" w:rsidRDefault="00D673CA" w:rsidP="00D10A78">
      <w:pPr>
        <w:pStyle w:val="Heading3"/>
      </w:pPr>
      <w:bookmarkStart w:id="223" w:name="_Toc426387789"/>
      <w:r>
        <w:lastRenderedPageBreak/>
        <w:t>Efficient Lighting Initiative (ELI)</w:t>
      </w:r>
      <w:bookmarkEnd w:id="223"/>
    </w:p>
    <w:p w:rsidR="00363E2E" w:rsidRPr="00363E2E" w:rsidRDefault="005B20EC" w:rsidP="00D673CA">
      <w:pPr>
        <w:pStyle w:val="E3Bullets"/>
        <w:numPr>
          <w:ilvl w:val="0"/>
          <w:numId w:val="0"/>
        </w:numPr>
      </w:pPr>
      <w:r>
        <w:t xml:space="preserve">ELI is a lighting certification program currently administered by the </w:t>
      </w:r>
      <w:r w:rsidRPr="005B20EC">
        <w:t>Chin</w:t>
      </w:r>
      <w:r>
        <w:t xml:space="preserve">a Standard Certification Center. </w:t>
      </w:r>
      <w:r w:rsidR="00864424">
        <w:t>It i</w:t>
      </w:r>
      <w:r>
        <w:t xml:space="preserve">ncludes the </w:t>
      </w:r>
      <w:r w:rsidR="00363E2E" w:rsidRPr="00363E2E">
        <w:t>ELI Voluntary Technical Specification for Self-Ballasted LED Lamps for General Lighting Services.</w:t>
      </w:r>
    </w:p>
    <w:p w:rsidR="00363E2E" w:rsidRPr="00363E2E" w:rsidRDefault="00864424" w:rsidP="00F1452F">
      <w:pPr>
        <w:pStyle w:val="E3SubBullets"/>
        <w:numPr>
          <w:ilvl w:val="0"/>
          <w:numId w:val="1"/>
        </w:numPr>
        <w:ind w:left="488" w:hanging="244"/>
      </w:pPr>
      <w:r>
        <w:t>ELI a</w:t>
      </w:r>
      <w:r w:rsidR="00363E2E" w:rsidRPr="00363E2E">
        <w:t>pplies exclusively to non-directional self-ballasted LED lamps, with a screw or bayonet cap, rated power up to 60 W and a rated voltage of up to 250 V AC or DC.</w:t>
      </w:r>
    </w:p>
    <w:p w:rsidR="00363E2E" w:rsidRPr="00363E2E" w:rsidRDefault="00864424" w:rsidP="00F1452F">
      <w:pPr>
        <w:pStyle w:val="E3SubBullets"/>
        <w:numPr>
          <w:ilvl w:val="0"/>
          <w:numId w:val="1"/>
        </w:numPr>
        <w:ind w:left="488" w:hanging="244"/>
      </w:pPr>
      <w:r>
        <w:t>Certifies e</w:t>
      </w:r>
      <w:r w:rsidR="00363E2E" w:rsidRPr="00363E2E">
        <w:t>lectromagnetic and radio frequency interference, harmonics, power factor, electromagnetic compatibility immunity, transient protection, operating conditions, minimum starting temperature, switch withstand, lifetime, safety, CCT, CRI, initial luminous flux, lumen maintenance, colour rendering stability, efficacy (variable depending on CCT), labelling and comparison, warranty.</w:t>
      </w:r>
    </w:p>
    <w:p w:rsidR="00363E2E" w:rsidRDefault="00363E2E" w:rsidP="00186B22">
      <w:pPr>
        <w:pStyle w:val="Default"/>
        <w:spacing w:after="120"/>
        <w:rPr>
          <w:color w:val="E36C0A"/>
          <w:sz w:val="20"/>
          <w:szCs w:val="20"/>
        </w:rPr>
      </w:pPr>
    </w:p>
    <w:bookmarkEnd w:id="200"/>
    <w:p w:rsidR="00214EDE" w:rsidRPr="003107D2" w:rsidRDefault="00214EDE" w:rsidP="007918E0">
      <w:pPr>
        <w:pStyle w:val="E3BodyText"/>
        <w:sectPr w:rsidR="00214EDE" w:rsidRPr="003107D2" w:rsidSect="007127B1">
          <w:headerReference w:type="default" r:id="rId105"/>
          <w:pgSz w:w="11907" w:h="16840" w:code="9"/>
          <w:pgMar w:top="1134" w:right="1134" w:bottom="1418" w:left="1134" w:header="142" w:footer="709" w:gutter="0"/>
          <w:cols w:space="720"/>
          <w:titlePg/>
          <w:docGrid w:linePitch="360"/>
        </w:sectPr>
      </w:pPr>
    </w:p>
    <w:p w:rsidR="00631365" w:rsidRDefault="00631365" w:rsidP="00631365">
      <w:pPr>
        <w:pStyle w:val="Heading1"/>
      </w:pPr>
      <w:bookmarkStart w:id="224" w:name="_Ref426377602"/>
      <w:bookmarkStart w:id="225" w:name="_Toc426387790"/>
      <w:bookmarkStart w:id="226" w:name="_Toc366162219"/>
      <w:r w:rsidRPr="003107D2">
        <w:lastRenderedPageBreak/>
        <w:t>Policy options</w:t>
      </w:r>
      <w:bookmarkEnd w:id="224"/>
      <w:bookmarkEnd w:id="225"/>
    </w:p>
    <w:p w:rsidR="002B5090" w:rsidRDefault="00FE5000" w:rsidP="00FE5000">
      <w:pPr>
        <w:pStyle w:val="E3BodyText"/>
      </w:pPr>
      <w:r>
        <w:t xml:space="preserve">Possible policy directions for </w:t>
      </w:r>
      <w:r w:rsidR="00823BA9">
        <w:t>LED</w:t>
      </w:r>
      <w:r>
        <w:t xml:space="preserve"> lighting products within the scope of this Product Profile are discussed below. More than one option could be implemented at the same time. </w:t>
      </w:r>
      <w:r w:rsidR="00E52534" w:rsidRPr="00F81482">
        <w:t>Policy options are discussed in terms of no action (business as usual), MEPS, labelling</w:t>
      </w:r>
      <w:r w:rsidR="007B3FC2" w:rsidRPr="00F81482">
        <w:t>, test methods</w:t>
      </w:r>
      <w:r w:rsidR="00E52534" w:rsidRPr="00F81482">
        <w:t xml:space="preserve"> and education.</w:t>
      </w:r>
    </w:p>
    <w:p w:rsidR="00FE5000" w:rsidRDefault="002B5090" w:rsidP="00FE5000">
      <w:pPr>
        <w:pStyle w:val="E3BodyText"/>
      </w:pPr>
      <w:r>
        <w:t xml:space="preserve">Potentially these policy options could be implemented alongside action to further phase out inefficient incandescent lighting </w:t>
      </w:r>
      <w:r w:rsidR="00365D34">
        <w:t xml:space="preserve">in Australia </w:t>
      </w:r>
      <w:r>
        <w:t xml:space="preserve">by increasing existing MEPS levels </w:t>
      </w:r>
      <w:r w:rsidR="00E33C7E">
        <w:t>for</w:t>
      </w:r>
      <w:r w:rsidR="00D10A78">
        <w:t xml:space="preserve"> some or all halogen lamps. </w:t>
      </w:r>
      <w:r>
        <w:t>These options are discussed in detail in the Incandescent and CFL Product Profile.</w:t>
      </w:r>
    </w:p>
    <w:p w:rsidR="00FE5000" w:rsidRDefault="002B5090" w:rsidP="00FE5000">
      <w:pPr>
        <w:pStyle w:val="E3BodyText"/>
        <w:rPr>
          <w:bCs/>
        </w:rPr>
      </w:pPr>
      <w:r w:rsidRPr="0093605C">
        <w:t xml:space="preserve">Policy options investigated in a RIS would be subject to further </w:t>
      </w:r>
      <w:r w:rsidR="00365D34">
        <w:t xml:space="preserve">consultation, cost benefit analysis </w:t>
      </w:r>
      <w:r w:rsidRPr="0093605C">
        <w:t xml:space="preserve">and </w:t>
      </w:r>
      <w:r w:rsidR="00365D34">
        <w:t xml:space="preserve">government </w:t>
      </w:r>
      <w:r w:rsidRPr="0093605C">
        <w:t>approval</w:t>
      </w:r>
      <w:r w:rsidR="00365D34">
        <w:t>s</w:t>
      </w:r>
      <w:r w:rsidRPr="0093605C">
        <w:t xml:space="preserve"> in both Australia and New Zealand.</w:t>
      </w:r>
    </w:p>
    <w:p w:rsidR="00E52534" w:rsidRDefault="00E52534" w:rsidP="00E96970">
      <w:pPr>
        <w:pStyle w:val="Heading2"/>
      </w:pPr>
      <w:bookmarkStart w:id="227" w:name="_Toc426387791"/>
      <w:r>
        <w:t>No action</w:t>
      </w:r>
      <w:bookmarkEnd w:id="227"/>
    </w:p>
    <w:p w:rsidR="001556E0" w:rsidRDefault="00E52534" w:rsidP="002B5090">
      <w:pPr>
        <w:pStyle w:val="E3BodyText"/>
      </w:pPr>
      <w:r w:rsidRPr="002B5090">
        <w:t xml:space="preserve">This scenario assumes no changes to policy. The </w:t>
      </w:r>
      <w:r w:rsidR="00823BA9" w:rsidRPr="002B5090">
        <w:t>LED</w:t>
      </w:r>
      <w:r w:rsidRPr="002B5090">
        <w:t xml:space="preserve"> lighting market would continue to operate as it does now, </w:t>
      </w:r>
      <w:r w:rsidR="002B5090">
        <w:t>without introduction of government initiatives such as</w:t>
      </w:r>
      <w:r w:rsidR="00932ABE">
        <w:t xml:space="preserve"> </w:t>
      </w:r>
      <w:r w:rsidR="00365D34">
        <w:t xml:space="preserve">LED </w:t>
      </w:r>
      <w:r w:rsidRPr="002B5090">
        <w:t>MEPS</w:t>
      </w:r>
      <w:r w:rsidR="002B5090">
        <w:t>, labelling or education</w:t>
      </w:r>
      <w:r w:rsidR="00823BA9" w:rsidRPr="002B5090">
        <w:t>.</w:t>
      </w:r>
      <w:r w:rsidR="00932ABE">
        <w:t xml:space="preserve"> </w:t>
      </w:r>
      <w:r w:rsidR="002B5090" w:rsidRPr="0093605C">
        <w:t xml:space="preserve">It is likely that </w:t>
      </w:r>
      <w:r w:rsidR="002B5090">
        <w:t>improving LED lighting technology would continue to replace</w:t>
      </w:r>
      <w:r w:rsidR="00932ABE">
        <w:t xml:space="preserve"> </w:t>
      </w:r>
      <w:r w:rsidR="0014556A">
        <w:t xml:space="preserve">incandescent, </w:t>
      </w:r>
      <w:r w:rsidR="002B5090" w:rsidRPr="0093605C">
        <w:t>halogen and CFL lamps as part of business as usual,</w:t>
      </w:r>
      <w:r w:rsidR="00365D34" w:rsidRPr="00365D34">
        <w:t xml:space="preserve"> in Australia, </w:t>
      </w:r>
      <w:r w:rsidR="0014556A">
        <w:t>and</w:t>
      </w:r>
      <w:r w:rsidR="00365D34" w:rsidRPr="00365D34">
        <w:t xml:space="preserve"> New Zealand.</w:t>
      </w:r>
      <w:r w:rsidR="00932ABE">
        <w:t xml:space="preserve"> </w:t>
      </w:r>
      <w:r w:rsidR="00CC3F50">
        <w:t>Possible outcomes of this scenario, based on available market modelli</w:t>
      </w:r>
      <w:r w:rsidR="00D10A78">
        <w:t>ng, are discussed in Chapter 5.</w:t>
      </w:r>
    </w:p>
    <w:p w:rsidR="00F81482" w:rsidRDefault="00932ABE" w:rsidP="002B5090">
      <w:pPr>
        <w:pStyle w:val="E3BodyText"/>
      </w:pPr>
      <w:r>
        <w:t>H</w:t>
      </w:r>
      <w:r w:rsidR="002B5090" w:rsidRPr="0093605C">
        <w:t>owever</w:t>
      </w:r>
      <w:r w:rsidR="00DC58DC">
        <w:t xml:space="preserve"> the </w:t>
      </w:r>
      <w:r w:rsidR="002B5090" w:rsidRPr="0093605C">
        <w:t xml:space="preserve">recent history </w:t>
      </w:r>
      <w:r w:rsidR="00FE24AA">
        <w:t>of</w:t>
      </w:r>
      <w:r>
        <w:t xml:space="preserve"> </w:t>
      </w:r>
      <w:r w:rsidR="00FE24AA">
        <w:t xml:space="preserve">transition to </w:t>
      </w:r>
      <w:r w:rsidR="002B5090" w:rsidRPr="0093605C">
        <w:t xml:space="preserve">halogen and CFL alternatives indicate </w:t>
      </w:r>
      <w:r w:rsidR="00FE24AA">
        <w:t>that a</w:t>
      </w:r>
      <w:r w:rsidR="00365D34" w:rsidRPr="00365D34">
        <w:t xml:space="preserve"> voluntary transition to efficient lighting could be slow and incomplete and result in </w:t>
      </w:r>
      <w:r w:rsidR="00AC0A94">
        <w:t>significant lost</w:t>
      </w:r>
      <w:r w:rsidR="002B5090" w:rsidRPr="0093605C">
        <w:t xml:space="preserve"> savings opportunities.</w:t>
      </w:r>
    </w:p>
    <w:p w:rsidR="002B5090" w:rsidRDefault="002B5090" w:rsidP="002B5090">
      <w:pPr>
        <w:pStyle w:val="E3BodyText"/>
      </w:pPr>
      <w:r>
        <w:t xml:space="preserve">Barriers to the uptake of LED products such as the presence of poor quality models in the market and inaccurate performance and equivalency claims would not be addressed.  </w:t>
      </w:r>
      <w:r w:rsidR="00F81482">
        <w:t>U</w:t>
      </w:r>
      <w:r w:rsidR="00F81482" w:rsidRPr="00F81482">
        <w:t xml:space="preserve">nlike traditional lamp technologies, there is a very wide range in the energy efficiency (about 20 – 120 lumens per Watt) and performance parameters such as lifetime (10,000 – 50,000 hours) of LED lighting products. </w:t>
      </w:r>
      <w:r w:rsidR="00F81482">
        <w:t>The continued presence of l</w:t>
      </w:r>
      <w:r>
        <w:t xml:space="preserve">ower efficacy LED models </w:t>
      </w:r>
      <w:r w:rsidR="00F81482">
        <w:t>continuing</w:t>
      </w:r>
      <w:r>
        <w:t xml:space="preserve"> in the market</w:t>
      </w:r>
      <w:r w:rsidR="00F81482">
        <w:t xml:space="preserve"> and a potential lack of consumer trust with new </w:t>
      </w:r>
      <w:r w:rsidR="00A45490">
        <w:t>technology</w:t>
      </w:r>
      <w:r w:rsidR="00932ABE">
        <w:t xml:space="preserve"> </w:t>
      </w:r>
      <w:r w:rsidR="00F81482">
        <w:t xml:space="preserve">is likely to result </w:t>
      </w:r>
      <w:r>
        <w:t>in lost energy savings opportunities.</w:t>
      </w:r>
    </w:p>
    <w:p w:rsidR="00E52534" w:rsidRPr="00E52534" w:rsidRDefault="00CA1FBE" w:rsidP="00E52534">
      <w:pPr>
        <w:pStyle w:val="E3BodyText"/>
      </w:pPr>
      <w:r>
        <w:t>This option would come at a cost of the lost opportunity to fully realise reduced energy consumption and greenhouse gas emissions and lower savings for householders.</w:t>
      </w:r>
    </w:p>
    <w:p w:rsidR="007127B1" w:rsidRPr="003107D2" w:rsidRDefault="00CA1FBE" w:rsidP="00E96970">
      <w:pPr>
        <w:pStyle w:val="Heading2"/>
      </w:pPr>
      <w:bookmarkStart w:id="228" w:name="_Toc426387792"/>
      <w:r>
        <w:t>Introduce MEPS for LED Lamps and Luminaires</w:t>
      </w:r>
      <w:bookmarkEnd w:id="226"/>
      <w:bookmarkEnd w:id="228"/>
    </w:p>
    <w:p w:rsidR="00CA1FBE" w:rsidRDefault="001556E0" w:rsidP="00CA1FBE">
      <w:pPr>
        <w:pStyle w:val="E3BodyText"/>
      </w:pPr>
      <w:bookmarkStart w:id="229" w:name="_Toc366162225"/>
      <w:r w:rsidRPr="001556E0">
        <w:t xml:space="preserve">Options under this approach </w:t>
      </w:r>
      <w:r w:rsidR="00CA1FBE" w:rsidRPr="00CA1FBE">
        <w:t xml:space="preserve">would involve the introduction of </w:t>
      </w:r>
      <w:r w:rsidR="00CA1FBE">
        <w:t xml:space="preserve">MEPS for a range of LED lamp and luminaire types under the </w:t>
      </w:r>
      <w:r w:rsidR="00F61219">
        <w:t xml:space="preserve">Australian </w:t>
      </w:r>
      <w:r w:rsidR="00CA1FBE" w:rsidRPr="007A2E52">
        <w:rPr>
          <w:i/>
        </w:rPr>
        <w:t xml:space="preserve">Greenhouse and </w:t>
      </w:r>
      <w:r w:rsidR="00F61219" w:rsidRPr="007A2E52">
        <w:rPr>
          <w:i/>
        </w:rPr>
        <w:t xml:space="preserve">Energy </w:t>
      </w:r>
      <w:r w:rsidR="00CA1FBE" w:rsidRPr="007A2E52">
        <w:rPr>
          <w:i/>
        </w:rPr>
        <w:t xml:space="preserve">Minimum </w:t>
      </w:r>
      <w:r w:rsidR="00F61219" w:rsidRPr="007A2E52">
        <w:rPr>
          <w:i/>
        </w:rPr>
        <w:t xml:space="preserve">Standards Act </w:t>
      </w:r>
      <w:r w:rsidR="007A2E52" w:rsidRPr="007A2E52">
        <w:rPr>
          <w:i/>
        </w:rPr>
        <w:t>2012</w:t>
      </w:r>
      <w:r>
        <w:rPr>
          <w:i/>
        </w:rPr>
        <w:t xml:space="preserve"> </w:t>
      </w:r>
      <w:r w:rsidR="00F61219">
        <w:t xml:space="preserve">and the </w:t>
      </w:r>
      <w:r w:rsidR="007A2E52">
        <w:t xml:space="preserve">New Zealand </w:t>
      </w:r>
      <w:r w:rsidR="007A2E52" w:rsidRPr="0093605C">
        <w:rPr>
          <w:i/>
        </w:rPr>
        <w:t>Energy Efficiency (Energy Using Products) Regulations 2002</w:t>
      </w:r>
      <w:r w:rsidR="007A2E52">
        <w:rPr>
          <w:i/>
        </w:rPr>
        <w:t xml:space="preserve">. </w:t>
      </w:r>
      <w:r w:rsidR="007A2E52">
        <w:t xml:space="preserve">The scope of product types to be covered could include: </w:t>
      </w:r>
    </w:p>
    <w:p w:rsidR="007A2E52" w:rsidRPr="00F51101" w:rsidRDefault="007A2E52" w:rsidP="00F1452F">
      <w:pPr>
        <w:pStyle w:val="E3BodyText"/>
        <w:numPr>
          <w:ilvl w:val="0"/>
          <w:numId w:val="3"/>
        </w:numPr>
      </w:pPr>
      <w:r w:rsidRPr="00F51101">
        <w:t xml:space="preserve">Integral LED lamps that are considered </w:t>
      </w:r>
      <w:r>
        <w:t xml:space="preserve">alternative or </w:t>
      </w:r>
      <w:r w:rsidRPr="00F51101">
        <w:t>replacement lamps for currently regulated domestic lamps (integral compact fluorescent, incandescent and halogen lamps</w:t>
      </w:r>
      <w:r>
        <w:t xml:space="preserve"> as set out in </w:t>
      </w:r>
      <w:r w:rsidRPr="00EC2A01">
        <w:t>AS4934.2</w:t>
      </w:r>
      <w:r>
        <w:t xml:space="preserve"> and AS/NZS</w:t>
      </w:r>
      <w:r w:rsidRPr="00EC2A01">
        <w:t>AS4847.2</w:t>
      </w:r>
      <w:r w:rsidRPr="00F51101">
        <w:t>)</w:t>
      </w:r>
      <w:r>
        <w:t>:</w:t>
      </w:r>
    </w:p>
    <w:p w:rsidR="007A2E52" w:rsidRPr="00F51101" w:rsidRDefault="007A2E52" w:rsidP="00F1452F">
      <w:pPr>
        <w:pStyle w:val="E3BodyText"/>
        <w:numPr>
          <w:ilvl w:val="0"/>
          <w:numId w:val="2"/>
        </w:numPr>
        <w:tabs>
          <w:tab w:val="clear" w:pos="360"/>
          <w:tab w:val="num" w:pos="1440"/>
        </w:tabs>
        <w:ind w:left="1080"/>
      </w:pPr>
      <w:r w:rsidRPr="00F51101">
        <w:t>all shapes</w:t>
      </w:r>
    </w:p>
    <w:p w:rsidR="007A2E52" w:rsidRDefault="007A2E52" w:rsidP="00F1452F">
      <w:pPr>
        <w:pStyle w:val="E3BodyText"/>
        <w:numPr>
          <w:ilvl w:val="0"/>
          <w:numId w:val="2"/>
        </w:numPr>
        <w:tabs>
          <w:tab w:val="clear" w:pos="360"/>
          <w:tab w:val="num" w:pos="720"/>
        </w:tabs>
        <w:ind w:left="1080"/>
      </w:pPr>
      <w:r>
        <w:t xml:space="preserve">nominal </w:t>
      </w:r>
      <w:r w:rsidRPr="00F51101">
        <w:t>wattage ≥ 1 watt</w:t>
      </w:r>
      <w:r>
        <w:t xml:space="preserve"> (no upper limit)</w:t>
      </w:r>
    </w:p>
    <w:p w:rsidR="007A2E52" w:rsidRPr="00854D0B" w:rsidRDefault="007A2E52" w:rsidP="00F1452F">
      <w:pPr>
        <w:pStyle w:val="E3BodyText"/>
        <w:numPr>
          <w:ilvl w:val="0"/>
          <w:numId w:val="2"/>
        </w:numPr>
        <w:tabs>
          <w:tab w:val="clear" w:pos="360"/>
          <w:tab w:val="num" w:pos="720"/>
        </w:tabs>
        <w:ind w:left="1080"/>
        <w:rPr>
          <w:lang w:val="es-ES"/>
        </w:rPr>
      </w:pPr>
      <w:r>
        <w:rPr>
          <w:lang w:val="es-ES"/>
        </w:rPr>
        <w:t>Mains</w:t>
      </w:r>
      <w:r w:rsidR="00932ABE">
        <w:rPr>
          <w:lang w:val="es-ES"/>
        </w:rPr>
        <w:t xml:space="preserve"> </w:t>
      </w:r>
      <w:r>
        <w:rPr>
          <w:lang w:val="es-ES"/>
        </w:rPr>
        <w:t>Voltage (MV), c</w:t>
      </w:r>
      <w:r w:rsidRPr="00E52EAB">
        <w:rPr>
          <w:lang w:val="es-ES"/>
        </w:rPr>
        <w:t>aps: E14, E26, E27, B15, B22d, GU10, GX53, GU24</w:t>
      </w:r>
    </w:p>
    <w:p w:rsidR="007A2E52" w:rsidRPr="00F51101" w:rsidRDefault="007A2E52" w:rsidP="00F1452F">
      <w:pPr>
        <w:pStyle w:val="E3BodyText"/>
        <w:numPr>
          <w:ilvl w:val="0"/>
          <w:numId w:val="2"/>
        </w:numPr>
        <w:tabs>
          <w:tab w:val="clear" w:pos="360"/>
          <w:tab w:val="num" w:pos="720"/>
        </w:tabs>
        <w:ind w:left="1080"/>
      </w:pPr>
      <w:r w:rsidRPr="00854D0B">
        <w:t>Extra Low Voltage (ELV), caps: GU5.3, GU4</w:t>
      </w:r>
    </w:p>
    <w:p w:rsidR="007A2E52" w:rsidRPr="00F51101" w:rsidRDefault="007A2E52" w:rsidP="00F1452F">
      <w:pPr>
        <w:pStyle w:val="E3BodyText"/>
        <w:numPr>
          <w:ilvl w:val="0"/>
          <w:numId w:val="3"/>
        </w:numPr>
      </w:pPr>
      <w:r w:rsidRPr="00F51101">
        <w:t>LED linear lamp</w:t>
      </w:r>
      <w:r>
        <w:t>s, including</w:t>
      </w:r>
      <w:r w:rsidRPr="00F51101">
        <w:t xml:space="preserve"> replacements for currently regulated tubular </w:t>
      </w:r>
      <w:r w:rsidRPr="005D47DF">
        <w:t>fluorescent lamps</w:t>
      </w:r>
      <w:r w:rsidR="00266E7B" w:rsidRPr="005D47DF">
        <w:t xml:space="preserve"> (see discussion in</w:t>
      </w:r>
      <w:r w:rsidR="005D47DF" w:rsidRPr="005D47DF">
        <w:t xml:space="preserve"> section </w:t>
      </w:r>
      <w:r w:rsidR="005D47DF" w:rsidRPr="005D47DF">
        <w:fldChar w:fldCharType="begin"/>
      </w:r>
      <w:r w:rsidR="005D47DF" w:rsidRPr="005D47DF">
        <w:instrText xml:space="preserve"> REF _Ref426385822 \r \h </w:instrText>
      </w:r>
      <w:r w:rsidR="005D47DF">
        <w:instrText xml:space="preserve"> \* MERGEFORMAT </w:instrText>
      </w:r>
      <w:r w:rsidR="005D47DF" w:rsidRPr="005D47DF">
        <w:fldChar w:fldCharType="separate"/>
      </w:r>
      <w:r w:rsidR="002C13E2">
        <w:t>4.4</w:t>
      </w:r>
      <w:r w:rsidR="005D47DF" w:rsidRPr="005D47DF">
        <w:fldChar w:fldCharType="end"/>
      </w:r>
      <w:r w:rsidR="005D47DF" w:rsidRPr="005D47DF">
        <w:t xml:space="preserve"> </w:t>
      </w:r>
      <w:r w:rsidR="00266E7B" w:rsidRPr="005D47DF">
        <w:t>)</w:t>
      </w:r>
      <w:r w:rsidRPr="005D47DF">
        <w:t>.</w:t>
      </w:r>
    </w:p>
    <w:p w:rsidR="007A2E52" w:rsidRPr="00F51101" w:rsidRDefault="007A2E52" w:rsidP="00266E7B">
      <w:pPr>
        <w:pStyle w:val="E3Bullets"/>
      </w:pPr>
      <w:r w:rsidRPr="00F51101">
        <w:lastRenderedPageBreak/>
        <w:t xml:space="preserve">LED replacement lamps for </w:t>
      </w:r>
      <w:r>
        <w:t xml:space="preserve">other </w:t>
      </w:r>
      <w:r w:rsidRPr="00F51101">
        <w:t>fluorescent lamps currently under consideration for regulation (e.g. circular fluorescent lamps</w:t>
      </w:r>
      <w:r w:rsidR="00266E7B" w:rsidRPr="00266E7B">
        <w:t xml:space="preserve"> and non-integrated compact fluorescent lamps</w:t>
      </w:r>
      <w:r w:rsidRPr="00F51101">
        <w:t>)</w:t>
      </w:r>
      <w:r>
        <w:t>.</w:t>
      </w:r>
    </w:p>
    <w:p w:rsidR="007A2E52" w:rsidRPr="00F51101" w:rsidRDefault="007A2E52" w:rsidP="00F1452F">
      <w:pPr>
        <w:pStyle w:val="E3BodyText"/>
        <w:numPr>
          <w:ilvl w:val="0"/>
          <w:numId w:val="3"/>
        </w:numPr>
      </w:pPr>
      <w:r w:rsidRPr="00F51101">
        <w:t>LED luminaires with an integrated LED-based light emitting element other than a</w:t>
      </w:r>
      <w:r>
        <w:t xml:space="preserve"> replaceable</w:t>
      </w:r>
      <w:r w:rsidRPr="00F51101">
        <w:t xml:space="preserve"> LED lamp (i.e. LED packages, LED arrays, LED light engines) connected to the mains supply</w:t>
      </w:r>
    </w:p>
    <w:p w:rsidR="007A2E52" w:rsidRPr="00F51101" w:rsidRDefault="007A2E52" w:rsidP="00F1452F">
      <w:pPr>
        <w:pStyle w:val="E3BodyText"/>
        <w:numPr>
          <w:ilvl w:val="0"/>
          <w:numId w:val="2"/>
        </w:numPr>
        <w:tabs>
          <w:tab w:val="clear" w:pos="360"/>
          <w:tab w:val="num" w:pos="1080"/>
        </w:tabs>
        <w:ind w:left="1080"/>
      </w:pPr>
      <w:r w:rsidRPr="00F51101">
        <w:t>Includes integrated downlights, suspended and surface mounted, recessed, panels, battens, high-bay and low-bay LED luminaires</w:t>
      </w:r>
    </w:p>
    <w:p w:rsidR="007A2E52" w:rsidRPr="00F51101" w:rsidRDefault="007A2E52" w:rsidP="00F1452F">
      <w:pPr>
        <w:pStyle w:val="E3BodyText"/>
        <w:numPr>
          <w:ilvl w:val="0"/>
          <w:numId w:val="2"/>
        </w:numPr>
        <w:ind w:left="1080"/>
      </w:pPr>
      <w:r w:rsidRPr="00F51101">
        <w:t>All shapes</w:t>
      </w:r>
    </w:p>
    <w:p w:rsidR="007A2E52" w:rsidRPr="00F51101" w:rsidRDefault="007A2E52" w:rsidP="00F1452F">
      <w:pPr>
        <w:pStyle w:val="E3BodyText"/>
        <w:numPr>
          <w:ilvl w:val="0"/>
          <w:numId w:val="2"/>
        </w:numPr>
        <w:ind w:left="1080"/>
      </w:pPr>
      <w:r w:rsidRPr="00F51101">
        <w:t>Nominal wattages</w:t>
      </w:r>
    </w:p>
    <w:p w:rsidR="007A2E52" w:rsidRPr="00F51101" w:rsidRDefault="007A2E52" w:rsidP="00F1452F">
      <w:pPr>
        <w:pStyle w:val="E3BodyText"/>
        <w:numPr>
          <w:ilvl w:val="0"/>
          <w:numId w:val="2"/>
        </w:numPr>
        <w:ind w:left="1080"/>
      </w:pPr>
      <w:r w:rsidRPr="00F51101">
        <w:t>If domestic products only ≥ 3W and ≤ 25W</w:t>
      </w:r>
    </w:p>
    <w:p w:rsidR="007A2E52" w:rsidRPr="00F51101" w:rsidRDefault="007A2E52" w:rsidP="00F1452F">
      <w:pPr>
        <w:pStyle w:val="E3BodyText"/>
        <w:numPr>
          <w:ilvl w:val="0"/>
          <w:numId w:val="2"/>
        </w:numPr>
        <w:ind w:left="1080"/>
      </w:pPr>
      <w:r w:rsidRPr="00F51101">
        <w:t>All applications (except high-bay and low-bay) ≥ 3W and ≤ 100W</w:t>
      </w:r>
    </w:p>
    <w:p w:rsidR="007A2E52" w:rsidRDefault="007A2E52" w:rsidP="00F1452F">
      <w:pPr>
        <w:pStyle w:val="E3BodyText"/>
        <w:numPr>
          <w:ilvl w:val="0"/>
          <w:numId w:val="2"/>
        </w:numPr>
        <w:ind w:left="1080"/>
      </w:pPr>
      <w:r w:rsidRPr="00F51101">
        <w:t>High-bay and low-bay – no limits</w:t>
      </w:r>
    </w:p>
    <w:p w:rsidR="007A2E52" w:rsidRPr="00227F29" w:rsidRDefault="00227F29" w:rsidP="00227F29">
      <w:pPr>
        <w:pStyle w:val="E3BodyText"/>
      </w:pPr>
      <w:r w:rsidRPr="00227F29">
        <w:t>Possible e</w:t>
      </w:r>
      <w:r w:rsidR="007A2E52" w:rsidRPr="00227F29">
        <w:t>xclusions:</w:t>
      </w:r>
      <w:r w:rsidRPr="00227F29">
        <w:t xml:space="preserve"> linear strip/rope, r</w:t>
      </w:r>
      <w:r w:rsidR="007A2E52" w:rsidRPr="00227F29">
        <w:t>oad lighting fixtures (</w:t>
      </w:r>
      <w:r w:rsidRPr="00227F29">
        <w:t>subject to</w:t>
      </w:r>
      <w:r w:rsidR="007A2E52" w:rsidRPr="00227F29">
        <w:t xml:space="preserve"> AS/NZS1158 Lighting for roads and public spaces series)</w:t>
      </w:r>
      <w:r w:rsidRPr="00227F29">
        <w:t>, novelty/decorative lights not intended for general lighting applications (minimum wattage).</w:t>
      </w:r>
    </w:p>
    <w:p w:rsidR="007A2E52" w:rsidRPr="00227F29" w:rsidRDefault="00227F29" w:rsidP="00227F29">
      <w:pPr>
        <w:pStyle w:val="E3BodyText"/>
      </w:pPr>
      <w:r>
        <w:t>Where possible, definitions of the categories would be based on available international standards.  It may also be appropriate for there to be a staged approach to the introduction of MEPS across the product categories.</w:t>
      </w:r>
    </w:p>
    <w:p w:rsidR="007A2E52" w:rsidRDefault="00227F29" w:rsidP="00E96970">
      <w:pPr>
        <w:pStyle w:val="Heading3"/>
      </w:pPr>
      <w:bookmarkStart w:id="230" w:name="_Toc426387793"/>
      <w:r>
        <w:t>MEPS Scope</w:t>
      </w:r>
      <w:bookmarkEnd w:id="230"/>
    </w:p>
    <w:p w:rsidR="00423706" w:rsidRDefault="00AC0A94" w:rsidP="00AC0A94">
      <w:pPr>
        <w:rPr>
          <w:lang w:eastAsia="en-AU"/>
        </w:rPr>
      </w:pPr>
      <w:r>
        <w:rPr>
          <w:lang w:eastAsia="en-AU"/>
        </w:rPr>
        <w:t xml:space="preserve">MEPS for LED lighting could take a similar approach to the MEPS for CFLs in place in Australia and New Zealand – setting both minimum efficacy levels and also </w:t>
      </w:r>
      <w:r w:rsidR="00F57C3D">
        <w:rPr>
          <w:lang w:eastAsia="en-AU"/>
        </w:rPr>
        <w:t xml:space="preserve">setting minimum requirements for a range of performance issues that have been documented in testing of LED products in Australia and New Zealand and other countries (see Chapter </w:t>
      </w:r>
      <w:r w:rsidR="00423706">
        <w:rPr>
          <w:lang w:eastAsia="en-AU"/>
        </w:rPr>
        <w:t xml:space="preserve">3).  Such an approach would ensure that the LED products available in the market were </w:t>
      </w:r>
      <w:r w:rsidR="004317A3">
        <w:rPr>
          <w:lang w:eastAsia="en-AU"/>
        </w:rPr>
        <w:t xml:space="preserve">both </w:t>
      </w:r>
      <w:r w:rsidR="00423706">
        <w:rPr>
          <w:lang w:eastAsia="en-AU"/>
        </w:rPr>
        <w:t>efficient and effective alternatives to less efficient lighting, giving consumers confidence to make the transition and ensure potential energy and costs savings are achieved.  Given that LED lighting technology is still rapidly improving, it would be appropriate for there to be a timetable of future increases in the requirements for efficacy and some performance parameters.</w:t>
      </w:r>
    </w:p>
    <w:p w:rsidR="00A667C3" w:rsidRDefault="00423706" w:rsidP="00AC0A94">
      <w:pPr>
        <w:rPr>
          <w:lang w:eastAsia="en-AU"/>
        </w:rPr>
      </w:pPr>
      <w:r>
        <w:rPr>
          <w:lang w:eastAsia="en-AU"/>
        </w:rPr>
        <w:t>In developing e</w:t>
      </w:r>
      <w:r w:rsidR="00AC0A94">
        <w:rPr>
          <w:lang w:eastAsia="en-AU"/>
        </w:rPr>
        <w:t xml:space="preserve">nergy efficiency and functional </w:t>
      </w:r>
      <w:r>
        <w:rPr>
          <w:lang w:eastAsia="en-AU"/>
        </w:rPr>
        <w:t xml:space="preserve">MEPS </w:t>
      </w:r>
      <w:r w:rsidR="00AC0A94">
        <w:rPr>
          <w:lang w:eastAsia="en-AU"/>
        </w:rPr>
        <w:t xml:space="preserve">requirements </w:t>
      </w:r>
      <w:r>
        <w:rPr>
          <w:lang w:eastAsia="en-AU"/>
        </w:rPr>
        <w:t xml:space="preserve">suitable </w:t>
      </w:r>
      <w:r w:rsidR="00AC0A94">
        <w:rPr>
          <w:lang w:eastAsia="en-AU"/>
        </w:rPr>
        <w:t xml:space="preserve">for </w:t>
      </w:r>
      <w:r>
        <w:rPr>
          <w:lang w:eastAsia="en-AU"/>
        </w:rPr>
        <w:t xml:space="preserve">Australia and New Zealand, where possible these could be derived from </w:t>
      </w:r>
      <w:r w:rsidR="00AC0A94">
        <w:rPr>
          <w:lang w:eastAsia="en-AU"/>
        </w:rPr>
        <w:t xml:space="preserve">the EU regulations (244/2009 and 1194/2012) and the 4E SSL performance </w:t>
      </w:r>
      <w:r w:rsidR="00AC0A94" w:rsidRPr="0015155D">
        <w:rPr>
          <w:lang w:eastAsia="en-AU"/>
        </w:rPr>
        <w:t>tier</w:t>
      </w:r>
      <w:r w:rsidR="0015155D">
        <w:rPr>
          <w:lang w:eastAsia="en-AU"/>
        </w:rPr>
        <w:t>s</w:t>
      </w:r>
      <w:r w:rsidR="00AC0A94">
        <w:rPr>
          <w:lang w:eastAsia="en-AU"/>
        </w:rPr>
        <w:t xml:space="preserve">. </w:t>
      </w:r>
    </w:p>
    <w:p w:rsidR="00A667C3" w:rsidRDefault="0015155D" w:rsidP="00AC0A94">
      <w:pPr>
        <w:rPr>
          <w:lang w:eastAsia="en-AU"/>
        </w:rPr>
      </w:pPr>
      <w:r w:rsidRPr="0015155D">
        <w:rPr>
          <w:lang w:eastAsia="en-AU"/>
        </w:rPr>
        <w:t xml:space="preserve">The </w:t>
      </w:r>
      <w:r w:rsidR="00AB1D0B">
        <w:rPr>
          <w:lang w:eastAsia="en-AU"/>
        </w:rPr>
        <w:t xml:space="preserve">timing of </w:t>
      </w:r>
      <w:r w:rsidRPr="0015155D">
        <w:rPr>
          <w:lang w:eastAsia="en-AU"/>
        </w:rPr>
        <w:t xml:space="preserve">EU regulations have recently been reviewed and the outcome is a delay </w:t>
      </w:r>
      <w:r>
        <w:rPr>
          <w:lang w:eastAsia="en-AU"/>
        </w:rPr>
        <w:t>un</w:t>
      </w:r>
      <w:r w:rsidRPr="0015155D">
        <w:rPr>
          <w:lang w:eastAsia="en-AU"/>
        </w:rPr>
        <w:t>til 2018 in the introduction of stag</w:t>
      </w:r>
      <w:r w:rsidR="007B2A7F">
        <w:rPr>
          <w:lang w:eastAsia="en-AU"/>
        </w:rPr>
        <w:t xml:space="preserve">e 6 (relating to clear non-directional lamps including incandescent, CFL and LED lamps) which would effectively ban clear non-directional </w:t>
      </w:r>
      <w:r w:rsidRPr="0015155D">
        <w:rPr>
          <w:lang w:eastAsia="en-AU"/>
        </w:rPr>
        <w:t xml:space="preserve">halogen lamps. </w:t>
      </w:r>
      <w:r w:rsidR="00A667C3">
        <w:rPr>
          <w:lang w:eastAsia="en-AU"/>
        </w:rPr>
        <w:t xml:space="preserve">As noted above, a further review of EU regulations </w:t>
      </w:r>
      <w:r w:rsidR="008F49A6">
        <w:rPr>
          <w:lang w:eastAsia="en-AU"/>
        </w:rPr>
        <w:t xml:space="preserve">for lighting products </w:t>
      </w:r>
      <w:r w:rsidR="00A667C3">
        <w:rPr>
          <w:lang w:eastAsia="en-AU"/>
        </w:rPr>
        <w:t>is underway, but is not expected to be implemented before 2020</w:t>
      </w:r>
      <w:r w:rsidR="008F49A6">
        <w:rPr>
          <w:lang w:eastAsia="en-AU"/>
        </w:rPr>
        <w:t xml:space="preserve"> and may be more relevant to timetabling of future MEPS increases rather than any initial levels</w:t>
      </w:r>
      <w:r w:rsidRPr="0015155D">
        <w:rPr>
          <w:lang w:eastAsia="en-AU"/>
        </w:rPr>
        <w:t xml:space="preserve">. </w:t>
      </w:r>
    </w:p>
    <w:p w:rsidR="00AC0A94" w:rsidRDefault="0015155D" w:rsidP="00AC0A94">
      <w:pPr>
        <w:rPr>
          <w:lang w:eastAsia="en-AU"/>
        </w:rPr>
      </w:pPr>
      <w:r>
        <w:rPr>
          <w:lang w:eastAsia="en-AU"/>
        </w:rPr>
        <w:t>T</w:t>
      </w:r>
      <w:r w:rsidRPr="0015155D">
        <w:rPr>
          <w:lang w:eastAsia="en-AU"/>
        </w:rPr>
        <w:t xml:space="preserve">he </w:t>
      </w:r>
      <w:r>
        <w:rPr>
          <w:lang w:eastAsia="en-AU"/>
        </w:rPr>
        <w:t xml:space="preserve">current </w:t>
      </w:r>
      <w:r w:rsidRPr="0015155D">
        <w:rPr>
          <w:lang w:eastAsia="en-AU"/>
        </w:rPr>
        <w:t xml:space="preserve">IEA 4E SSL performance requirements </w:t>
      </w:r>
      <w:r>
        <w:rPr>
          <w:lang w:eastAsia="en-AU"/>
        </w:rPr>
        <w:t xml:space="preserve">were developed in 2011 and </w:t>
      </w:r>
      <w:r w:rsidRPr="0015155D">
        <w:rPr>
          <w:lang w:eastAsia="en-AU"/>
        </w:rPr>
        <w:t xml:space="preserve">there is sufficient evidence from recent benchmarking of market available products to either consider the possibility of using Tier 2 (as opposed to Tier 1, originally developed as the on-grid minimum acceptable performance), which is more in line with current product performances or, if completed in time, consider the revised Tier performance levels from the announced review being conducted by the IEA 4E SSL during 2015. </w:t>
      </w:r>
      <w:r w:rsidR="00172108">
        <w:rPr>
          <w:lang w:eastAsia="en-AU"/>
        </w:rPr>
        <w:t>Harmonisation where possible would enable access to a wider range of efficient lighting products and also open up future options for cooperation on monitoring, verification and enforcement.</w:t>
      </w:r>
    </w:p>
    <w:p w:rsidR="009A4BDA" w:rsidRDefault="009A4BDA" w:rsidP="00AC0A94">
      <w:pPr>
        <w:rPr>
          <w:lang w:eastAsia="en-AU"/>
        </w:rPr>
      </w:pPr>
      <w:r>
        <w:rPr>
          <w:lang w:eastAsia="en-AU"/>
        </w:rPr>
        <w:t xml:space="preserve">In determining the appropriateness of the energy efficiency performance levels and the scope of lamps to be included, an analysis has been conducted with available test data from a number of countries (namely USA </w:t>
      </w:r>
      <w:r w:rsidR="00DC58DC">
        <w:rPr>
          <w:lang w:eastAsia="en-AU"/>
        </w:rPr>
        <w:t xml:space="preserve">and Canada, Denmark, </w:t>
      </w:r>
      <w:r>
        <w:rPr>
          <w:lang w:eastAsia="en-AU"/>
        </w:rPr>
        <w:t>and Australia and New Zealand).  This is discussed below.</w:t>
      </w:r>
    </w:p>
    <w:p w:rsidR="00AC0A94" w:rsidRDefault="00172108" w:rsidP="00E96970">
      <w:pPr>
        <w:pStyle w:val="Heading3"/>
        <w:rPr>
          <w:lang w:eastAsia="en-AU"/>
        </w:rPr>
      </w:pPr>
      <w:bookmarkStart w:id="231" w:name="_Toc426387794"/>
      <w:bookmarkStart w:id="232" w:name="_Ref426388287"/>
      <w:r>
        <w:rPr>
          <w:lang w:eastAsia="en-AU"/>
        </w:rPr>
        <w:t>Minimum Efficacy Levels</w:t>
      </w:r>
      <w:bookmarkEnd w:id="231"/>
      <w:bookmarkEnd w:id="232"/>
    </w:p>
    <w:p w:rsidR="009E0C22" w:rsidRDefault="00135A03" w:rsidP="00172108">
      <w:pPr>
        <w:rPr>
          <w:lang w:eastAsia="en-AU"/>
        </w:rPr>
      </w:pPr>
      <w:r>
        <w:rPr>
          <w:lang w:eastAsia="en-AU"/>
        </w:rPr>
        <w:t>A</w:t>
      </w:r>
      <w:r w:rsidR="009E0C22" w:rsidRPr="009E0C22">
        <w:rPr>
          <w:lang w:eastAsia="en-AU"/>
        </w:rPr>
        <w:t>vailable test data shows a significant variation in the efficacy levels achieved across the full range of lumen output in both non-directional and directional lamps, thus indicating that minimum efficacy level could achieve improved energy savings by removing the lower performing lamps from market.</w:t>
      </w:r>
    </w:p>
    <w:p w:rsidR="00172108" w:rsidRDefault="00B525E0" w:rsidP="00172108">
      <w:pPr>
        <w:rPr>
          <w:lang w:eastAsia="en-AU"/>
        </w:rPr>
      </w:pPr>
      <w:r>
        <w:rPr>
          <w:lang w:eastAsia="en-AU"/>
        </w:rPr>
        <w:fldChar w:fldCharType="begin"/>
      </w:r>
      <w:r w:rsidR="004C2089">
        <w:rPr>
          <w:lang w:eastAsia="en-AU"/>
        </w:rPr>
        <w:instrText xml:space="preserve"> REF _Ref424119524 \h </w:instrText>
      </w:r>
      <w:r>
        <w:rPr>
          <w:lang w:eastAsia="en-AU"/>
        </w:rPr>
      </w:r>
      <w:r>
        <w:rPr>
          <w:lang w:eastAsia="en-AU"/>
        </w:rPr>
        <w:fldChar w:fldCharType="separate"/>
      </w:r>
      <w:r w:rsidR="002C13E2">
        <w:t xml:space="preserve">Figure </w:t>
      </w:r>
      <w:r w:rsidR="002C13E2">
        <w:rPr>
          <w:noProof/>
        </w:rPr>
        <w:t>38</w:t>
      </w:r>
      <w:r>
        <w:rPr>
          <w:lang w:eastAsia="en-AU"/>
        </w:rPr>
        <w:fldChar w:fldCharType="end"/>
      </w:r>
      <w:r w:rsidR="0015155D" w:rsidRPr="0015155D">
        <w:rPr>
          <w:lang w:eastAsia="en-AU"/>
        </w:rPr>
        <w:t xml:space="preserve">and </w:t>
      </w:r>
      <w:r>
        <w:rPr>
          <w:lang w:eastAsia="en-AU"/>
        </w:rPr>
        <w:fldChar w:fldCharType="begin"/>
      </w:r>
      <w:r w:rsidR="004C2089">
        <w:rPr>
          <w:lang w:eastAsia="en-AU"/>
        </w:rPr>
        <w:instrText xml:space="preserve"> REF _Ref424119533 \h </w:instrText>
      </w:r>
      <w:r>
        <w:rPr>
          <w:lang w:eastAsia="en-AU"/>
        </w:rPr>
      </w:r>
      <w:r>
        <w:rPr>
          <w:lang w:eastAsia="en-AU"/>
        </w:rPr>
        <w:fldChar w:fldCharType="separate"/>
      </w:r>
      <w:r w:rsidR="002C13E2">
        <w:t xml:space="preserve">Figure </w:t>
      </w:r>
      <w:r w:rsidR="002C13E2">
        <w:rPr>
          <w:noProof/>
        </w:rPr>
        <w:t>39</w:t>
      </w:r>
      <w:r>
        <w:rPr>
          <w:lang w:eastAsia="en-AU"/>
        </w:rPr>
        <w:fldChar w:fldCharType="end"/>
      </w:r>
      <w:r w:rsidR="0015155D" w:rsidRPr="0015155D">
        <w:rPr>
          <w:lang w:eastAsia="en-AU"/>
        </w:rPr>
        <w:t xml:space="preserve"> show the energy efficiency requirements for both </w:t>
      </w:r>
      <w:r w:rsidR="00E33C7E">
        <w:rPr>
          <w:lang w:eastAsia="en-AU"/>
        </w:rPr>
        <w:t>the EU and IEA 4E SSL</w:t>
      </w:r>
      <w:r w:rsidR="0015155D" w:rsidRPr="0015155D">
        <w:rPr>
          <w:lang w:eastAsia="en-AU"/>
        </w:rPr>
        <w:t xml:space="preserve"> for self-ballasted lamps. The obvious feature of the EU MEPS curve is the sharply declining tail of the curve which has come about </w:t>
      </w:r>
      <w:r w:rsidR="0015155D" w:rsidRPr="0015155D">
        <w:rPr>
          <w:lang w:eastAsia="en-AU"/>
        </w:rPr>
        <w:lastRenderedPageBreak/>
        <w:t>due to</w:t>
      </w:r>
      <w:r w:rsidR="00AE6BC3">
        <w:rPr>
          <w:lang w:eastAsia="en-AU"/>
        </w:rPr>
        <w:t xml:space="preserve"> accommodating</w:t>
      </w:r>
      <w:r w:rsidR="0015155D" w:rsidRPr="0015155D">
        <w:rPr>
          <w:lang w:eastAsia="en-AU"/>
        </w:rPr>
        <w:t xml:space="preserve"> the physics of traditional lighting technologies that use a heated filament (incandescent and halogen) lamp or gas discharge (compact fluorescent) lamp where increased efficiency is achieved at higher wattages when generating an increasing quantity of light. </w:t>
      </w:r>
      <w:r w:rsidR="00AE6BC3">
        <w:rPr>
          <w:lang w:eastAsia="en-AU"/>
        </w:rPr>
        <w:t>However, f</w:t>
      </w:r>
      <w:r w:rsidR="00172108">
        <w:rPr>
          <w:lang w:eastAsia="en-AU"/>
        </w:rPr>
        <w:t>or LED technologies, there is no improved efficiency in creating an increasing quantity of light</w:t>
      </w:r>
      <w:r w:rsidR="00135A03">
        <w:rPr>
          <w:lang w:eastAsia="en-AU"/>
        </w:rPr>
        <w:t>.</w:t>
      </w:r>
      <w:r w:rsidR="00932ABE">
        <w:rPr>
          <w:lang w:eastAsia="en-AU"/>
        </w:rPr>
        <w:t xml:space="preserve"> </w:t>
      </w:r>
      <w:r w:rsidR="00135A03">
        <w:rPr>
          <w:lang w:eastAsia="en-AU"/>
        </w:rPr>
        <w:t>However there is</w:t>
      </w:r>
      <w:r w:rsidR="00172108">
        <w:rPr>
          <w:lang w:eastAsia="en-AU"/>
        </w:rPr>
        <w:t xml:space="preserve"> potentially a decrease in efficiency </w:t>
      </w:r>
      <w:r w:rsidR="00135A03">
        <w:rPr>
          <w:lang w:eastAsia="en-AU"/>
        </w:rPr>
        <w:t>in cases where a</w:t>
      </w:r>
      <w:r w:rsidR="00932ABE">
        <w:rPr>
          <w:lang w:eastAsia="en-AU"/>
        </w:rPr>
        <w:t xml:space="preserve"> </w:t>
      </w:r>
      <w:r w:rsidR="00AE6BC3">
        <w:rPr>
          <w:lang w:eastAsia="en-AU"/>
        </w:rPr>
        <w:t xml:space="preserve">smaller </w:t>
      </w:r>
      <w:r w:rsidR="00172108">
        <w:rPr>
          <w:lang w:eastAsia="en-AU"/>
        </w:rPr>
        <w:t xml:space="preserve">product form factor </w:t>
      </w:r>
      <w:r w:rsidR="00135A03">
        <w:rPr>
          <w:lang w:eastAsia="en-AU"/>
        </w:rPr>
        <w:t xml:space="preserve">is required (such as MR16 replacement lamps) due to the </w:t>
      </w:r>
      <w:r w:rsidR="0088384B">
        <w:rPr>
          <w:lang w:eastAsia="en-AU"/>
        </w:rPr>
        <w:t>in</w:t>
      </w:r>
      <w:r w:rsidR="00172108">
        <w:rPr>
          <w:lang w:eastAsia="en-AU"/>
        </w:rPr>
        <w:t>ability to</w:t>
      </w:r>
      <w:r w:rsidR="0088384B">
        <w:rPr>
          <w:lang w:eastAsia="en-AU"/>
        </w:rPr>
        <w:t xml:space="preserve"> effectively</w:t>
      </w:r>
      <w:r w:rsidR="00172108">
        <w:rPr>
          <w:lang w:eastAsia="en-AU"/>
        </w:rPr>
        <w:t xml:space="preserve"> dissipate </w:t>
      </w:r>
      <w:r w:rsidR="0088384B">
        <w:rPr>
          <w:lang w:eastAsia="en-AU"/>
        </w:rPr>
        <w:t xml:space="preserve">thermal </w:t>
      </w:r>
      <w:r w:rsidR="00172108">
        <w:rPr>
          <w:lang w:eastAsia="en-AU"/>
        </w:rPr>
        <w:t>heat</w:t>
      </w:r>
      <w:r w:rsidR="0088384B">
        <w:rPr>
          <w:lang w:eastAsia="en-AU"/>
        </w:rPr>
        <w:t xml:space="preserve"> generated by the LED chip</w:t>
      </w:r>
      <w:r w:rsidR="00172108">
        <w:rPr>
          <w:lang w:eastAsia="en-AU"/>
        </w:rPr>
        <w:t xml:space="preserve">. This is taken into account by the IEA </w:t>
      </w:r>
      <w:r w:rsidR="0088384B">
        <w:rPr>
          <w:lang w:eastAsia="en-AU"/>
        </w:rPr>
        <w:t>in</w:t>
      </w:r>
      <w:r w:rsidR="00172108">
        <w:rPr>
          <w:lang w:eastAsia="en-AU"/>
        </w:rPr>
        <w:t xml:space="preserve"> having a lower Tier line for </w:t>
      </w:r>
      <w:r w:rsidR="0088384B">
        <w:rPr>
          <w:lang w:eastAsia="en-AU"/>
        </w:rPr>
        <w:t xml:space="preserve">relatively high lumen output </w:t>
      </w:r>
      <w:r w:rsidR="00172108">
        <w:rPr>
          <w:lang w:eastAsia="en-AU"/>
        </w:rPr>
        <w:t xml:space="preserve">small form factor </w:t>
      </w:r>
      <w:r w:rsidR="0088384B">
        <w:rPr>
          <w:lang w:eastAsia="en-AU"/>
        </w:rPr>
        <w:t xml:space="preserve">lamps which are most common in </w:t>
      </w:r>
      <w:r w:rsidR="00172108">
        <w:rPr>
          <w:lang w:eastAsia="en-AU"/>
        </w:rPr>
        <w:t>directional lamps (≤ 63.5 mm diameter).</w:t>
      </w:r>
    </w:p>
    <w:p w:rsidR="009A4BDA" w:rsidRDefault="009A4BDA" w:rsidP="00172108">
      <w:pPr>
        <w:rPr>
          <w:lang w:eastAsia="en-AU"/>
        </w:rPr>
      </w:pPr>
    </w:p>
    <w:p w:rsidR="00F86E3A" w:rsidRDefault="00C15AB5" w:rsidP="00F86E3A">
      <w:pPr>
        <w:keepNext/>
      </w:pPr>
      <w:r>
        <w:rPr>
          <w:noProof/>
          <w:lang w:eastAsia="en-AU"/>
        </w:rPr>
        <w:drawing>
          <wp:inline distT="0" distB="0" distL="0" distR="0" wp14:anchorId="3A9CE020" wp14:editId="2F4F0098">
            <wp:extent cx="6043875" cy="3219450"/>
            <wp:effectExtent l="19050" t="19050" r="14605" b="19050"/>
            <wp:docPr id="73" name="Picture 5" descr="Line Graph displays Efficacy (lm/W)  and Luminous Flux o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06"/>
                    <a:srcRect l="1123" t="11653" r="748"/>
                    <a:stretch/>
                  </pic:blipFill>
                  <pic:spPr bwMode="auto">
                    <a:xfrm>
                      <a:off x="0" y="0"/>
                      <a:ext cx="6047151" cy="3221195"/>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rsidR="00F86E3A" w:rsidRDefault="00A45490" w:rsidP="00F86E3A">
      <w:pPr>
        <w:pStyle w:val="Caption"/>
      </w:pPr>
      <w:bookmarkStart w:id="233" w:name="_Ref424119524"/>
      <w:bookmarkStart w:id="234" w:name="_Toc426387877"/>
      <w:r>
        <w:t xml:space="preserve">Figure </w:t>
      </w:r>
      <w:r>
        <w:fldChar w:fldCharType="begin"/>
      </w:r>
      <w:r>
        <w:instrText xml:space="preserve"> SEQ Figure \* ARABIC </w:instrText>
      </w:r>
      <w:r>
        <w:fldChar w:fldCharType="separate"/>
      </w:r>
      <w:r w:rsidR="002C13E2">
        <w:rPr>
          <w:noProof/>
        </w:rPr>
        <w:t>38</w:t>
      </w:r>
      <w:r>
        <w:fldChar w:fldCharType="end"/>
      </w:r>
      <w:bookmarkEnd w:id="233"/>
      <w:r>
        <w:t xml:space="preserve">. </w:t>
      </w:r>
      <w:r w:rsidRPr="00752821">
        <w:t>EU</w:t>
      </w:r>
      <w:r>
        <w:t>,</w:t>
      </w:r>
      <w:r w:rsidRPr="00752821">
        <w:t xml:space="preserve"> IEA 4ESSL Tier 1 and 2</w:t>
      </w:r>
      <w:r>
        <w:t>, Energy Star 2016 (Draft) and AU/NZ bare CFL</w:t>
      </w:r>
      <w:r w:rsidRPr="00752821">
        <w:t xml:space="preserve"> minimum efficacy requirements for Non-Directional Lamps.</w:t>
      </w:r>
      <w:bookmarkEnd w:id="234"/>
    </w:p>
    <w:p w:rsidR="00172108" w:rsidRDefault="00172108" w:rsidP="00AC0A94">
      <w:pPr>
        <w:rPr>
          <w:lang w:eastAsia="en-AU"/>
        </w:rPr>
      </w:pPr>
    </w:p>
    <w:p w:rsidR="00F86E3A" w:rsidRDefault="00C15AB5" w:rsidP="00F86E3A">
      <w:pPr>
        <w:keepNext/>
      </w:pPr>
      <w:r>
        <w:rPr>
          <w:noProof/>
          <w:lang w:eastAsia="en-AU"/>
        </w:rPr>
        <w:lastRenderedPageBreak/>
        <w:drawing>
          <wp:inline distT="0" distB="0" distL="0" distR="0" wp14:anchorId="04D6A050" wp14:editId="38D0CF6A">
            <wp:extent cx="6083013" cy="3322621"/>
            <wp:effectExtent l="19050" t="19050" r="13335" b="11430"/>
            <wp:docPr id="72" name="Picture 72" descr="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7">
                      <a:extLst>
                        <a:ext uri="{28A0092B-C50C-407E-A947-70E740481C1C}">
                          <a14:useLocalDpi xmlns:a14="http://schemas.microsoft.com/office/drawing/2010/main" val="0"/>
                        </a:ext>
                      </a:extLst>
                    </a:blip>
                    <a:srcRect t="7556"/>
                    <a:stretch/>
                  </pic:blipFill>
                  <pic:spPr bwMode="auto">
                    <a:xfrm>
                      <a:off x="0" y="0"/>
                      <a:ext cx="6085553" cy="3324009"/>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F86E3A" w:rsidRDefault="00A45490" w:rsidP="00F86E3A">
      <w:pPr>
        <w:pStyle w:val="Caption"/>
      </w:pPr>
      <w:bookmarkStart w:id="235" w:name="_Ref424119533"/>
      <w:bookmarkStart w:id="236" w:name="_Toc426387878"/>
      <w:r>
        <w:t xml:space="preserve">Figure </w:t>
      </w:r>
      <w:r>
        <w:fldChar w:fldCharType="begin"/>
      </w:r>
      <w:r>
        <w:instrText xml:space="preserve"> SEQ Figure \* ARABIC </w:instrText>
      </w:r>
      <w:r>
        <w:fldChar w:fldCharType="separate"/>
      </w:r>
      <w:r w:rsidR="002C13E2">
        <w:rPr>
          <w:noProof/>
        </w:rPr>
        <w:t>39</w:t>
      </w:r>
      <w:r>
        <w:fldChar w:fldCharType="end"/>
      </w:r>
      <w:bookmarkEnd w:id="235"/>
      <w:r>
        <w:t xml:space="preserve">. </w:t>
      </w:r>
      <w:r w:rsidRPr="00752821">
        <w:t>EU</w:t>
      </w:r>
      <w:r>
        <w:t>,</w:t>
      </w:r>
      <w:r w:rsidRPr="00752821">
        <w:t xml:space="preserve"> IEA 4ESSL Tier 1 and 2</w:t>
      </w:r>
      <w:r>
        <w:t>, Energy Star 2016 (Draft) and AU/NZ reflector CFL</w:t>
      </w:r>
      <w:r w:rsidRPr="00785F88">
        <w:t xml:space="preserve"> minimum efficacy requirements for Directional Lamps. </w:t>
      </w:r>
      <w:r w:rsidR="00F86E3A" w:rsidRPr="00785F88">
        <w:t>Note that EU MEPS 2016 for directional lamps currently under review.</w:t>
      </w:r>
      <w:bookmarkEnd w:id="236"/>
    </w:p>
    <w:p w:rsidR="00FB0DD4" w:rsidRDefault="00FB0DD4" w:rsidP="00AC0A94">
      <w:pPr>
        <w:rPr>
          <w:lang w:eastAsia="en-AU"/>
        </w:rPr>
      </w:pPr>
    </w:p>
    <w:p w:rsidR="00172108" w:rsidRDefault="00172108" w:rsidP="00AC0A94">
      <w:pPr>
        <w:rPr>
          <w:lang w:eastAsia="en-AU"/>
        </w:rPr>
      </w:pPr>
      <w:r>
        <w:rPr>
          <w:lang w:eastAsia="en-AU"/>
        </w:rPr>
        <w:t>Note that the EU Directional Lamps MEPS</w:t>
      </w:r>
      <w:r w:rsidR="00060AF4">
        <w:rPr>
          <w:lang w:eastAsia="en-AU"/>
        </w:rPr>
        <w:t xml:space="preserve"> are</w:t>
      </w:r>
      <w:r w:rsidR="00932ABE">
        <w:rPr>
          <w:lang w:eastAsia="en-AU"/>
        </w:rPr>
        <w:t xml:space="preserve"> </w:t>
      </w:r>
      <w:r w:rsidR="00060AF4">
        <w:rPr>
          <w:lang w:eastAsia="en-AU"/>
        </w:rPr>
        <w:t>efficacy curves</w:t>
      </w:r>
      <w:r w:rsidR="00932ABE">
        <w:rPr>
          <w:lang w:eastAsia="en-AU"/>
        </w:rPr>
        <w:t xml:space="preserve"> </w:t>
      </w:r>
      <w:r w:rsidR="00060AF4">
        <w:rPr>
          <w:lang w:eastAsia="en-AU"/>
        </w:rPr>
        <w:t>based on</w:t>
      </w:r>
      <w:r>
        <w:rPr>
          <w:lang w:eastAsia="en-AU"/>
        </w:rPr>
        <w:t xml:space="preserve"> “useful lumens” </w:t>
      </w:r>
      <w:r w:rsidR="00060AF4">
        <w:rPr>
          <w:lang w:eastAsia="en-AU"/>
        </w:rPr>
        <w:t>and not total lumen output from a lamp</w:t>
      </w:r>
      <w:r w:rsidR="001A7905">
        <w:rPr>
          <w:lang w:eastAsia="en-AU"/>
        </w:rPr>
        <w:t>.  This means when comparing the IEA and EU efficacy requirements</w:t>
      </w:r>
      <w:r w:rsidR="0017721D">
        <w:rPr>
          <w:lang w:eastAsia="en-AU"/>
        </w:rPr>
        <w:t xml:space="preserve">, </w:t>
      </w:r>
      <w:r w:rsidR="001A7905">
        <w:rPr>
          <w:lang w:eastAsia="en-AU"/>
        </w:rPr>
        <w:t xml:space="preserve">depending </w:t>
      </w:r>
      <w:r>
        <w:rPr>
          <w:lang w:eastAsia="en-AU"/>
        </w:rPr>
        <w:t>on the beam angle of the lamp</w:t>
      </w:r>
      <w:r w:rsidR="001A7905">
        <w:rPr>
          <w:lang w:eastAsia="en-AU"/>
        </w:rPr>
        <w:t>,</w:t>
      </w:r>
      <w:r w:rsidR="00932ABE">
        <w:rPr>
          <w:lang w:eastAsia="en-AU"/>
        </w:rPr>
        <w:t xml:space="preserve"> </w:t>
      </w:r>
      <w:r>
        <w:rPr>
          <w:lang w:eastAsia="en-AU"/>
        </w:rPr>
        <w:t xml:space="preserve">the EU line is approximately 10% (for very wide beam angles) to 20% (for very narrow spot beam angles) lower than </w:t>
      </w:r>
      <w:r w:rsidR="00060AF4">
        <w:rPr>
          <w:lang w:eastAsia="en-AU"/>
        </w:rPr>
        <w:t>the IEA 4ESSL Tiers efficacy line</w:t>
      </w:r>
      <w:r w:rsidR="001A7905">
        <w:rPr>
          <w:lang w:eastAsia="en-AU"/>
        </w:rPr>
        <w:t>. This is because the IEA 4ESSL tiers are</w:t>
      </w:r>
      <w:r w:rsidR="00060AF4">
        <w:rPr>
          <w:lang w:eastAsia="en-AU"/>
        </w:rPr>
        <w:t xml:space="preserve"> based on</w:t>
      </w:r>
      <w:r>
        <w:rPr>
          <w:lang w:eastAsia="en-AU"/>
        </w:rPr>
        <w:t xml:space="preserve"> “total lumens” efficacy</w:t>
      </w:r>
      <w:r w:rsidR="00932ABE">
        <w:rPr>
          <w:lang w:eastAsia="en-AU"/>
        </w:rPr>
        <w:t xml:space="preserve"> </w:t>
      </w:r>
      <w:r w:rsidR="001A7905">
        <w:rPr>
          <w:lang w:eastAsia="en-AU"/>
        </w:rPr>
        <w:t>while</w:t>
      </w:r>
      <w:r w:rsidR="009C449D">
        <w:rPr>
          <w:lang w:eastAsia="en-AU"/>
        </w:rPr>
        <w:t xml:space="preserve"> the EU measurement</w:t>
      </w:r>
      <w:r w:rsidR="001A7905">
        <w:rPr>
          <w:lang w:eastAsia="en-AU"/>
        </w:rPr>
        <w:t xml:space="preserve"> can only take into consideration the “useful lumens”</w:t>
      </w:r>
      <w:r>
        <w:rPr>
          <w:lang w:eastAsia="en-AU"/>
        </w:rPr>
        <w:t>.</w:t>
      </w:r>
      <w:r w:rsidR="00932ABE">
        <w:rPr>
          <w:lang w:eastAsia="en-AU"/>
        </w:rPr>
        <w:t xml:space="preserve"> </w:t>
      </w:r>
      <w:r w:rsidR="00060AF4">
        <w:rPr>
          <w:lang w:eastAsia="en-AU"/>
        </w:rPr>
        <w:t>As stated above,</w:t>
      </w:r>
      <w:r w:rsidR="00F46BFE">
        <w:rPr>
          <w:lang w:eastAsia="en-AU"/>
        </w:rPr>
        <w:t xml:space="preserve"> the IEA 4ESSL performance tiers for these lamps are currently under review </w:t>
      </w:r>
      <w:r w:rsidR="00135A03">
        <w:rPr>
          <w:lang w:eastAsia="en-AU"/>
        </w:rPr>
        <w:t>(</w:t>
      </w:r>
      <w:r w:rsidR="00F46BFE">
        <w:rPr>
          <w:lang w:eastAsia="en-AU"/>
        </w:rPr>
        <w:t>and may be adjusted</w:t>
      </w:r>
      <w:r w:rsidR="00135A03">
        <w:rPr>
          <w:lang w:eastAsia="en-AU"/>
        </w:rPr>
        <w:t xml:space="preserve"> upwards)</w:t>
      </w:r>
      <w:r w:rsidR="0017721D">
        <w:rPr>
          <w:lang w:eastAsia="en-AU"/>
        </w:rPr>
        <w:t>,</w:t>
      </w:r>
      <w:r w:rsidR="001A7905">
        <w:rPr>
          <w:lang w:eastAsia="en-AU"/>
        </w:rPr>
        <w:t xml:space="preserve"> and the introduction of the </w:t>
      </w:r>
      <w:r w:rsidR="001A7905" w:rsidRPr="001A7905">
        <w:rPr>
          <w:lang w:eastAsia="en-AU"/>
        </w:rPr>
        <w:t xml:space="preserve">EU MEPS 2016 for directional lamps </w:t>
      </w:r>
      <w:r w:rsidR="001A7905">
        <w:rPr>
          <w:lang w:eastAsia="en-AU"/>
        </w:rPr>
        <w:t xml:space="preserve">is also </w:t>
      </w:r>
      <w:r w:rsidR="001A7905" w:rsidRPr="001A7905">
        <w:rPr>
          <w:lang w:eastAsia="en-AU"/>
        </w:rPr>
        <w:t>currently under review</w:t>
      </w:r>
      <w:r w:rsidR="000463A3">
        <w:rPr>
          <w:lang w:eastAsia="en-AU"/>
        </w:rPr>
        <w:t xml:space="preserve"> for a scheduled decision as to whether the EU will go forward or abandon this stage</w:t>
      </w:r>
      <w:r w:rsidR="00F46BFE">
        <w:rPr>
          <w:lang w:eastAsia="en-AU"/>
        </w:rPr>
        <w:t>.</w:t>
      </w:r>
    </w:p>
    <w:p w:rsidR="00172108" w:rsidRDefault="00F46BFE" w:rsidP="00AC0A94">
      <w:pPr>
        <w:rPr>
          <w:lang w:eastAsia="en-AU"/>
        </w:rPr>
      </w:pPr>
      <w:r>
        <w:rPr>
          <w:lang w:eastAsia="en-AU"/>
        </w:rPr>
        <w:t xml:space="preserve">The IEA 4E SSL linear approach to minimum efficacy takes advantage of the nature of LED lighting to deliver a minimum requirement that is simpler to understand and apply for </w:t>
      </w:r>
      <w:r w:rsidR="00A45490">
        <w:rPr>
          <w:lang w:eastAsia="en-AU"/>
        </w:rPr>
        <w:t>suppliers</w:t>
      </w:r>
      <w:r>
        <w:rPr>
          <w:lang w:eastAsia="en-AU"/>
        </w:rPr>
        <w:t>, consumers and regulators.</w:t>
      </w:r>
      <w:r w:rsidR="008D46DA">
        <w:rPr>
          <w:lang w:eastAsia="en-AU"/>
        </w:rPr>
        <w:t xml:space="preserve"> However test results indicate that lamp performance does appear to show an overall </w:t>
      </w:r>
      <w:r w:rsidR="00885574">
        <w:rPr>
          <w:lang w:eastAsia="en-AU"/>
        </w:rPr>
        <w:t>increasing</w:t>
      </w:r>
      <w:r w:rsidR="008D46DA">
        <w:rPr>
          <w:lang w:eastAsia="en-AU"/>
        </w:rPr>
        <w:t xml:space="preserve"> luminous efficacy </w:t>
      </w:r>
      <w:r w:rsidR="00885574">
        <w:rPr>
          <w:lang w:eastAsia="en-AU"/>
        </w:rPr>
        <w:t>with</w:t>
      </w:r>
      <w:r w:rsidR="008D46DA">
        <w:rPr>
          <w:lang w:eastAsia="en-AU"/>
        </w:rPr>
        <w:t xml:space="preserve"> luminous output</w:t>
      </w:r>
      <w:r w:rsidR="00885574">
        <w:rPr>
          <w:lang w:eastAsia="en-AU"/>
        </w:rPr>
        <w:t>, particularly at the low lumen output end</w:t>
      </w:r>
      <w:r w:rsidR="008D46DA">
        <w:rPr>
          <w:lang w:eastAsia="en-AU"/>
        </w:rPr>
        <w:t xml:space="preserve">. </w:t>
      </w:r>
      <w:r w:rsidR="00EE1F9D">
        <w:rPr>
          <w:lang w:eastAsia="en-AU"/>
        </w:rPr>
        <w:t xml:space="preserve">As shown in </w:t>
      </w:r>
      <w:r w:rsidR="00B525E0">
        <w:rPr>
          <w:lang w:eastAsia="en-AU"/>
        </w:rPr>
        <w:fldChar w:fldCharType="begin"/>
      </w:r>
      <w:r w:rsidR="004C2089">
        <w:rPr>
          <w:lang w:eastAsia="en-AU"/>
        </w:rPr>
        <w:instrText xml:space="preserve"> REF _Ref424119573 \h </w:instrText>
      </w:r>
      <w:r w:rsidR="00B525E0">
        <w:rPr>
          <w:lang w:eastAsia="en-AU"/>
        </w:rPr>
      </w:r>
      <w:r w:rsidR="00B525E0">
        <w:rPr>
          <w:lang w:eastAsia="en-AU"/>
        </w:rPr>
        <w:fldChar w:fldCharType="separate"/>
      </w:r>
      <w:r w:rsidR="002C13E2">
        <w:t xml:space="preserve">Figure </w:t>
      </w:r>
      <w:r w:rsidR="002C13E2">
        <w:rPr>
          <w:noProof/>
        </w:rPr>
        <w:t>40</w:t>
      </w:r>
      <w:r w:rsidR="00B525E0">
        <w:rPr>
          <w:lang w:eastAsia="en-AU"/>
        </w:rPr>
        <w:fldChar w:fldCharType="end"/>
      </w:r>
      <w:r w:rsidR="005E3AAE">
        <w:rPr>
          <w:lang w:eastAsia="en-AU"/>
        </w:rPr>
        <w:t xml:space="preserve"> </w:t>
      </w:r>
      <w:r w:rsidR="00EE1F9D">
        <w:rPr>
          <w:lang w:eastAsia="en-AU"/>
        </w:rPr>
        <w:t>t</w:t>
      </w:r>
      <w:r w:rsidR="008D46DA">
        <w:rPr>
          <w:lang w:eastAsia="en-AU"/>
        </w:rPr>
        <w:t xml:space="preserve">he </w:t>
      </w:r>
      <w:r w:rsidR="008D46DA" w:rsidRPr="00C42137">
        <w:rPr>
          <w:i/>
          <w:lang w:eastAsia="en-AU"/>
        </w:rPr>
        <w:t>range</w:t>
      </w:r>
      <w:r w:rsidR="008D46DA">
        <w:rPr>
          <w:lang w:eastAsia="en-AU"/>
        </w:rPr>
        <w:t xml:space="preserve"> between the highest and lowest </w:t>
      </w:r>
      <w:r w:rsidR="00135A03">
        <w:rPr>
          <w:lang w:eastAsia="en-AU"/>
        </w:rPr>
        <w:t xml:space="preserve">efficacy </w:t>
      </w:r>
      <w:r w:rsidR="008D46DA">
        <w:rPr>
          <w:lang w:eastAsia="en-AU"/>
        </w:rPr>
        <w:t>performers does not appear to be a function of luminous flux, as a fairly consistent range of approximately 50 lumens/Watt is present in the omnidirectional LED market, regardless of lumens. For example, a person wishing to purchase a 200 lumen omnidirectional LED lamp would be choosing from products which perform between 30 lm/</w:t>
      </w:r>
      <w:r w:rsidR="00885574" w:rsidRPr="00885574">
        <w:rPr>
          <w:lang w:eastAsia="en-AU"/>
        </w:rPr>
        <w:t xml:space="preserve">W (~7 W) </w:t>
      </w:r>
      <w:r w:rsidR="008D46DA">
        <w:rPr>
          <w:lang w:eastAsia="en-AU"/>
        </w:rPr>
        <w:t>and 85 lm/W</w:t>
      </w:r>
      <w:r w:rsidR="00885574">
        <w:rPr>
          <w:lang w:eastAsia="en-AU"/>
        </w:rPr>
        <w:t xml:space="preserve"> (~2.5 W). </w:t>
      </w:r>
      <w:r w:rsidR="00E702FA">
        <w:rPr>
          <w:lang w:eastAsia="en-AU"/>
        </w:rPr>
        <w:t xml:space="preserve">If they wanted to purchase a 700 lumen product, the performance range would be between 54 lm/W </w:t>
      </w:r>
      <w:r w:rsidR="00E702FA" w:rsidRPr="00885574">
        <w:rPr>
          <w:lang w:eastAsia="en-AU"/>
        </w:rPr>
        <w:t>(~13 W)</w:t>
      </w:r>
      <w:r w:rsidR="00E702FA">
        <w:rPr>
          <w:lang w:eastAsia="en-AU"/>
        </w:rPr>
        <w:t xml:space="preserve"> and 97 lm/W </w:t>
      </w:r>
      <w:r w:rsidR="00E702FA" w:rsidRPr="00885574">
        <w:rPr>
          <w:lang w:eastAsia="en-AU"/>
        </w:rPr>
        <w:t>(~7 W)</w:t>
      </w:r>
      <w:r w:rsidR="00E702FA">
        <w:rPr>
          <w:lang w:eastAsia="en-AU"/>
        </w:rPr>
        <w:t xml:space="preserve">.  </w:t>
      </w:r>
      <w:r w:rsidR="00EE1F9D">
        <w:rPr>
          <w:lang w:eastAsia="en-AU"/>
        </w:rPr>
        <w:t>This range indicates an opportunity to achieve energy savings through the application of a minimum efficacy level.</w:t>
      </w:r>
    </w:p>
    <w:p w:rsidR="004317A3" w:rsidRDefault="008D46DA" w:rsidP="00AC0A94">
      <w:pPr>
        <w:rPr>
          <w:lang w:eastAsia="en-AU"/>
        </w:rPr>
      </w:pPr>
      <w:r>
        <w:rPr>
          <w:lang w:eastAsia="en-AU"/>
        </w:rPr>
        <w:t>This</w:t>
      </w:r>
      <w:r w:rsidR="00135A03">
        <w:rPr>
          <w:lang w:eastAsia="en-AU"/>
        </w:rPr>
        <w:t xml:space="preserve"> current data</w:t>
      </w:r>
      <w:r w:rsidR="00932ABE">
        <w:rPr>
          <w:lang w:eastAsia="en-AU"/>
        </w:rPr>
        <w:t xml:space="preserve"> </w:t>
      </w:r>
      <w:r w:rsidR="00885574">
        <w:rPr>
          <w:lang w:eastAsia="en-AU"/>
        </w:rPr>
        <w:t>could</w:t>
      </w:r>
      <w:r>
        <w:rPr>
          <w:lang w:eastAsia="en-AU"/>
        </w:rPr>
        <w:t xml:space="preserve"> provide a reason to choose a lumen-dependent MEPS curve (as per EU MEPS, and AU CFL MEPS) over using a static cut-off MEPS line (as per IEA Tier 1), both styles of which are shown in</w:t>
      </w:r>
      <w:r w:rsidR="00FB0DD4">
        <w:rPr>
          <w:lang w:eastAsia="en-AU"/>
        </w:rPr>
        <w:t xml:space="preserve"> </w:t>
      </w:r>
      <w:r w:rsidR="00B525E0">
        <w:rPr>
          <w:lang w:eastAsia="en-AU"/>
        </w:rPr>
        <w:fldChar w:fldCharType="begin"/>
      </w:r>
      <w:r w:rsidR="004C2089">
        <w:rPr>
          <w:lang w:eastAsia="en-AU"/>
        </w:rPr>
        <w:instrText xml:space="preserve"> REF _Ref424119573 \h </w:instrText>
      </w:r>
      <w:r w:rsidR="00B525E0">
        <w:rPr>
          <w:lang w:eastAsia="en-AU"/>
        </w:rPr>
      </w:r>
      <w:r w:rsidR="00B525E0">
        <w:rPr>
          <w:lang w:eastAsia="en-AU"/>
        </w:rPr>
        <w:fldChar w:fldCharType="separate"/>
      </w:r>
      <w:r w:rsidR="002C13E2">
        <w:t xml:space="preserve">Figure </w:t>
      </w:r>
      <w:r w:rsidR="002C13E2">
        <w:rPr>
          <w:noProof/>
        </w:rPr>
        <w:t>40</w:t>
      </w:r>
      <w:r w:rsidR="00B525E0">
        <w:rPr>
          <w:lang w:eastAsia="en-AU"/>
        </w:rPr>
        <w:fldChar w:fldCharType="end"/>
      </w:r>
      <w:r>
        <w:rPr>
          <w:lang w:eastAsia="en-AU"/>
        </w:rPr>
        <w:t xml:space="preserve">.  However consideration needs to be given as to why these performance </w:t>
      </w:r>
      <w:r w:rsidR="00EE1F9D">
        <w:rPr>
          <w:lang w:eastAsia="en-AU"/>
        </w:rPr>
        <w:t xml:space="preserve">variations </w:t>
      </w:r>
      <w:r>
        <w:rPr>
          <w:lang w:eastAsia="en-AU"/>
        </w:rPr>
        <w:t xml:space="preserve">are emerging and whether a MEPS level that accepted this upward trend may be locking in unnecessarily low efficacy in the lower lumen output range.  </w:t>
      </w:r>
      <w:r w:rsidR="004317A3">
        <w:rPr>
          <w:lang w:eastAsia="en-AU"/>
        </w:rPr>
        <w:t xml:space="preserve">The upward trend may be </w:t>
      </w:r>
      <w:r w:rsidR="00885574">
        <w:rPr>
          <w:lang w:eastAsia="en-AU"/>
        </w:rPr>
        <w:t xml:space="preserve">evident </w:t>
      </w:r>
      <w:r w:rsidR="004317A3">
        <w:rPr>
          <w:lang w:eastAsia="en-AU"/>
        </w:rPr>
        <w:t>for a number of reasons:</w:t>
      </w:r>
    </w:p>
    <w:p w:rsidR="00BB5014" w:rsidRDefault="00BB5014" w:rsidP="00BB5014">
      <w:pPr>
        <w:pStyle w:val="E3Bullets"/>
        <w:rPr>
          <w:lang w:eastAsia="en-AU"/>
        </w:rPr>
      </w:pPr>
      <w:r>
        <w:rPr>
          <w:lang w:eastAsia="en-AU"/>
        </w:rPr>
        <w:t xml:space="preserve">Difficulties in designing smaller retrofit products (including fitting in </w:t>
      </w:r>
      <w:r w:rsidR="00E702FA">
        <w:rPr>
          <w:lang w:eastAsia="en-AU"/>
        </w:rPr>
        <w:t>a</w:t>
      </w:r>
      <w:r>
        <w:rPr>
          <w:lang w:eastAsia="en-AU"/>
        </w:rPr>
        <w:t xml:space="preserve"> satisfactory heat sink), with these products more likely to be in the lower lumen output range. </w:t>
      </w:r>
    </w:p>
    <w:p w:rsidR="00BB5014" w:rsidRDefault="004317A3" w:rsidP="00BB5014">
      <w:pPr>
        <w:pStyle w:val="E3Bullets"/>
        <w:rPr>
          <w:lang w:eastAsia="en-AU"/>
        </w:rPr>
      </w:pPr>
      <w:r>
        <w:rPr>
          <w:lang w:eastAsia="en-AU"/>
        </w:rPr>
        <w:t>C</w:t>
      </w:r>
      <w:r w:rsidR="00365994">
        <w:rPr>
          <w:lang w:eastAsia="en-AU"/>
        </w:rPr>
        <w:t>urrent research and development focus</w:t>
      </w:r>
      <w:r>
        <w:rPr>
          <w:lang w:eastAsia="en-AU"/>
        </w:rPr>
        <w:t>ing</w:t>
      </w:r>
      <w:r w:rsidR="00365994">
        <w:rPr>
          <w:lang w:eastAsia="en-AU"/>
        </w:rPr>
        <w:t xml:space="preserve"> on achieving higher lumen output could be increasing efficacy achieved for those products, </w:t>
      </w:r>
      <w:r>
        <w:rPr>
          <w:lang w:eastAsia="en-AU"/>
        </w:rPr>
        <w:t>(</w:t>
      </w:r>
      <w:r w:rsidR="00365994">
        <w:rPr>
          <w:lang w:eastAsia="en-AU"/>
        </w:rPr>
        <w:t xml:space="preserve">that </w:t>
      </w:r>
      <w:r>
        <w:rPr>
          <w:lang w:eastAsia="en-AU"/>
        </w:rPr>
        <w:t>may later be</w:t>
      </w:r>
      <w:r w:rsidR="00365994">
        <w:rPr>
          <w:lang w:eastAsia="en-AU"/>
        </w:rPr>
        <w:t xml:space="preserve"> transferred to lower lumen output products</w:t>
      </w:r>
      <w:r>
        <w:rPr>
          <w:lang w:eastAsia="en-AU"/>
        </w:rPr>
        <w:t>);</w:t>
      </w:r>
    </w:p>
    <w:p w:rsidR="00172108" w:rsidRDefault="00BB5014" w:rsidP="00BB5014">
      <w:pPr>
        <w:pStyle w:val="E3Bullets"/>
        <w:rPr>
          <w:lang w:eastAsia="en-AU"/>
        </w:rPr>
      </w:pPr>
      <w:r>
        <w:rPr>
          <w:lang w:eastAsia="en-AU"/>
        </w:rPr>
        <w:t>Imports of cheaper, lower quality products are likely to be at the lower light output range.</w:t>
      </w:r>
    </w:p>
    <w:p w:rsidR="00BB5014" w:rsidRDefault="00885574" w:rsidP="00BB5014">
      <w:pPr>
        <w:pStyle w:val="E3BodyText"/>
        <w:rPr>
          <w:lang w:eastAsia="en-AU"/>
        </w:rPr>
      </w:pPr>
      <w:r>
        <w:rPr>
          <w:lang w:eastAsia="en-AU"/>
        </w:rPr>
        <w:t>If t</w:t>
      </w:r>
      <w:r w:rsidR="00BB5014">
        <w:rPr>
          <w:lang w:eastAsia="en-AU"/>
        </w:rPr>
        <w:t xml:space="preserve">he first </w:t>
      </w:r>
      <w:r>
        <w:rPr>
          <w:lang w:eastAsia="en-AU"/>
        </w:rPr>
        <w:t>possibility</w:t>
      </w:r>
      <w:r w:rsidR="00BB5014">
        <w:rPr>
          <w:lang w:eastAsia="en-AU"/>
        </w:rPr>
        <w:t xml:space="preserve"> above </w:t>
      </w:r>
      <w:r>
        <w:rPr>
          <w:lang w:eastAsia="en-AU"/>
        </w:rPr>
        <w:t xml:space="preserve">is found to be </w:t>
      </w:r>
      <w:r w:rsidR="0065240A">
        <w:rPr>
          <w:lang w:eastAsia="en-AU"/>
        </w:rPr>
        <w:t>true</w:t>
      </w:r>
      <w:r>
        <w:rPr>
          <w:lang w:eastAsia="en-AU"/>
        </w:rPr>
        <w:t>, then a MEPS curve</w:t>
      </w:r>
      <w:r w:rsidR="0065240A">
        <w:rPr>
          <w:lang w:eastAsia="en-AU"/>
        </w:rPr>
        <w:t xml:space="preserve"> (or a second lower linear efficacy level for small products) w</w:t>
      </w:r>
      <w:r w:rsidR="00BB5014">
        <w:rPr>
          <w:lang w:eastAsia="en-AU"/>
        </w:rPr>
        <w:t xml:space="preserve">ould be seen </w:t>
      </w:r>
      <w:r w:rsidR="0065240A">
        <w:rPr>
          <w:lang w:eastAsia="en-AU"/>
        </w:rPr>
        <w:t>as warranted due to the</w:t>
      </w:r>
      <w:r w:rsidR="00BB5014">
        <w:rPr>
          <w:lang w:eastAsia="en-AU"/>
        </w:rPr>
        <w:t xml:space="preserve"> current technical constrain</w:t>
      </w:r>
      <w:r w:rsidR="00DC58DC">
        <w:rPr>
          <w:lang w:eastAsia="en-AU"/>
        </w:rPr>
        <w:t>t</w:t>
      </w:r>
      <w:r w:rsidR="00BB5014">
        <w:rPr>
          <w:lang w:eastAsia="en-AU"/>
        </w:rPr>
        <w:t xml:space="preserve">s, however </w:t>
      </w:r>
      <w:r w:rsidR="0065240A">
        <w:rPr>
          <w:lang w:eastAsia="en-AU"/>
        </w:rPr>
        <w:t xml:space="preserve">if either </w:t>
      </w:r>
      <w:r w:rsidR="00BB5014">
        <w:rPr>
          <w:lang w:eastAsia="en-AU"/>
        </w:rPr>
        <w:t xml:space="preserve">the second </w:t>
      </w:r>
      <w:r w:rsidR="0065240A">
        <w:rPr>
          <w:lang w:eastAsia="en-AU"/>
        </w:rPr>
        <w:t>or</w:t>
      </w:r>
      <w:r w:rsidR="00BB5014">
        <w:rPr>
          <w:lang w:eastAsia="en-AU"/>
        </w:rPr>
        <w:t xml:space="preserve"> </w:t>
      </w:r>
      <w:r w:rsidR="00BB5014">
        <w:rPr>
          <w:lang w:eastAsia="en-AU"/>
        </w:rPr>
        <w:lastRenderedPageBreak/>
        <w:t xml:space="preserve">third </w:t>
      </w:r>
      <w:r w:rsidR="0065240A">
        <w:rPr>
          <w:lang w:eastAsia="en-AU"/>
        </w:rPr>
        <w:t xml:space="preserve">possibilities were true, this would </w:t>
      </w:r>
      <w:r w:rsidR="00BB5014">
        <w:rPr>
          <w:lang w:eastAsia="en-AU"/>
        </w:rPr>
        <w:t>suggest that a linear MEPS would result in products of increased efficacy at the lower lumen levels</w:t>
      </w:r>
      <w:r w:rsidR="0065240A">
        <w:rPr>
          <w:lang w:eastAsia="en-AU"/>
        </w:rPr>
        <w:t xml:space="preserve"> on the market</w:t>
      </w:r>
      <w:r w:rsidR="00BB5014">
        <w:rPr>
          <w:lang w:eastAsia="en-AU"/>
        </w:rPr>
        <w:t>.</w:t>
      </w:r>
      <w:r w:rsidR="00EA2737">
        <w:rPr>
          <w:lang w:eastAsia="en-AU"/>
        </w:rPr>
        <w:t xml:space="preserve"> </w:t>
      </w:r>
      <w:r w:rsidR="0065240A" w:rsidRPr="0065240A">
        <w:rPr>
          <w:lang w:eastAsia="en-AU"/>
        </w:rPr>
        <w:t>It is worth noting here that lamps with luminous flux of less than 200 lumens are equivalent to tungsten filament incandescent lamps that are less than 25W and as such are quite ineffective in general lighting applications</w:t>
      </w:r>
      <w:r w:rsidR="0065240A">
        <w:rPr>
          <w:lang w:eastAsia="en-AU"/>
        </w:rPr>
        <w:t xml:space="preserve"> and less relevant in determining the approach to efficacy</w:t>
      </w:r>
      <w:r w:rsidR="0065240A" w:rsidRPr="0065240A">
        <w:rPr>
          <w:lang w:eastAsia="en-AU"/>
        </w:rPr>
        <w:t>.</w:t>
      </w:r>
    </w:p>
    <w:p w:rsidR="00F86E3A" w:rsidRDefault="0063583E" w:rsidP="00F86E3A">
      <w:pPr>
        <w:pStyle w:val="E3BodyText"/>
        <w:keepNext/>
      </w:pPr>
      <w:r>
        <w:rPr>
          <w:noProof/>
          <w:lang w:eastAsia="en-AU"/>
        </w:rPr>
        <w:drawing>
          <wp:inline distT="0" distB="0" distL="0" distR="0" wp14:anchorId="3DB1F1BF" wp14:editId="6E93F6DD">
            <wp:extent cx="6120000" cy="3453846"/>
            <wp:effectExtent l="0" t="0" r="0" b="0"/>
            <wp:docPr id="67" name="Picture 67" descr="Detailed Line and Dot graph displaying Tested Efficacy of Non-directional LED Lamps (USA, EU, Australia, New Zeala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20000" cy="3453846"/>
                    </a:xfrm>
                    <a:prstGeom prst="rect">
                      <a:avLst/>
                    </a:prstGeom>
                    <a:noFill/>
                  </pic:spPr>
                </pic:pic>
              </a:graphicData>
            </a:graphic>
          </wp:inline>
        </w:drawing>
      </w:r>
    </w:p>
    <w:p w:rsidR="00F86E3A" w:rsidRDefault="00E702FA" w:rsidP="00F86E3A">
      <w:pPr>
        <w:pStyle w:val="Caption"/>
      </w:pPr>
      <w:bookmarkStart w:id="237" w:name="_Ref424119573"/>
      <w:bookmarkStart w:id="238" w:name="_Toc426387879"/>
      <w:r>
        <w:t xml:space="preserve">Figure </w:t>
      </w:r>
      <w:r>
        <w:fldChar w:fldCharType="begin"/>
      </w:r>
      <w:r>
        <w:instrText xml:space="preserve"> SEQ Figure \* ARABIC </w:instrText>
      </w:r>
      <w:r>
        <w:fldChar w:fldCharType="separate"/>
      </w:r>
      <w:r w:rsidR="002C13E2">
        <w:rPr>
          <w:noProof/>
        </w:rPr>
        <w:t>40</w:t>
      </w:r>
      <w:r>
        <w:fldChar w:fldCharType="end"/>
      </w:r>
      <w:bookmarkEnd w:id="237"/>
      <w:r>
        <w:t xml:space="preserve">. </w:t>
      </w:r>
      <w:r w:rsidRPr="0028615F">
        <w:t>Tested Efficacy of Non-directional LED Lamps (USA, EU, Australia, New Zealand).</w:t>
      </w:r>
      <w:bookmarkEnd w:id="238"/>
    </w:p>
    <w:p w:rsidR="00854D0B" w:rsidRDefault="00854D0B" w:rsidP="00BB5014">
      <w:pPr>
        <w:pStyle w:val="E3BodyText"/>
        <w:rPr>
          <w:lang w:eastAsia="en-AU"/>
        </w:rPr>
      </w:pPr>
    </w:p>
    <w:p w:rsidR="009A4BDA" w:rsidRDefault="009A4BDA" w:rsidP="009A4BDA">
      <w:pPr>
        <w:pStyle w:val="E3BodyText"/>
        <w:rPr>
          <w:lang w:eastAsia="en-AU"/>
        </w:rPr>
      </w:pPr>
      <w:r>
        <w:rPr>
          <w:lang w:eastAsia="en-AU"/>
        </w:rPr>
        <w:t xml:space="preserve">Test results yielded from the same six international testing programs for directional LED replacement lamps has been subdivided into two categories; lamps with front face diameter ≤ 63.6 mm (20/8”, </w:t>
      </w:r>
      <w:r w:rsidR="00E702FA">
        <w:rPr>
          <w:lang w:eastAsia="en-AU"/>
        </w:rPr>
        <w:t>i.e.</w:t>
      </w:r>
      <w:r>
        <w:rPr>
          <w:lang w:eastAsia="en-AU"/>
        </w:rPr>
        <w:t xml:space="preserve"> PAR 20 size and smaller</w:t>
      </w:r>
      <w:r w:rsidR="00940BD1">
        <w:rPr>
          <w:lang w:eastAsia="en-AU"/>
        </w:rPr>
        <w:t>, which includes MR16</w:t>
      </w:r>
      <w:r>
        <w:rPr>
          <w:lang w:eastAsia="en-AU"/>
        </w:rPr>
        <w:t xml:space="preserve">), and &gt; 63.5 mm (ie.AR111, PAR 30 and larger) as, due to performance gains obtainable by larger lamps, these are categories that IEA 4E SSL have used for directional LED lamps. Efficacy performance results for these categories are in </w:t>
      </w:r>
      <w:r w:rsidR="00B525E0">
        <w:rPr>
          <w:lang w:eastAsia="en-AU"/>
        </w:rPr>
        <w:fldChar w:fldCharType="begin"/>
      </w:r>
      <w:r w:rsidR="00B53DE9">
        <w:rPr>
          <w:lang w:eastAsia="en-AU"/>
        </w:rPr>
        <w:instrText xml:space="preserve"> REF _Ref424119662 \h </w:instrText>
      </w:r>
      <w:r w:rsidR="00B525E0">
        <w:rPr>
          <w:lang w:eastAsia="en-AU"/>
        </w:rPr>
      </w:r>
      <w:r w:rsidR="00B525E0">
        <w:rPr>
          <w:lang w:eastAsia="en-AU"/>
        </w:rPr>
        <w:fldChar w:fldCharType="separate"/>
      </w:r>
      <w:r w:rsidR="002C13E2">
        <w:t xml:space="preserve">Figure </w:t>
      </w:r>
      <w:r w:rsidR="002C13E2">
        <w:rPr>
          <w:noProof/>
        </w:rPr>
        <w:t>41</w:t>
      </w:r>
      <w:r w:rsidR="00B525E0">
        <w:rPr>
          <w:lang w:eastAsia="en-AU"/>
        </w:rPr>
        <w:fldChar w:fldCharType="end"/>
      </w:r>
      <w:r w:rsidR="00CD38A3">
        <w:rPr>
          <w:lang w:eastAsia="en-AU"/>
        </w:rPr>
        <w:t xml:space="preserve"> </w:t>
      </w:r>
      <w:r>
        <w:rPr>
          <w:lang w:eastAsia="en-AU"/>
        </w:rPr>
        <w:t>and</w:t>
      </w:r>
      <w:r w:rsidR="00CD38A3">
        <w:rPr>
          <w:lang w:eastAsia="en-AU"/>
        </w:rPr>
        <w:t xml:space="preserve"> </w:t>
      </w:r>
      <w:r w:rsidR="00B525E0">
        <w:rPr>
          <w:lang w:eastAsia="en-AU"/>
        </w:rPr>
        <w:fldChar w:fldCharType="begin"/>
      </w:r>
      <w:r w:rsidR="00B53DE9">
        <w:rPr>
          <w:lang w:eastAsia="en-AU"/>
        </w:rPr>
        <w:instrText xml:space="preserve"> REF _Ref424119677 \h </w:instrText>
      </w:r>
      <w:r w:rsidR="00B525E0">
        <w:rPr>
          <w:lang w:eastAsia="en-AU"/>
        </w:rPr>
      </w:r>
      <w:r w:rsidR="00B525E0">
        <w:rPr>
          <w:lang w:eastAsia="en-AU"/>
        </w:rPr>
        <w:fldChar w:fldCharType="separate"/>
      </w:r>
      <w:r w:rsidR="002C13E2">
        <w:t xml:space="preserve">Figure </w:t>
      </w:r>
      <w:r w:rsidR="002C13E2">
        <w:rPr>
          <w:noProof/>
        </w:rPr>
        <w:t>42</w:t>
      </w:r>
      <w:r w:rsidR="00B525E0">
        <w:rPr>
          <w:lang w:eastAsia="en-AU"/>
        </w:rPr>
        <w:fldChar w:fldCharType="end"/>
      </w:r>
      <w:r>
        <w:rPr>
          <w:lang w:eastAsia="en-AU"/>
        </w:rPr>
        <w:t>, respectively.</w:t>
      </w:r>
    </w:p>
    <w:p w:rsidR="009A4BDA" w:rsidRDefault="00B525E0" w:rsidP="009A4BDA">
      <w:pPr>
        <w:pStyle w:val="E3BodyText"/>
        <w:rPr>
          <w:lang w:eastAsia="en-AU"/>
        </w:rPr>
      </w:pPr>
      <w:r>
        <w:fldChar w:fldCharType="begin"/>
      </w:r>
      <w:r w:rsidR="00B53DE9">
        <w:instrText xml:space="preserve"> REF _Ref424119662 \h </w:instrText>
      </w:r>
      <w:r>
        <w:fldChar w:fldCharType="separate"/>
      </w:r>
      <w:r w:rsidR="002C13E2">
        <w:t xml:space="preserve">Figure </w:t>
      </w:r>
      <w:r w:rsidR="002C13E2">
        <w:rPr>
          <w:noProof/>
        </w:rPr>
        <w:t>41</w:t>
      </w:r>
      <w:r>
        <w:fldChar w:fldCharType="end"/>
      </w:r>
      <w:r w:rsidR="009A4BDA">
        <w:rPr>
          <w:lang w:eastAsia="en-AU"/>
        </w:rPr>
        <w:t xml:space="preserve"> specifically shows results for</w:t>
      </w:r>
      <w:r w:rsidR="00940BD1">
        <w:rPr>
          <w:lang w:eastAsia="en-AU"/>
        </w:rPr>
        <w:t xml:space="preserve"> 12V lamps: </w:t>
      </w:r>
      <w:r w:rsidR="009A4BDA">
        <w:rPr>
          <w:lang w:eastAsia="en-AU"/>
        </w:rPr>
        <w:t xml:space="preserve"> MR11, MR16,</w:t>
      </w:r>
      <w:r w:rsidR="00940BD1">
        <w:rPr>
          <w:lang w:eastAsia="en-AU"/>
        </w:rPr>
        <w:t xml:space="preserve"> and</w:t>
      </w:r>
      <w:r w:rsidR="00CD38A3">
        <w:rPr>
          <w:lang w:eastAsia="en-AU"/>
        </w:rPr>
        <w:t xml:space="preserve"> </w:t>
      </w:r>
      <w:r w:rsidR="00940BD1">
        <w:rPr>
          <w:lang w:eastAsia="en-AU"/>
        </w:rPr>
        <w:t>240V: PAR16</w:t>
      </w:r>
      <w:r w:rsidR="009A4BDA">
        <w:rPr>
          <w:lang w:eastAsia="en-AU"/>
        </w:rPr>
        <w:t>, R20 and PAR20 lamps. The EU 2013 MEPS and 2016 MEPS</w:t>
      </w:r>
      <w:r w:rsidR="00CD38A3">
        <w:rPr>
          <w:lang w:eastAsia="en-AU"/>
        </w:rPr>
        <w:t xml:space="preserve"> </w:t>
      </w:r>
      <w:r w:rsidR="001A7905" w:rsidRPr="00940BD1">
        <w:rPr>
          <w:lang w:eastAsia="en-AU"/>
        </w:rPr>
        <w:t>(</w:t>
      </w:r>
      <w:r w:rsidR="000463A3">
        <w:rPr>
          <w:lang w:eastAsia="en-AU"/>
        </w:rPr>
        <w:t xml:space="preserve">implementation </w:t>
      </w:r>
      <w:r w:rsidR="001A7905">
        <w:rPr>
          <w:lang w:eastAsia="en-AU"/>
        </w:rPr>
        <w:t>under review</w:t>
      </w:r>
      <w:r w:rsidR="001A7905" w:rsidRPr="00940BD1">
        <w:rPr>
          <w:lang w:eastAsia="en-AU"/>
        </w:rPr>
        <w:t>)</w:t>
      </w:r>
      <w:r w:rsidR="009A4BDA">
        <w:rPr>
          <w:lang w:eastAsia="en-AU"/>
        </w:rPr>
        <w:t xml:space="preserve"> lines for self-ballasted LED are </w:t>
      </w:r>
      <w:r w:rsidR="006A6A1A">
        <w:rPr>
          <w:lang w:eastAsia="en-AU"/>
        </w:rPr>
        <w:t>displayed, as well as IEA Tier 2</w:t>
      </w:r>
      <w:r w:rsidR="009A4BDA">
        <w:rPr>
          <w:lang w:eastAsia="en-AU"/>
        </w:rPr>
        <w:t xml:space="preserve"> for ≤ 63.5 mm diameter lamps, and AU/NZ </w:t>
      </w:r>
      <w:r w:rsidR="006A6A1A">
        <w:rPr>
          <w:lang w:eastAsia="en-AU"/>
        </w:rPr>
        <w:t>reflector</w:t>
      </w:r>
      <w:r w:rsidR="009A4BDA">
        <w:rPr>
          <w:lang w:eastAsia="en-AU"/>
        </w:rPr>
        <w:t xml:space="preserve"> CFL MEPS lines. </w:t>
      </w:r>
      <w:r>
        <w:rPr>
          <w:lang w:eastAsia="en-AU"/>
        </w:rPr>
        <w:fldChar w:fldCharType="begin"/>
      </w:r>
      <w:r w:rsidR="00B53DE9">
        <w:rPr>
          <w:lang w:eastAsia="en-AU"/>
        </w:rPr>
        <w:instrText xml:space="preserve"> REF _Ref424119677 \h </w:instrText>
      </w:r>
      <w:r>
        <w:rPr>
          <w:lang w:eastAsia="en-AU"/>
        </w:rPr>
      </w:r>
      <w:r>
        <w:rPr>
          <w:lang w:eastAsia="en-AU"/>
        </w:rPr>
        <w:fldChar w:fldCharType="separate"/>
      </w:r>
      <w:r w:rsidR="002C13E2">
        <w:t xml:space="preserve">Figure </w:t>
      </w:r>
      <w:r w:rsidR="002C13E2">
        <w:rPr>
          <w:noProof/>
        </w:rPr>
        <w:t>42</w:t>
      </w:r>
      <w:r>
        <w:rPr>
          <w:lang w:eastAsia="en-AU"/>
        </w:rPr>
        <w:fldChar w:fldCharType="end"/>
      </w:r>
      <w:r w:rsidR="00CD38A3">
        <w:rPr>
          <w:lang w:eastAsia="en-AU"/>
        </w:rPr>
        <w:t xml:space="preserve"> </w:t>
      </w:r>
      <w:r w:rsidR="009A4BDA">
        <w:rPr>
          <w:lang w:eastAsia="en-AU"/>
        </w:rPr>
        <w:t xml:space="preserve">shows results for AR111, general R, PAR, BR lamps, as well as R30 and PAR30, R38 and PAR38 lamps. The EU 2013 MEPS and 2016 MEPS lines for self-ballasted LED are displayed, as well as IEA Tier 1 </w:t>
      </w:r>
      <w:r w:rsidR="00881494">
        <w:rPr>
          <w:lang w:eastAsia="en-AU"/>
        </w:rPr>
        <w:t xml:space="preserve">and 2 </w:t>
      </w:r>
      <w:r w:rsidR="009A4BDA">
        <w:rPr>
          <w:lang w:eastAsia="en-AU"/>
        </w:rPr>
        <w:t>for &gt; 63.5 mm diameter lamps, and AU/NZ bare CFL MEPS lines.</w:t>
      </w:r>
    </w:p>
    <w:p w:rsidR="009A4BDA" w:rsidRDefault="009A4BDA" w:rsidP="009A4BDA">
      <w:pPr>
        <w:rPr>
          <w:lang w:eastAsia="en-AU"/>
        </w:rPr>
      </w:pPr>
      <w:r>
        <w:rPr>
          <w:lang w:eastAsia="en-AU"/>
        </w:rPr>
        <w:t>From both charts it would appear that the same upward trend of the efficacy range versus luminous flux is present for directional lamps of all sizes</w:t>
      </w:r>
      <w:r w:rsidR="00932ABE">
        <w:rPr>
          <w:lang w:eastAsia="en-AU"/>
        </w:rPr>
        <w:t xml:space="preserve">. </w:t>
      </w:r>
      <w:r w:rsidR="0017721D">
        <w:rPr>
          <w:lang w:eastAsia="en-AU"/>
        </w:rPr>
        <w:t>T</w:t>
      </w:r>
      <w:r>
        <w:rPr>
          <w:lang w:eastAsia="en-AU"/>
        </w:rPr>
        <w:t xml:space="preserve">his is </w:t>
      </w:r>
      <w:r w:rsidR="009E0C22">
        <w:rPr>
          <w:lang w:eastAsia="en-AU"/>
        </w:rPr>
        <w:t xml:space="preserve">also </w:t>
      </w:r>
      <w:r>
        <w:rPr>
          <w:lang w:eastAsia="en-AU"/>
        </w:rPr>
        <w:t xml:space="preserve">confirmed by the evidence that larger sized lamps (which typically supply higher lumens) are shown to be significantly better performers, even at the same luminous flux level as their smaller packaged equivalents. </w:t>
      </w:r>
      <w:r w:rsidR="006A6A1A" w:rsidRPr="006A6A1A">
        <w:rPr>
          <w:lang w:eastAsia="en-AU"/>
        </w:rPr>
        <w:t>Again it is worth noting the minimum light output that would be expected from traditional lamps for general lighting applications. For small diameter (&lt;63mm) lamps, a minimum luminous flux of approximately 120 lumens would be provided by tungsten filament incandescent reflector lamps (PAR and R types) that are 20W or more. And, for larger diameter (&gt;63mm) lamps, a minimum luminous flux of approximately 350 lumens would be provided by tungsten filament incandescent reflector lamps (PAR and R types) that are 50W or more.</w:t>
      </w:r>
    </w:p>
    <w:p w:rsidR="009A4BDA" w:rsidRDefault="006A6A1A" w:rsidP="009A4BDA">
      <w:pPr>
        <w:rPr>
          <w:lang w:eastAsia="en-AU"/>
        </w:rPr>
      </w:pPr>
      <w:r>
        <w:rPr>
          <w:lang w:eastAsia="en-AU"/>
        </w:rPr>
        <w:t>In relation to the IEA Tier 2</w:t>
      </w:r>
      <w:r w:rsidR="009A4BDA">
        <w:rPr>
          <w:lang w:eastAsia="en-AU"/>
        </w:rPr>
        <w:t xml:space="preserve"> and EU MEPS levels </w:t>
      </w:r>
      <w:r w:rsidR="009A4BDA">
        <w:t>fo</w:t>
      </w:r>
      <w:r w:rsidR="00E702FA">
        <w:t>r all sizes of directional lamp</w:t>
      </w:r>
      <w:r w:rsidR="009A4BDA">
        <w:rPr>
          <w:lang w:eastAsia="en-AU"/>
        </w:rPr>
        <w:t>:</w:t>
      </w:r>
    </w:p>
    <w:p w:rsidR="009A4BDA" w:rsidRDefault="009A4BDA" w:rsidP="009A4BDA">
      <w:pPr>
        <w:pStyle w:val="E3Bullets"/>
      </w:pPr>
      <w:r>
        <w:t xml:space="preserve">Only LED lamps at </w:t>
      </w:r>
      <w:r w:rsidR="006A6A1A">
        <w:t>mid to low lumen output</w:t>
      </w:r>
      <w:r>
        <w:t xml:space="preserve"> are effectively</w:t>
      </w:r>
      <w:r w:rsidR="006A6A1A">
        <w:t xml:space="preserve"> targeted by the flat IEA Tier 2</w:t>
      </w:r>
      <w:r>
        <w:t xml:space="preserve"> MEPS line; this means that the range of </w:t>
      </w:r>
      <w:r w:rsidR="006A6A1A">
        <w:t xml:space="preserve">available </w:t>
      </w:r>
      <w:r>
        <w:t xml:space="preserve">lamps will be curtailed for lower lumen products, but </w:t>
      </w:r>
      <w:r w:rsidR="006A6A1A">
        <w:t xml:space="preserve">the majority of </w:t>
      </w:r>
      <w:r>
        <w:t xml:space="preserve"> present</w:t>
      </w:r>
      <w:r w:rsidR="006A6A1A">
        <w:t>ly available lamp</w:t>
      </w:r>
      <w:r>
        <w:t xml:space="preserve"> stock at higher lumens would be allowed to remain in the market. This would result in a broader range of products remaining available for larger profile lamps at the high lumen end.</w:t>
      </w:r>
    </w:p>
    <w:p w:rsidR="009A4BDA" w:rsidRDefault="009A4BDA" w:rsidP="006A6A1A">
      <w:pPr>
        <w:pStyle w:val="E3Bullets"/>
      </w:pPr>
      <w:r>
        <w:lastRenderedPageBreak/>
        <w:t>Only one model fails to meet the 2013 EU MEPS; however more than half of all models tested would not meet the requirements of 2016 EU MEPS</w:t>
      </w:r>
      <w:r w:rsidR="009E0C22">
        <w:t xml:space="preserve"> (timing under review)</w:t>
      </w:r>
      <w:r>
        <w:t>.</w:t>
      </w:r>
    </w:p>
    <w:p w:rsidR="009A4BDA" w:rsidRDefault="009A4BDA" w:rsidP="009E0C22">
      <w:pPr>
        <w:pStyle w:val="E3Bullets"/>
      </w:pPr>
      <w:r>
        <w:t>AU</w:t>
      </w:r>
      <w:r w:rsidR="006A6A1A">
        <w:t>/NZ reflector</w:t>
      </w:r>
      <w:r>
        <w:t xml:space="preserve"> CFL MEPS is </w:t>
      </w:r>
      <w:r w:rsidR="006A6A1A">
        <w:t>slightly more stringent than</w:t>
      </w:r>
      <w:r>
        <w:t xml:space="preserve"> EU 201</w:t>
      </w:r>
      <w:r w:rsidR="006A6A1A">
        <w:t>3</w:t>
      </w:r>
      <w:r w:rsidR="009E0C22">
        <w:t xml:space="preserve"> MEPS for self-ballasted LED. If </w:t>
      </w:r>
      <w:r w:rsidR="009E0C22" w:rsidRPr="009E0C22">
        <w:t xml:space="preserve">enforced instead, benefits would be marginal </w:t>
      </w:r>
      <w:r w:rsidR="009E0C22">
        <w:t xml:space="preserve">with </w:t>
      </w:r>
      <w:r w:rsidR="00E702FA" w:rsidRPr="009E0C22">
        <w:t>only a</w:t>
      </w:r>
      <w:r w:rsidR="009E0C22" w:rsidRPr="009E0C22">
        <w:t xml:space="preserve"> few more of the (tested) LED products removed from the market</w:t>
      </w:r>
      <w:r>
        <w:t>.</w:t>
      </w:r>
    </w:p>
    <w:p w:rsidR="004E0F37" w:rsidRDefault="00DE2172" w:rsidP="004E0F37">
      <w:pPr>
        <w:pStyle w:val="E3BodyText"/>
        <w:keepNext/>
      </w:pPr>
      <w:r>
        <w:rPr>
          <w:noProof/>
          <w:lang w:eastAsia="en-AU"/>
        </w:rPr>
        <w:drawing>
          <wp:inline distT="0" distB="0" distL="0" distR="0" wp14:anchorId="3D726B41" wp14:editId="698976E6">
            <wp:extent cx="6120000" cy="3813499"/>
            <wp:effectExtent l="0" t="0" r="0" b="0"/>
            <wp:docPr id="69" name="Picture 69" descr="Detailed line and dot graph displaying Efficacy levels of directional LED lamps with face diameter up to 63.5 mm (20/8”), across six international testing programs.&#10;&#10;Y Axis - Efficacy&#10;X Axis - Luminous Flu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0000" cy="3813499"/>
                    </a:xfrm>
                    <a:prstGeom prst="rect">
                      <a:avLst/>
                    </a:prstGeom>
                    <a:noFill/>
                  </pic:spPr>
                </pic:pic>
              </a:graphicData>
            </a:graphic>
          </wp:inline>
        </w:drawing>
      </w:r>
    </w:p>
    <w:p w:rsidR="007A2E52" w:rsidRDefault="004E0F37" w:rsidP="004E0F37">
      <w:pPr>
        <w:pStyle w:val="Caption"/>
      </w:pPr>
      <w:bookmarkStart w:id="239" w:name="_Ref424119662"/>
      <w:bookmarkStart w:id="240" w:name="_Toc426387880"/>
      <w:r>
        <w:t xml:space="preserve">Figure </w:t>
      </w:r>
      <w:r w:rsidR="00B525E0">
        <w:fldChar w:fldCharType="begin"/>
      </w:r>
      <w:r>
        <w:instrText xml:space="preserve"> SEQ Figure \* ARABIC </w:instrText>
      </w:r>
      <w:r w:rsidR="00B525E0">
        <w:fldChar w:fldCharType="separate"/>
      </w:r>
      <w:r w:rsidR="002C13E2">
        <w:rPr>
          <w:noProof/>
        </w:rPr>
        <w:t>41</w:t>
      </w:r>
      <w:r w:rsidR="00B525E0">
        <w:fldChar w:fldCharType="end"/>
      </w:r>
      <w:bookmarkEnd w:id="239"/>
      <w:r>
        <w:t>.</w:t>
      </w:r>
      <w:r w:rsidRPr="00A40BC2">
        <w:t>Efficacy levels of directional LED lamps with face diameter up to 63.5 mm (20/8”), across six international testing programs.</w:t>
      </w:r>
      <w:bookmarkEnd w:id="240"/>
    </w:p>
    <w:p w:rsidR="004E0F37" w:rsidRDefault="00BA60C8" w:rsidP="004E0F37">
      <w:pPr>
        <w:pStyle w:val="E3BodyText"/>
        <w:keepNext/>
      </w:pPr>
      <w:r>
        <w:rPr>
          <w:noProof/>
          <w:lang w:eastAsia="en-AU"/>
        </w:rPr>
        <w:lastRenderedPageBreak/>
        <w:drawing>
          <wp:inline distT="0" distB="0" distL="0" distR="0" wp14:anchorId="59A35109" wp14:editId="6968AD4B">
            <wp:extent cx="6120000" cy="3816000"/>
            <wp:effectExtent l="0" t="0" r="0" b="0"/>
            <wp:docPr id="70" name="Picture 70" descr="Detailed line and dot graph displaying Efficacy levels of directional LED lamps with face diameter up to 63.5 mm (20/8”) across five international testing program&#10;&#10;Y Axis - Efficacy&#10;X Axis - Luminous Flu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20000" cy="3816000"/>
                    </a:xfrm>
                    <a:prstGeom prst="rect">
                      <a:avLst/>
                    </a:prstGeom>
                    <a:noFill/>
                  </pic:spPr>
                </pic:pic>
              </a:graphicData>
            </a:graphic>
          </wp:inline>
        </w:drawing>
      </w:r>
    </w:p>
    <w:p w:rsidR="009A4BDA" w:rsidRDefault="004E0F37" w:rsidP="004E0F37">
      <w:pPr>
        <w:pStyle w:val="Caption"/>
      </w:pPr>
      <w:bookmarkStart w:id="241" w:name="_Ref424119677"/>
      <w:bookmarkStart w:id="242" w:name="_Toc426387881"/>
      <w:r>
        <w:t xml:space="preserve">Figure </w:t>
      </w:r>
      <w:r w:rsidR="00B525E0">
        <w:fldChar w:fldCharType="begin"/>
      </w:r>
      <w:r>
        <w:instrText xml:space="preserve"> SEQ Figure \* ARABIC </w:instrText>
      </w:r>
      <w:r w:rsidR="00B525E0">
        <w:fldChar w:fldCharType="separate"/>
      </w:r>
      <w:r w:rsidR="002C13E2">
        <w:rPr>
          <w:noProof/>
        </w:rPr>
        <w:t>42</w:t>
      </w:r>
      <w:r w:rsidR="00B525E0">
        <w:fldChar w:fldCharType="end"/>
      </w:r>
      <w:bookmarkEnd w:id="241"/>
      <w:r>
        <w:t>.</w:t>
      </w:r>
      <w:r w:rsidRPr="00CC3A3E">
        <w:t>Efficacy levels of directional LED lamps with face diameter greater than 63.5 mm (20/8”), across five international testing programs.</w:t>
      </w:r>
      <w:bookmarkEnd w:id="242"/>
    </w:p>
    <w:p w:rsidR="009A4BDA" w:rsidRDefault="009A4BDA" w:rsidP="009A4BDA">
      <w:pPr>
        <w:rPr>
          <w:lang w:eastAsia="en-AU"/>
        </w:rPr>
      </w:pPr>
      <w:r>
        <w:rPr>
          <w:lang w:eastAsia="en-AU"/>
        </w:rPr>
        <w:t>Between 2009 and 201</w:t>
      </w:r>
      <w:r w:rsidR="00277BD9">
        <w:rPr>
          <w:lang w:eastAsia="en-AU"/>
        </w:rPr>
        <w:t>4</w:t>
      </w:r>
      <w:r>
        <w:rPr>
          <w:lang w:eastAsia="en-AU"/>
        </w:rPr>
        <w:t xml:space="preserve"> lamps were purchased and tested by the Austral</w:t>
      </w:r>
      <w:r w:rsidR="009E0C22">
        <w:rPr>
          <w:lang w:eastAsia="en-AU"/>
        </w:rPr>
        <w:t>ian and New Zealand Governments. R</w:t>
      </w:r>
      <w:r>
        <w:rPr>
          <w:lang w:eastAsia="en-AU"/>
        </w:rPr>
        <w:t xml:space="preserve">esults from this testing is displayed </w:t>
      </w:r>
      <w:r w:rsidR="009E0C22">
        <w:rPr>
          <w:lang w:eastAsia="en-AU"/>
        </w:rPr>
        <w:t xml:space="preserve">in </w:t>
      </w:r>
      <w:r>
        <w:rPr>
          <w:lang w:eastAsia="en-AU"/>
        </w:rPr>
        <w:t xml:space="preserve">separate </w:t>
      </w:r>
      <w:r w:rsidR="00D50015">
        <w:rPr>
          <w:lang w:eastAsia="en-AU"/>
        </w:rPr>
        <w:t xml:space="preserve">tables and </w:t>
      </w:r>
      <w:r>
        <w:rPr>
          <w:lang w:eastAsia="en-AU"/>
        </w:rPr>
        <w:t>charts for omnidirectional (</w:t>
      </w:r>
      <w:r w:rsidR="00D50015">
        <w:rPr>
          <w:lang w:eastAsia="en-AU"/>
        </w:rPr>
        <w:fldChar w:fldCharType="begin"/>
      </w:r>
      <w:r w:rsidR="00D50015">
        <w:rPr>
          <w:lang w:eastAsia="en-AU"/>
        </w:rPr>
        <w:instrText xml:space="preserve"> REF _Ref424728311 \h </w:instrText>
      </w:r>
      <w:r w:rsidR="00D50015">
        <w:rPr>
          <w:lang w:eastAsia="en-AU"/>
        </w:rPr>
      </w:r>
      <w:r w:rsidR="00D50015">
        <w:rPr>
          <w:lang w:eastAsia="en-AU"/>
        </w:rPr>
        <w:fldChar w:fldCharType="separate"/>
      </w:r>
      <w:r w:rsidR="002C13E2">
        <w:t xml:space="preserve">Table </w:t>
      </w:r>
      <w:r w:rsidR="002C13E2">
        <w:rPr>
          <w:noProof/>
        </w:rPr>
        <w:t>14</w:t>
      </w:r>
      <w:r w:rsidR="00D50015">
        <w:rPr>
          <w:lang w:eastAsia="en-AU"/>
        </w:rPr>
        <w:fldChar w:fldCharType="end"/>
      </w:r>
      <w:r w:rsidR="00D50015">
        <w:rPr>
          <w:lang w:eastAsia="en-AU"/>
        </w:rPr>
        <w:t xml:space="preserve"> and </w:t>
      </w:r>
      <w:r w:rsidR="00B525E0">
        <w:rPr>
          <w:lang w:eastAsia="en-AU"/>
        </w:rPr>
        <w:fldChar w:fldCharType="begin"/>
      </w:r>
      <w:r w:rsidR="00B53DE9">
        <w:rPr>
          <w:lang w:eastAsia="en-AU"/>
        </w:rPr>
        <w:instrText xml:space="preserve"> REF _Ref424119758 \h </w:instrText>
      </w:r>
      <w:r w:rsidR="00B525E0">
        <w:rPr>
          <w:lang w:eastAsia="en-AU"/>
        </w:rPr>
      </w:r>
      <w:r w:rsidR="00B525E0">
        <w:rPr>
          <w:lang w:eastAsia="en-AU"/>
        </w:rPr>
        <w:fldChar w:fldCharType="separate"/>
      </w:r>
      <w:r w:rsidR="002C13E2">
        <w:t xml:space="preserve">Figure </w:t>
      </w:r>
      <w:r w:rsidR="002C13E2">
        <w:rPr>
          <w:noProof/>
        </w:rPr>
        <w:t>45</w:t>
      </w:r>
      <w:r w:rsidR="00B525E0">
        <w:rPr>
          <w:lang w:eastAsia="en-AU"/>
        </w:rPr>
        <w:fldChar w:fldCharType="end"/>
      </w:r>
      <w:r>
        <w:rPr>
          <w:lang w:eastAsia="en-AU"/>
        </w:rPr>
        <w:t>) and directional (</w:t>
      </w:r>
      <w:r w:rsidR="00D50015">
        <w:rPr>
          <w:lang w:eastAsia="en-AU"/>
        </w:rPr>
        <w:fldChar w:fldCharType="begin"/>
      </w:r>
      <w:r w:rsidR="00D50015">
        <w:rPr>
          <w:lang w:eastAsia="en-AU"/>
        </w:rPr>
        <w:instrText xml:space="preserve"> REF _Ref424728368 \h </w:instrText>
      </w:r>
      <w:r w:rsidR="00D50015">
        <w:rPr>
          <w:lang w:eastAsia="en-AU"/>
        </w:rPr>
      </w:r>
      <w:r w:rsidR="00D50015">
        <w:rPr>
          <w:lang w:eastAsia="en-AU"/>
        </w:rPr>
        <w:fldChar w:fldCharType="separate"/>
      </w:r>
      <w:r w:rsidR="002C13E2">
        <w:t xml:space="preserve">Table </w:t>
      </w:r>
      <w:r w:rsidR="002C13E2">
        <w:rPr>
          <w:noProof/>
        </w:rPr>
        <w:t>15</w:t>
      </w:r>
      <w:r w:rsidR="00D50015">
        <w:rPr>
          <w:lang w:eastAsia="en-AU"/>
        </w:rPr>
        <w:fldChar w:fldCharType="end"/>
      </w:r>
      <w:r w:rsidR="00D50015">
        <w:rPr>
          <w:lang w:eastAsia="en-AU"/>
        </w:rPr>
        <w:t xml:space="preserve">, </w:t>
      </w:r>
      <w:r w:rsidR="00D50015">
        <w:rPr>
          <w:lang w:eastAsia="en-AU"/>
        </w:rPr>
        <w:fldChar w:fldCharType="begin"/>
      </w:r>
      <w:r w:rsidR="00D50015">
        <w:rPr>
          <w:lang w:eastAsia="en-AU"/>
        </w:rPr>
        <w:instrText xml:space="preserve"> REF _Ref424728376 \h </w:instrText>
      </w:r>
      <w:r w:rsidR="00D50015">
        <w:rPr>
          <w:lang w:eastAsia="en-AU"/>
        </w:rPr>
      </w:r>
      <w:r w:rsidR="00D50015">
        <w:rPr>
          <w:lang w:eastAsia="en-AU"/>
        </w:rPr>
        <w:fldChar w:fldCharType="separate"/>
      </w:r>
      <w:r w:rsidR="002C13E2">
        <w:t xml:space="preserve">Table </w:t>
      </w:r>
      <w:r w:rsidR="002C13E2">
        <w:rPr>
          <w:noProof/>
        </w:rPr>
        <w:t>16</w:t>
      </w:r>
      <w:r w:rsidR="00D50015">
        <w:rPr>
          <w:lang w:eastAsia="en-AU"/>
        </w:rPr>
        <w:fldChar w:fldCharType="end"/>
      </w:r>
      <w:r w:rsidR="00D50015">
        <w:rPr>
          <w:lang w:eastAsia="en-AU"/>
        </w:rPr>
        <w:t xml:space="preserve">, </w:t>
      </w:r>
      <w:r>
        <w:rPr>
          <w:lang w:eastAsia="en-AU"/>
        </w:rPr>
        <w:t>all sizes,</w:t>
      </w:r>
      <w:r w:rsidR="00932ABE">
        <w:rPr>
          <w:lang w:eastAsia="en-AU"/>
        </w:rPr>
        <w:t xml:space="preserve"> </w:t>
      </w:r>
      <w:r w:rsidR="00B525E0">
        <w:rPr>
          <w:lang w:eastAsia="en-AU"/>
        </w:rPr>
        <w:fldChar w:fldCharType="begin"/>
      </w:r>
      <w:r w:rsidR="00B53DE9">
        <w:rPr>
          <w:lang w:eastAsia="en-AU"/>
        </w:rPr>
        <w:instrText xml:space="preserve"> REF _Ref424119769 \h </w:instrText>
      </w:r>
      <w:r w:rsidR="00B525E0">
        <w:rPr>
          <w:lang w:eastAsia="en-AU"/>
        </w:rPr>
      </w:r>
      <w:r w:rsidR="00B525E0">
        <w:rPr>
          <w:lang w:eastAsia="en-AU"/>
        </w:rPr>
        <w:fldChar w:fldCharType="separate"/>
      </w:r>
      <w:r w:rsidR="002C13E2">
        <w:t xml:space="preserve">Figure </w:t>
      </w:r>
      <w:r w:rsidR="002C13E2">
        <w:rPr>
          <w:noProof/>
        </w:rPr>
        <w:t>46</w:t>
      </w:r>
      <w:r w:rsidR="00B525E0">
        <w:rPr>
          <w:lang w:eastAsia="en-AU"/>
        </w:rPr>
        <w:fldChar w:fldCharType="end"/>
      </w:r>
      <w:r>
        <w:rPr>
          <w:lang w:eastAsia="en-AU"/>
        </w:rPr>
        <w:t xml:space="preserve">) LED lamps. Also displayed are the Australian MEPS levels for bare CFL and incandescent lamps, IEA Tier 1 </w:t>
      </w:r>
      <w:r w:rsidR="001A7905" w:rsidRPr="00DC65DC">
        <w:rPr>
          <w:lang w:eastAsia="en-AU"/>
        </w:rPr>
        <w:t>and 2</w:t>
      </w:r>
      <w:r w:rsidR="00DC65DC">
        <w:rPr>
          <w:lang w:eastAsia="en-AU"/>
        </w:rPr>
        <w:t xml:space="preserve"> </w:t>
      </w:r>
      <w:r>
        <w:rPr>
          <w:lang w:eastAsia="en-AU"/>
        </w:rPr>
        <w:t>MEPS for all diameters of LED lamp,</w:t>
      </w:r>
      <w:r w:rsidR="00932ABE">
        <w:rPr>
          <w:lang w:eastAsia="en-AU"/>
        </w:rPr>
        <w:t xml:space="preserve"> </w:t>
      </w:r>
      <w:r>
        <w:rPr>
          <w:lang w:eastAsia="en-AU"/>
        </w:rPr>
        <w:t xml:space="preserve">EU 2013 and 2016 </w:t>
      </w:r>
      <w:r w:rsidR="00277BD9">
        <w:rPr>
          <w:lang w:eastAsia="en-AU"/>
        </w:rPr>
        <w:t xml:space="preserve">(deferred to 2018) </w:t>
      </w:r>
      <w:r>
        <w:rPr>
          <w:lang w:eastAsia="en-AU"/>
        </w:rPr>
        <w:t>MEPS curves, as well as EU HEPS (higher energy performance standards) levels</w:t>
      </w:r>
      <w:r w:rsidR="00277BD9">
        <w:rPr>
          <w:lang w:eastAsia="en-AU"/>
        </w:rPr>
        <w:t xml:space="preserve"> used for the EU Energy Label</w:t>
      </w:r>
      <w:r>
        <w:rPr>
          <w:lang w:eastAsia="en-AU"/>
        </w:rPr>
        <w:t xml:space="preserve">. </w:t>
      </w:r>
    </w:p>
    <w:p w:rsidR="00277BD9" w:rsidRDefault="00B115FC" w:rsidP="00277BD9">
      <w:pPr>
        <w:rPr>
          <w:lang w:eastAsia="en-AU"/>
        </w:rPr>
      </w:pPr>
      <w:r>
        <w:rPr>
          <w:lang w:eastAsia="en-AU"/>
        </w:rPr>
        <w:t>Results</w:t>
      </w:r>
      <w:r w:rsidR="00932ABE">
        <w:rPr>
          <w:lang w:eastAsia="en-AU"/>
        </w:rPr>
        <w:t xml:space="preserve"> </w:t>
      </w:r>
      <w:r w:rsidR="00277BD9" w:rsidRPr="00277BD9">
        <w:rPr>
          <w:lang w:eastAsia="en-AU"/>
        </w:rPr>
        <w:t xml:space="preserve">show that </w:t>
      </w:r>
      <w:r w:rsidR="00FF748B">
        <w:rPr>
          <w:lang w:eastAsia="en-AU"/>
        </w:rPr>
        <w:t>a 75% of</w:t>
      </w:r>
      <w:r w:rsidR="00277BD9" w:rsidRPr="00277BD9">
        <w:rPr>
          <w:lang w:eastAsia="en-AU"/>
        </w:rPr>
        <w:t xml:space="preserve"> omnidirectional</w:t>
      </w:r>
      <w:r w:rsidR="009E0C22">
        <w:rPr>
          <w:lang w:eastAsia="en-AU"/>
        </w:rPr>
        <w:t xml:space="preserve"> LED lamps purchased after 2010</w:t>
      </w:r>
      <w:r w:rsidR="00277BD9" w:rsidRPr="00277BD9">
        <w:rPr>
          <w:lang w:eastAsia="en-AU"/>
        </w:rPr>
        <w:t xml:space="preserve"> would meet Australian bare CFL MEPS levels; whereas this has only been the case since 2013 for meeting the 2016 (deferred to 2018) EU MEPS for self-ballasted LED lamps.</w:t>
      </w:r>
      <w:r>
        <w:rPr>
          <w:lang w:eastAsia="en-AU"/>
        </w:rPr>
        <w:t xml:space="preserve">  </w:t>
      </w:r>
      <w:r w:rsidR="00FF748B">
        <w:rPr>
          <w:lang w:eastAsia="en-AU"/>
        </w:rPr>
        <w:t>57</w:t>
      </w:r>
      <w:r>
        <w:rPr>
          <w:lang w:eastAsia="en-AU"/>
        </w:rPr>
        <w:t xml:space="preserve">% of omnidirectional lamps would meet the 4E SSL tier 1, with </w:t>
      </w:r>
      <w:r w:rsidR="00FF748B" w:rsidRPr="00DC65DC">
        <w:rPr>
          <w:lang w:eastAsia="en-AU"/>
        </w:rPr>
        <w:t>34</w:t>
      </w:r>
      <w:r w:rsidRPr="00DC65DC">
        <w:rPr>
          <w:lang w:eastAsia="en-AU"/>
        </w:rPr>
        <w:t>%</w:t>
      </w:r>
      <w:r>
        <w:rPr>
          <w:lang w:eastAsia="en-AU"/>
        </w:rPr>
        <w:t xml:space="preserve"> meeting Tier 2</w:t>
      </w:r>
      <w:r w:rsidR="00FF748B">
        <w:rPr>
          <w:lang w:eastAsia="en-AU"/>
        </w:rPr>
        <w:t xml:space="preserve"> (</w:t>
      </w:r>
      <w:r w:rsidR="00FF748B">
        <w:rPr>
          <w:lang w:eastAsia="en-AU"/>
        </w:rPr>
        <w:fldChar w:fldCharType="begin"/>
      </w:r>
      <w:r w:rsidR="00FF748B">
        <w:rPr>
          <w:lang w:eastAsia="en-AU"/>
        </w:rPr>
        <w:instrText xml:space="preserve"> REF _Ref424728239 \h </w:instrText>
      </w:r>
      <w:r w:rsidR="00FF748B">
        <w:rPr>
          <w:lang w:eastAsia="en-AU"/>
        </w:rPr>
      </w:r>
      <w:r w:rsidR="00FF748B">
        <w:rPr>
          <w:lang w:eastAsia="en-AU"/>
        </w:rPr>
        <w:fldChar w:fldCharType="separate"/>
      </w:r>
      <w:r w:rsidR="002C13E2">
        <w:t xml:space="preserve">Figure </w:t>
      </w:r>
      <w:r w:rsidR="002C13E2">
        <w:rPr>
          <w:noProof/>
        </w:rPr>
        <w:t>43</w:t>
      </w:r>
      <w:r w:rsidR="00FF748B">
        <w:rPr>
          <w:lang w:eastAsia="en-AU"/>
        </w:rPr>
        <w:fldChar w:fldCharType="end"/>
      </w:r>
      <w:r w:rsidR="00FF748B">
        <w:rPr>
          <w:lang w:eastAsia="en-AU"/>
        </w:rPr>
        <w:t>)</w:t>
      </w:r>
      <w:r>
        <w:rPr>
          <w:lang w:eastAsia="en-AU"/>
        </w:rPr>
        <w:t>.</w:t>
      </w:r>
    </w:p>
    <w:p w:rsidR="00EF39BB" w:rsidRDefault="00EF39BB" w:rsidP="00EF39BB">
      <w:pPr>
        <w:pStyle w:val="Caption"/>
        <w:keepNext/>
      </w:pPr>
      <w:bookmarkStart w:id="243" w:name="_Ref424728311"/>
      <w:bookmarkStart w:id="244" w:name="_Toc426387829"/>
      <w:r>
        <w:t xml:space="preserve">Table </w:t>
      </w:r>
      <w:r w:rsidR="00B525E0">
        <w:fldChar w:fldCharType="begin"/>
      </w:r>
      <w:r>
        <w:instrText xml:space="preserve"> SEQ Table \* ARABIC </w:instrText>
      </w:r>
      <w:r w:rsidR="00B525E0">
        <w:fldChar w:fldCharType="separate"/>
      </w:r>
      <w:r w:rsidR="002C13E2">
        <w:rPr>
          <w:noProof/>
        </w:rPr>
        <w:t>14</w:t>
      </w:r>
      <w:r w:rsidR="00B525E0">
        <w:fldChar w:fldCharType="end"/>
      </w:r>
      <w:bookmarkEnd w:id="243"/>
      <w:r>
        <w:t>.</w:t>
      </w:r>
      <w:r w:rsidRPr="00B502ED">
        <w:t xml:space="preserve">Number of Australia / New Zealand Omnidirectional </w:t>
      </w:r>
      <w:r w:rsidR="006540A8">
        <w:t xml:space="preserve">LED </w:t>
      </w:r>
      <w:r w:rsidRPr="00B502ED">
        <w:t>Lamps that would pass a range of possible MEPS efficacy levels (by year of purchase)</w:t>
      </w:r>
      <w:bookmarkEnd w:id="244"/>
    </w:p>
    <w:tbl>
      <w:tblPr>
        <w:tblStyle w:val="TableGrid"/>
        <w:tblW w:w="5000" w:type="pct"/>
        <w:tblLook w:val="04A0" w:firstRow="1" w:lastRow="0" w:firstColumn="1" w:lastColumn="0" w:noHBand="0" w:noVBand="1"/>
      </w:tblPr>
      <w:tblGrid>
        <w:gridCol w:w="1200"/>
        <w:gridCol w:w="1279"/>
        <w:gridCol w:w="1809"/>
        <w:gridCol w:w="1080"/>
        <w:gridCol w:w="1080"/>
        <w:gridCol w:w="1303"/>
        <w:gridCol w:w="1004"/>
        <w:gridCol w:w="1100"/>
      </w:tblGrid>
      <w:tr w:rsidR="00EF39BB" w:rsidTr="006224FD">
        <w:trPr>
          <w:trHeight w:val="389"/>
          <w:tblHeader/>
        </w:trPr>
        <w:tc>
          <w:tcPr>
            <w:tcW w:w="1200" w:type="dxa"/>
            <w:vMerge w:val="restart"/>
          </w:tcPr>
          <w:p w:rsidR="00EF39BB" w:rsidRDefault="00EF39BB" w:rsidP="00D10579">
            <w:pPr>
              <w:jc w:val="center"/>
              <w:rPr>
                <w:lang w:val="en-US"/>
              </w:rPr>
            </w:pPr>
            <w:r>
              <w:rPr>
                <w:lang w:val="en-US"/>
              </w:rPr>
              <w:t>Year of purchase</w:t>
            </w:r>
          </w:p>
        </w:tc>
        <w:tc>
          <w:tcPr>
            <w:tcW w:w="1279" w:type="dxa"/>
            <w:vMerge w:val="restart"/>
          </w:tcPr>
          <w:p w:rsidR="00EF39BB" w:rsidRDefault="00EF39BB" w:rsidP="00D10579">
            <w:pPr>
              <w:jc w:val="center"/>
              <w:rPr>
                <w:lang w:val="en-US"/>
              </w:rPr>
            </w:pPr>
            <w:r>
              <w:rPr>
                <w:lang w:val="en-US"/>
              </w:rPr>
              <w:t>No of lamps purchased</w:t>
            </w:r>
          </w:p>
        </w:tc>
        <w:tc>
          <w:tcPr>
            <w:tcW w:w="1809" w:type="dxa"/>
          </w:tcPr>
          <w:p w:rsidR="00EF39BB" w:rsidRDefault="00EF39BB" w:rsidP="00D10579">
            <w:pPr>
              <w:jc w:val="center"/>
              <w:rPr>
                <w:lang w:val="en-US"/>
              </w:rPr>
            </w:pPr>
            <w:r>
              <w:rPr>
                <w:lang w:val="en-US"/>
              </w:rPr>
              <w:t>Pass AU/NZ MEPS bare CFL</w:t>
            </w:r>
          </w:p>
        </w:tc>
        <w:tc>
          <w:tcPr>
            <w:tcW w:w="3463" w:type="dxa"/>
            <w:gridSpan w:val="3"/>
          </w:tcPr>
          <w:p w:rsidR="00EF39BB" w:rsidRDefault="00EF39BB" w:rsidP="00D10579">
            <w:pPr>
              <w:jc w:val="center"/>
              <w:rPr>
                <w:lang w:val="en-US"/>
              </w:rPr>
            </w:pPr>
            <w:r>
              <w:rPr>
                <w:lang w:val="en-US"/>
              </w:rPr>
              <w:t>Pass EU MEPS</w:t>
            </w:r>
          </w:p>
        </w:tc>
        <w:tc>
          <w:tcPr>
            <w:tcW w:w="2104" w:type="dxa"/>
            <w:gridSpan w:val="2"/>
          </w:tcPr>
          <w:p w:rsidR="00EF39BB" w:rsidRDefault="00EF39BB" w:rsidP="00D10579">
            <w:pPr>
              <w:jc w:val="center"/>
              <w:rPr>
                <w:lang w:val="en-US"/>
              </w:rPr>
            </w:pPr>
            <w:r>
              <w:rPr>
                <w:lang w:val="en-US"/>
              </w:rPr>
              <w:t>Pass IEA 4E-SSL</w:t>
            </w:r>
          </w:p>
        </w:tc>
      </w:tr>
      <w:tr w:rsidR="00EF39BB" w:rsidTr="006224FD">
        <w:trPr>
          <w:trHeight w:val="388"/>
          <w:tblHeader/>
        </w:trPr>
        <w:tc>
          <w:tcPr>
            <w:tcW w:w="1200" w:type="dxa"/>
            <w:vMerge/>
          </w:tcPr>
          <w:p w:rsidR="00EF39BB" w:rsidRDefault="00EF39BB" w:rsidP="00AC0BF3">
            <w:pPr>
              <w:rPr>
                <w:lang w:val="en-US"/>
              </w:rPr>
            </w:pPr>
          </w:p>
        </w:tc>
        <w:tc>
          <w:tcPr>
            <w:tcW w:w="1279" w:type="dxa"/>
            <w:vMerge/>
          </w:tcPr>
          <w:p w:rsidR="00EF39BB" w:rsidRDefault="00EF39BB" w:rsidP="00AC0BF3">
            <w:pPr>
              <w:rPr>
                <w:lang w:val="en-US"/>
              </w:rPr>
            </w:pPr>
          </w:p>
        </w:tc>
        <w:tc>
          <w:tcPr>
            <w:tcW w:w="1809" w:type="dxa"/>
          </w:tcPr>
          <w:p w:rsidR="00EF39BB" w:rsidRDefault="00EF39BB" w:rsidP="00D10579">
            <w:pPr>
              <w:jc w:val="center"/>
              <w:rPr>
                <w:lang w:val="en-US"/>
              </w:rPr>
            </w:pPr>
          </w:p>
        </w:tc>
        <w:tc>
          <w:tcPr>
            <w:tcW w:w="1080" w:type="dxa"/>
          </w:tcPr>
          <w:p w:rsidR="00EF39BB" w:rsidRDefault="00EF39BB" w:rsidP="00D10579">
            <w:pPr>
              <w:jc w:val="center"/>
              <w:rPr>
                <w:lang w:val="en-US"/>
              </w:rPr>
            </w:pPr>
            <w:r>
              <w:rPr>
                <w:lang w:val="en-US"/>
              </w:rPr>
              <w:t>2009 clear</w:t>
            </w:r>
          </w:p>
        </w:tc>
        <w:tc>
          <w:tcPr>
            <w:tcW w:w="1080" w:type="dxa"/>
          </w:tcPr>
          <w:p w:rsidR="00EF39BB" w:rsidRDefault="00EF39BB" w:rsidP="00D10579">
            <w:pPr>
              <w:jc w:val="center"/>
              <w:rPr>
                <w:lang w:val="en-US"/>
              </w:rPr>
            </w:pPr>
            <w:r>
              <w:rPr>
                <w:lang w:val="en-US"/>
              </w:rPr>
              <w:t>2018 clear</w:t>
            </w:r>
          </w:p>
        </w:tc>
        <w:tc>
          <w:tcPr>
            <w:tcW w:w="1303" w:type="dxa"/>
          </w:tcPr>
          <w:p w:rsidR="00EF39BB" w:rsidRDefault="00EF39BB" w:rsidP="00D10579">
            <w:pPr>
              <w:jc w:val="center"/>
              <w:rPr>
                <w:lang w:val="en-US"/>
              </w:rPr>
            </w:pPr>
            <w:r>
              <w:rPr>
                <w:lang w:val="en-US"/>
              </w:rPr>
              <w:t>2009/2018 non-clear</w:t>
            </w:r>
          </w:p>
        </w:tc>
        <w:tc>
          <w:tcPr>
            <w:tcW w:w="1004" w:type="dxa"/>
          </w:tcPr>
          <w:p w:rsidR="00EF39BB" w:rsidRDefault="00EF39BB" w:rsidP="00D10579">
            <w:pPr>
              <w:jc w:val="center"/>
              <w:rPr>
                <w:lang w:val="en-US"/>
              </w:rPr>
            </w:pPr>
            <w:r>
              <w:rPr>
                <w:lang w:val="en-US"/>
              </w:rPr>
              <w:t>Tier 1</w:t>
            </w:r>
          </w:p>
        </w:tc>
        <w:tc>
          <w:tcPr>
            <w:tcW w:w="1100" w:type="dxa"/>
          </w:tcPr>
          <w:p w:rsidR="00EF39BB" w:rsidRDefault="00EF39BB" w:rsidP="00D10579">
            <w:pPr>
              <w:jc w:val="center"/>
              <w:rPr>
                <w:lang w:val="en-US"/>
              </w:rPr>
            </w:pPr>
            <w:r>
              <w:rPr>
                <w:lang w:val="en-US"/>
              </w:rPr>
              <w:t>Tier 2</w:t>
            </w:r>
          </w:p>
        </w:tc>
      </w:tr>
      <w:tr w:rsidR="00EF39BB" w:rsidTr="00EF39BB">
        <w:tc>
          <w:tcPr>
            <w:tcW w:w="1200" w:type="dxa"/>
          </w:tcPr>
          <w:p w:rsidR="00EF39BB" w:rsidRDefault="00EF39BB" w:rsidP="00AC0BF3">
            <w:pPr>
              <w:rPr>
                <w:lang w:val="en-US"/>
              </w:rPr>
            </w:pPr>
            <w:r>
              <w:rPr>
                <w:lang w:val="en-US"/>
              </w:rPr>
              <w:t>2010</w:t>
            </w:r>
          </w:p>
        </w:tc>
        <w:tc>
          <w:tcPr>
            <w:tcW w:w="1279" w:type="dxa"/>
          </w:tcPr>
          <w:p w:rsidR="00EF39BB" w:rsidRDefault="00EF39BB" w:rsidP="00AC0BF3">
            <w:pPr>
              <w:jc w:val="center"/>
              <w:rPr>
                <w:lang w:val="en-US"/>
              </w:rPr>
            </w:pPr>
            <w:r>
              <w:rPr>
                <w:lang w:val="en-US"/>
              </w:rPr>
              <w:t>2</w:t>
            </w:r>
          </w:p>
        </w:tc>
        <w:tc>
          <w:tcPr>
            <w:tcW w:w="1809" w:type="dxa"/>
          </w:tcPr>
          <w:p w:rsidR="00EF39BB" w:rsidRDefault="00EF39BB" w:rsidP="00AC0BF3">
            <w:pPr>
              <w:jc w:val="center"/>
              <w:rPr>
                <w:lang w:val="en-US"/>
              </w:rPr>
            </w:pPr>
            <w:r>
              <w:rPr>
                <w:lang w:val="en-US"/>
              </w:rPr>
              <w:t>1 (50%)</w:t>
            </w:r>
          </w:p>
        </w:tc>
        <w:tc>
          <w:tcPr>
            <w:tcW w:w="1080" w:type="dxa"/>
          </w:tcPr>
          <w:p w:rsidR="00EF39BB" w:rsidRDefault="00EF39BB" w:rsidP="00AC0BF3">
            <w:pPr>
              <w:jc w:val="center"/>
              <w:rPr>
                <w:lang w:val="en-US"/>
              </w:rPr>
            </w:pPr>
            <w:r>
              <w:rPr>
                <w:lang w:val="en-US"/>
              </w:rPr>
              <w:t>2 (100%)</w:t>
            </w:r>
          </w:p>
        </w:tc>
        <w:tc>
          <w:tcPr>
            <w:tcW w:w="1080" w:type="dxa"/>
          </w:tcPr>
          <w:p w:rsidR="00EF39BB" w:rsidRDefault="00EF39BB" w:rsidP="00AC0BF3">
            <w:pPr>
              <w:jc w:val="center"/>
              <w:rPr>
                <w:lang w:val="en-US"/>
              </w:rPr>
            </w:pPr>
            <w:r>
              <w:rPr>
                <w:lang w:val="en-US"/>
              </w:rPr>
              <w:t>2 (100%)</w:t>
            </w:r>
          </w:p>
        </w:tc>
        <w:tc>
          <w:tcPr>
            <w:tcW w:w="1303" w:type="dxa"/>
          </w:tcPr>
          <w:p w:rsidR="00EF39BB" w:rsidRDefault="00EF39BB" w:rsidP="00AC0BF3">
            <w:pPr>
              <w:jc w:val="center"/>
              <w:rPr>
                <w:lang w:val="en-US"/>
              </w:rPr>
            </w:pPr>
            <w:r>
              <w:rPr>
                <w:lang w:val="en-US"/>
              </w:rPr>
              <w:t>1 (50%)</w:t>
            </w:r>
          </w:p>
        </w:tc>
        <w:tc>
          <w:tcPr>
            <w:tcW w:w="1004" w:type="dxa"/>
          </w:tcPr>
          <w:p w:rsidR="00EF39BB" w:rsidRDefault="00EF39BB" w:rsidP="00AC0BF3">
            <w:pPr>
              <w:jc w:val="center"/>
              <w:rPr>
                <w:lang w:val="en-US"/>
              </w:rPr>
            </w:pPr>
            <w:r>
              <w:rPr>
                <w:lang w:val="en-US"/>
              </w:rPr>
              <w:t>0</w:t>
            </w:r>
          </w:p>
        </w:tc>
        <w:tc>
          <w:tcPr>
            <w:tcW w:w="1100" w:type="dxa"/>
          </w:tcPr>
          <w:p w:rsidR="00EF39BB" w:rsidRDefault="00EF39BB" w:rsidP="00AC0BF3">
            <w:pPr>
              <w:jc w:val="center"/>
              <w:rPr>
                <w:lang w:val="en-US"/>
              </w:rPr>
            </w:pPr>
            <w:r>
              <w:rPr>
                <w:lang w:val="en-US"/>
              </w:rPr>
              <w:t>0</w:t>
            </w:r>
          </w:p>
        </w:tc>
      </w:tr>
      <w:tr w:rsidR="00EF39BB" w:rsidTr="00EF39BB">
        <w:tc>
          <w:tcPr>
            <w:tcW w:w="1200" w:type="dxa"/>
          </w:tcPr>
          <w:p w:rsidR="00EF39BB" w:rsidRDefault="00EF39BB" w:rsidP="00AC0BF3">
            <w:pPr>
              <w:rPr>
                <w:lang w:val="en-US"/>
              </w:rPr>
            </w:pPr>
            <w:r>
              <w:rPr>
                <w:lang w:val="en-US"/>
              </w:rPr>
              <w:t>2011</w:t>
            </w:r>
          </w:p>
        </w:tc>
        <w:tc>
          <w:tcPr>
            <w:tcW w:w="1279" w:type="dxa"/>
          </w:tcPr>
          <w:p w:rsidR="00EF39BB" w:rsidRDefault="00EF39BB" w:rsidP="00AC0BF3">
            <w:pPr>
              <w:jc w:val="center"/>
              <w:rPr>
                <w:lang w:val="en-US"/>
              </w:rPr>
            </w:pPr>
            <w:r>
              <w:rPr>
                <w:lang w:val="en-US"/>
              </w:rPr>
              <w:t>21</w:t>
            </w:r>
          </w:p>
        </w:tc>
        <w:tc>
          <w:tcPr>
            <w:tcW w:w="1809" w:type="dxa"/>
          </w:tcPr>
          <w:p w:rsidR="00EF39BB" w:rsidRDefault="00EF39BB" w:rsidP="00AC0BF3">
            <w:pPr>
              <w:jc w:val="center"/>
              <w:rPr>
                <w:lang w:val="en-US"/>
              </w:rPr>
            </w:pPr>
            <w:r>
              <w:rPr>
                <w:lang w:val="en-US"/>
              </w:rPr>
              <w:t>18 (86%)</w:t>
            </w:r>
          </w:p>
        </w:tc>
        <w:tc>
          <w:tcPr>
            <w:tcW w:w="1080" w:type="dxa"/>
          </w:tcPr>
          <w:p w:rsidR="00EF39BB" w:rsidRDefault="00EF39BB" w:rsidP="00AC0BF3">
            <w:pPr>
              <w:jc w:val="center"/>
              <w:rPr>
                <w:lang w:val="en-US"/>
              </w:rPr>
            </w:pPr>
            <w:r>
              <w:rPr>
                <w:lang w:val="en-US"/>
              </w:rPr>
              <w:t>21 (100%)</w:t>
            </w:r>
          </w:p>
        </w:tc>
        <w:tc>
          <w:tcPr>
            <w:tcW w:w="1080" w:type="dxa"/>
          </w:tcPr>
          <w:p w:rsidR="00EF39BB" w:rsidRDefault="00EF39BB" w:rsidP="00AC0BF3">
            <w:pPr>
              <w:jc w:val="center"/>
              <w:rPr>
                <w:lang w:val="en-US"/>
              </w:rPr>
            </w:pPr>
            <w:r>
              <w:rPr>
                <w:lang w:val="en-US"/>
              </w:rPr>
              <w:t>21 (100%)</w:t>
            </w:r>
          </w:p>
        </w:tc>
        <w:tc>
          <w:tcPr>
            <w:tcW w:w="1303" w:type="dxa"/>
          </w:tcPr>
          <w:p w:rsidR="00EF39BB" w:rsidRDefault="00EF39BB" w:rsidP="00AC0BF3">
            <w:pPr>
              <w:jc w:val="center"/>
              <w:rPr>
                <w:lang w:val="en-US"/>
              </w:rPr>
            </w:pPr>
            <w:r>
              <w:rPr>
                <w:lang w:val="en-US"/>
              </w:rPr>
              <w:t>18 (86%)</w:t>
            </w:r>
          </w:p>
        </w:tc>
        <w:tc>
          <w:tcPr>
            <w:tcW w:w="1004" w:type="dxa"/>
          </w:tcPr>
          <w:p w:rsidR="00EF39BB" w:rsidRDefault="00EF39BB" w:rsidP="00AC0BF3">
            <w:pPr>
              <w:jc w:val="center"/>
              <w:rPr>
                <w:lang w:val="en-US"/>
              </w:rPr>
            </w:pPr>
            <w:r>
              <w:rPr>
                <w:lang w:val="en-US"/>
              </w:rPr>
              <w:t>12 (57%)</w:t>
            </w:r>
          </w:p>
        </w:tc>
        <w:tc>
          <w:tcPr>
            <w:tcW w:w="1100" w:type="dxa"/>
          </w:tcPr>
          <w:p w:rsidR="00EF39BB" w:rsidRDefault="00EF39BB" w:rsidP="00AC0BF3">
            <w:pPr>
              <w:jc w:val="center"/>
              <w:rPr>
                <w:lang w:val="en-US"/>
              </w:rPr>
            </w:pPr>
            <w:r>
              <w:rPr>
                <w:lang w:val="en-US"/>
              </w:rPr>
              <w:t>3 (14%)</w:t>
            </w:r>
          </w:p>
        </w:tc>
      </w:tr>
      <w:tr w:rsidR="00EF39BB" w:rsidTr="00EF39BB">
        <w:tc>
          <w:tcPr>
            <w:tcW w:w="1200" w:type="dxa"/>
          </w:tcPr>
          <w:p w:rsidR="00EF39BB" w:rsidRDefault="00EF39BB" w:rsidP="00AC0BF3">
            <w:pPr>
              <w:rPr>
                <w:lang w:val="en-US"/>
              </w:rPr>
            </w:pPr>
            <w:r>
              <w:rPr>
                <w:lang w:val="en-US"/>
              </w:rPr>
              <w:t>2012</w:t>
            </w:r>
          </w:p>
        </w:tc>
        <w:tc>
          <w:tcPr>
            <w:tcW w:w="1279" w:type="dxa"/>
          </w:tcPr>
          <w:p w:rsidR="00EF39BB" w:rsidRDefault="00EF39BB" w:rsidP="00AC0BF3">
            <w:pPr>
              <w:jc w:val="center"/>
              <w:rPr>
                <w:lang w:val="en-US"/>
              </w:rPr>
            </w:pPr>
            <w:r>
              <w:rPr>
                <w:lang w:val="en-US"/>
              </w:rPr>
              <w:t>9</w:t>
            </w:r>
          </w:p>
        </w:tc>
        <w:tc>
          <w:tcPr>
            <w:tcW w:w="1809" w:type="dxa"/>
          </w:tcPr>
          <w:p w:rsidR="00EF39BB" w:rsidRDefault="00EF39BB" w:rsidP="00AC0BF3">
            <w:pPr>
              <w:jc w:val="center"/>
              <w:rPr>
                <w:lang w:val="en-US"/>
              </w:rPr>
            </w:pPr>
            <w:r>
              <w:rPr>
                <w:lang w:val="en-US"/>
              </w:rPr>
              <w:t>6 (67%)</w:t>
            </w:r>
          </w:p>
        </w:tc>
        <w:tc>
          <w:tcPr>
            <w:tcW w:w="1080" w:type="dxa"/>
          </w:tcPr>
          <w:p w:rsidR="00EF39BB" w:rsidRDefault="00EF39BB" w:rsidP="00AC0BF3">
            <w:pPr>
              <w:jc w:val="center"/>
              <w:rPr>
                <w:lang w:val="en-US"/>
              </w:rPr>
            </w:pPr>
            <w:r>
              <w:rPr>
                <w:lang w:val="en-US"/>
              </w:rPr>
              <w:t>9 (100%)</w:t>
            </w:r>
          </w:p>
        </w:tc>
        <w:tc>
          <w:tcPr>
            <w:tcW w:w="1080" w:type="dxa"/>
          </w:tcPr>
          <w:p w:rsidR="00EF39BB" w:rsidRDefault="00EF39BB" w:rsidP="00AC0BF3">
            <w:pPr>
              <w:jc w:val="center"/>
              <w:rPr>
                <w:lang w:val="en-US"/>
              </w:rPr>
            </w:pPr>
            <w:r>
              <w:rPr>
                <w:lang w:val="en-US"/>
              </w:rPr>
              <w:t>9 (100%)</w:t>
            </w:r>
          </w:p>
        </w:tc>
        <w:tc>
          <w:tcPr>
            <w:tcW w:w="1303" w:type="dxa"/>
          </w:tcPr>
          <w:p w:rsidR="00EF39BB" w:rsidRDefault="00EF39BB" w:rsidP="00AC0BF3">
            <w:pPr>
              <w:jc w:val="center"/>
              <w:rPr>
                <w:lang w:val="en-US"/>
              </w:rPr>
            </w:pPr>
            <w:r>
              <w:rPr>
                <w:lang w:val="en-US"/>
              </w:rPr>
              <w:t>6 (67%)</w:t>
            </w:r>
          </w:p>
        </w:tc>
        <w:tc>
          <w:tcPr>
            <w:tcW w:w="1004" w:type="dxa"/>
          </w:tcPr>
          <w:p w:rsidR="00EF39BB" w:rsidRDefault="00EF39BB" w:rsidP="00AC0BF3">
            <w:pPr>
              <w:jc w:val="center"/>
              <w:rPr>
                <w:lang w:val="en-US"/>
              </w:rPr>
            </w:pPr>
            <w:r>
              <w:rPr>
                <w:lang w:val="en-US"/>
              </w:rPr>
              <w:t>4 (44%)</w:t>
            </w:r>
          </w:p>
        </w:tc>
        <w:tc>
          <w:tcPr>
            <w:tcW w:w="1100" w:type="dxa"/>
          </w:tcPr>
          <w:p w:rsidR="00EF39BB" w:rsidRDefault="00EF39BB" w:rsidP="00AC0BF3">
            <w:pPr>
              <w:jc w:val="center"/>
              <w:rPr>
                <w:lang w:val="en-US"/>
              </w:rPr>
            </w:pPr>
            <w:r>
              <w:rPr>
                <w:lang w:val="en-US"/>
              </w:rPr>
              <w:t>1 (11%)</w:t>
            </w:r>
          </w:p>
        </w:tc>
      </w:tr>
      <w:tr w:rsidR="00EF39BB" w:rsidTr="00EF39BB">
        <w:tc>
          <w:tcPr>
            <w:tcW w:w="1200" w:type="dxa"/>
          </w:tcPr>
          <w:p w:rsidR="00EF39BB" w:rsidRDefault="00EF39BB" w:rsidP="00AC0BF3">
            <w:pPr>
              <w:rPr>
                <w:lang w:val="en-US"/>
              </w:rPr>
            </w:pPr>
            <w:r>
              <w:rPr>
                <w:lang w:val="en-US"/>
              </w:rPr>
              <w:t>2013</w:t>
            </w:r>
          </w:p>
        </w:tc>
        <w:tc>
          <w:tcPr>
            <w:tcW w:w="1279" w:type="dxa"/>
          </w:tcPr>
          <w:p w:rsidR="00EF39BB" w:rsidRDefault="00EF39BB" w:rsidP="00AC0BF3">
            <w:pPr>
              <w:jc w:val="center"/>
              <w:rPr>
                <w:lang w:val="en-US"/>
              </w:rPr>
            </w:pPr>
            <w:r>
              <w:rPr>
                <w:lang w:val="en-US"/>
              </w:rPr>
              <w:t>8</w:t>
            </w:r>
          </w:p>
        </w:tc>
        <w:tc>
          <w:tcPr>
            <w:tcW w:w="1809" w:type="dxa"/>
          </w:tcPr>
          <w:p w:rsidR="00EF39BB" w:rsidRDefault="00EF39BB" w:rsidP="00AC0BF3">
            <w:pPr>
              <w:jc w:val="center"/>
              <w:rPr>
                <w:lang w:val="en-US"/>
              </w:rPr>
            </w:pPr>
            <w:r>
              <w:rPr>
                <w:lang w:val="en-US"/>
              </w:rPr>
              <w:t>7 (87.5%)</w:t>
            </w:r>
          </w:p>
        </w:tc>
        <w:tc>
          <w:tcPr>
            <w:tcW w:w="1080" w:type="dxa"/>
          </w:tcPr>
          <w:p w:rsidR="00EF39BB" w:rsidRDefault="00EF39BB" w:rsidP="00AC0BF3">
            <w:pPr>
              <w:jc w:val="center"/>
              <w:rPr>
                <w:lang w:val="en-US"/>
              </w:rPr>
            </w:pPr>
            <w:r>
              <w:rPr>
                <w:lang w:val="en-US"/>
              </w:rPr>
              <w:t>8 (100%)</w:t>
            </w:r>
          </w:p>
        </w:tc>
        <w:tc>
          <w:tcPr>
            <w:tcW w:w="1080" w:type="dxa"/>
          </w:tcPr>
          <w:p w:rsidR="00EF39BB" w:rsidRDefault="00EF39BB" w:rsidP="00AC0BF3">
            <w:pPr>
              <w:jc w:val="center"/>
              <w:rPr>
                <w:lang w:val="en-US"/>
              </w:rPr>
            </w:pPr>
            <w:r>
              <w:rPr>
                <w:lang w:val="en-US"/>
              </w:rPr>
              <w:t>8 (100%)</w:t>
            </w:r>
          </w:p>
        </w:tc>
        <w:tc>
          <w:tcPr>
            <w:tcW w:w="1303" w:type="dxa"/>
          </w:tcPr>
          <w:p w:rsidR="00EF39BB" w:rsidRDefault="00EF39BB" w:rsidP="00AC0BF3">
            <w:pPr>
              <w:jc w:val="center"/>
              <w:rPr>
                <w:lang w:val="en-US"/>
              </w:rPr>
            </w:pPr>
            <w:r>
              <w:rPr>
                <w:lang w:val="en-US"/>
              </w:rPr>
              <w:t>7 (87.5%)</w:t>
            </w:r>
          </w:p>
        </w:tc>
        <w:tc>
          <w:tcPr>
            <w:tcW w:w="1004" w:type="dxa"/>
          </w:tcPr>
          <w:p w:rsidR="00EF39BB" w:rsidRDefault="00EF39BB" w:rsidP="00AC0BF3">
            <w:pPr>
              <w:jc w:val="center"/>
              <w:rPr>
                <w:lang w:val="en-US"/>
              </w:rPr>
            </w:pPr>
            <w:r>
              <w:rPr>
                <w:lang w:val="en-US"/>
              </w:rPr>
              <w:t>6 (75%)</w:t>
            </w:r>
          </w:p>
        </w:tc>
        <w:tc>
          <w:tcPr>
            <w:tcW w:w="1100" w:type="dxa"/>
          </w:tcPr>
          <w:p w:rsidR="00EF39BB" w:rsidRDefault="00EF39BB" w:rsidP="00AC0BF3">
            <w:pPr>
              <w:jc w:val="center"/>
              <w:rPr>
                <w:lang w:val="en-US"/>
              </w:rPr>
            </w:pPr>
            <w:r>
              <w:rPr>
                <w:lang w:val="en-US"/>
              </w:rPr>
              <w:t>5 (62.5%)</w:t>
            </w:r>
          </w:p>
        </w:tc>
      </w:tr>
      <w:tr w:rsidR="00EF39BB" w:rsidTr="00EF39BB">
        <w:tc>
          <w:tcPr>
            <w:tcW w:w="1200" w:type="dxa"/>
          </w:tcPr>
          <w:p w:rsidR="00EF39BB" w:rsidRDefault="00EF39BB" w:rsidP="00AC0BF3">
            <w:pPr>
              <w:rPr>
                <w:lang w:val="en-US"/>
              </w:rPr>
            </w:pPr>
            <w:r>
              <w:rPr>
                <w:lang w:val="en-US"/>
              </w:rPr>
              <w:t>2014</w:t>
            </w:r>
          </w:p>
        </w:tc>
        <w:tc>
          <w:tcPr>
            <w:tcW w:w="1279" w:type="dxa"/>
          </w:tcPr>
          <w:p w:rsidR="00EF39BB" w:rsidRDefault="00EF39BB" w:rsidP="00AC0BF3">
            <w:pPr>
              <w:jc w:val="center"/>
              <w:rPr>
                <w:lang w:val="en-US"/>
              </w:rPr>
            </w:pPr>
            <w:r>
              <w:rPr>
                <w:lang w:val="en-US"/>
              </w:rPr>
              <w:t>21</w:t>
            </w:r>
          </w:p>
        </w:tc>
        <w:tc>
          <w:tcPr>
            <w:tcW w:w="1809" w:type="dxa"/>
          </w:tcPr>
          <w:p w:rsidR="00EF39BB" w:rsidRDefault="00EF39BB" w:rsidP="00AC0BF3">
            <w:pPr>
              <w:jc w:val="center"/>
              <w:rPr>
                <w:lang w:val="en-US"/>
              </w:rPr>
            </w:pPr>
            <w:r>
              <w:rPr>
                <w:lang w:val="en-US"/>
              </w:rPr>
              <w:t>14 (67%)</w:t>
            </w:r>
          </w:p>
        </w:tc>
        <w:tc>
          <w:tcPr>
            <w:tcW w:w="1080" w:type="dxa"/>
          </w:tcPr>
          <w:p w:rsidR="00EF39BB" w:rsidRDefault="00EF39BB" w:rsidP="00AC0BF3">
            <w:pPr>
              <w:jc w:val="center"/>
              <w:rPr>
                <w:lang w:val="en-US"/>
              </w:rPr>
            </w:pPr>
            <w:r>
              <w:rPr>
                <w:lang w:val="en-US"/>
              </w:rPr>
              <w:t>21 (100%)</w:t>
            </w:r>
          </w:p>
        </w:tc>
        <w:tc>
          <w:tcPr>
            <w:tcW w:w="1080" w:type="dxa"/>
          </w:tcPr>
          <w:p w:rsidR="00EF39BB" w:rsidRDefault="00EF39BB" w:rsidP="00AC0BF3">
            <w:pPr>
              <w:jc w:val="center"/>
              <w:rPr>
                <w:lang w:val="en-US"/>
              </w:rPr>
            </w:pPr>
            <w:r>
              <w:rPr>
                <w:lang w:val="en-US"/>
              </w:rPr>
              <w:t>21 (100%)</w:t>
            </w:r>
          </w:p>
        </w:tc>
        <w:tc>
          <w:tcPr>
            <w:tcW w:w="1303" w:type="dxa"/>
          </w:tcPr>
          <w:p w:rsidR="00EF39BB" w:rsidRDefault="00EF39BB" w:rsidP="00AC0BF3">
            <w:pPr>
              <w:jc w:val="center"/>
              <w:rPr>
                <w:lang w:val="en-US"/>
              </w:rPr>
            </w:pPr>
            <w:r>
              <w:rPr>
                <w:lang w:val="en-US"/>
              </w:rPr>
              <w:t>14 (67%)</w:t>
            </w:r>
          </w:p>
        </w:tc>
        <w:tc>
          <w:tcPr>
            <w:tcW w:w="1004" w:type="dxa"/>
          </w:tcPr>
          <w:p w:rsidR="00EF39BB" w:rsidRDefault="00EF39BB" w:rsidP="00AC0BF3">
            <w:pPr>
              <w:jc w:val="center"/>
              <w:rPr>
                <w:lang w:val="en-US"/>
              </w:rPr>
            </w:pPr>
            <w:r>
              <w:rPr>
                <w:lang w:val="en-US"/>
              </w:rPr>
              <w:t>13 (62%)</w:t>
            </w:r>
          </w:p>
        </w:tc>
        <w:tc>
          <w:tcPr>
            <w:tcW w:w="1100" w:type="dxa"/>
          </w:tcPr>
          <w:p w:rsidR="00EF39BB" w:rsidRDefault="00EF39BB" w:rsidP="00AC0BF3">
            <w:pPr>
              <w:jc w:val="center"/>
              <w:rPr>
                <w:lang w:val="en-US"/>
              </w:rPr>
            </w:pPr>
            <w:r>
              <w:rPr>
                <w:lang w:val="en-US"/>
              </w:rPr>
              <w:t>12 (57%)</w:t>
            </w:r>
          </w:p>
        </w:tc>
      </w:tr>
    </w:tbl>
    <w:p w:rsidR="00FF748B" w:rsidRDefault="00FF748B" w:rsidP="00FF748B">
      <w:pPr>
        <w:keepNext/>
      </w:pPr>
      <w:r>
        <w:rPr>
          <w:lang w:eastAsia="en-AU"/>
        </w:rPr>
        <w:lastRenderedPageBreak/>
        <w:br/>
      </w:r>
      <w:r w:rsidR="00D50015">
        <w:rPr>
          <w:noProof/>
          <w:lang w:eastAsia="en-AU"/>
        </w:rPr>
        <w:drawing>
          <wp:inline distT="0" distB="0" distL="0" distR="0" wp14:anchorId="6FCD0D14" wp14:editId="287BBB9E">
            <wp:extent cx="5276850" cy="3181608"/>
            <wp:effectExtent l="0" t="0" r="0" b="0"/>
            <wp:docPr id="83" name="Picture 83" descr="Bar Graph displaying Percentage of non-directional LED lamps which are passing the different standards from 2009 to 2014.&#10;&#10;IEA 4ESSL Tier1 = 57.45%&#10;IEA 4ESSL Tier2 = 34.4%&#10;EU MEPS 2009 Clear = 100%&#10;EU MEPS 2009/2018 non-clear, AU/NZ = 75.4%&#10;AU/NZ =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78427" cy="3182559"/>
                    </a:xfrm>
                    <a:prstGeom prst="rect">
                      <a:avLst/>
                    </a:prstGeom>
                    <a:noFill/>
                  </pic:spPr>
                </pic:pic>
              </a:graphicData>
            </a:graphic>
          </wp:inline>
        </w:drawing>
      </w:r>
    </w:p>
    <w:p w:rsidR="00D10579" w:rsidRDefault="00FF748B" w:rsidP="00FF748B">
      <w:pPr>
        <w:pStyle w:val="Caption"/>
      </w:pPr>
      <w:bookmarkStart w:id="245" w:name="_Ref424728239"/>
      <w:bookmarkStart w:id="246" w:name="_Toc426387882"/>
      <w:r>
        <w:t xml:space="preserve">Figure </w:t>
      </w:r>
      <w:r>
        <w:fldChar w:fldCharType="begin"/>
      </w:r>
      <w:r>
        <w:instrText xml:space="preserve"> SEQ Figure \* ARABIC </w:instrText>
      </w:r>
      <w:r>
        <w:fldChar w:fldCharType="separate"/>
      </w:r>
      <w:r w:rsidR="002C13E2">
        <w:rPr>
          <w:noProof/>
        </w:rPr>
        <w:t>43</w:t>
      </w:r>
      <w:r>
        <w:fldChar w:fldCharType="end"/>
      </w:r>
      <w:bookmarkEnd w:id="245"/>
      <w:r>
        <w:t>. P</w:t>
      </w:r>
      <w:r w:rsidRPr="00871882">
        <w:t xml:space="preserve">ercentage of non-directional </w:t>
      </w:r>
      <w:r w:rsidR="003C0835">
        <w:t xml:space="preserve">LED </w:t>
      </w:r>
      <w:r w:rsidRPr="00871882">
        <w:t>lamps which are passing the different standards from 2009 to 2014</w:t>
      </w:r>
      <w:r>
        <w:t>.</w:t>
      </w:r>
      <w:bookmarkEnd w:id="246"/>
    </w:p>
    <w:p w:rsidR="00FF748B" w:rsidRPr="00FF748B" w:rsidRDefault="00FF748B" w:rsidP="00FF748B"/>
    <w:p w:rsidR="00EF39BB" w:rsidRDefault="00EF39BB" w:rsidP="00EF39BB">
      <w:pPr>
        <w:pStyle w:val="Caption"/>
        <w:keepNext/>
      </w:pPr>
      <w:bookmarkStart w:id="247" w:name="_Ref424728368"/>
      <w:bookmarkStart w:id="248" w:name="_Toc426387830"/>
      <w:r>
        <w:t xml:space="preserve">Table </w:t>
      </w:r>
      <w:r w:rsidR="00B525E0">
        <w:fldChar w:fldCharType="begin"/>
      </w:r>
      <w:r>
        <w:instrText xml:space="preserve"> SEQ Table \* ARABIC </w:instrText>
      </w:r>
      <w:r w:rsidR="00B525E0">
        <w:fldChar w:fldCharType="separate"/>
      </w:r>
      <w:r w:rsidR="002C13E2">
        <w:rPr>
          <w:noProof/>
        </w:rPr>
        <w:t>15</w:t>
      </w:r>
      <w:r w:rsidR="00B525E0">
        <w:fldChar w:fldCharType="end"/>
      </w:r>
      <w:bookmarkEnd w:id="247"/>
      <w:r>
        <w:t>.</w:t>
      </w:r>
      <w:r w:rsidRPr="00496D7B">
        <w:t xml:space="preserve">Number of Australia / New Zealand Directional </w:t>
      </w:r>
      <w:r w:rsidR="003C0835">
        <w:t xml:space="preserve">LED </w:t>
      </w:r>
      <w:r w:rsidRPr="00496D7B">
        <w:t>Lamps ≤ 63.5 mm that would pass a range of possible MEPS efficacy levels (by year of purchase)</w:t>
      </w:r>
      <w:bookmarkEnd w:id="248"/>
    </w:p>
    <w:tbl>
      <w:tblPr>
        <w:tblStyle w:val="TableGrid"/>
        <w:tblW w:w="5000" w:type="pct"/>
        <w:tblLook w:val="04A0" w:firstRow="1" w:lastRow="0" w:firstColumn="1" w:lastColumn="0" w:noHBand="0" w:noVBand="1"/>
      </w:tblPr>
      <w:tblGrid>
        <w:gridCol w:w="1461"/>
        <w:gridCol w:w="1490"/>
        <w:gridCol w:w="1379"/>
        <w:gridCol w:w="1397"/>
        <w:gridCol w:w="1397"/>
        <w:gridCol w:w="1365"/>
        <w:gridCol w:w="1366"/>
      </w:tblGrid>
      <w:tr w:rsidR="00EF39BB" w:rsidTr="006224FD">
        <w:trPr>
          <w:trHeight w:val="300"/>
          <w:tblHeader/>
        </w:trPr>
        <w:tc>
          <w:tcPr>
            <w:tcW w:w="1461" w:type="dxa"/>
            <w:vMerge w:val="restart"/>
          </w:tcPr>
          <w:p w:rsidR="00EF39BB" w:rsidRDefault="00EF39BB" w:rsidP="00AC0BF3">
            <w:pPr>
              <w:jc w:val="center"/>
              <w:rPr>
                <w:lang w:val="en-US"/>
              </w:rPr>
            </w:pPr>
            <w:r>
              <w:rPr>
                <w:lang w:val="en-US"/>
              </w:rPr>
              <w:t>Year of purchase</w:t>
            </w:r>
          </w:p>
        </w:tc>
        <w:tc>
          <w:tcPr>
            <w:tcW w:w="1490" w:type="dxa"/>
            <w:vMerge w:val="restart"/>
          </w:tcPr>
          <w:p w:rsidR="00EF39BB" w:rsidRDefault="00EF39BB" w:rsidP="00AC0BF3">
            <w:pPr>
              <w:jc w:val="center"/>
              <w:rPr>
                <w:lang w:val="en-US"/>
              </w:rPr>
            </w:pPr>
            <w:r>
              <w:rPr>
                <w:lang w:val="en-US"/>
              </w:rPr>
              <w:t>No of lamps purchased</w:t>
            </w:r>
          </w:p>
        </w:tc>
        <w:tc>
          <w:tcPr>
            <w:tcW w:w="1379" w:type="dxa"/>
            <w:vMerge w:val="restart"/>
          </w:tcPr>
          <w:p w:rsidR="00EF39BB" w:rsidRDefault="00EF39BB" w:rsidP="00AC0BF3">
            <w:pPr>
              <w:jc w:val="center"/>
              <w:rPr>
                <w:lang w:val="en-US"/>
              </w:rPr>
            </w:pPr>
            <w:r>
              <w:rPr>
                <w:lang w:val="en-US"/>
              </w:rPr>
              <w:t>Pass AU/NZ MEPS reflector CFL</w:t>
            </w:r>
          </w:p>
        </w:tc>
        <w:tc>
          <w:tcPr>
            <w:tcW w:w="2794" w:type="dxa"/>
            <w:gridSpan w:val="2"/>
          </w:tcPr>
          <w:p w:rsidR="00EF39BB" w:rsidRDefault="00EF39BB" w:rsidP="00AC0BF3">
            <w:pPr>
              <w:jc w:val="center"/>
              <w:rPr>
                <w:lang w:val="en-US"/>
              </w:rPr>
            </w:pPr>
            <w:r>
              <w:rPr>
                <w:lang w:val="en-US"/>
              </w:rPr>
              <w:t>Pass EU MEPS</w:t>
            </w:r>
          </w:p>
        </w:tc>
        <w:tc>
          <w:tcPr>
            <w:tcW w:w="2731" w:type="dxa"/>
            <w:gridSpan w:val="2"/>
          </w:tcPr>
          <w:p w:rsidR="00EF39BB" w:rsidRDefault="00EF39BB" w:rsidP="00AC0BF3">
            <w:pPr>
              <w:jc w:val="center"/>
              <w:rPr>
                <w:lang w:val="en-US"/>
              </w:rPr>
            </w:pPr>
            <w:r>
              <w:rPr>
                <w:lang w:val="en-US"/>
              </w:rPr>
              <w:t>Pass IEA 4E-SSL</w:t>
            </w:r>
          </w:p>
        </w:tc>
      </w:tr>
      <w:tr w:rsidR="00EF39BB" w:rsidTr="006224FD">
        <w:trPr>
          <w:trHeight w:val="299"/>
          <w:tblHeader/>
        </w:trPr>
        <w:tc>
          <w:tcPr>
            <w:tcW w:w="1461" w:type="dxa"/>
            <w:vMerge/>
          </w:tcPr>
          <w:p w:rsidR="00EF39BB" w:rsidRDefault="00EF39BB" w:rsidP="00AC0BF3">
            <w:pPr>
              <w:jc w:val="center"/>
              <w:rPr>
                <w:lang w:val="en-US"/>
              </w:rPr>
            </w:pPr>
          </w:p>
        </w:tc>
        <w:tc>
          <w:tcPr>
            <w:tcW w:w="1490" w:type="dxa"/>
            <w:vMerge/>
          </w:tcPr>
          <w:p w:rsidR="00EF39BB" w:rsidRDefault="00EF39BB" w:rsidP="00AC0BF3">
            <w:pPr>
              <w:jc w:val="center"/>
              <w:rPr>
                <w:lang w:val="en-US"/>
              </w:rPr>
            </w:pPr>
          </w:p>
        </w:tc>
        <w:tc>
          <w:tcPr>
            <w:tcW w:w="1379" w:type="dxa"/>
            <w:vMerge/>
          </w:tcPr>
          <w:p w:rsidR="00EF39BB" w:rsidRDefault="00EF39BB" w:rsidP="00AC0BF3">
            <w:pPr>
              <w:jc w:val="center"/>
              <w:rPr>
                <w:lang w:val="en-US"/>
              </w:rPr>
            </w:pPr>
          </w:p>
        </w:tc>
        <w:tc>
          <w:tcPr>
            <w:tcW w:w="1397" w:type="dxa"/>
          </w:tcPr>
          <w:p w:rsidR="00EF39BB" w:rsidRDefault="00EF39BB" w:rsidP="00AC0BF3">
            <w:pPr>
              <w:jc w:val="center"/>
              <w:rPr>
                <w:lang w:val="en-US"/>
              </w:rPr>
            </w:pPr>
            <w:r>
              <w:rPr>
                <w:lang w:val="en-US"/>
              </w:rPr>
              <w:t>2013</w:t>
            </w:r>
          </w:p>
        </w:tc>
        <w:tc>
          <w:tcPr>
            <w:tcW w:w="1397" w:type="dxa"/>
          </w:tcPr>
          <w:p w:rsidR="00EF39BB" w:rsidRDefault="00EF39BB" w:rsidP="00AC0BF3">
            <w:pPr>
              <w:jc w:val="center"/>
              <w:rPr>
                <w:lang w:val="en-US"/>
              </w:rPr>
            </w:pPr>
            <w:r>
              <w:rPr>
                <w:lang w:val="en-US"/>
              </w:rPr>
              <w:t>2016</w:t>
            </w:r>
          </w:p>
        </w:tc>
        <w:tc>
          <w:tcPr>
            <w:tcW w:w="1365" w:type="dxa"/>
          </w:tcPr>
          <w:p w:rsidR="00EF39BB" w:rsidRDefault="00EF39BB" w:rsidP="00AC0BF3">
            <w:pPr>
              <w:jc w:val="center"/>
              <w:rPr>
                <w:lang w:val="en-US"/>
              </w:rPr>
            </w:pPr>
            <w:r>
              <w:rPr>
                <w:lang w:val="en-US"/>
              </w:rPr>
              <w:t>Tier 1</w:t>
            </w:r>
          </w:p>
        </w:tc>
        <w:tc>
          <w:tcPr>
            <w:tcW w:w="1366" w:type="dxa"/>
          </w:tcPr>
          <w:p w:rsidR="00EF39BB" w:rsidRDefault="00EF39BB" w:rsidP="00AC0BF3">
            <w:pPr>
              <w:jc w:val="center"/>
              <w:rPr>
                <w:lang w:val="en-US"/>
              </w:rPr>
            </w:pPr>
            <w:r>
              <w:rPr>
                <w:lang w:val="en-US"/>
              </w:rPr>
              <w:t>Tier 2</w:t>
            </w:r>
          </w:p>
        </w:tc>
      </w:tr>
      <w:tr w:rsidR="00EF39BB" w:rsidTr="00EF39BB">
        <w:tc>
          <w:tcPr>
            <w:tcW w:w="1461" w:type="dxa"/>
          </w:tcPr>
          <w:p w:rsidR="00EF39BB" w:rsidRDefault="00EF39BB" w:rsidP="00AC0BF3">
            <w:pPr>
              <w:rPr>
                <w:lang w:val="en-US"/>
              </w:rPr>
            </w:pPr>
            <w:r>
              <w:rPr>
                <w:lang w:val="en-US"/>
              </w:rPr>
              <w:t>2010</w:t>
            </w:r>
          </w:p>
        </w:tc>
        <w:tc>
          <w:tcPr>
            <w:tcW w:w="1490" w:type="dxa"/>
          </w:tcPr>
          <w:p w:rsidR="00EF39BB" w:rsidRDefault="00EF39BB" w:rsidP="00AC0BF3">
            <w:pPr>
              <w:jc w:val="center"/>
              <w:rPr>
                <w:lang w:val="en-US"/>
              </w:rPr>
            </w:pPr>
            <w:r>
              <w:rPr>
                <w:lang w:val="en-US"/>
              </w:rPr>
              <w:t>18</w:t>
            </w:r>
          </w:p>
        </w:tc>
        <w:tc>
          <w:tcPr>
            <w:tcW w:w="1379" w:type="dxa"/>
          </w:tcPr>
          <w:p w:rsidR="00EF39BB" w:rsidRDefault="00EF39BB" w:rsidP="00AC0BF3">
            <w:pPr>
              <w:jc w:val="center"/>
              <w:rPr>
                <w:lang w:val="en-US"/>
              </w:rPr>
            </w:pPr>
            <w:r>
              <w:rPr>
                <w:lang w:val="en-US"/>
              </w:rPr>
              <w:t>18 (100%)</w:t>
            </w:r>
          </w:p>
        </w:tc>
        <w:tc>
          <w:tcPr>
            <w:tcW w:w="1397" w:type="dxa"/>
          </w:tcPr>
          <w:p w:rsidR="00EF39BB" w:rsidRDefault="00EF39BB" w:rsidP="00AC0BF3">
            <w:pPr>
              <w:jc w:val="center"/>
              <w:rPr>
                <w:lang w:val="en-US"/>
              </w:rPr>
            </w:pPr>
            <w:r>
              <w:rPr>
                <w:lang w:val="en-US"/>
              </w:rPr>
              <w:t>17 (94%)</w:t>
            </w:r>
          </w:p>
        </w:tc>
        <w:tc>
          <w:tcPr>
            <w:tcW w:w="1397" w:type="dxa"/>
          </w:tcPr>
          <w:p w:rsidR="00EF39BB" w:rsidRDefault="00EF39BB" w:rsidP="00AC0BF3">
            <w:pPr>
              <w:jc w:val="center"/>
              <w:rPr>
                <w:lang w:val="en-US"/>
              </w:rPr>
            </w:pPr>
            <w:r>
              <w:rPr>
                <w:lang w:val="en-US"/>
              </w:rPr>
              <w:t>9 (50%)</w:t>
            </w:r>
          </w:p>
        </w:tc>
        <w:tc>
          <w:tcPr>
            <w:tcW w:w="1365" w:type="dxa"/>
          </w:tcPr>
          <w:p w:rsidR="00EF39BB" w:rsidRDefault="00EF39BB" w:rsidP="00AC0BF3">
            <w:pPr>
              <w:jc w:val="center"/>
              <w:rPr>
                <w:lang w:val="en-US"/>
              </w:rPr>
            </w:pPr>
            <w:r>
              <w:rPr>
                <w:lang w:val="en-US"/>
              </w:rPr>
              <w:t>12 (67%)</w:t>
            </w:r>
          </w:p>
        </w:tc>
        <w:tc>
          <w:tcPr>
            <w:tcW w:w="1366" w:type="dxa"/>
          </w:tcPr>
          <w:p w:rsidR="00EF39BB" w:rsidRDefault="00EF39BB" w:rsidP="00AC0BF3">
            <w:pPr>
              <w:jc w:val="center"/>
              <w:rPr>
                <w:lang w:val="en-US"/>
              </w:rPr>
            </w:pPr>
            <w:r>
              <w:rPr>
                <w:lang w:val="en-US"/>
              </w:rPr>
              <w:t>8 (44%)</w:t>
            </w:r>
          </w:p>
        </w:tc>
      </w:tr>
      <w:tr w:rsidR="00EF39BB" w:rsidTr="00EF39BB">
        <w:tc>
          <w:tcPr>
            <w:tcW w:w="1461" w:type="dxa"/>
          </w:tcPr>
          <w:p w:rsidR="00EF39BB" w:rsidRDefault="00EF39BB" w:rsidP="00AC0BF3">
            <w:pPr>
              <w:rPr>
                <w:lang w:val="en-US"/>
              </w:rPr>
            </w:pPr>
            <w:r>
              <w:rPr>
                <w:lang w:val="en-US"/>
              </w:rPr>
              <w:t>2011</w:t>
            </w:r>
          </w:p>
        </w:tc>
        <w:tc>
          <w:tcPr>
            <w:tcW w:w="1490" w:type="dxa"/>
          </w:tcPr>
          <w:p w:rsidR="00EF39BB" w:rsidRDefault="00EF39BB" w:rsidP="00AC0BF3">
            <w:pPr>
              <w:jc w:val="center"/>
              <w:rPr>
                <w:lang w:val="en-US"/>
              </w:rPr>
            </w:pPr>
            <w:r>
              <w:rPr>
                <w:lang w:val="en-US"/>
              </w:rPr>
              <w:t>25</w:t>
            </w:r>
          </w:p>
        </w:tc>
        <w:tc>
          <w:tcPr>
            <w:tcW w:w="1379" w:type="dxa"/>
          </w:tcPr>
          <w:p w:rsidR="00EF39BB" w:rsidRDefault="00EF39BB" w:rsidP="00AC0BF3">
            <w:pPr>
              <w:jc w:val="center"/>
              <w:rPr>
                <w:lang w:val="en-US"/>
              </w:rPr>
            </w:pPr>
            <w:r>
              <w:rPr>
                <w:lang w:val="en-US"/>
              </w:rPr>
              <w:t>25 (100%)</w:t>
            </w:r>
          </w:p>
        </w:tc>
        <w:tc>
          <w:tcPr>
            <w:tcW w:w="1397" w:type="dxa"/>
          </w:tcPr>
          <w:p w:rsidR="00EF39BB" w:rsidRDefault="00EF39BB" w:rsidP="00AC0BF3">
            <w:pPr>
              <w:jc w:val="center"/>
              <w:rPr>
                <w:lang w:val="en-US"/>
              </w:rPr>
            </w:pPr>
            <w:r>
              <w:rPr>
                <w:lang w:val="en-US"/>
              </w:rPr>
              <w:t>25 (100%)</w:t>
            </w:r>
          </w:p>
        </w:tc>
        <w:tc>
          <w:tcPr>
            <w:tcW w:w="1397" w:type="dxa"/>
          </w:tcPr>
          <w:p w:rsidR="00EF39BB" w:rsidRDefault="00EF39BB" w:rsidP="00AC0BF3">
            <w:pPr>
              <w:jc w:val="center"/>
              <w:rPr>
                <w:lang w:val="en-US"/>
              </w:rPr>
            </w:pPr>
            <w:r>
              <w:rPr>
                <w:lang w:val="en-US"/>
              </w:rPr>
              <w:t>3 (12%)</w:t>
            </w:r>
          </w:p>
        </w:tc>
        <w:tc>
          <w:tcPr>
            <w:tcW w:w="1365" w:type="dxa"/>
          </w:tcPr>
          <w:p w:rsidR="00EF39BB" w:rsidRDefault="00EF39BB" w:rsidP="00AC0BF3">
            <w:pPr>
              <w:jc w:val="center"/>
              <w:rPr>
                <w:lang w:val="en-US"/>
              </w:rPr>
            </w:pPr>
            <w:r>
              <w:rPr>
                <w:lang w:val="en-US"/>
              </w:rPr>
              <w:t>23 (92%)</w:t>
            </w:r>
          </w:p>
        </w:tc>
        <w:tc>
          <w:tcPr>
            <w:tcW w:w="1366" w:type="dxa"/>
          </w:tcPr>
          <w:p w:rsidR="00EF39BB" w:rsidRDefault="00EF39BB" w:rsidP="00AC0BF3">
            <w:pPr>
              <w:jc w:val="center"/>
              <w:rPr>
                <w:lang w:val="en-US"/>
              </w:rPr>
            </w:pPr>
            <w:r>
              <w:rPr>
                <w:lang w:val="en-US"/>
              </w:rPr>
              <w:t>6 (24%)</w:t>
            </w:r>
          </w:p>
        </w:tc>
      </w:tr>
      <w:tr w:rsidR="00EF39BB" w:rsidTr="00EF39BB">
        <w:tc>
          <w:tcPr>
            <w:tcW w:w="1461" w:type="dxa"/>
          </w:tcPr>
          <w:p w:rsidR="00EF39BB" w:rsidRDefault="00EF39BB" w:rsidP="00AC0BF3">
            <w:pPr>
              <w:rPr>
                <w:lang w:val="en-US"/>
              </w:rPr>
            </w:pPr>
            <w:r>
              <w:rPr>
                <w:lang w:val="en-US"/>
              </w:rPr>
              <w:t>2012</w:t>
            </w:r>
          </w:p>
        </w:tc>
        <w:tc>
          <w:tcPr>
            <w:tcW w:w="1490" w:type="dxa"/>
          </w:tcPr>
          <w:p w:rsidR="00EF39BB" w:rsidRDefault="00EF39BB" w:rsidP="00AC0BF3">
            <w:pPr>
              <w:jc w:val="center"/>
              <w:rPr>
                <w:lang w:val="en-US"/>
              </w:rPr>
            </w:pPr>
            <w:r>
              <w:rPr>
                <w:lang w:val="en-US"/>
              </w:rPr>
              <w:t>43</w:t>
            </w:r>
          </w:p>
        </w:tc>
        <w:tc>
          <w:tcPr>
            <w:tcW w:w="1379" w:type="dxa"/>
          </w:tcPr>
          <w:p w:rsidR="00EF39BB" w:rsidRDefault="00EF39BB" w:rsidP="00AC0BF3">
            <w:pPr>
              <w:jc w:val="center"/>
              <w:rPr>
                <w:lang w:val="en-US"/>
              </w:rPr>
            </w:pPr>
            <w:r>
              <w:rPr>
                <w:lang w:val="en-US"/>
              </w:rPr>
              <w:t>43 (100%)</w:t>
            </w:r>
          </w:p>
        </w:tc>
        <w:tc>
          <w:tcPr>
            <w:tcW w:w="1397" w:type="dxa"/>
          </w:tcPr>
          <w:p w:rsidR="00EF39BB" w:rsidRDefault="00EF39BB" w:rsidP="00AC0BF3">
            <w:pPr>
              <w:jc w:val="center"/>
              <w:rPr>
                <w:lang w:val="en-US"/>
              </w:rPr>
            </w:pPr>
            <w:r>
              <w:rPr>
                <w:lang w:val="en-US"/>
              </w:rPr>
              <w:t>43 (100%)</w:t>
            </w:r>
          </w:p>
        </w:tc>
        <w:tc>
          <w:tcPr>
            <w:tcW w:w="1397" w:type="dxa"/>
          </w:tcPr>
          <w:p w:rsidR="00EF39BB" w:rsidRDefault="00EF39BB" w:rsidP="00AC0BF3">
            <w:pPr>
              <w:jc w:val="center"/>
              <w:rPr>
                <w:lang w:val="en-US"/>
              </w:rPr>
            </w:pPr>
            <w:r>
              <w:rPr>
                <w:lang w:val="en-US"/>
              </w:rPr>
              <w:t>13 (30%)</w:t>
            </w:r>
          </w:p>
        </w:tc>
        <w:tc>
          <w:tcPr>
            <w:tcW w:w="1365" w:type="dxa"/>
          </w:tcPr>
          <w:p w:rsidR="00EF39BB" w:rsidRDefault="00EF39BB" w:rsidP="00AC0BF3">
            <w:pPr>
              <w:jc w:val="center"/>
              <w:rPr>
                <w:lang w:val="en-US"/>
              </w:rPr>
            </w:pPr>
            <w:r>
              <w:rPr>
                <w:lang w:val="en-US"/>
              </w:rPr>
              <w:t>27 (63%)</w:t>
            </w:r>
          </w:p>
        </w:tc>
        <w:tc>
          <w:tcPr>
            <w:tcW w:w="1366" w:type="dxa"/>
          </w:tcPr>
          <w:p w:rsidR="00EF39BB" w:rsidRDefault="00EF39BB" w:rsidP="00AC0BF3">
            <w:pPr>
              <w:jc w:val="center"/>
              <w:rPr>
                <w:lang w:val="en-US"/>
              </w:rPr>
            </w:pPr>
            <w:r>
              <w:rPr>
                <w:lang w:val="en-US"/>
              </w:rPr>
              <w:t>16 (37%)</w:t>
            </w:r>
          </w:p>
        </w:tc>
      </w:tr>
      <w:tr w:rsidR="00EF39BB" w:rsidTr="00EF39BB">
        <w:tc>
          <w:tcPr>
            <w:tcW w:w="1461" w:type="dxa"/>
          </w:tcPr>
          <w:p w:rsidR="00EF39BB" w:rsidRDefault="00EF39BB" w:rsidP="00AC0BF3">
            <w:pPr>
              <w:rPr>
                <w:lang w:val="en-US"/>
              </w:rPr>
            </w:pPr>
            <w:r>
              <w:rPr>
                <w:lang w:val="en-US"/>
              </w:rPr>
              <w:t>2013</w:t>
            </w:r>
          </w:p>
        </w:tc>
        <w:tc>
          <w:tcPr>
            <w:tcW w:w="1490" w:type="dxa"/>
          </w:tcPr>
          <w:p w:rsidR="00EF39BB" w:rsidRDefault="00EF39BB" w:rsidP="00AC0BF3">
            <w:pPr>
              <w:jc w:val="center"/>
              <w:rPr>
                <w:lang w:val="en-US"/>
              </w:rPr>
            </w:pPr>
            <w:r>
              <w:rPr>
                <w:lang w:val="en-US"/>
              </w:rPr>
              <w:t>6</w:t>
            </w:r>
          </w:p>
        </w:tc>
        <w:tc>
          <w:tcPr>
            <w:tcW w:w="1379" w:type="dxa"/>
          </w:tcPr>
          <w:p w:rsidR="00EF39BB" w:rsidRDefault="00EF39BB" w:rsidP="00AC0BF3">
            <w:pPr>
              <w:jc w:val="center"/>
              <w:rPr>
                <w:lang w:val="en-US"/>
              </w:rPr>
            </w:pPr>
            <w:r>
              <w:rPr>
                <w:lang w:val="en-US"/>
              </w:rPr>
              <w:t>6 (100%)</w:t>
            </w:r>
          </w:p>
        </w:tc>
        <w:tc>
          <w:tcPr>
            <w:tcW w:w="1397" w:type="dxa"/>
          </w:tcPr>
          <w:p w:rsidR="00EF39BB" w:rsidRDefault="00EF39BB" w:rsidP="00AC0BF3">
            <w:pPr>
              <w:jc w:val="center"/>
              <w:rPr>
                <w:lang w:val="en-US"/>
              </w:rPr>
            </w:pPr>
            <w:r>
              <w:rPr>
                <w:lang w:val="en-US"/>
              </w:rPr>
              <w:t>6 (100%)</w:t>
            </w:r>
          </w:p>
        </w:tc>
        <w:tc>
          <w:tcPr>
            <w:tcW w:w="1397" w:type="dxa"/>
          </w:tcPr>
          <w:p w:rsidR="00EF39BB" w:rsidRDefault="00EF39BB" w:rsidP="00AC0BF3">
            <w:pPr>
              <w:jc w:val="center"/>
              <w:rPr>
                <w:lang w:val="en-US"/>
              </w:rPr>
            </w:pPr>
            <w:r>
              <w:rPr>
                <w:lang w:val="en-US"/>
              </w:rPr>
              <w:t>6 (100%)</w:t>
            </w:r>
          </w:p>
        </w:tc>
        <w:tc>
          <w:tcPr>
            <w:tcW w:w="1365" w:type="dxa"/>
          </w:tcPr>
          <w:p w:rsidR="00EF39BB" w:rsidRDefault="00EF39BB" w:rsidP="00AC0BF3">
            <w:pPr>
              <w:jc w:val="center"/>
              <w:rPr>
                <w:lang w:val="en-US"/>
              </w:rPr>
            </w:pPr>
            <w:r>
              <w:rPr>
                <w:lang w:val="en-US"/>
              </w:rPr>
              <w:t>6 (100%)</w:t>
            </w:r>
          </w:p>
        </w:tc>
        <w:tc>
          <w:tcPr>
            <w:tcW w:w="1366" w:type="dxa"/>
          </w:tcPr>
          <w:p w:rsidR="00EF39BB" w:rsidRDefault="00EF39BB" w:rsidP="00AC0BF3">
            <w:pPr>
              <w:jc w:val="center"/>
              <w:rPr>
                <w:lang w:val="en-US"/>
              </w:rPr>
            </w:pPr>
            <w:r>
              <w:rPr>
                <w:lang w:val="en-US"/>
              </w:rPr>
              <w:t>6 (100%)</w:t>
            </w:r>
          </w:p>
        </w:tc>
      </w:tr>
      <w:tr w:rsidR="00EF39BB" w:rsidTr="00EF39BB">
        <w:tc>
          <w:tcPr>
            <w:tcW w:w="1461" w:type="dxa"/>
          </w:tcPr>
          <w:p w:rsidR="00EF39BB" w:rsidRDefault="00EF39BB" w:rsidP="00AC0BF3">
            <w:pPr>
              <w:rPr>
                <w:lang w:val="en-US"/>
              </w:rPr>
            </w:pPr>
            <w:r>
              <w:rPr>
                <w:lang w:val="en-US"/>
              </w:rPr>
              <w:t>2014</w:t>
            </w:r>
          </w:p>
        </w:tc>
        <w:tc>
          <w:tcPr>
            <w:tcW w:w="1490" w:type="dxa"/>
          </w:tcPr>
          <w:p w:rsidR="00EF39BB" w:rsidRDefault="00EF39BB" w:rsidP="00AC0BF3">
            <w:pPr>
              <w:jc w:val="center"/>
              <w:rPr>
                <w:lang w:val="en-US"/>
              </w:rPr>
            </w:pPr>
            <w:r>
              <w:rPr>
                <w:lang w:val="en-US"/>
              </w:rPr>
              <w:t>11</w:t>
            </w:r>
          </w:p>
        </w:tc>
        <w:tc>
          <w:tcPr>
            <w:tcW w:w="1379" w:type="dxa"/>
          </w:tcPr>
          <w:p w:rsidR="00EF39BB" w:rsidRDefault="00EF39BB" w:rsidP="00AC0BF3">
            <w:pPr>
              <w:jc w:val="center"/>
              <w:rPr>
                <w:lang w:val="en-US"/>
              </w:rPr>
            </w:pPr>
            <w:r>
              <w:rPr>
                <w:lang w:val="en-US"/>
              </w:rPr>
              <w:t>11 (100%)</w:t>
            </w:r>
          </w:p>
        </w:tc>
        <w:tc>
          <w:tcPr>
            <w:tcW w:w="1397" w:type="dxa"/>
          </w:tcPr>
          <w:p w:rsidR="00EF39BB" w:rsidRDefault="00EF39BB" w:rsidP="00AC0BF3">
            <w:pPr>
              <w:jc w:val="center"/>
              <w:rPr>
                <w:lang w:val="en-US"/>
              </w:rPr>
            </w:pPr>
            <w:r>
              <w:rPr>
                <w:lang w:val="en-US"/>
              </w:rPr>
              <w:t>11 (100%)</w:t>
            </w:r>
          </w:p>
        </w:tc>
        <w:tc>
          <w:tcPr>
            <w:tcW w:w="1397" w:type="dxa"/>
          </w:tcPr>
          <w:p w:rsidR="00EF39BB" w:rsidRDefault="00EF39BB" w:rsidP="00AC0BF3">
            <w:pPr>
              <w:jc w:val="center"/>
              <w:rPr>
                <w:lang w:val="en-US"/>
              </w:rPr>
            </w:pPr>
            <w:r>
              <w:rPr>
                <w:lang w:val="en-US"/>
              </w:rPr>
              <w:t>9 (82%)</w:t>
            </w:r>
          </w:p>
        </w:tc>
        <w:tc>
          <w:tcPr>
            <w:tcW w:w="1365" w:type="dxa"/>
          </w:tcPr>
          <w:p w:rsidR="00EF39BB" w:rsidRDefault="00EF39BB" w:rsidP="00AC0BF3">
            <w:pPr>
              <w:jc w:val="center"/>
              <w:rPr>
                <w:lang w:val="en-US"/>
              </w:rPr>
            </w:pPr>
            <w:r>
              <w:rPr>
                <w:lang w:val="en-US"/>
              </w:rPr>
              <w:t>10 (91%)</w:t>
            </w:r>
          </w:p>
        </w:tc>
        <w:tc>
          <w:tcPr>
            <w:tcW w:w="1366" w:type="dxa"/>
          </w:tcPr>
          <w:p w:rsidR="00EF39BB" w:rsidRDefault="00EF39BB" w:rsidP="00AC0BF3">
            <w:pPr>
              <w:jc w:val="center"/>
              <w:rPr>
                <w:lang w:val="en-US"/>
              </w:rPr>
            </w:pPr>
            <w:r>
              <w:rPr>
                <w:lang w:val="en-US"/>
              </w:rPr>
              <w:t>9 (82%)</w:t>
            </w:r>
          </w:p>
        </w:tc>
      </w:tr>
    </w:tbl>
    <w:p w:rsidR="004E0F37" w:rsidRDefault="004E0F37" w:rsidP="00227F29">
      <w:pPr>
        <w:pStyle w:val="E3BodyText"/>
      </w:pPr>
    </w:p>
    <w:p w:rsidR="00EF39BB" w:rsidRDefault="00EF39BB" w:rsidP="00EF39BB">
      <w:pPr>
        <w:pStyle w:val="Caption"/>
        <w:keepNext/>
      </w:pPr>
      <w:bookmarkStart w:id="249" w:name="_Ref424728376"/>
      <w:bookmarkStart w:id="250" w:name="_Toc426387831"/>
      <w:r>
        <w:t xml:space="preserve">Table </w:t>
      </w:r>
      <w:r w:rsidR="00B525E0">
        <w:fldChar w:fldCharType="begin"/>
      </w:r>
      <w:r>
        <w:instrText xml:space="preserve"> SEQ Table \* ARABIC </w:instrText>
      </w:r>
      <w:r w:rsidR="00B525E0">
        <w:fldChar w:fldCharType="separate"/>
      </w:r>
      <w:r w:rsidR="002C13E2">
        <w:rPr>
          <w:noProof/>
        </w:rPr>
        <w:t>16</w:t>
      </w:r>
      <w:r w:rsidR="00B525E0">
        <w:fldChar w:fldCharType="end"/>
      </w:r>
      <w:bookmarkEnd w:id="249"/>
      <w:r>
        <w:t>.</w:t>
      </w:r>
      <w:r w:rsidRPr="00566D1A">
        <w:t xml:space="preserve">Number of Australia / New Zealand Directional </w:t>
      </w:r>
      <w:r w:rsidR="003C0835">
        <w:t xml:space="preserve">LED </w:t>
      </w:r>
      <w:r w:rsidRPr="00566D1A">
        <w:t>Lamps &gt; 63.5 mm that would pass a range of possible MEPS efficacy levels (by year of purchase)</w:t>
      </w:r>
      <w:bookmarkEnd w:id="250"/>
    </w:p>
    <w:tbl>
      <w:tblPr>
        <w:tblStyle w:val="TableGrid"/>
        <w:tblW w:w="5000" w:type="pct"/>
        <w:tblLook w:val="04A0" w:firstRow="1" w:lastRow="0" w:firstColumn="1" w:lastColumn="0" w:noHBand="0" w:noVBand="1"/>
      </w:tblPr>
      <w:tblGrid>
        <w:gridCol w:w="1461"/>
        <w:gridCol w:w="1491"/>
        <w:gridCol w:w="1381"/>
        <w:gridCol w:w="1397"/>
        <w:gridCol w:w="1394"/>
        <w:gridCol w:w="1366"/>
        <w:gridCol w:w="1365"/>
      </w:tblGrid>
      <w:tr w:rsidR="00EF39BB" w:rsidTr="006224FD">
        <w:trPr>
          <w:trHeight w:val="300"/>
          <w:tblHeader/>
        </w:trPr>
        <w:tc>
          <w:tcPr>
            <w:tcW w:w="1461" w:type="dxa"/>
            <w:vMerge w:val="restart"/>
          </w:tcPr>
          <w:p w:rsidR="00EF39BB" w:rsidRDefault="00EF39BB" w:rsidP="00AC0BF3">
            <w:pPr>
              <w:jc w:val="center"/>
              <w:rPr>
                <w:lang w:val="en-US"/>
              </w:rPr>
            </w:pPr>
            <w:r>
              <w:rPr>
                <w:lang w:val="en-US"/>
              </w:rPr>
              <w:t>Year of purchase</w:t>
            </w:r>
          </w:p>
        </w:tc>
        <w:tc>
          <w:tcPr>
            <w:tcW w:w="1491" w:type="dxa"/>
            <w:vMerge w:val="restart"/>
          </w:tcPr>
          <w:p w:rsidR="00EF39BB" w:rsidRDefault="00EF39BB" w:rsidP="00AC0BF3">
            <w:pPr>
              <w:jc w:val="center"/>
              <w:rPr>
                <w:lang w:val="en-US"/>
              </w:rPr>
            </w:pPr>
            <w:r>
              <w:rPr>
                <w:lang w:val="en-US"/>
              </w:rPr>
              <w:t>No of lamps purchased</w:t>
            </w:r>
          </w:p>
        </w:tc>
        <w:tc>
          <w:tcPr>
            <w:tcW w:w="1381" w:type="dxa"/>
            <w:vMerge w:val="restart"/>
          </w:tcPr>
          <w:p w:rsidR="00EF39BB" w:rsidRDefault="00EF39BB" w:rsidP="00AC0BF3">
            <w:pPr>
              <w:jc w:val="center"/>
              <w:rPr>
                <w:lang w:val="en-US"/>
              </w:rPr>
            </w:pPr>
            <w:r>
              <w:rPr>
                <w:lang w:val="en-US"/>
              </w:rPr>
              <w:t>Pass AU/NZ MEPS reflector CFL</w:t>
            </w:r>
          </w:p>
        </w:tc>
        <w:tc>
          <w:tcPr>
            <w:tcW w:w="2791" w:type="dxa"/>
            <w:gridSpan w:val="2"/>
          </w:tcPr>
          <w:p w:rsidR="00EF39BB" w:rsidRDefault="00EF39BB" w:rsidP="00AC0BF3">
            <w:pPr>
              <w:jc w:val="center"/>
              <w:rPr>
                <w:lang w:val="en-US"/>
              </w:rPr>
            </w:pPr>
            <w:r>
              <w:rPr>
                <w:lang w:val="en-US"/>
              </w:rPr>
              <w:t>Pass EU MEPS</w:t>
            </w:r>
          </w:p>
        </w:tc>
        <w:tc>
          <w:tcPr>
            <w:tcW w:w="2731" w:type="dxa"/>
            <w:gridSpan w:val="2"/>
          </w:tcPr>
          <w:p w:rsidR="00EF39BB" w:rsidRDefault="00EF39BB" w:rsidP="00AC0BF3">
            <w:pPr>
              <w:jc w:val="center"/>
              <w:rPr>
                <w:lang w:val="en-US"/>
              </w:rPr>
            </w:pPr>
            <w:r>
              <w:rPr>
                <w:lang w:val="en-US"/>
              </w:rPr>
              <w:t>Pass IEA 4E-SSL</w:t>
            </w:r>
          </w:p>
        </w:tc>
      </w:tr>
      <w:tr w:rsidR="00EF39BB" w:rsidTr="006224FD">
        <w:trPr>
          <w:trHeight w:val="299"/>
          <w:tblHeader/>
        </w:trPr>
        <w:tc>
          <w:tcPr>
            <w:tcW w:w="1461" w:type="dxa"/>
            <w:vMerge/>
          </w:tcPr>
          <w:p w:rsidR="00EF39BB" w:rsidRDefault="00EF39BB" w:rsidP="00AC0BF3">
            <w:pPr>
              <w:jc w:val="center"/>
              <w:rPr>
                <w:lang w:val="en-US"/>
              </w:rPr>
            </w:pPr>
          </w:p>
        </w:tc>
        <w:tc>
          <w:tcPr>
            <w:tcW w:w="1491" w:type="dxa"/>
            <w:vMerge/>
          </w:tcPr>
          <w:p w:rsidR="00EF39BB" w:rsidRDefault="00EF39BB" w:rsidP="00AC0BF3">
            <w:pPr>
              <w:jc w:val="center"/>
              <w:rPr>
                <w:lang w:val="en-US"/>
              </w:rPr>
            </w:pPr>
          </w:p>
        </w:tc>
        <w:tc>
          <w:tcPr>
            <w:tcW w:w="1381" w:type="dxa"/>
            <w:vMerge/>
          </w:tcPr>
          <w:p w:rsidR="00EF39BB" w:rsidRDefault="00EF39BB" w:rsidP="00AC0BF3">
            <w:pPr>
              <w:jc w:val="center"/>
              <w:rPr>
                <w:lang w:val="en-US"/>
              </w:rPr>
            </w:pPr>
          </w:p>
        </w:tc>
        <w:tc>
          <w:tcPr>
            <w:tcW w:w="1397" w:type="dxa"/>
          </w:tcPr>
          <w:p w:rsidR="00EF39BB" w:rsidRDefault="00EF39BB" w:rsidP="00AC0BF3">
            <w:pPr>
              <w:jc w:val="center"/>
              <w:rPr>
                <w:lang w:val="en-US"/>
              </w:rPr>
            </w:pPr>
            <w:r>
              <w:rPr>
                <w:lang w:val="en-US"/>
              </w:rPr>
              <w:t>2013</w:t>
            </w:r>
          </w:p>
        </w:tc>
        <w:tc>
          <w:tcPr>
            <w:tcW w:w="1394" w:type="dxa"/>
          </w:tcPr>
          <w:p w:rsidR="00EF39BB" w:rsidRDefault="00EF39BB" w:rsidP="00AC0BF3">
            <w:pPr>
              <w:jc w:val="center"/>
              <w:rPr>
                <w:lang w:val="en-US"/>
              </w:rPr>
            </w:pPr>
            <w:r>
              <w:rPr>
                <w:lang w:val="en-US"/>
              </w:rPr>
              <w:t>2016</w:t>
            </w:r>
          </w:p>
        </w:tc>
        <w:tc>
          <w:tcPr>
            <w:tcW w:w="1366" w:type="dxa"/>
          </w:tcPr>
          <w:p w:rsidR="00EF39BB" w:rsidRDefault="00EF39BB" w:rsidP="00AC0BF3">
            <w:pPr>
              <w:jc w:val="center"/>
              <w:rPr>
                <w:lang w:val="en-US"/>
              </w:rPr>
            </w:pPr>
            <w:r>
              <w:rPr>
                <w:lang w:val="en-US"/>
              </w:rPr>
              <w:t>Tier 1</w:t>
            </w:r>
          </w:p>
        </w:tc>
        <w:tc>
          <w:tcPr>
            <w:tcW w:w="1365" w:type="dxa"/>
          </w:tcPr>
          <w:p w:rsidR="00EF39BB" w:rsidRDefault="00EF39BB" w:rsidP="00AC0BF3">
            <w:pPr>
              <w:jc w:val="center"/>
              <w:rPr>
                <w:lang w:val="en-US"/>
              </w:rPr>
            </w:pPr>
            <w:r>
              <w:rPr>
                <w:lang w:val="en-US"/>
              </w:rPr>
              <w:t>Tier 2</w:t>
            </w:r>
          </w:p>
        </w:tc>
      </w:tr>
      <w:tr w:rsidR="00EF39BB" w:rsidTr="00EF39BB">
        <w:tc>
          <w:tcPr>
            <w:tcW w:w="1461" w:type="dxa"/>
          </w:tcPr>
          <w:p w:rsidR="00EF39BB" w:rsidRDefault="00EF39BB" w:rsidP="00AC0BF3">
            <w:pPr>
              <w:rPr>
                <w:lang w:val="en-US"/>
              </w:rPr>
            </w:pPr>
            <w:r>
              <w:rPr>
                <w:lang w:val="en-US"/>
              </w:rPr>
              <w:t>2010</w:t>
            </w:r>
          </w:p>
        </w:tc>
        <w:tc>
          <w:tcPr>
            <w:tcW w:w="1491" w:type="dxa"/>
          </w:tcPr>
          <w:p w:rsidR="00EF39BB" w:rsidRDefault="00EF39BB" w:rsidP="00AC0BF3">
            <w:pPr>
              <w:jc w:val="center"/>
              <w:rPr>
                <w:lang w:val="en-US"/>
              </w:rPr>
            </w:pPr>
            <w:r>
              <w:rPr>
                <w:lang w:val="en-US"/>
              </w:rPr>
              <w:t>5</w:t>
            </w:r>
          </w:p>
        </w:tc>
        <w:tc>
          <w:tcPr>
            <w:tcW w:w="1381" w:type="dxa"/>
          </w:tcPr>
          <w:p w:rsidR="00EF39BB" w:rsidRDefault="00EF39BB" w:rsidP="00AC0BF3">
            <w:pPr>
              <w:jc w:val="center"/>
              <w:rPr>
                <w:lang w:val="en-US"/>
              </w:rPr>
            </w:pPr>
            <w:r>
              <w:rPr>
                <w:lang w:val="en-US"/>
              </w:rPr>
              <w:t>5 (100%)</w:t>
            </w:r>
          </w:p>
        </w:tc>
        <w:tc>
          <w:tcPr>
            <w:tcW w:w="1397" w:type="dxa"/>
          </w:tcPr>
          <w:p w:rsidR="00EF39BB" w:rsidRDefault="00EF39BB" w:rsidP="00AC0BF3">
            <w:pPr>
              <w:jc w:val="center"/>
              <w:rPr>
                <w:lang w:val="en-US"/>
              </w:rPr>
            </w:pPr>
            <w:r>
              <w:rPr>
                <w:lang w:val="en-US"/>
              </w:rPr>
              <w:t>4 (80%)</w:t>
            </w:r>
          </w:p>
        </w:tc>
        <w:tc>
          <w:tcPr>
            <w:tcW w:w="1394" w:type="dxa"/>
          </w:tcPr>
          <w:p w:rsidR="00EF39BB" w:rsidRDefault="00EF39BB" w:rsidP="00AC0BF3">
            <w:pPr>
              <w:jc w:val="center"/>
              <w:rPr>
                <w:lang w:val="en-US"/>
              </w:rPr>
            </w:pPr>
            <w:r>
              <w:rPr>
                <w:lang w:val="en-US"/>
              </w:rPr>
              <w:t>0</w:t>
            </w:r>
          </w:p>
        </w:tc>
        <w:tc>
          <w:tcPr>
            <w:tcW w:w="1366" w:type="dxa"/>
          </w:tcPr>
          <w:p w:rsidR="00EF39BB" w:rsidRDefault="00EF39BB" w:rsidP="00AC0BF3">
            <w:pPr>
              <w:jc w:val="center"/>
              <w:rPr>
                <w:lang w:val="en-US"/>
              </w:rPr>
            </w:pPr>
            <w:r>
              <w:rPr>
                <w:lang w:val="en-US"/>
              </w:rPr>
              <w:t>3 (60%)</w:t>
            </w:r>
          </w:p>
        </w:tc>
        <w:tc>
          <w:tcPr>
            <w:tcW w:w="1365" w:type="dxa"/>
          </w:tcPr>
          <w:p w:rsidR="00EF39BB" w:rsidRDefault="00EF39BB" w:rsidP="00AC0BF3">
            <w:pPr>
              <w:jc w:val="center"/>
              <w:rPr>
                <w:lang w:val="en-US"/>
              </w:rPr>
            </w:pPr>
            <w:r>
              <w:rPr>
                <w:lang w:val="en-US"/>
              </w:rPr>
              <w:t>2 (40%)</w:t>
            </w:r>
          </w:p>
        </w:tc>
      </w:tr>
      <w:tr w:rsidR="00EF39BB" w:rsidTr="00EF39BB">
        <w:tc>
          <w:tcPr>
            <w:tcW w:w="1461" w:type="dxa"/>
          </w:tcPr>
          <w:p w:rsidR="00EF39BB" w:rsidRDefault="00EF39BB" w:rsidP="00AC0BF3">
            <w:pPr>
              <w:rPr>
                <w:lang w:val="en-US"/>
              </w:rPr>
            </w:pPr>
            <w:r>
              <w:rPr>
                <w:lang w:val="en-US"/>
              </w:rPr>
              <w:t>2011</w:t>
            </w:r>
          </w:p>
        </w:tc>
        <w:tc>
          <w:tcPr>
            <w:tcW w:w="1491" w:type="dxa"/>
          </w:tcPr>
          <w:p w:rsidR="00EF39BB" w:rsidRDefault="00EF39BB" w:rsidP="00AC0BF3">
            <w:pPr>
              <w:jc w:val="center"/>
              <w:rPr>
                <w:lang w:val="en-US"/>
              </w:rPr>
            </w:pPr>
            <w:r>
              <w:rPr>
                <w:lang w:val="en-US"/>
              </w:rPr>
              <w:t>9</w:t>
            </w:r>
          </w:p>
        </w:tc>
        <w:tc>
          <w:tcPr>
            <w:tcW w:w="1381" w:type="dxa"/>
          </w:tcPr>
          <w:p w:rsidR="00EF39BB" w:rsidRDefault="00EF39BB" w:rsidP="00AC0BF3">
            <w:pPr>
              <w:jc w:val="center"/>
              <w:rPr>
                <w:lang w:val="en-US"/>
              </w:rPr>
            </w:pPr>
            <w:r>
              <w:rPr>
                <w:lang w:val="en-US"/>
              </w:rPr>
              <w:t>9 (100%)</w:t>
            </w:r>
          </w:p>
        </w:tc>
        <w:tc>
          <w:tcPr>
            <w:tcW w:w="1397" w:type="dxa"/>
          </w:tcPr>
          <w:p w:rsidR="00EF39BB" w:rsidRDefault="00EF39BB" w:rsidP="00AC0BF3">
            <w:pPr>
              <w:jc w:val="center"/>
              <w:rPr>
                <w:lang w:val="en-US"/>
              </w:rPr>
            </w:pPr>
            <w:r>
              <w:rPr>
                <w:lang w:val="en-US"/>
              </w:rPr>
              <w:t>9 (100%)</w:t>
            </w:r>
          </w:p>
        </w:tc>
        <w:tc>
          <w:tcPr>
            <w:tcW w:w="1394" w:type="dxa"/>
          </w:tcPr>
          <w:p w:rsidR="00EF39BB" w:rsidRDefault="00EF39BB" w:rsidP="00AC0BF3">
            <w:pPr>
              <w:jc w:val="center"/>
              <w:rPr>
                <w:lang w:val="en-US"/>
              </w:rPr>
            </w:pPr>
            <w:r>
              <w:rPr>
                <w:lang w:val="en-US"/>
              </w:rPr>
              <w:t>0</w:t>
            </w:r>
          </w:p>
        </w:tc>
        <w:tc>
          <w:tcPr>
            <w:tcW w:w="1366" w:type="dxa"/>
          </w:tcPr>
          <w:p w:rsidR="00EF39BB" w:rsidRDefault="00EF39BB" w:rsidP="00AC0BF3">
            <w:pPr>
              <w:jc w:val="center"/>
              <w:rPr>
                <w:lang w:val="en-US"/>
              </w:rPr>
            </w:pPr>
            <w:r>
              <w:rPr>
                <w:lang w:val="en-US"/>
              </w:rPr>
              <w:t>6 (67%)</w:t>
            </w:r>
          </w:p>
        </w:tc>
        <w:tc>
          <w:tcPr>
            <w:tcW w:w="1365" w:type="dxa"/>
          </w:tcPr>
          <w:p w:rsidR="00EF39BB" w:rsidRDefault="00EF39BB" w:rsidP="00AC0BF3">
            <w:pPr>
              <w:jc w:val="center"/>
              <w:rPr>
                <w:lang w:val="en-US"/>
              </w:rPr>
            </w:pPr>
            <w:r>
              <w:rPr>
                <w:lang w:val="en-US"/>
              </w:rPr>
              <w:t>3 (33%)</w:t>
            </w:r>
          </w:p>
        </w:tc>
      </w:tr>
      <w:tr w:rsidR="00EF39BB" w:rsidTr="00EF39BB">
        <w:tc>
          <w:tcPr>
            <w:tcW w:w="1461" w:type="dxa"/>
          </w:tcPr>
          <w:p w:rsidR="00EF39BB" w:rsidRDefault="00EF39BB" w:rsidP="00AC0BF3">
            <w:pPr>
              <w:rPr>
                <w:lang w:val="en-US"/>
              </w:rPr>
            </w:pPr>
            <w:r>
              <w:rPr>
                <w:lang w:val="en-US"/>
              </w:rPr>
              <w:t>2012</w:t>
            </w:r>
          </w:p>
        </w:tc>
        <w:tc>
          <w:tcPr>
            <w:tcW w:w="1491" w:type="dxa"/>
          </w:tcPr>
          <w:p w:rsidR="00EF39BB" w:rsidRDefault="00EF39BB" w:rsidP="00AC0BF3">
            <w:pPr>
              <w:jc w:val="center"/>
              <w:rPr>
                <w:lang w:val="en-US"/>
              </w:rPr>
            </w:pPr>
            <w:r>
              <w:rPr>
                <w:lang w:val="en-US"/>
              </w:rPr>
              <w:t>4</w:t>
            </w:r>
          </w:p>
        </w:tc>
        <w:tc>
          <w:tcPr>
            <w:tcW w:w="1381" w:type="dxa"/>
          </w:tcPr>
          <w:p w:rsidR="00EF39BB" w:rsidRDefault="00EF39BB" w:rsidP="00AC0BF3">
            <w:pPr>
              <w:jc w:val="center"/>
              <w:rPr>
                <w:lang w:val="en-US"/>
              </w:rPr>
            </w:pPr>
            <w:r>
              <w:rPr>
                <w:lang w:val="en-US"/>
              </w:rPr>
              <w:t>4 (100%)</w:t>
            </w:r>
          </w:p>
        </w:tc>
        <w:tc>
          <w:tcPr>
            <w:tcW w:w="1397" w:type="dxa"/>
          </w:tcPr>
          <w:p w:rsidR="00EF39BB" w:rsidRDefault="00EF39BB" w:rsidP="00AC0BF3">
            <w:pPr>
              <w:jc w:val="center"/>
              <w:rPr>
                <w:lang w:val="en-US"/>
              </w:rPr>
            </w:pPr>
            <w:r>
              <w:rPr>
                <w:lang w:val="en-US"/>
              </w:rPr>
              <w:t>4 (100%)</w:t>
            </w:r>
          </w:p>
        </w:tc>
        <w:tc>
          <w:tcPr>
            <w:tcW w:w="1394" w:type="dxa"/>
          </w:tcPr>
          <w:p w:rsidR="00EF39BB" w:rsidRDefault="00EF39BB" w:rsidP="00AC0BF3">
            <w:pPr>
              <w:jc w:val="center"/>
              <w:rPr>
                <w:lang w:val="en-US"/>
              </w:rPr>
            </w:pPr>
            <w:r>
              <w:rPr>
                <w:lang w:val="en-US"/>
              </w:rPr>
              <w:t>1 (25%)</w:t>
            </w:r>
          </w:p>
        </w:tc>
        <w:tc>
          <w:tcPr>
            <w:tcW w:w="1366" w:type="dxa"/>
          </w:tcPr>
          <w:p w:rsidR="00EF39BB" w:rsidRDefault="00EF39BB" w:rsidP="00AC0BF3">
            <w:pPr>
              <w:jc w:val="center"/>
              <w:rPr>
                <w:lang w:val="en-US"/>
              </w:rPr>
            </w:pPr>
            <w:r>
              <w:rPr>
                <w:lang w:val="en-US"/>
              </w:rPr>
              <w:t>3 (75%)</w:t>
            </w:r>
          </w:p>
        </w:tc>
        <w:tc>
          <w:tcPr>
            <w:tcW w:w="1365" w:type="dxa"/>
          </w:tcPr>
          <w:p w:rsidR="00EF39BB" w:rsidRDefault="00EF39BB" w:rsidP="00AC0BF3">
            <w:pPr>
              <w:jc w:val="center"/>
              <w:rPr>
                <w:lang w:val="en-US"/>
              </w:rPr>
            </w:pPr>
            <w:r>
              <w:rPr>
                <w:lang w:val="en-US"/>
              </w:rPr>
              <w:t>1 (25%)</w:t>
            </w:r>
          </w:p>
        </w:tc>
      </w:tr>
      <w:tr w:rsidR="00EF39BB" w:rsidTr="00EF39BB">
        <w:tc>
          <w:tcPr>
            <w:tcW w:w="1461" w:type="dxa"/>
          </w:tcPr>
          <w:p w:rsidR="00EF39BB" w:rsidRDefault="00EF39BB" w:rsidP="00AC0BF3">
            <w:pPr>
              <w:rPr>
                <w:lang w:val="en-US"/>
              </w:rPr>
            </w:pPr>
            <w:r>
              <w:rPr>
                <w:lang w:val="en-US"/>
              </w:rPr>
              <w:t>2013</w:t>
            </w:r>
          </w:p>
        </w:tc>
        <w:tc>
          <w:tcPr>
            <w:tcW w:w="1491" w:type="dxa"/>
          </w:tcPr>
          <w:p w:rsidR="00EF39BB" w:rsidRDefault="00EF39BB" w:rsidP="00AC0BF3">
            <w:pPr>
              <w:jc w:val="center"/>
              <w:rPr>
                <w:lang w:val="en-US"/>
              </w:rPr>
            </w:pPr>
            <w:r>
              <w:rPr>
                <w:lang w:val="en-US"/>
              </w:rPr>
              <w:t>0</w:t>
            </w:r>
          </w:p>
        </w:tc>
        <w:tc>
          <w:tcPr>
            <w:tcW w:w="1381" w:type="dxa"/>
          </w:tcPr>
          <w:p w:rsidR="00EF39BB" w:rsidRDefault="00EF39BB" w:rsidP="00AC0BF3">
            <w:pPr>
              <w:jc w:val="center"/>
              <w:rPr>
                <w:lang w:val="en-US"/>
              </w:rPr>
            </w:pPr>
            <w:r>
              <w:rPr>
                <w:lang w:val="en-US"/>
              </w:rPr>
              <w:t>0</w:t>
            </w:r>
          </w:p>
        </w:tc>
        <w:tc>
          <w:tcPr>
            <w:tcW w:w="1397" w:type="dxa"/>
          </w:tcPr>
          <w:p w:rsidR="00EF39BB" w:rsidRDefault="00EF39BB" w:rsidP="00AC0BF3">
            <w:pPr>
              <w:jc w:val="center"/>
              <w:rPr>
                <w:lang w:val="en-US"/>
              </w:rPr>
            </w:pPr>
            <w:r>
              <w:rPr>
                <w:lang w:val="en-US"/>
              </w:rPr>
              <w:t>0</w:t>
            </w:r>
          </w:p>
        </w:tc>
        <w:tc>
          <w:tcPr>
            <w:tcW w:w="1394" w:type="dxa"/>
          </w:tcPr>
          <w:p w:rsidR="00EF39BB" w:rsidRDefault="00EF39BB" w:rsidP="00AC0BF3">
            <w:pPr>
              <w:jc w:val="center"/>
              <w:rPr>
                <w:lang w:val="en-US"/>
              </w:rPr>
            </w:pPr>
            <w:r>
              <w:rPr>
                <w:lang w:val="en-US"/>
              </w:rPr>
              <w:t>0</w:t>
            </w:r>
          </w:p>
        </w:tc>
        <w:tc>
          <w:tcPr>
            <w:tcW w:w="1366" w:type="dxa"/>
          </w:tcPr>
          <w:p w:rsidR="00EF39BB" w:rsidRDefault="00EF39BB" w:rsidP="00AC0BF3">
            <w:pPr>
              <w:jc w:val="center"/>
              <w:rPr>
                <w:lang w:val="en-US"/>
              </w:rPr>
            </w:pPr>
            <w:r>
              <w:rPr>
                <w:lang w:val="en-US"/>
              </w:rPr>
              <w:t>0</w:t>
            </w:r>
          </w:p>
        </w:tc>
        <w:tc>
          <w:tcPr>
            <w:tcW w:w="1365" w:type="dxa"/>
          </w:tcPr>
          <w:p w:rsidR="00EF39BB" w:rsidRDefault="00EF39BB" w:rsidP="00AC0BF3">
            <w:pPr>
              <w:jc w:val="center"/>
              <w:rPr>
                <w:lang w:val="en-US"/>
              </w:rPr>
            </w:pPr>
            <w:r>
              <w:rPr>
                <w:lang w:val="en-US"/>
              </w:rPr>
              <w:t>0</w:t>
            </w:r>
          </w:p>
        </w:tc>
      </w:tr>
      <w:tr w:rsidR="00EF39BB" w:rsidTr="00EF39BB">
        <w:tc>
          <w:tcPr>
            <w:tcW w:w="1461" w:type="dxa"/>
          </w:tcPr>
          <w:p w:rsidR="00EF39BB" w:rsidRDefault="00EF39BB" w:rsidP="00AC0BF3">
            <w:pPr>
              <w:rPr>
                <w:lang w:val="en-US"/>
              </w:rPr>
            </w:pPr>
            <w:r>
              <w:rPr>
                <w:lang w:val="en-US"/>
              </w:rPr>
              <w:t>2014</w:t>
            </w:r>
          </w:p>
        </w:tc>
        <w:tc>
          <w:tcPr>
            <w:tcW w:w="1491" w:type="dxa"/>
          </w:tcPr>
          <w:p w:rsidR="00EF39BB" w:rsidRDefault="00EF39BB" w:rsidP="00AC0BF3">
            <w:pPr>
              <w:jc w:val="center"/>
              <w:rPr>
                <w:lang w:val="en-US"/>
              </w:rPr>
            </w:pPr>
            <w:r>
              <w:rPr>
                <w:lang w:val="en-US"/>
              </w:rPr>
              <w:t>2</w:t>
            </w:r>
          </w:p>
        </w:tc>
        <w:tc>
          <w:tcPr>
            <w:tcW w:w="1381" w:type="dxa"/>
          </w:tcPr>
          <w:p w:rsidR="00EF39BB" w:rsidRDefault="00EF39BB" w:rsidP="00AC0BF3">
            <w:pPr>
              <w:jc w:val="center"/>
              <w:rPr>
                <w:lang w:val="en-US"/>
              </w:rPr>
            </w:pPr>
            <w:r>
              <w:rPr>
                <w:lang w:val="en-US"/>
              </w:rPr>
              <w:t>2 (100%)</w:t>
            </w:r>
          </w:p>
        </w:tc>
        <w:tc>
          <w:tcPr>
            <w:tcW w:w="1397" w:type="dxa"/>
          </w:tcPr>
          <w:p w:rsidR="00EF39BB" w:rsidRDefault="00EF39BB" w:rsidP="00AC0BF3">
            <w:pPr>
              <w:jc w:val="center"/>
              <w:rPr>
                <w:lang w:val="en-US"/>
              </w:rPr>
            </w:pPr>
            <w:r>
              <w:rPr>
                <w:lang w:val="en-US"/>
              </w:rPr>
              <w:t>2 (100%)</w:t>
            </w:r>
          </w:p>
        </w:tc>
        <w:tc>
          <w:tcPr>
            <w:tcW w:w="1394" w:type="dxa"/>
          </w:tcPr>
          <w:p w:rsidR="00EF39BB" w:rsidRDefault="00EF39BB" w:rsidP="00AC0BF3">
            <w:pPr>
              <w:jc w:val="center"/>
              <w:rPr>
                <w:lang w:val="en-US"/>
              </w:rPr>
            </w:pPr>
            <w:r>
              <w:rPr>
                <w:lang w:val="en-US"/>
              </w:rPr>
              <w:t>1 (50%)</w:t>
            </w:r>
          </w:p>
        </w:tc>
        <w:tc>
          <w:tcPr>
            <w:tcW w:w="1366" w:type="dxa"/>
          </w:tcPr>
          <w:p w:rsidR="00EF39BB" w:rsidRDefault="00EF39BB" w:rsidP="00AC0BF3">
            <w:pPr>
              <w:jc w:val="center"/>
              <w:rPr>
                <w:lang w:val="en-US"/>
              </w:rPr>
            </w:pPr>
            <w:r>
              <w:rPr>
                <w:lang w:val="en-US"/>
              </w:rPr>
              <w:t>2 (100%)</w:t>
            </w:r>
          </w:p>
        </w:tc>
        <w:tc>
          <w:tcPr>
            <w:tcW w:w="1365" w:type="dxa"/>
          </w:tcPr>
          <w:p w:rsidR="00EF39BB" w:rsidRDefault="00EF39BB" w:rsidP="00AC0BF3">
            <w:pPr>
              <w:jc w:val="center"/>
              <w:rPr>
                <w:lang w:val="en-US"/>
              </w:rPr>
            </w:pPr>
            <w:r>
              <w:rPr>
                <w:lang w:val="en-US"/>
              </w:rPr>
              <w:t>1 (50%)</w:t>
            </w:r>
          </w:p>
        </w:tc>
      </w:tr>
    </w:tbl>
    <w:p w:rsidR="00D50015" w:rsidRDefault="00D50015" w:rsidP="00D50015">
      <w:pPr>
        <w:pStyle w:val="E3BodyText"/>
        <w:keepNext/>
      </w:pPr>
      <w:r>
        <w:lastRenderedPageBreak/>
        <w:br/>
      </w:r>
      <w:r>
        <w:rPr>
          <w:noProof/>
          <w:lang w:eastAsia="en-AU"/>
        </w:rPr>
        <w:drawing>
          <wp:inline distT="0" distB="0" distL="0" distR="0" wp14:anchorId="2DD95FE9" wp14:editId="07413A60">
            <wp:extent cx="2952000" cy="2677727"/>
            <wp:effectExtent l="0" t="0" r="1270" b="8890"/>
            <wp:docPr id="86" name="Picture 86" descr="Percentage of directional ≤ 63.5mm (left) LED lamps(2009-2014) that would pass IEA 4E-SSL, EU and AU/NZ CFL standards. &#10;&#10;IEA 4ESSL Tier1 = 70.1%&#10;IEA 4ESSL Tier2 = 41.9%&#10;EU MEPS 2013 = 99.1%&#10;EU MEPS 2016 = 36.8%&#10;AU/NZ =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52000" cy="2677727"/>
                    </a:xfrm>
                    <a:prstGeom prst="rect">
                      <a:avLst/>
                    </a:prstGeom>
                    <a:noFill/>
                  </pic:spPr>
                </pic:pic>
              </a:graphicData>
            </a:graphic>
          </wp:inline>
        </w:drawing>
      </w:r>
      <w:r>
        <w:rPr>
          <w:noProof/>
          <w:lang w:eastAsia="en-AU"/>
        </w:rPr>
        <w:drawing>
          <wp:inline distT="0" distB="0" distL="0" distR="0" wp14:anchorId="6C692859" wp14:editId="193DD65F">
            <wp:extent cx="2952000" cy="2690012"/>
            <wp:effectExtent l="0" t="0" r="1270" b="0"/>
            <wp:docPr id="88" name="Picture 88" descr="Percentage of directional 63.5mm (right) LED lamps(2009-2014) that would pass IEA 4E-SSL, EU and AU/NZ CFL standards. &#10;&#10;IEA 4ESSL Tier1 = 63.6%&#10;IEA 4ESSL Tier2 = 31.8%&#10;EU MEPS 2013 = 95.5%&#10;EU MEPS 2016 = 9.1%&#10;AU/NZ =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52000" cy="2690012"/>
                    </a:xfrm>
                    <a:prstGeom prst="rect">
                      <a:avLst/>
                    </a:prstGeom>
                    <a:noFill/>
                  </pic:spPr>
                </pic:pic>
              </a:graphicData>
            </a:graphic>
          </wp:inline>
        </w:drawing>
      </w:r>
    </w:p>
    <w:p w:rsidR="00EF39BB" w:rsidRDefault="00D50015" w:rsidP="00D50015">
      <w:pPr>
        <w:pStyle w:val="Caption"/>
        <w:rPr>
          <w:lang w:val="en-US"/>
        </w:rPr>
      </w:pPr>
      <w:bookmarkStart w:id="251" w:name="_Toc426387883"/>
      <w:r>
        <w:t xml:space="preserve">Figure </w:t>
      </w:r>
      <w:r>
        <w:fldChar w:fldCharType="begin"/>
      </w:r>
      <w:r>
        <w:instrText xml:space="preserve"> SEQ Figure \* ARABIC </w:instrText>
      </w:r>
      <w:r>
        <w:fldChar w:fldCharType="separate"/>
      </w:r>
      <w:r w:rsidR="002C13E2">
        <w:rPr>
          <w:noProof/>
        </w:rPr>
        <w:t>44</w:t>
      </w:r>
      <w:r>
        <w:fldChar w:fldCharType="end"/>
      </w:r>
      <w:r>
        <w:t xml:space="preserve">. Percentage </w:t>
      </w:r>
      <w:r w:rsidRPr="00D50015">
        <w:rPr>
          <w:lang w:val="en-US"/>
        </w:rPr>
        <w:t xml:space="preserve">of directional ≤ 63.5mm </w:t>
      </w:r>
      <w:r>
        <w:rPr>
          <w:lang w:val="en-US"/>
        </w:rPr>
        <w:t>(left) and &gt; 63.5mm (right)</w:t>
      </w:r>
      <w:r w:rsidR="003C0835">
        <w:rPr>
          <w:lang w:val="en-US"/>
        </w:rPr>
        <w:t xml:space="preserve"> LED</w:t>
      </w:r>
      <w:r>
        <w:rPr>
          <w:lang w:val="en-US"/>
        </w:rPr>
        <w:t xml:space="preserve"> </w:t>
      </w:r>
      <w:r w:rsidRPr="00D50015">
        <w:rPr>
          <w:lang w:val="en-US"/>
        </w:rPr>
        <w:t>lamps</w:t>
      </w:r>
      <w:r>
        <w:rPr>
          <w:lang w:val="en-US"/>
        </w:rPr>
        <w:t>(2009-2014)</w:t>
      </w:r>
      <w:r w:rsidRPr="00D50015">
        <w:rPr>
          <w:lang w:val="en-US"/>
        </w:rPr>
        <w:t xml:space="preserve"> </w:t>
      </w:r>
      <w:r>
        <w:rPr>
          <w:lang w:val="en-US"/>
        </w:rPr>
        <w:t>that would pass IEA 4E-SSL, EU and AU/NZ CFL standards.</w:t>
      </w:r>
      <w:bookmarkEnd w:id="251"/>
      <w:r>
        <w:rPr>
          <w:lang w:val="en-US"/>
        </w:rPr>
        <w:t xml:space="preserve"> </w:t>
      </w:r>
    </w:p>
    <w:p w:rsidR="00D50015" w:rsidRPr="00D50015" w:rsidRDefault="00D50015" w:rsidP="00D50015">
      <w:pPr>
        <w:rPr>
          <w:lang w:val="en-US"/>
        </w:rPr>
      </w:pPr>
    </w:p>
    <w:p w:rsidR="004E0F37" w:rsidRDefault="00CC74F1" w:rsidP="004E0F37">
      <w:pPr>
        <w:pStyle w:val="E3BodyText"/>
        <w:keepNext/>
      </w:pPr>
      <w:r>
        <w:rPr>
          <w:noProof/>
          <w:lang w:eastAsia="en-AU"/>
        </w:rPr>
        <w:drawing>
          <wp:inline distT="0" distB="0" distL="0" distR="0" wp14:anchorId="7455AD89" wp14:editId="15EF555C">
            <wp:extent cx="6128670" cy="4021666"/>
            <wp:effectExtent l="0" t="0" r="5715" b="0"/>
            <wp:docPr id="291" name="Picture 4" descr="Line and Do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srcRect/>
                    <a:stretch>
                      <a:fillRect/>
                    </a:stretch>
                  </pic:blipFill>
                  <pic:spPr bwMode="auto">
                    <a:xfrm>
                      <a:off x="0" y="0"/>
                      <a:ext cx="6128036" cy="4021250"/>
                    </a:xfrm>
                    <a:prstGeom prst="rect">
                      <a:avLst/>
                    </a:prstGeom>
                    <a:noFill/>
                  </pic:spPr>
                </pic:pic>
              </a:graphicData>
            </a:graphic>
          </wp:inline>
        </w:drawing>
      </w:r>
    </w:p>
    <w:p w:rsidR="004E0F37" w:rsidRDefault="004E0F37" w:rsidP="004E0F37">
      <w:pPr>
        <w:pStyle w:val="Caption"/>
      </w:pPr>
      <w:bookmarkStart w:id="252" w:name="_Ref424119758"/>
      <w:bookmarkStart w:id="253" w:name="_Toc426387884"/>
      <w:r>
        <w:t xml:space="preserve">Figure </w:t>
      </w:r>
      <w:r w:rsidR="00B525E0">
        <w:fldChar w:fldCharType="begin"/>
      </w:r>
      <w:r>
        <w:instrText xml:space="preserve"> SEQ Figure \* ARABIC </w:instrText>
      </w:r>
      <w:r w:rsidR="00B525E0">
        <w:fldChar w:fldCharType="separate"/>
      </w:r>
      <w:r w:rsidR="002C13E2">
        <w:rPr>
          <w:noProof/>
        </w:rPr>
        <w:t>45</w:t>
      </w:r>
      <w:r w:rsidR="00B525E0">
        <w:fldChar w:fldCharType="end"/>
      </w:r>
      <w:bookmarkEnd w:id="252"/>
      <w:r>
        <w:t>.</w:t>
      </w:r>
      <w:r w:rsidR="00DC65DC">
        <w:t xml:space="preserve"> </w:t>
      </w:r>
      <w:r w:rsidRPr="004560CA">
        <w:t>Efficacy levels of omnidirectional LED lamps purchased in Australia and New Zealand between 2010 and 2014.</w:t>
      </w:r>
      <w:bookmarkEnd w:id="253"/>
    </w:p>
    <w:p w:rsidR="009A4BDA" w:rsidRDefault="009A4BDA" w:rsidP="00227F29">
      <w:pPr>
        <w:pStyle w:val="E3BodyText"/>
      </w:pPr>
    </w:p>
    <w:p w:rsidR="002C3B31" w:rsidRDefault="002C3B31" w:rsidP="002C3B31">
      <w:pPr>
        <w:pStyle w:val="E3BodyText"/>
      </w:pPr>
      <w:r>
        <w:t>Of the directional lamps purchased in Australia and New Zealand (</w:t>
      </w:r>
      <w:r w:rsidR="00B525E0">
        <w:fldChar w:fldCharType="begin"/>
      </w:r>
      <w:r w:rsidR="00B53DE9">
        <w:instrText xml:space="preserve"> REF _Ref424119769 \h </w:instrText>
      </w:r>
      <w:r w:rsidR="00B525E0">
        <w:fldChar w:fldCharType="separate"/>
      </w:r>
      <w:r w:rsidR="002C13E2">
        <w:t xml:space="preserve">Figure </w:t>
      </w:r>
      <w:r w:rsidR="002C13E2">
        <w:rPr>
          <w:noProof/>
        </w:rPr>
        <w:t>46</w:t>
      </w:r>
      <w:r w:rsidR="00B525E0">
        <w:fldChar w:fldCharType="end"/>
      </w:r>
      <w:r>
        <w:t xml:space="preserve">), all 2013 models pass AU </w:t>
      </w:r>
      <w:r w:rsidR="00203AAA">
        <w:t>reflector</w:t>
      </w:r>
      <w:r>
        <w:t xml:space="preserve"> CFL MEPS and EU 2016 LED MEPS levels; whereas as significant portion of the 2012 market does not meet either of these performance standards. </w:t>
      </w:r>
      <w:r w:rsidR="00B115FC">
        <w:t xml:space="preserve">Approximately 60% of the directional lamps would pass 4E SSL Tier 1 and 50% Tier 2, </w:t>
      </w:r>
      <w:r w:rsidR="00845A3E">
        <w:t>noting that the achievable efficacy of LED lamps would likely have improved further by the time any MEPS levels were put in place.</w:t>
      </w:r>
    </w:p>
    <w:p w:rsidR="009A4BDA" w:rsidRDefault="00B525E0" w:rsidP="002C3B31">
      <w:pPr>
        <w:pStyle w:val="E3BodyText"/>
      </w:pPr>
      <w:r>
        <w:lastRenderedPageBreak/>
        <w:fldChar w:fldCharType="begin"/>
      </w:r>
      <w:r w:rsidR="00B53DE9">
        <w:instrText xml:space="preserve"> REF _Ref424119769 \h </w:instrText>
      </w:r>
      <w:r>
        <w:fldChar w:fldCharType="separate"/>
      </w:r>
      <w:r w:rsidR="002C13E2">
        <w:t xml:space="preserve">Figure </w:t>
      </w:r>
      <w:r w:rsidR="002C13E2">
        <w:rPr>
          <w:noProof/>
        </w:rPr>
        <w:t>46</w:t>
      </w:r>
      <w:r>
        <w:fldChar w:fldCharType="end"/>
      </w:r>
      <w:r w:rsidR="002C3B31">
        <w:t xml:space="preserve"> also shows the lumen output ranges of equivalence to a 20W, 35W and 35W IRC/50W halogen MR16 lamp. Note that only one lamp (2012 model) reaches the lumen output level of a 35W IRC halogen (</w:t>
      </w:r>
      <w:r w:rsidR="00E702FA">
        <w:t>i.e.</w:t>
      </w:r>
      <w:r w:rsidR="002C3B31">
        <w:t xml:space="preserve"> 50W halogen).</w:t>
      </w:r>
    </w:p>
    <w:p w:rsidR="004E0F37" w:rsidRDefault="00CC74F1" w:rsidP="004E0F37">
      <w:pPr>
        <w:pStyle w:val="E3BodyText"/>
        <w:keepNext/>
      </w:pPr>
      <w:r>
        <w:rPr>
          <w:noProof/>
          <w:lang w:eastAsia="en-AU"/>
        </w:rPr>
        <w:drawing>
          <wp:inline distT="0" distB="0" distL="0" distR="0" wp14:anchorId="19AA762D" wp14:editId="3B846853">
            <wp:extent cx="6051237" cy="3970866"/>
            <wp:effectExtent l="0" t="0" r="6985" b="0"/>
            <wp:docPr id="11" name="Picture 2" descr="Detailed Line and Dot Graph. Y Axis Efficacy, X Axis - Luminous Flux.&#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srcRect/>
                    <a:stretch>
                      <a:fillRect/>
                    </a:stretch>
                  </pic:blipFill>
                  <pic:spPr bwMode="auto">
                    <a:xfrm>
                      <a:off x="0" y="0"/>
                      <a:ext cx="6054160" cy="3972784"/>
                    </a:xfrm>
                    <a:prstGeom prst="rect">
                      <a:avLst/>
                    </a:prstGeom>
                    <a:noFill/>
                  </pic:spPr>
                </pic:pic>
              </a:graphicData>
            </a:graphic>
          </wp:inline>
        </w:drawing>
      </w:r>
    </w:p>
    <w:p w:rsidR="004E0F37" w:rsidRDefault="004E0F37" w:rsidP="004E0F37">
      <w:pPr>
        <w:pStyle w:val="Caption"/>
      </w:pPr>
      <w:bookmarkStart w:id="254" w:name="_Ref424119769"/>
      <w:bookmarkStart w:id="255" w:name="_Toc426387885"/>
      <w:r>
        <w:t xml:space="preserve">Figure </w:t>
      </w:r>
      <w:r w:rsidR="00B525E0">
        <w:fldChar w:fldCharType="begin"/>
      </w:r>
      <w:r>
        <w:instrText xml:space="preserve"> SEQ Figure \* ARABIC </w:instrText>
      </w:r>
      <w:r w:rsidR="00B525E0">
        <w:fldChar w:fldCharType="separate"/>
      </w:r>
      <w:r w:rsidR="002C13E2">
        <w:rPr>
          <w:noProof/>
        </w:rPr>
        <w:t>46</w:t>
      </w:r>
      <w:r w:rsidR="00B525E0">
        <w:fldChar w:fldCharType="end"/>
      </w:r>
      <w:bookmarkEnd w:id="254"/>
      <w:r>
        <w:t>.</w:t>
      </w:r>
      <w:r w:rsidRPr="00937A7B">
        <w:t>Efficacy levels of directional LED lamps purchased in Australia and New Zealand between 2009 and 2014.</w:t>
      </w:r>
      <w:bookmarkEnd w:id="255"/>
    </w:p>
    <w:p w:rsidR="00DC65DC" w:rsidRDefault="00DC65DC" w:rsidP="001F6AAD">
      <w:pPr>
        <w:pStyle w:val="E3BodyText"/>
      </w:pPr>
    </w:p>
    <w:p w:rsidR="001F6AAD" w:rsidRDefault="001F6AAD" w:rsidP="001F6AAD">
      <w:pPr>
        <w:pStyle w:val="E3BodyText"/>
      </w:pPr>
      <w:r>
        <w:t>Input is invited on the most appropriate approach to setting efficacy levels</w:t>
      </w:r>
      <w:r w:rsidR="009E0C22">
        <w:t xml:space="preserve"> for LED lamps</w:t>
      </w:r>
      <w:r>
        <w:t>, in particular whether a curved or linear level would be most appropriate.  Given the rapid and ongoing improvement in LED efficacy, it may also be appropriate for a timetable of increasing efficacy requirements to be set.</w:t>
      </w:r>
    </w:p>
    <w:p w:rsidR="00D3360F" w:rsidRPr="005E3AAE" w:rsidRDefault="00D3360F" w:rsidP="006C6D03">
      <w:pPr>
        <w:pStyle w:val="E3BodyIntroductionText"/>
        <w:rPr>
          <w:b/>
        </w:rPr>
      </w:pPr>
      <w:r w:rsidRPr="005E3AAE">
        <w:rPr>
          <w:b/>
        </w:rPr>
        <w:t>Option 1: Introduce MEPS with a minimum efficacy level set to remove the lower performing lamps in the Australia and New Zealand Market.  Efficacy level to be either:</w:t>
      </w:r>
    </w:p>
    <w:p w:rsidR="006C6D03" w:rsidRPr="005E3AAE" w:rsidRDefault="00D3360F" w:rsidP="006C6D03">
      <w:pPr>
        <w:pStyle w:val="E3Bullets"/>
        <w:rPr>
          <w:b/>
          <w:i/>
        </w:rPr>
      </w:pPr>
      <w:r w:rsidRPr="005E3AAE">
        <w:rPr>
          <w:b/>
          <w:i/>
        </w:rPr>
        <w:t>One or more linear levels</w:t>
      </w:r>
      <w:r w:rsidR="006C6D03" w:rsidRPr="005E3AAE">
        <w:rPr>
          <w:b/>
          <w:i/>
        </w:rPr>
        <w:t>; or</w:t>
      </w:r>
    </w:p>
    <w:p w:rsidR="00D3360F" w:rsidRPr="005E3AAE" w:rsidRDefault="00D3360F" w:rsidP="006C6D03">
      <w:pPr>
        <w:pStyle w:val="E3Bullets"/>
        <w:rPr>
          <w:b/>
          <w:i/>
        </w:rPr>
      </w:pPr>
      <w:r w:rsidRPr="005E3AAE">
        <w:rPr>
          <w:b/>
          <w:i/>
        </w:rPr>
        <w:t>A curved level</w:t>
      </w:r>
      <w:r w:rsidR="006C6D03" w:rsidRPr="005E3AAE">
        <w:rPr>
          <w:b/>
          <w:i/>
        </w:rPr>
        <w:t>.</w:t>
      </w:r>
    </w:p>
    <w:p w:rsidR="00D3360F" w:rsidRPr="005E3AAE" w:rsidRDefault="006C6D03" w:rsidP="006C6D03">
      <w:pPr>
        <w:pStyle w:val="E3BodyIntroductionText"/>
        <w:rPr>
          <w:b/>
        </w:rPr>
      </w:pPr>
      <w:r w:rsidRPr="005E3AAE">
        <w:rPr>
          <w:b/>
        </w:rPr>
        <w:t xml:space="preserve">Option 2: Set a timetable of </w:t>
      </w:r>
      <w:r w:rsidR="00B07ABF" w:rsidRPr="005E3AAE">
        <w:rPr>
          <w:b/>
        </w:rPr>
        <w:t>increases</w:t>
      </w:r>
      <w:r w:rsidRPr="005E3AAE">
        <w:rPr>
          <w:b/>
        </w:rPr>
        <w:t xml:space="preserve"> to minimum efficacy levels</w:t>
      </w:r>
      <w:r w:rsidR="005E3AAE" w:rsidRPr="005E3AAE">
        <w:rPr>
          <w:b/>
        </w:rPr>
        <w:t xml:space="preserve"> via MEPS</w:t>
      </w:r>
      <w:r w:rsidRPr="005E3AAE">
        <w:rPr>
          <w:b/>
        </w:rPr>
        <w:t>.</w:t>
      </w:r>
    </w:p>
    <w:p w:rsidR="002C3B31" w:rsidRDefault="001F6AAD" w:rsidP="00E96970">
      <w:pPr>
        <w:pStyle w:val="Heading3"/>
      </w:pPr>
      <w:bookmarkStart w:id="256" w:name="_Toc426387795"/>
      <w:r>
        <w:t>Other Performance Parameters</w:t>
      </w:r>
      <w:bookmarkEnd w:id="256"/>
    </w:p>
    <w:p w:rsidR="00330384" w:rsidRPr="00203AAA" w:rsidRDefault="00330384" w:rsidP="00227F29">
      <w:pPr>
        <w:pStyle w:val="E3BodyText"/>
      </w:pPr>
      <w:r>
        <w:t xml:space="preserve">The following </w:t>
      </w:r>
      <w:r w:rsidR="00B525E0">
        <w:rPr>
          <w:highlight w:val="yellow"/>
        </w:rPr>
        <w:fldChar w:fldCharType="begin"/>
      </w:r>
      <w:r w:rsidR="00B53DE9">
        <w:instrText xml:space="preserve"> REF _Ref424119993 \h </w:instrText>
      </w:r>
      <w:r w:rsidR="00B525E0">
        <w:rPr>
          <w:highlight w:val="yellow"/>
        </w:rPr>
      </w:r>
      <w:r w:rsidR="00B525E0">
        <w:rPr>
          <w:highlight w:val="yellow"/>
        </w:rPr>
        <w:fldChar w:fldCharType="separate"/>
      </w:r>
      <w:r w:rsidR="002C13E2">
        <w:t xml:space="preserve">Table </w:t>
      </w:r>
      <w:r w:rsidR="002C13E2">
        <w:rPr>
          <w:noProof/>
        </w:rPr>
        <w:t>17</w:t>
      </w:r>
      <w:r w:rsidR="00B525E0">
        <w:rPr>
          <w:highlight w:val="yellow"/>
        </w:rPr>
        <w:fldChar w:fldCharType="end"/>
      </w:r>
      <w:r>
        <w:t xml:space="preserve"> lists additional performance parameters that can help to ensure that LED products are able to provide an effective lighting service at least comparable to existing lighting technologies such as incandescent and fluorescent products.  These parameters could be included in a regulated MEPS for LED lighting.  If some parameters were seen as </w:t>
      </w:r>
      <w:r w:rsidR="00C222C2">
        <w:t xml:space="preserve">less </w:t>
      </w:r>
      <w:r w:rsidR="00B150F0">
        <w:t>critical to ensuring the availability of effective and efficient products</w:t>
      </w:r>
      <w:r>
        <w:t>, consideration could be given to those parameters only being included in an Australian and New Zealand Standard.  Thus the regulated MEPS would include efficacy and core performance requirements</w:t>
      </w:r>
      <w:r w:rsidR="00F02B55">
        <w:t xml:space="preserve"> (minimising test cost)</w:t>
      </w:r>
      <w:r>
        <w:t>, while manufacturers / suppliers could also go further and test products against the extended range of parameters in order to claim compliance with the AS/</w:t>
      </w:r>
      <w:r w:rsidRPr="00203AAA">
        <w:t xml:space="preserve">NZS standard.  </w:t>
      </w:r>
      <w:r w:rsidR="00C222C2" w:rsidRPr="00203AAA">
        <w:t>It should be noted however that parameters not included in the MEPS would not be subject to monitoring and compliance activity</w:t>
      </w:r>
      <w:r w:rsidR="00DF7C0F" w:rsidRPr="00203AAA">
        <w:t xml:space="preserve"> under the respective Australian and New Zealand energy efficiency </w:t>
      </w:r>
      <w:r w:rsidR="00E07FCE" w:rsidRPr="00203AAA">
        <w:t>regulations</w:t>
      </w:r>
      <w:r w:rsidR="00C222C2" w:rsidRPr="00203AAA">
        <w:t>.</w:t>
      </w:r>
    </w:p>
    <w:p w:rsidR="00510787" w:rsidRPr="00203AAA" w:rsidRDefault="00510787" w:rsidP="00510787">
      <w:pPr>
        <w:pStyle w:val="E3BodyText"/>
      </w:pPr>
      <w:r w:rsidRPr="00203AAA">
        <w:t xml:space="preserve">While ground-breaking, there are several elements of the EU approach to LED MEPS that </w:t>
      </w:r>
      <w:r w:rsidR="00E702FA">
        <w:t xml:space="preserve">require further consideration. </w:t>
      </w:r>
      <w:r w:rsidRPr="00203AAA">
        <w:t>In addition to the concerns about appropriate evaluation of reflect</w:t>
      </w:r>
      <w:r w:rsidR="00F800AB" w:rsidRPr="00203AAA">
        <w:t xml:space="preserve">or lamps outlined in chapter 7 </w:t>
      </w:r>
      <w:r w:rsidRPr="00203AAA">
        <w:t>and the approach to minimum efficacy outlined above,</w:t>
      </w:r>
      <w:r w:rsidR="00E07FCE" w:rsidRPr="00203AAA">
        <w:t xml:space="preserve"> there are also challenges in the way that </w:t>
      </w:r>
      <w:r w:rsidRPr="00203AAA">
        <w:t>the EU ha</w:t>
      </w:r>
      <w:r w:rsidR="00E07FCE" w:rsidRPr="00203AAA">
        <w:t>s</w:t>
      </w:r>
      <w:r w:rsidRPr="00203AAA">
        <w:t xml:space="preserve"> attempted to </w:t>
      </w:r>
      <w:r w:rsidR="00E07FCE" w:rsidRPr="00203AAA">
        <w:t>establish</w:t>
      </w:r>
      <w:r w:rsidR="00932ABE">
        <w:t xml:space="preserve"> </w:t>
      </w:r>
      <w:r w:rsidRPr="00203AAA">
        <w:t xml:space="preserve">one </w:t>
      </w:r>
      <w:r w:rsidR="00E07FCE" w:rsidRPr="00203AAA">
        <w:t>MEPS</w:t>
      </w:r>
      <w:r w:rsidR="00932ABE">
        <w:t xml:space="preserve"> </w:t>
      </w:r>
      <w:r w:rsidR="00203AAA" w:rsidRPr="00203AAA">
        <w:t xml:space="preserve">to be </w:t>
      </w:r>
      <w:r w:rsidR="00E07FCE" w:rsidRPr="00203AAA">
        <w:t>applied to</w:t>
      </w:r>
      <w:r w:rsidRPr="00203AAA">
        <w:t xml:space="preserve"> incande</w:t>
      </w:r>
      <w:r w:rsidR="00B74B8F">
        <w:t xml:space="preserve">scent, CFL and LED technology. </w:t>
      </w:r>
      <w:r w:rsidRPr="00203AAA">
        <w:t xml:space="preserve">This has resulted in </w:t>
      </w:r>
      <w:r w:rsidR="00203AAA" w:rsidRPr="00203AAA">
        <w:lastRenderedPageBreak/>
        <w:t xml:space="preserve">what could be considered </w:t>
      </w:r>
      <w:r w:rsidRPr="00203AAA">
        <w:t xml:space="preserve">confusing regulations that do not </w:t>
      </w:r>
      <w:r w:rsidR="00E07FCE" w:rsidRPr="00203AAA">
        <w:t xml:space="preserve">necessarily </w:t>
      </w:r>
      <w:r w:rsidR="00203AAA">
        <w:t>provide optimum guidance for the</w:t>
      </w:r>
      <w:r w:rsidR="00E07FCE" w:rsidRPr="00203AAA">
        <w:t xml:space="preserve"> performance of </w:t>
      </w:r>
      <w:r w:rsidRPr="00203AAA">
        <w:t xml:space="preserve">LED products </w:t>
      </w:r>
      <w:r w:rsidR="00203AAA">
        <w:t>due to catering</w:t>
      </w:r>
      <w:r w:rsidR="00E07FCE" w:rsidRPr="00203AAA">
        <w:t xml:space="preserve"> for other tec</w:t>
      </w:r>
      <w:r w:rsidR="00203AAA">
        <w:t>hnology products</w:t>
      </w:r>
      <w:r w:rsidR="00E07FCE" w:rsidRPr="00203AAA">
        <w:t xml:space="preserve">.  </w:t>
      </w:r>
      <w:r w:rsidR="005A384F">
        <w:t>When proposing performance</w:t>
      </w:r>
      <w:r w:rsidR="00E07FCE" w:rsidRPr="00203AAA">
        <w:t xml:space="preserve"> specifications for LEDs it is also important to </w:t>
      </w:r>
      <w:r w:rsidR="005A384F">
        <w:t xml:space="preserve">be mindful </w:t>
      </w:r>
      <w:r w:rsidR="00E07FCE" w:rsidRPr="00203AAA">
        <w:t xml:space="preserve">that a significant portion of LED manufacturers have little </w:t>
      </w:r>
      <w:r w:rsidR="005A384F">
        <w:t xml:space="preserve">knowledge or experience with </w:t>
      </w:r>
      <w:r w:rsidR="00E07FCE" w:rsidRPr="00203AAA">
        <w:t xml:space="preserve">other lighting technologies, thus a combined </w:t>
      </w:r>
      <w:r w:rsidR="005A384F">
        <w:t>universal performance specification</w:t>
      </w:r>
      <w:r w:rsidR="00E07FCE" w:rsidRPr="00203AAA">
        <w:t xml:space="preserve"> may cause unnecessary confusion </w:t>
      </w:r>
      <w:r w:rsidR="005A384F" w:rsidRPr="005A384F">
        <w:t xml:space="preserve">and inadvertent non-compliance </w:t>
      </w:r>
      <w:r w:rsidR="00E07FCE" w:rsidRPr="00203AAA">
        <w:t>in these sectors of the market.</w:t>
      </w:r>
    </w:p>
    <w:p w:rsidR="00AA2FD8" w:rsidRDefault="00AA2FD8" w:rsidP="00227F29">
      <w:pPr>
        <w:pStyle w:val="E3BodyText"/>
      </w:pPr>
      <w:r w:rsidRPr="00203AAA">
        <w:t xml:space="preserve">The </w:t>
      </w:r>
      <w:r w:rsidR="00E07FCE" w:rsidRPr="00203AAA">
        <w:t xml:space="preserve">proposed </w:t>
      </w:r>
      <w:r w:rsidRPr="00203AAA">
        <w:t xml:space="preserve">MEPS levels are </w:t>
      </w:r>
      <w:r w:rsidR="003B7A79" w:rsidRPr="00203AAA">
        <w:t xml:space="preserve">therefore </w:t>
      </w:r>
      <w:r w:rsidRPr="00203AAA">
        <w:t xml:space="preserve">largely derived from the recommended performance levels developed by </w:t>
      </w:r>
      <w:r w:rsidR="003B7A79" w:rsidRPr="00203AAA">
        <w:t xml:space="preserve">experts from ten countries participating in </w:t>
      </w:r>
      <w:r w:rsidRPr="00203AAA">
        <w:t>the IEA 4E SSL annex</w:t>
      </w:r>
      <w:r w:rsidR="00F800AB" w:rsidRPr="00203AAA">
        <w:t>,</w:t>
      </w:r>
      <w:r w:rsidRPr="00203AAA">
        <w:t xml:space="preserve"> except where otherwise noted.  The </w:t>
      </w:r>
      <w:r w:rsidR="003B7A79" w:rsidRPr="00203AAA">
        <w:t xml:space="preserve">proposed </w:t>
      </w:r>
      <w:r w:rsidRPr="00203AAA">
        <w:t>levels and parameters set out</w:t>
      </w:r>
      <w:r w:rsidR="00736E1F">
        <w:t xml:space="preserve"> as an example</w:t>
      </w:r>
      <w:r w:rsidRPr="00203AAA">
        <w:t xml:space="preserve"> in the table below are </w:t>
      </w:r>
      <w:r w:rsidR="005A384F">
        <w:t xml:space="preserve">predominantly </w:t>
      </w:r>
      <w:r w:rsidRPr="00203AAA">
        <w:t>focused on requirements for omnidirec</w:t>
      </w:r>
      <w:r w:rsidR="006936D6" w:rsidRPr="00203AAA">
        <w:t>tional and d</w:t>
      </w:r>
      <w:r w:rsidR="00B74B8F">
        <w:t xml:space="preserve">irectional LED retrofit lamps. </w:t>
      </w:r>
      <w:r w:rsidR="006936D6" w:rsidRPr="00203AAA">
        <w:t>In some cases the parameters and levels may vary for LED luminaires</w:t>
      </w:r>
      <w:r w:rsidR="006936D6">
        <w:t xml:space="preserve"> and linear</w:t>
      </w:r>
      <w:r w:rsidR="00736E1F">
        <w:t>/planar</w:t>
      </w:r>
      <w:r w:rsidR="00B74B8F">
        <w:t xml:space="preserve"> LED lamps. </w:t>
      </w:r>
      <w:r w:rsidR="006936D6">
        <w:t xml:space="preserve">For example for LED luminaires a </w:t>
      </w:r>
      <w:r w:rsidR="005A384F">
        <w:t>longer</w:t>
      </w:r>
      <w:r w:rsidR="006936D6">
        <w:t xml:space="preserve"> lumen maintenance and lifetime requirement would be reasonable.  </w:t>
      </w:r>
    </w:p>
    <w:p w:rsidR="008935AC" w:rsidRDefault="008935AC" w:rsidP="00227F29">
      <w:pPr>
        <w:pStyle w:val="E3BodyText"/>
      </w:pPr>
      <w:r>
        <w:t>Note that the IEA 4E SSL Annex performance specifications are currently under review and may be adjusted in light of advances made by LEDs since their publication.</w:t>
      </w:r>
    </w:p>
    <w:p w:rsidR="00330384" w:rsidRDefault="00330384">
      <w:pPr>
        <w:spacing w:after="200" w:line="276" w:lineRule="auto"/>
      </w:pPr>
      <w:r>
        <w:br w:type="page"/>
      </w:r>
    </w:p>
    <w:p w:rsidR="00CC1CFF" w:rsidRDefault="00CC1CFF" w:rsidP="00227F29">
      <w:pPr>
        <w:pStyle w:val="E3BodyText"/>
        <w:sectPr w:rsidR="00CC1CFF" w:rsidSect="004B2AA0">
          <w:headerReference w:type="default" r:id="rId116"/>
          <w:pgSz w:w="11907" w:h="16840" w:code="9"/>
          <w:pgMar w:top="1134" w:right="1134" w:bottom="1418" w:left="1134" w:header="142" w:footer="709" w:gutter="0"/>
          <w:cols w:space="720"/>
          <w:titlePg/>
          <w:docGrid w:linePitch="360"/>
        </w:sectPr>
      </w:pPr>
    </w:p>
    <w:p w:rsidR="004E0F37" w:rsidRDefault="004E0F37" w:rsidP="004E0F37">
      <w:pPr>
        <w:pStyle w:val="Caption"/>
        <w:keepNext/>
      </w:pPr>
      <w:bookmarkStart w:id="257" w:name="_Ref424119993"/>
      <w:bookmarkStart w:id="258" w:name="_Toc426387832"/>
      <w:r>
        <w:lastRenderedPageBreak/>
        <w:t xml:space="preserve">Table </w:t>
      </w:r>
      <w:r w:rsidR="00B525E0">
        <w:fldChar w:fldCharType="begin"/>
      </w:r>
      <w:r>
        <w:instrText xml:space="preserve"> SEQ Table \* ARABIC </w:instrText>
      </w:r>
      <w:r w:rsidR="00B525E0">
        <w:fldChar w:fldCharType="separate"/>
      </w:r>
      <w:r w:rsidR="002C13E2">
        <w:rPr>
          <w:noProof/>
        </w:rPr>
        <w:t>17</w:t>
      </w:r>
      <w:r w:rsidR="00B525E0">
        <w:fldChar w:fldCharType="end"/>
      </w:r>
      <w:bookmarkEnd w:id="257"/>
      <w:r>
        <w:t>.</w:t>
      </w:r>
      <w:r w:rsidRPr="003802A1">
        <w:t>Possible Performance Parameters for LED MEPS</w:t>
      </w:r>
      <w:bookmarkEnd w:id="258"/>
    </w:p>
    <w:tbl>
      <w:tblPr>
        <w:tblStyle w:val="TableGrid"/>
        <w:tblW w:w="4764" w:type="pct"/>
        <w:tblLayout w:type="fixed"/>
        <w:tblLook w:val="04A0" w:firstRow="1" w:lastRow="0" w:firstColumn="1" w:lastColumn="0" w:noHBand="0" w:noVBand="1"/>
      </w:tblPr>
      <w:tblGrid>
        <w:gridCol w:w="2096"/>
        <w:gridCol w:w="3401"/>
        <w:gridCol w:w="3401"/>
        <w:gridCol w:w="1560"/>
        <w:gridCol w:w="3361"/>
      </w:tblGrid>
      <w:tr w:rsidR="00FC5328" w:rsidRPr="00CC74F1" w:rsidTr="004E0F37">
        <w:trPr>
          <w:trHeight w:val="760"/>
          <w:tblHeader/>
        </w:trPr>
        <w:tc>
          <w:tcPr>
            <w:tcW w:w="2096" w:type="dxa"/>
          </w:tcPr>
          <w:p w:rsidR="00FC5328" w:rsidRPr="00CC74F1" w:rsidRDefault="00FC5328" w:rsidP="00330384">
            <w:pPr>
              <w:rPr>
                <w:b/>
                <w:szCs w:val="19"/>
              </w:rPr>
            </w:pPr>
            <w:r w:rsidRPr="00CC74F1">
              <w:rPr>
                <w:b/>
                <w:szCs w:val="19"/>
              </w:rPr>
              <w:t>Criterion</w:t>
            </w:r>
          </w:p>
        </w:tc>
        <w:tc>
          <w:tcPr>
            <w:tcW w:w="3401" w:type="dxa"/>
          </w:tcPr>
          <w:p w:rsidR="00FC5328" w:rsidRPr="00CC74F1" w:rsidRDefault="00FC5328" w:rsidP="00330384">
            <w:pPr>
              <w:rPr>
                <w:b/>
                <w:szCs w:val="19"/>
              </w:rPr>
            </w:pPr>
            <w:r w:rsidRPr="00CC74F1">
              <w:rPr>
                <w:b/>
                <w:szCs w:val="19"/>
              </w:rPr>
              <w:t>Description</w:t>
            </w:r>
          </w:p>
        </w:tc>
        <w:tc>
          <w:tcPr>
            <w:tcW w:w="3401" w:type="dxa"/>
          </w:tcPr>
          <w:p w:rsidR="00FC5328" w:rsidRPr="00CC74F1" w:rsidRDefault="00FC5328" w:rsidP="00330384">
            <w:pPr>
              <w:rPr>
                <w:b/>
                <w:szCs w:val="19"/>
              </w:rPr>
            </w:pPr>
            <w:r w:rsidRPr="00CC74F1">
              <w:rPr>
                <w:b/>
                <w:szCs w:val="19"/>
              </w:rPr>
              <w:t>Why it is important</w:t>
            </w:r>
          </w:p>
        </w:tc>
        <w:tc>
          <w:tcPr>
            <w:tcW w:w="1560" w:type="dxa"/>
          </w:tcPr>
          <w:p w:rsidR="00FC5328" w:rsidRPr="00CC74F1" w:rsidRDefault="00FC5328" w:rsidP="00330384">
            <w:pPr>
              <w:rPr>
                <w:b/>
                <w:szCs w:val="19"/>
              </w:rPr>
            </w:pPr>
            <w:r w:rsidRPr="00CC74F1">
              <w:rPr>
                <w:b/>
                <w:szCs w:val="19"/>
              </w:rPr>
              <w:t xml:space="preserve">Existing </w:t>
            </w:r>
            <w:r w:rsidR="00745DD5" w:rsidRPr="00CC74F1">
              <w:rPr>
                <w:b/>
                <w:szCs w:val="19"/>
              </w:rPr>
              <w:t xml:space="preserve">Performance </w:t>
            </w:r>
            <w:r w:rsidRPr="00CC74F1">
              <w:rPr>
                <w:b/>
                <w:szCs w:val="19"/>
              </w:rPr>
              <w:t>Standards</w:t>
            </w:r>
          </w:p>
        </w:tc>
        <w:tc>
          <w:tcPr>
            <w:tcW w:w="3361" w:type="dxa"/>
          </w:tcPr>
          <w:p w:rsidR="00916106" w:rsidRPr="00CC74F1" w:rsidRDefault="00FC5328" w:rsidP="00330384">
            <w:pPr>
              <w:rPr>
                <w:szCs w:val="19"/>
              </w:rPr>
            </w:pPr>
            <w:r w:rsidRPr="00CC74F1">
              <w:rPr>
                <w:b/>
                <w:szCs w:val="19"/>
              </w:rPr>
              <w:t>MEPS Levels</w:t>
            </w:r>
          </w:p>
          <w:p w:rsidR="00FC5328" w:rsidRPr="00CC74F1" w:rsidRDefault="00916106" w:rsidP="00330384">
            <w:pPr>
              <w:rPr>
                <w:b/>
                <w:szCs w:val="19"/>
              </w:rPr>
            </w:pPr>
            <w:r w:rsidRPr="00CC74F1">
              <w:rPr>
                <w:szCs w:val="19"/>
              </w:rPr>
              <w:t>Derived from IEA 4E SSL unless otherwise specified</w:t>
            </w:r>
          </w:p>
        </w:tc>
      </w:tr>
      <w:tr w:rsidR="00FC5328" w:rsidRPr="00CC74F1" w:rsidTr="004E0F37">
        <w:trPr>
          <w:tblHeader/>
        </w:trPr>
        <w:tc>
          <w:tcPr>
            <w:tcW w:w="2096" w:type="dxa"/>
          </w:tcPr>
          <w:p w:rsidR="00FC5328" w:rsidRPr="00CC74F1" w:rsidRDefault="00FC5328" w:rsidP="00330384">
            <w:pPr>
              <w:rPr>
                <w:szCs w:val="19"/>
              </w:rPr>
            </w:pPr>
            <w:r w:rsidRPr="00CC74F1">
              <w:rPr>
                <w:szCs w:val="19"/>
              </w:rPr>
              <w:t xml:space="preserve">Claimed Equivalent wattage </w:t>
            </w:r>
            <w:r w:rsidR="00EB4B56" w:rsidRPr="00CC74F1">
              <w:rPr>
                <w:szCs w:val="19"/>
              </w:rPr>
              <w:t>/m</w:t>
            </w:r>
            <w:r w:rsidRPr="00CC74F1">
              <w:rPr>
                <w:szCs w:val="19"/>
              </w:rPr>
              <w:t xml:space="preserve">inimum light output (lm) </w:t>
            </w:r>
            <w:r w:rsidR="00EB4B56" w:rsidRPr="00CC74F1">
              <w:rPr>
                <w:szCs w:val="19"/>
              </w:rPr>
              <w:t>(</w:t>
            </w:r>
            <w:r w:rsidR="00EB4B56" w:rsidRPr="00CC74F1">
              <w:rPr>
                <w:i/>
                <w:szCs w:val="19"/>
              </w:rPr>
              <w:t>retrofit lamps only</w:t>
            </w:r>
            <w:r w:rsidR="00EB4B56" w:rsidRPr="00CC74F1">
              <w:rPr>
                <w:szCs w:val="19"/>
              </w:rPr>
              <w:t>)</w:t>
            </w:r>
          </w:p>
          <w:p w:rsidR="00FC5328" w:rsidRPr="00CC74F1" w:rsidRDefault="00FC5328" w:rsidP="00330384">
            <w:pPr>
              <w:rPr>
                <w:szCs w:val="19"/>
              </w:rPr>
            </w:pPr>
          </w:p>
        </w:tc>
        <w:tc>
          <w:tcPr>
            <w:tcW w:w="3401" w:type="dxa"/>
          </w:tcPr>
          <w:p w:rsidR="00FC5328" w:rsidRPr="00CC74F1" w:rsidRDefault="00FC5328" w:rsidP="00FC5328">
            <w:pPr>
              <w:rPr>
                <w:szCs w:val="19"/>
              </w:rPr>
            </w:pPr>
            <w:r w:rsidRPr="00CC74F1">
              <w:rPr>
                <w:szCs w:val="19"/>
              </w:rPr>
              <w:t xml:space="preserve">If equivalency is claimed to </w:t>
            </w:r>
            <w:r w:rsidR="00E702FA" w:rsidRPr="00CC74F1">
              <w:rPr>
                <w:szCs w:val="19"/>
              </w:rPr>
              <w:t>an</w:t>
            </w:r>
            <w:r w:rsidRPr="00CC74F1">
              <w:rPr>
                <w:szCs w:val="19"/>
              </w:rPr>
              <w:t xml:space="preserve"> incandescent lamp the minimum light output requirement ensures that the LED product produces at least the same amount of light </w:t>
            </w:r>
            <w:r w:rsidR="00745DD5" w:rsidRPr="00CC74F1">
              <w:rPr>
                <w:szCs w:val="19"/>
              </w:rPr>
              <w:t xml:space="preserve">(on average over its life) </w:t>
            </w:r>
            <w:r w:rsidRPr="00CC74F1">
              <w:rPr>
                <w:szCs w:val="19"/>
              </w:rPr>
              <w:t xml:space="preserve">as an incandescent light source of a given wattage; </w:t>
            </w:r>
          </w:p>
        </w:tc>
        <w:tc>
          <w:tcPr>
            <w:tcW w:w="3401" w:type="dxa"/>
          </w:tcPr>
          <w:p w:rsidR="00FC5328" w:rsidRPr="00CC74F1" w:rsidRDefault="00FC5328" w:rsidP="00330384">
            <w:pPr>
              <w:rPr>
                <w:szCs w:val="19"/>
              </w:rPr>
            </w:pPr>
            <w:r w:rsidRPr="00CC74F1">
              <w:rPr>
                <w:szCs w:val="19"/>
              </w:rPr>
              <w:t xml:space="preserve">These levels assist in evaluating manufacturer claims of equivalence for consumers choosing replacement </w:t>
            </w:r>
            <w:r w:rsidR="00E702FA" w:rsidRPr="00CC74F1">
              <w:rPr>
                <w:szCs w:val="19"/>
              </w:rPr>
              <w:t>lamps.</w:t>
            </w:r>
            <w:r w:rsidR="00E702FA">
              <w:rPr>
                <w:szCs w:val="19"/>
              </w:rPr>
              <w:t xml:space="preserve"> </w:t>
            </w:r>
            <w:r w:rsidR="00E702FA" w:rsidRPr="00CC74F1">
              <w:rPr>
                <w:szCs w:val="19"/>
              </w:rPr>
              <w:t>Acceptable</w:t>
            </w:r>
            <w:r w:rsidRPr="00CC74F1">
              <w:rPr>
                <w:szCs w:val="19"/>
              </w:rPr>
              <w:t xml:space="preserve"> light output levels are of highest importance for safe working and living conditions.</w:t>
            </w:r>
          </w:p>
          <w:p w:rsidR="00FC5328" w:rsidRPr="00CC74F1" w:rsidRDefault="00FC5328" w:rsidP="005B7EF3">
            <w:pPr>
              <w:rPr>
                <w:szCs w:val="19"/>
              </w:rPr>
            </w:pPr>
          </w:p>
        </w:tc>
        <w:tc>
          <w:tcPr>
            <w:tcW w:w="1560" w:type="dxa"/>
          </w:tcPr>
          <w:p w:rsidR="00FC5328" w:rsidRPr="0003073A" w:rsidRDefault="00745DD5" w:rsidP="00330384">
            <w:pPr>
              <w:rPr>
                <w:szCs w:val="19"/>
              </w:rPr>
            </w:pPr>
            <w:r w:rsidRPr="0003073A">
              <w:rPr>
                <w:szCs w:val="19"/>
              </w:rPr>
              <w:t xml:space="preserve">IEC </w:t>
            </w:r>
            <w:r w:rsidR="00FC5328" w:rsidRPr="0003073A">
              <w:rPr>
                <w:szCs w:val="19"/>
              </w:rPr>
              <w:t>62612 (Self ballasted LED)</w:t>
            </w:r>
          </w:p>
          <w:p w:rsidR="00FC5328" w:rsidRPr="0003073A" w:rsidRDefault="00FC5328" w:rsidP="00330384">
            <w:pPr>
              <w:rPr>
                <w:szCs w:val="19"/>
              </w:rPr>
            </w:pPr>
          </w:p>
          <w:p w:rsidR="00FC5328" w:rsidRPr="0003073A" w:rsidRDefault="00745DD5" w:rsidP="00330384">
            <w:pPr>
              <w:rPr>
                <w:szCs w:val="19"/>
              </w:rPr>
            </w:pPr>
            <w:r w:rsidRPr="0003073A">
              <w:rPr>
                <w:szCs w:val="19"/>
              </w:rPr>
              <w:t xml:space="preserve">IEC </w:t>
            </w:r>
            <w:r w:rsidR="00FC5328" w:rsidRPr="0003073A">
              <w:rPr>
                <w:szCs w:val="19"/>
              </w:rPr>
              <w:t>62717 (LED modules)</w:t>
            </w:r>
          </w:p>
        </w:tc>
        <w:tc>
          <w:tcPr>
            <w:tcW w:w="3361" w:type="dxa"/>
          </w:tcPr>
          <w:p w:rsidR="00FC5328" w:rsidRPr="0003073A" w:rsidRDefault="00FC5328" w:rsidP="00330384">
            <w:pPr>
              <w:rPr>
                <w:szCs w:val="19"/>
              </w:rPr>
            </w:pPr>
            <w:r w:rsidRPr="0003073A">
              <w:rPr>
                <w:szCs w:val="19"/>
              </w:rPr>
              <w:t>For non-directional</w:t>
            </w:r>
          </w:p>
          <w:p w:rsidR="00FC5328" w:rsidRPr="0003073A" w:rsidRDefault="00FC5328" w:rsidP="005B7EF3">
            <w:pPr>
              <w:autoSpaceDE w:val="0"/>
              <w:autoSpaceDN w:val="0"/>
              <w:adjustRightInd w:val="0"/>
              <w:spacing w:after="0" w:line="240" w:lineRule="auto"/>
              <w:rPr>
                <w:szCs w:val="19"/>
              </w:rPr>
            </w:pPr>
            <w:r w:rsidRPr="0003073A">
              <w:rPr>
                <w:szCs w:val="19"/>
              </w:rPr>
              <w:t xml:space="preserve">20W = 170 lm; 25W = 250 lm; 30W = 325 lm; 35W = 395 lm; 40W = 470 lm; 60W = 800 lm; 75W = 1055 lm; 100W = 1520 lm; </w:t>
            </w:r>
            <w:r w:rsidRPr="0003073A">
              <w:rPr>
                <w:szCs w:val="19"/>
              </w:rPr>
              <w:br/>
              <w:t>125W =2000 lm; 150W = 2452 lm; 200W = 3452 lm</w:t>
            </w:r>
          </w:p>
          <w:p w:rsidR="00916106" w:rsidRPr="0003073A" w:rsidRDefault="00916106" w:rsidP="005B7EF3">
            <w:pPr>
              <w:autoSpaceDE w:val="0"/>
              <w:autoSpaceDN w:val="0"/>
              <w:adjustRightInd w:val="0"/>
              <w:spacing w:after="0" w:line="240" w:lineRule="auto"/>
              <w:rPr>
                <w:rFonts w:eastAsiaTheme="minorHAnsi" w:cs="Calibri"/>
                <w:szCs w:val="19"/>
              </w:rPr>
            </w:pPr>
            <w:r w:rsidRPr="0003073A">
              <w:rPr>
                <w:szCs w:val="19"/>
              </w:rPr>
              <w:t>Directional – see IEA 4E SSL tables in Appendix C</w:t>
            </w:r>
          </w:p>
        </w:tc>
      </w:tr>
      <w:tr w:rsidR="00FC5328" w:rsidRPr="00CC74F1" w:rsidTr="004E0F37">
        <w:trPr>
          <w:tblHeader/>
        </w:trPr>
        <w:tc>
          <w:tcPr>
            <w:tcW w:w="2096" w:type="dxa"/>
          </w:tcPr>
          <w:p w:rsidR="00FC5328" w:rsidRPr="00CC74F1" w:rsidRDefault="00FC5328" w:rsidP="00330384">
            <w:pPr>
              <w:rPr>
                <w:szCs w:val="19"/>
              </w:rPr>
            </w:pPr>
            <w:r w:rsidRPr="00CC74F1">
              <w:rPr>
                <w:szCs w:val="19"/>
              </w:rPr>
              <w:t>Minimum luminous efficacy (lm/W)</w:t>
            </w:r>
          </w:p>
        </w:tc>
        <w:tc>
          <w:tcPr>
            <w:tcW w:w="3401" w:type="dxa"/>
          </w:tcPr>
          <w:p w:rsidR="00FC5328" w:rsidRPr="00CC74F1" w:rsidRDefault="00FC5328" w:rsidP="00330384">
            <w:pPr>
              <w:rPr>
                <w:szCs w:val="19"/>
              </w:rPr>
            </w:pPr>
            <w:r w:rsidRPr="00CC74F1">
              <w:rPr>
                <w:szCs w:val="19"/>
              </w:rPr>
              <w:t xml:space="preserve">Ratio of total light output of a lamp to the power consumed in producing it (lumens/watt). </w:t>
            </w:r>
          </w:p>
          <w:p w:rsidR="00FC5328" w:rsidRPr="00CC74F1" w:rsidRDefault="00FC5328" w:rsidP="00330384">
            <w:pPr>
              <w:rPr>
                <w:szCs w:val="19"/>
              </w:rPr>
            </w:pPr>
            <w:r w:rsidRPr="00CC74F1">
              <w:rPr>
                <w:szCs w:val="19"/>
              </w:rPr>
              <w:t>The higher the efficacy value, the more energy efficient the lighting product.</w:t>
            </w:r>
          </w:p>
        </w:tc>
        <w:tc>
          <w:tcPr>
            <w:tcW w:w="3401" w:type="dxa"/>
          </w:tcPr>
          <w:p w:rsidR="00FC5328" w:rsidRPr="00CC74F1" w:rsidRDefault="00FC5328" w:rsidP="00633012">
            <w:pPr>
              <w:rPr>
                <w:szCs w:val="19"/>
              </w:rPr>
            </w:pPr>
            <w:r w:rsidRPr="00CC74F1">
              <w:rPr>
                <w:szCs w:val="19"/>
              </w:rPr>
              <w:t xml:space="preserve">This criterion informs the consumer and society on how </w:t>
            </w:r>
            <w:r w:rsidR="00633012" w:rsidRPr="00CC74F1">
              <w:rPr>
                <w:szCs w:val="19"/>
              </w:rPr>
              <w:t>efficient the</w:t>
            </w:r>
            <w:r w:rsidRPr="00CC74F1">
              <w:rPr>
                <w:szCs w:val="19"/>
              </w:rPr>
              <w:t xml:space="preserve"> light source </w:t>
            </w:r>
            <w:r w:rsidR="00633012" w:rsidRPr="00CC74F1">
              <w:rPr>
                <w:szCs w:val="19"/>
              </w:rPr>
              <w:t xml:space="preserve">is at </w:t>
            </w:r>
            <w:r w:rsidRPr="00CC74F1">
              <w:rPr>
                <w:szCs w:val="19"/>
              </w:rPr>
              <w:t>produc</w:t>
            </w:r>
            <w:r w:rsidR="00633012" w:rsidRPr="00CC74F1">
              <w:rPr>
                <w:szCs w:val="19"/>
              </w:rPr>
              <w:t>ing</w:t>
            </w:r>
            <w:r w:rsidRPr="00CC74F1">
              <w:rPr>
                <w:szCs w:val="19"/>
              </w:rPr>
              <w:t xml:space="preserve"> visible light. </w:t>
            </w:r>
            <w:r w:rsidRPr="00CC74F1">
              <w:rPr>
                <w:szCs w:val="19"/>
              </w:rPr>
              <w:br/>
              <w:t>An important indicator for saving energy and money.</w:t>
            </w:r>
          </w:p>
        </w:tc>
        <w:tc>
          <w:tcPr>
            <w:tcW w:w="1560" w:type="dxa"/>
          </w:tcPr>
          <w:p w:rsidR="00FC5328" w:rsidRPr="00CC74F1" w:rsidRDefault="00745DD5" w:rsidP="00330384">
            <w:pPr>
              <w:rPr>
                <w:szCs w:val="19"/>
              </w:rPr>
            </w:pPr>
            <w:r w:rsidRPr="00CC74F1">
              <w:rPr>
                <w:szCs w:val="19"/>
              </w:rPr>
              <w:t xml:space="preserve">IEC </w:t>
            </w:r>
            <w:r w:rsidR="00FC5328" w:rsidRPr="00CC74F1">
              <w:rPr>
                <w:szCs w:val="19"/>
              </w:rPr>
              <w:t>62612 (Self ballasted LED)</w:t>
            </w:r>
          </w:p>
          <w:p w:rsidR="00FC5328" w:rsidRPr="00CC74F1" w:rsidRDefault="00FC5328" w:rsidP="00330384">
            <w:pPr>
              <w:rPr>
                <w:szCs w:val="19"/>
              </w:rPr>
            </w:pPr>
          </w:p>
          <w:p w:rsidR="00FC5328" w:rsidRPr="00CC74F1" w:rsidRDefault="00745DD5" w:rsidP="00330384">
            <w:pPr>
              <w:rPr>
                <w:szCs w:val="19"/>
              </w:rPr>
            </w:pPr>
            <w:r w:rsidRPr="00CC74F1">
              <w:rPr>
                <w:szCs w:val="19"/>
              </w:rPr>
              <w:t xml:space="preserve">IEC </w:t>
            </w:r>
            <w:r w:rsidR="00FC5328" w:rsidRPr="00CC74F1">
              <w:rPr>
                <w:szCs w:val="19"/>
              </w:rPr>
              <w:t>62717 (LED modules)</w:t>
            </w:r>
          </w:p>
        </w:tc>
        <w:tc>
          <w:tcPr>
            <w:tcW w:w="3361" w:type="dxa"/>
          </w:tcPr>
          <w:p w:rsidR="00745DD5" w:rsidRPr="00CC74F1" w:rsidRDefault="00745DD5" w:rsidP="00745DD5">
            <w:pPr>
              <w:rPr>
                <w:szCs w:val="19"/>
              </w:rPr>
            </w:pPr>
            <w:r w:rsidRPr="00CC74F1">
              <w:rPr>
                <w:szCs w:val="19"/>
              </w:rPr>
              <w:t>For non-directional:</w:t>
            </w:r>
          </w:p>
          <w:p w:rsidR="00745DD5" w:rsidRPr="00CC74F1" w:rsidRDefault="00745DD5" w:rsidP="00745DD5">
            <w:pPr>
              <w:rPr>
                <w:szCs w:val="19"/>
              </w:rPr>
            </w:pPr>
            <w:r w:rsidRPr="00CC74F1">
              <w:rPr>
                <w:szCs w:val="19"/>
              </w:rPr>
              <w:t>IEA 4E SSL Tier 1</w:t>
            </w:r>
          </w:p>
          <w:p w:rsidR="006F46B6" w:rsidRPr="00CC74F1" w:rsidRDefault="006F46B6" w:rsidP="00745DD5">
            <w:pPr>
              <w:rPr>
                <w:szCs w:val="19"/>
              </w:rPr>
            </w:pPr>
            <w:r w:rsidRPr="00CC74F1">
              <w:rPr>
                <w:szCs w:val="19"/>
              </w:rPr>
              <w:t>&gt; 50 lumen/watt</w:t>
            </w:r>
          </w:p>
          <w:p w:rsidR="00745DD5" w:rsidRPr="00CC74F1" w:rsidRDefault="00745DD5" w:rsidP="00745DD5">
            <w:pPr>
              <w:rPr>
                <w:szCs w:val="19"/>
              </w:rPr>
            </w:pPr>
            <w:r w:rsidRPr="00CC74F1">
              <w:rPr>
                <w:szCs w:val="19"/>
              </w:rPr>
              <w:t>For directional:</w:t>
            </w:r>
          </w:p>
          <w:p w:rsidR="00FC5328" w:rsidRPr="00CC74F1" w:rsidRDefault="00745DD5" w:rsidP="00745DD5">
            <w:pPr>
              <w:rPr>
                <w:szCs w:val="19"/>
              </w:rPr>
            </w:pPr>
            <w:r w:rsidRPr="00CC74F1">
              <w:rPr>
                <w:szCs w:val="19"/>
              </w:rPr>
              <w:t>IEA 4E SSL Tier 2</w:t>
            </w:r>
          </w:p>
          <w:p w:rsidR="006F46B6" w:rsidRPr="00CC74F1" w:rsidRDefault="006F46B6" w:rsidP="006F46B6">
            <w:pPr>
              <w:rPr>
                <w:szCs w:val="19"/>
              </w:rPr>
            </w:pPr>
            <w:r w:rsidRPr="00CC74F1">
              <w:rPr>
                <w:szCs w:val="19"/>
              </w:rPr>
              <w:t>≤ 20/8 inches (63mm): &gt;45 lm/W</w:t>
            </w:r>
          </w:p>
          <w:p w:rsidR="006F46B6" w:rsidRPr="00CC74F1" w:rsidRDefault="006F46B6" w:rsidP="006F46B6">
            <w:pPr>
              <w:rPr>
                <w:szCs w:val="19"/>
              </w:rPr>
            </w:pPr>
            <w:r w:rsidRPr="00CC74F1">
              <w:rPr>
                <w:szCs w:val="19"/>
              </w:rPr>
              <w:t>&gt; 20/8 inches (63mm): &gt;50 lm/W</w:t>
            </w:r>
          </w:p>
          <w:p w:rsidR="006F46B6" w:rsidRPr="00CC74F1" w:rsidRDefault="006F46B6" w:rsidP="00745DD5">
            <w:pPr>
              <w:rPr>
                <w:szCs w:val="19"/>
              </w:rPr>
            </w:pPr>
          </w:p>
          <w:p w:rsidR="00745DD5" w:rsidRPr="00CC74F1" w:rsidRDefault="00745DD5" w:rsidP="00745DD5">
            <w:pPr>
              <w:rPr>
                <w:szCs w:val="19"/>
              </w:rPr>
            </w:pPr>
            <w:r w:rsidRPr="00CC74F1">
              <w:rPr>
                <w:szCs w:val="19"/>
              </w:rPr>
              <w:t>(note IEA Tiers currently under review)</w:t>
            </w:r>
          </w:p>
        </w:tc>
      </w:tr>
      <w:tr w:rsidR="00FC5328" w:rsidRPr="00CC74F1" w:rsidTr="004E0F37">
        <w:trPr>
          <w:tblHeader/>
        </w:trPr>
        <w:tc>
          <w:tcPr>
            <w:tcW w:w="2096" w:type="dxa"/>
          </w:tcPr>
          <w:p w:rsidR="00FC5328" w:rsidRPr="00CC74F1" w:rsidRDefault="00FC5328" w:rsidP="00330384">
            <w:pPr>
              <w:rPr>
                <w:szCs w:val="19"/>
              </w:rPr>
            </w:pPr>
            <w:r w:rsidRPr="00CC74F1">
              <w:rPr>
                <w:szCs w:val="19"/>
              </w:rPr>
              <w:t>Luminous intensity distribution</w:t>
            </w:r>
          </w:p>
        </w:tc>
        <w:tc>
          <w:tcPr>
            <w:tcW w:w="3401" w:type="dxa"/>
          </w:tcPr>
          <w:p w:rsidR="00FC5328" w:rsidRPr="00CC74F1" w:rsidRDefault="00FC5328" w:rsidP="00330384">
            <w:pPr>
              <w:rPr>
                <w:szCs w:val="19"/>
              </w:rPr>
            </w:pPr>
            <w:r w:rsidRPr="00CC74F1">
              <w:rPr>
                <w:szCs w:val="19"/>
              </w:rPr>
              <w:t>The measured distribution of light output for a lighting product</w:t>
            </w:r>
          </w:p>
        </w:tc>
        <w:tc>
          <w:tcPr>
            <w:tcW w:w="3401" w:type="dxa"/>
          </w:tcPr>
          <w:p w:rsidR="00FC5328" w:rsidRPr="00CC74F1" w:rsidRDefault="00FD4481" w:rsidP="00FD4481">
            <w:pPr>
              <w:rPr>
                <w:szCs w:val="19"/>
              </w:rPr>
            </w:pPr>
            <w:r w:rsidRPr="00CC74F1">
              <w:rPr>
                <w:szCs w:val="19"/>
              </w:rPr>
              <w:t>For l</w:t>
            </w:r>
            <w:r w:rsidR="00FC5328" w:rsidRPr="00CC74F1">
              <w:rPr>
                <w:szCs w:val="19"/>
              </w:rPr>
              <w:t xml:space="preserve">ighting design </w:t>
            </w:r>
            <w:r w:rsidRPr="00CC74F1">
              <w:rPr>
                <w:szCs w:val="19"/>
              </w:rPr>
              <w:t>it is important</w:t>
            </w:r>
            <w:r w:rsidR="00FC5328" w:rsidRPr="00CC74F1">
              <w:rPr>
                <w:szCs w:val="19"/>
              </w:rPr>
              <w:t xml:space="preserve"> that the specifications closely approximate the light distribution properties of the lamp. </w:t>
            </w:r>
            <w:r w:rsidR="00AD4866" w:rsidRPr="00CC74F1">
              <w:rPr>
                <w:szCs w:val="19"/>
              </w:rPr>
              <w:t>Many ‘omnidirectional’ lamps provide a curtailed light distribution.</w:t>
            </w:r>
          </w:p>
        </w:tc>
        <w:tc>
          <w:tcPr>
            <w:tcW w:w="1560" w:type="dxa"/>
          </w:tcPr>
          <w:p w:rsidR="00FC5328" w:rsidRPr="00CC74F1" w:rsidRDefault="00AF1EBD" w:rsidP="00330384">
            <w:pPr>
              <w:rPr>
                <w:szCs w:val="19"/>
              </w:rPr>
            </w:pPr>
            <w:r w:rsidRPr="00CC74F1">
              <w:rPr>
                <w:szCs w:val="19"/>
              </w:rPr>
              <w:t>IEC</w:t>
            </w:r>
            <w:r w:rsidR="00FC5328" w:rsidRPr="00CC74F1">
              <w:rPr>
                <w:szCs w:val="19"/>
              </w:rPr>
              <w:t xml:space="preserve"> 62612 (Self ballasted LED)</w:t>
            </w:r>
          </w:p>
          <w:p w:rsidR="00FC5328" w:rsidRPr="00CC74F1" w:rsidRDefault="00FC5328" w:rsidP="00330384">
            <w:pPr>
              <w:rPr>
                <w:szCs w:val="19"/>
              </w:rPr>
            </w:pPr>
          </w:p>
          <w:p w:rsidR="00FC5328" w:rsidRPr="00CC74F1" w:rsidRDefault="00AF1EBD" w:rsidP="00330384">
            <w:pPr>
              <w:rPr>
                <w:szCs w:val="19"/>
              </w:rPr>
            </w:pPr>
            <w:r w:rsidRPr="00CC74F1">
              <w:rPr>
                <w:szCs w:val="19"/>
              </w:rPr>
              <w:t>IEC</w:t>
            </w:r>
            <w:r w:rsidR="00FC5328" w:rsidRPr="00CC74F1">
              <w:rPr>
                <w:szCs w:val="19"/>
              </w:rPr>
              <w:t xml:space="preserve"> 62717 (LED modules)</w:t>
            </w:r>
          </w:p>
        </w:tc>
        <w:tc>
          <w:tcPr>
            <w:tcW w:w="3361" w:type="dxa"/>
          </w:tcPr>
          <w:p w:rsidR="00FC5328" w:rsidRPr="00CC74F1" w:rsidRDefault="00FD4481" w:rsidP="00330384">
            <w:pPr>
              <w:rPr>
                <w:szCs w:val="19"/>
              </w:rPr>
            </w:pPr>
            <w:r w:rsidRPr="00CC74F1">
              <w:rPr>
                <w:szCs w:val="19"/>
              </w:rPr>
              <w:t>Directional: Must be provided by manufacturer and 50% of flux shall be in declared beam angle</w:t>
            </w:r>
          </w:p>
          <w:p w:rsidR="00FD4481" w:rsidRPr="00CC74F1" w:rsidRDefault="00FD4481" w:rsidP="000A2A30">
            <w:pPr>
              <w:autoSpaceDE w:val="0"/>
              <w:autoSpaceDN w:val="0"/>
              <w:adjustRightInd w:val="0"/>
              <w:spacing w:after="0" w:line="240" w:lineRule="auto"/>
              <w:rPr>
                <w:szCs w:val="19"/>
              </w:rPr>
            </w:pPr>
          </w:p>
        </w:tc>
      </w:tr>
      <w:tr w:rsidR="00FC5328" w:rsidRPr="00CC74F1" w:rsidTr="004E0F37">
        <w:trPr>
          <w:tblHeader/>
        </w:trPr>
        <w:tc>
          <w:tcPr>
            <w:tcW w:w="2096" w:type="dxa"/>
          </w:tcPr>
          <w:p w:rsidR="00FC5328" w:rsidRPr="00CC74F1" w:rsidRDefault="00FC5328" w:rsidP="00330384">
            <w:pPr>
              <w:rPr>
                <w:szCs w:val="19"/>
              </w:rPr>
            </w:pPr>
            <w:r w:rsidRPr="00CC74F1">
              <w:rPr>
                <w:szCs w:val="19"/>
              </w:rPr>
              <w:lastRenderedPageBreak/>
              <w:t>Zonal lumen density</w:t>
            </w:r>
          </w:p>
        </w:tc>
        <w:tc>
          <w:tcPr>
            <w:tcW w:w="3401" w:type="dxa"/>
          </w:tcPr>
          <w:p w:rsidR="00FC5328" w:rsidRPr="00CC74F1" w:rsidRDefault="00FC5328" w:rsidP="00330384">
            <w:pPr>
              <w:rPr>
                <w:szCs w:val="19"/>
              </w:rPr>
            </w:pPr>
            <w:r w:rsidRPr="00CC74F1">
              <w:rPr>
                <w:szCs w:val="19"/>
              </w:rPr>
              <w:t>The spatial distribution of light into particular angular zones.</w:t>
            </w:r>
          </w:p>
          <w:p w:rsidR="00FC5328" w:rsidRPr="00CC74F1" w:rsidRDefault="00FC5328" w:rsidP="00330384">
            <w:pPr>
              <w:rPr>
                <w:szCs w:val="19"/>
              </w:rPr>
            </w:pPr>
          </w:p>
        </w:tc>
        <w:tc>
          <w:tcPr>
            <w:tcW w:w="3401" w:type="dxa"/>
          </w:tcPr>
          <w:p w:rsidR="00FC5328" w:rsidRPr="00CC74F1" w:rsidRDefault="00FC5328" w:rsidP="00330384">
            <w:pPr>
              <w:rPr>
                <w:szCs w:val="19"/>
              </w:rPr>
            </w:pPr>
            <w:r w:rsidRPr="00CC74F1">
              <w:rPr>
                <w:szCs w:val="19"/>
              </w:rPr>
              <w:t xml:space="preserve">Important for consumers; avoids products having too much light distribution in zones other than where designated by their status. </w:t>
            </w:r>
          </w:p>
          <w:p w:rsidR="00FC5328" w:rsidRPr="00CC74F1" w:rsidRDefault="00E702FA" w:rsidP="00330384">
            <w:pPr>
              <w:rPr>
                <w:szCs w:val="19"/>
              </w:rPr>
            </w:pPr>
            <w:r w:rsidRPr="00CC74F1">
              <w:rPr>
                <w:szCs w:val="19"/>
              </w:rPr>
              <w:t>I.e.</w:t>
            </w:r>
            <w:r w:rsidR="00FC5328" w:rsidRPr="00CC74F1">
              <w:rPr>
                <w:szCs w:val="19"/>
              </w:rPr>
              <w:t xml:space="preserve"> directional lamps to have majority of light in forward direction; while typical non-directional lamps to have a more consistent light spread through most zones.</w:t>
            </w:r>
          </w:p>
        </w:tc>
        <w:tc>
          <w:tcPr>
            <w:tcW w:w="1560" w:type="dxa"/>
          </w:tcPr>
          <w:p w:rsidR="00FC5328" w:rsidRPr="00CC74F1" w:rsidRDefault="00FC5328" w:rsidP="00330384">
            <w:pPr>
              <w:rPr>
                <w:szCs w:val="19"/>
              </w:rPr>
            </w:pPr>
            <w:r w:rsidRPr="00CC74F1">
              <w:rPr>
                <w:szCs w:val="19"/>
              </w:rPr>
              <w:t xml:space="preserve">Energy </w:t>
            </w:r>
            <w:r w:rsidR="00E702FA" w:rsidRPr="00CC74F1">
              <w:rPr>
                <w:szCs w:val="19"/>
              </w:rPr>
              <w:t>Star Product</w:t>
            </w:r>
            <w:r w:rsidR="00A320CA" w:rsidRPr="00CC74F1">
              <w:rPr>
                <w:szCs w:val="19"/>
              </w:rPr>
              <w:t xml:space="preserve"> Specification for Lamps V1.</w:t>
            </w:r>
          </w:p>
          <w:p w:rsidR="00FC5328" w:rsidRPr="00CC74F1" w:rsidRDefault="00FC5328" w:rsidP="00330384">
            <w:pPr>
              <w:rPr>
                <w:szCs w:val="19"/>
              </w:rPr>
            </w:pPr>
          </w:p>
          <w:p w:rsidR="00FC5328" w:rsidRPr="00CC74F1" w:rsidRDefault="00FC5328" w:rsidP="00330384">
            <w:pPr>
              <w:rPr>
                <w:szCs w:val="19"/>
              </w:rPr>
            </w:pPr>
            <w:r w:rsidRPr="00CC74F1">
              <w:rPr>
                <w:szCs w:val="19"/>
              </w:rPr>
              <w:t>Ecodesign</w:t>
            </w:r>
          </w:p>
        </w:tc>
        <w:tc>
          <w:tcPr>
            <w:tcW w:w="3361" w:type="dxa"/>
          </w:tcPr>
          <w:p w:rsidR="00FC5328" w:rsidRPr="00CC74F1" w:rsidRDefault="00916106" w:rsidP="00330384">
            <w:pPr>
              <w:rPr>
                <w:szCs w:val="19"/>
              </w:rPr>
            </w:pPr>
            <w:r w:rsidRPr="00CC74F1">
              <w:rPr>
                <w:szCs w:val="19"/>
              </w:rPr>
              <w:t>To be considered only for inclusion in the standard.</w:t>
            </w:r>
          </w:p>
          <w:p w:rsidR="00745DD5" w:rsidRPr="00CC74F1" w:rsidRDefault="00745DD5" w:rsidP="00745DD5">
            <w:pPr>
              <w:rPr>
                <w:szCs w:val="19"/>
              </w:rPr>
            </w:pPr>
            <w:r w:rsidRPr="00CC74F1">
              <w:rPr>
                <w:szCs w:val="19"/>
              </w:rPr>
              <w:t>Omni-Directional: Products shall have an even distribution of luminous intensity within the 0° to 135° zone (symmetrical about the vertical axis). Luminous intensity at any angle within this zone shall not differ from the mean luminous intensity for the entire 0° to 135° zone by more than 20%.</w:t>
            </w:r>
          </w:p>
          <w:p w:rsidR="00745DD5" w:rsidRPr="00CC74F1" w:rsidRDefault="00745DD5" w:rsidP="00745DD5">
            <w:pPr>
              <w:rPr>
                <w:szCs w:val="19"/>
              </w:rPr>
            </w:pPr>
            <w:r w:rsidRPr="00CC74F1">
              <w:rPr>
                <w:szCs w:val="19"/>
              </w:rPr>
              <w:t>At least 5% of total flux must be emitted in the 135° -180 ° zone. Distribution shall be vertically symmetric in three vertical planes, 0°, 45°, 90°.</w:t>
            </w:r>
          </w:p>
        </w:tc>
      </w:tr>
      <w:tr w:rsidR="00FC5328" w:rsidRPr="00CC74F1" w:rsidTr="004E0F37">
        <w:trPr>
          <w:tblHeader/>
        </w:trPr>
        <w:tc>
          <w:tcPr>
            <w:tcW w:w="2096" w:type="dxa"/>
          </w:tcPr>
          <w:p w:rsidR="00FC5328" w:rsidRPr="00CC74F1" w:rsidRDefault="00FC5328" w:rsidP="00330384">
            <w:pPr>
              <w:rPr>
                <w:szCs w:val="19"/>
              </w:rPr>
            </w:pPr>
            <w:r w:rsidRPr="00CC74F1">
              <w:rPr>
                <w:szCs w:val="19"/>
              </w:rPr>
              <w:t>Centre beam luminous intensity</w:t>
            </w:r>
          </w:p>
          <w:p w:rsidR="000A2A30" w:rsidRPr="00CC74F1" w:rsidRDefault="000A2A30" w:rsidP="00330384">
            <w:pPr>
              <w:rPr>
                <w:szCs w:val="19"/>
              </w:rPr>
            </w:pPr>
            <w:r w:rsidRPr="00CC74F1">
              <w:rPr>
                <w:szCs w:val="19"/>
              </w:rPr>
              <w:t>(</w:t>
            </w:r>
            <w:r w:rsidRPr="00CC74F1">
              <w:rPr>
                <w:i/>
                <w:szCs w:val="19"/>
              </w:rPr>
              <w:t>directional</w:t>
            </w:r>
            <w:r w:rsidR="00EE097C" w:rsidRPr="00CC74F1">
              <w:rPr>
                <w:i/>
                <w:szCs w:val="19"/>
              </w:rPr>
              <w:t xml:space="preserve"> lamps only</w:t>
            </w:r>
            <w:r w:rsidRPr="00CC74F1">
              <w:rPr>
                <w:szCs w:val="19"/>
              </w:rPr>
              <w:t>)</w:t>
            </w:r>
          </w:p>
        </w:tc>
        <w:tc>
          <w:tcPr>
            <w:tcW w:w="3401" w:type="dxa"/>
          </w:tcPr>
          <w:p w:rsidR="00FC5328" w:rsidRPr="00CC74F1" w:rsidRDefault="00FC5328" w:rsidP="00330384">
            <w:pPr>
              <w:rPr>
                <w:szCs w:val="19"/>
              </w:rPr>
            </w:pPr>
            <w:r w:rsidRPr="00CC74F1">
              <w:rPr>
                <w:szCs w:val="19"/>
              </w:rPr>
              <w:t>The measured  intensity of light output on the optical beam axis for direc</w:t>
            </w:r>
            <w:r w:rsidR="00CC74F1">
              <w:rPr>
                <w:szCs w:val="19"/>
              </w:rPr>
              <w:t>tional lamps (with beam angle &lt; </w:t>
            </w:r>
            <w:r w:rsidRPr="00CC74F1">
              <w:rPr>
                <w:szCs w:val="19"/>
              </w:rPr>
              <w:t>65°)</w:t>
            </w:r>
          </w:p>
        </w:tc>
        <w:tc>
          <w:tcPr>
            <w:tcW w:w="3401" w:type="dxa"/>
          </w:tcPr>
          <w:p w:rsidR="00FC5328" w:rsidRPr="00CC74F1" w:rsidRDefault="00FC5328" w:rsidP="00070C23">
            <w:pPr>
              <w:rPr>
                <w:szCs w:val="19"/>
              </w:rPr>
            </w:pPr>
            <w:r w:rsidRPr="00CC74F1">
              <w:rPr>
                <w:szCs w:val="19"/>
              </w:rPr>
              <w:t>Important in accurately evaluating the performance of directional lamps/products</w:t>
            </w:r>
            <w:r w:rsidR="009639AF" w:rsidRPr="00CC74F1">
              <w:rPr>
                <w:szCs w:val="19"/>
              </w:rPr>
              <w:t xml:space="preserve"> for where the consumer wants directed illumination.</w:t>
            </w:r>
            <w:r w:rsidR="00932ABE">
              <w:rPr>
                <w:szCs w:val="19"/>
              </w:rPr>
              <w:t xml:space="preserve"> </w:t>
            </w:r>
            <w:r w:rsidR="00070C23" w:rsidRPr="00CC74F1">
              <w:rPr>
                <w:szCs w:val="19"/>
              </w:rPr>
              <w:t>Also provides equivalent intensity to the traditional lamp being replaced</w:t>
            </w:r>
          </w:p>
        </w:tc>
        <w:tc>
          <w:tcPr>
            <w:tcW w:w="1560" w:type="dxa"/>
          </w:tcPr>
          <w:p w:rsidR="00FC5328" w:rsidRPr="00CC74F1" w:rsidRDefault="00FC5328" w:rsidP="00330384">
            <w:pPr>
              <w:rPr>
                <w:szCs w:val="19"/>
              </w:rPr>
            </w:pPr>
            <w:r w:rsidRPr="00CC74F1">
              <w:rPr>
                <w:szCs w:val="19"/>
              </w:rPr>
              <w:t>IEC 62612 (Self ballasted LED)</w:t>
            </w:r>
          </w:p>
          <w:p w:rsidR="00FC5328" w:rsidRPr="00CC74F1" w:rsidRDefault="00FC5328" w:rsidP="00330384">
            <w:pPr>
              <w:rPr>
                <w:szCs w:val="19"/>
              </w:rPr>
            </w:pPr>
          </w:p>
          <w:p w:rsidR="00FC5328" w:rsidRPr="00CC74F1" w:rsidRDefault="00FC5328" w:rsidP="00330384">
            <w:pPr>
              <w:rPr>
                <w:szCs w:val="19"/>
              </w:rPr>
            </w:pPr>
            <w:r w:rsidRPr="00CC74F1">
              <w:rPr>
                <w:szCs w:val="19"/>
              </w:rPr>
              <w:t>IEC 62717 (LED modules)</w:t>
            </w:r>
          </w:p>
          <w:p w:rsidR="00FC5328" w:rsidRPr="00CC74F1" w:rsidRDefault="00FC5328" w:rsidP="00330384">
            <w:pPr>
              <w:rPr>
                <w:szCs w:val="19"/>
              </w:rPr>
            </w:pPr>
          </w:p>
          <w:p w:rsidR="00FC5328" w:rsidRPr="00CC74F1" w:rsidRDefault="00FC5328" w:rsidP="00330384">
            <w:pPr>
              <w:rPr>
                <w:szCs w:val="19"/>
              </w:rPr>
            </w:pPr>
          </w:p>
        </w:tc>
        <w:tc>
          <w:tcPr>
            <w:tcW w:w="3361" w:type="dxa"/>
          </w:tcPr>
          <w:p w:rsidR="00FC5328" w:rsidRPr="00CC74F1" w:rsidRDefault="009639AF" w:rsidP="00330384">
            <w:pPr>
              <w:rPr>
                <w:szCs w:val="19"/>
              </w:rPr>
            </w:pPr>
            <w:r w:rsidRPr="00CC74F1">
              <w:rPr>
                <w:szCs w:val="19"/>
              </w:rPr>
              <w:t>IEA 4E SSL</w:t>
            </w:r>
          </w:p>
          <w:p w:rsidR="009639AF" w:rsidRPr="00CC74F1" w:rsidRDefault="009639AF" w:rsidP="009639AF">
            <w:pPr>
              <w:autoSpaceDE w:val="0"/>
              <w:autoSpaceDN w:val="0"/>
              <w:adjustRightInd w:val="0"/>
              <w:spacing w:after="0" w:line="240" w:lineRule="auto"/>
              <w:rPr>
                <w:szCs w:val="19"/>
              </w:rPr>
            </w:pPr>
            <w:r w:rsidRPr="00CC74F1">
              <w:rPr>
                <w:szCs w:val="19"/>
              </w:rPr>
              <w:t>For MR or PAR lamps with a beam angle &lt;65°, center beam intensity should meet equivalent levels using the online tool:</w:t>
            </w:r>
          </w:p>
          <w:p w:rsidR="009639AF" w:rsidRPr="00CC74F1" w:rsidRDefault="009639AF" w:rsidP="009639AF">
            <w:pPr>
              <w:rPr>
                <w:szCs w:val="19"/>
              </w:rPr>
            </w:pPr>
            <w:r w:rsidRPr="00CC74F1">
              <w:rPr>
                <w:szCs w:val="19"/>
              </w:rPr>
              <w:t>http://www.energystar.gov/ia/products/lighting/iledl/IntLampCenterBeamTool.zip</w:t>
            </w:r>
          </w:p>
        </w:tc>
      </w:tr>
      <w:tr w:rsidR="00FC5328" w:rsidRPr="00CC74F1" w:rsidTr="004E0F37">
        <w:trPr>
          <w:tblHeader/>
        </w:trPr>
        <w:tc>
          <w:tcPr>
            <w:tcW w:w="2096" w:type="dxa"/>
          </w:tcPr>
          <w:p w:rsidR="00FC5328" w:rsidRPr="00CC74F1" w:rsidRDefault="00FC5328" w:rsidP="00330384">
            <w:pPr>
              <w:rPr>
                <w:szCs w:val="19"/>
              </w:rPr>
            </w:pPr>
            <w:r w:rsidRPr="00CC74F1">
              <w:rPr>
                <w:szCs w:val="19"/>
              </w:rPr>
              <w:t>Colour rendering index (CRI)</w:t>
            </w:r>
          </w:p>
        </w:tc>
        <w:tc>
          <w:tcPr>
            <w:tcW w:w="3401" w:type="dxa"/>
          </w:tcPr>
          <w:p w:rsidR="00FC5328" w:rsidRPr="00CC74F1" w:rsidRDefault="00FC5328" w:rsidP="00330384">
            <w:pPr>
              <w:rPr>
                <w:szCs w:val="19"/>
              </w:rPr>
            </w:pPr>
            <w:r w:rsidRPr="00CC74F1">
              <w:rPr>
                <w:szCs w:val="19"/>
              </w:rPr>
              <w:t xml:space="preserve">A measure of the ability of a light source to reveal the colours of various objects faithfully in comparison with an ideal or natural light source (such as </w:t>
            </w:r>
            <w:r w:rsidR="00070C23" w:rsidRPr="00CC74F1">
              <w:rPr>
                <w:szCs w:val="19"/>
              </w:rPr>
              <w:t xml:space="preserve">incidental </w:t>
            </w:r>
            <w:r w:rsidRPr="00CC74F1">
              <w:rPr>
                <w:szCs w:val="19"/>
              </w:rPr>
              <w:t xml:space="preserve">sunlight). The highest CRI attainable is 100, with the scale dropping to negative values for some light sources. Typical LEDs have about 80+ CRI. </w:t>
            </w:r>
          </w:p>
        </w:tc>
        <w:tc>
          <w:tcPr>
            <w:tcW w:w="3401" w:type="dxa"/>
          </w:tcPr>
          <w:p w:rsidR="00FC5328" w:rsidRPr="00CC74F1" w:rsidRDefault="00070C23" w:rsidP="00330384">
            <w:pPr>
              <w:rPr>
                <w:szCs w:val="19"/>
              </w:rPr>
            </w:pPr>
            <w:r w:rsidRPr="00CC74F1">
              <w:rPr>
                <w:szCs w:val="19"/>
              </w:rPr>
              <w:t>Colour rendering is</w:t>
            </w:r>
            <w:r w:rsidR="00FC5328" w:rsidRPr="00CC74F1">
              <w:rPr>
                <w:szCs w:val="19"/>
              </w:rPr>
              <w:t xml:space="preserve"> important for consumer satisfaction with a lighting product. High CRI of 90+ is necessary for specialised tasks where colour is important (</w:t>
            </w:r>
            <w:r w:rsidR="00E702FA" w:rsidRPr="00CC74F1">
              <w:rPr>
                <w:szCs w:val="19"/>
              </w:rPr>
              <w:t>e.g.</w:t>
            </w:r>
            <w:r w:rsidR="00FC5328" w:rsidRPr="00CC74F1">
              <w:rPr>
                <w:szCs w:val="19"/>
              </w:rPr>
              <w:t xml:space="preserve"> food preparation, applying makeup, </w:t>
            </w:r>
            <w:r w:rsidR="00E702FA" w:rsidRPr="00CC74F1">
              <w:rPr>
                <w:szCs w:val="19"/>
              </w:rPr>
              <w:t>and painting</w:t>
            </w:r>
            <w:r w:rsidR="00FC5328" w:rsidRPr="00CC74F1">
              <w:rPr>
                <w:szCs w:val="19"/>
              </w:rPr>
              <w:t xml:space="preserve">). For general use in residential and office locations, a </w:t>
            </w:r>
            <w:r w:rsidRPr="00CC74F1">
              <w:rPr>
                <w:szCs w:val="19"/>
              </w:rPr>
              <w:t xml:space="preserve">minimum </w:t>
            </w:r>
            <w:r w:rsidR="00FC5328" w:rsidRPr="00CC74F1">
              <w:rPr>
                <w:szCs w:val="19"/>
              </w:rPr>
              <w:t>CRI of 80 is recommended.</w:t>
            </w:r>
          </w:p>
        </w:tc>
        <w:tc>
          <w:tcPr>
            <w:tcW w:w="1560" w:type="dxa"/>
          </w:tcPr>
          <w:p w:rsidR="00FC5328" w:rsidRPr="00CC74F1" w:rsidRDefault="00070C23" w:rsidP="00330384">
            <w:pPr>
              <w:rPr>
                <w:szCs w:val="19"/>
              </w:rPr>
            </w:pPr>
            <w:r w:rsidRPr="00CC74F1">
              <w:rPr>
                <w:szCs w:val="19"/>
              </w:rPr>
              <w:t xml:space="preserve">IEC </w:t>
            </w:r>
            <w:r w:rsidR="00FC5328" w:rsidRPr="00CC74F1">
              <w:rPr>
                <w:szCs w:val="19"/>
              </w:rPr>
              <w:t>62612 (Self ballasted LED)</w:t>
            </w:r>
          </w:p>
          <w:p w:rsidR="00FC5328" w:rsidRPr="00CC74F1" w:rsidRDefault="00FC5328" w:rsidP="00330384">
            <w:pPr>
              <w:rPr>
                <w:szCs w:val="19"/>
              </w:rPr>
            </w:pPr>
          </w:p>
          <w:p w:rsidR="00FC5328" w:rsidRPr="00CC74F1" w:rsidRDefault="00070C23" w:rsidP="00330384">
            <w:pPr>
              <w:rPr>
                <w:szCs w:val="19"/>
              </w:rPr>
            </w:pPr>
            <w:r w:rsidRPr="00CC74F1">
              <w:rPr>
                <w:szCs w:val="19"/>
              </w:rPr>
              <w:t>IEC</w:t>
            </w:r>
            <w:r w:rsidR="00FC5328" w:rsidRPr="00CC74F1">
              <w:rPr>
                <w:szCs w:val="19"/>
              </w:rPr>
              <w:t xml:space="preserve"> 62717 (LED modules)</w:t>
            </w:r>
          </w:p>
        </w:tc>
        <w:tc>
          <w:tcPr>
            <w:tcW w:w="3361" w:type="dxa"/>
          </w:tcPr>
          <w:p w:rsidR="009639AF" w:rsidRPr="00CC74F1" w:rsidRDefault="009639AF" w:rsidP="009639AF">
            <w:pPr>
              <w:rPr>
                <w:szCs w:val="19"/>
              </w:rPr>
            </w:pPr>
            <w:r w:rsidRPr="00CC74F1">
              <w:rPr>
                <w:szCs w:val="19"/>
              </w:rPr>
              <w:t>IEA 4E SSL</w:t>
            </w:r>
          </w:p>
          <w:p w:rsidR="00FC5328" w:rsidRPr="00CC74F1" w:rsidRDefault="00070C23" w:rsidP="00070C23">
            <w:pPr>
              <w:rPr>
                <w:szCs w:val="19"/>
              </w:rPr>
            </w:pPr>
            <w:r w:rsidRPr="00CC74F1">
              <w:rPr>
                <w:szCs w:val="19"/>
              </w:rPr>
              <w:t>≥80</w:t>
            </w:r>
          </w:p>
        </w:tc>
      </w:tr>
      <w:tr w:rsidR="00FC5328" w:rsidRPr="00CC74F1" w:rsidTr="004E0F37">
        <w:trPr>
          <w:tblHeader/>
        </w:trPr>
        <w:tc>
          <w:tcPr>
            <w:tcW w:w="2096" w:type="dxa"/>
          </w:tcPr>
          <w:p w:rsidR="00FC5328" w:rsidRPr="00CC74F1" w:rsidRDefault="00FC5328" w:rsidP="00330384">
            <w:pPr>
              <w:rPr>
                <w:szCs w:val="19"/>
              </w:rPr>
            </w:pPr>
            <w:r w:rsidRPr="00CC74F1">
              <w:rPr>
                <w:szCs w:val="19"/>
              </w:rPr>
              <w:lastRenderedPageBreak/>
              <w:t>Correlated colour temperature (CCT) in Kelvin (K)</w:t>
            </w:r>
          </w:p>
        </w:tc>
        <w:tc>
          <w:tcPr>
            <w:tcW w:w="3401" w:type="dxa"/>
          </w:tcPr>
          <w:p w:rsidR="00FC5328" w:rsidRPr="00CC74F1" w:rsidRDefault="00FC5328" w:rsidP="00070C23">
            <w:pPr>
              <w:rPr>
                <w:szCs w:val="19"/>
              </w:rPr>
            </w:pPr>
            <w:r w:rsidRPr="00CC74F1">
              <w:rPr>
                <w:szCs w:val="19"/>
              </w:rPr>
              <w:t xml:space="preserve">Specifies the colour ‘shade’ of white light emitted by a lamp, relating to the colour of light from a reference source when heated to a particular temperature, measured in Kelvin. Spectrally, </w:t>
            </w:r>
            <w:r w:rsidR="00070C23" w:rsidRPr="00CC74F1">
              <w:rPr>
                <w:szCs w:val="19"/>
              </w:rPr>
              <w:t xml:space="preserve">light sources which appear a </w:t>
            </w:r>
            <w:r w:rsidRPr="00CC74F1">
              <w:rPr>
                <w:szCs w:val="19"/>
              </w:rPr>
              <w:t xml:space="preserve">“warm” </w:t>
            </w:r>
            <w:r w:rsidR="00070C23" w:rsidRPr="00CC74F1">
              <w:rPr>
                <w:szCs w:val="19"/>
              </w:rPr>
              <w:t>white</w:t>
            </w:r>
            <w:r w:rsidRPr="00CC74F1">
              <w:rPr>
                <w:szCs w:val="19"/>
              </w:rPr>
              <w:t xml:space="preserve"> contain more red light content and are at lower Kelvin (2700-3500 K), while </w:t>
            </w:r>
            <w:r w:rsidR="00070C23" w:rsidRPr="00CC74F1">
              <w:rPr>
                <w:szCs w:val="19"/>
              </w:rPr>
              <w:t xml:space="preserve">those appearing </w:t>
            </w:r>
            <w:r w:rsidRPr="00CC74F1">
              <w:rPr>
                <w:szCs w:val="19"/>
              </w:rPr>
              <w:t xml:space="preserve">“cool” </w:t>
            </w:r>
            <w:r w:rsidR="00070C23" w:rsidRPr="00CC74F1">
              <w:rPr>
                <w:szCs w:val="19"/>
              </w:rPr>
              <w:t>white</w:t>
            </w:r>
            <w:r w:rsidRPr="00CC74F1">
              <w:rPr>
                <w:szCs w:val="19"/>
              </w:rPr>
              <w:t xml:space="preserve"> contain more blue (4000-6500+ K) to create their appearance. </w:t>
            </w:r>
          </w:p>
        </w:tc>
        <w:tc>
          <w:tcPr>
            <w:tcW w:w="3401" w:type="dxa"/>
          </w:tcPr>
          <w:p w:rsidR="00FC5328" w:rsidRPr="00CC74F1" w:rsidRDefault="00FC5328" w:rsidP="00070C23">
            <w:pPr>
              <w:rPr>
                <w:szCs w:val="19"/>
              </w:rPr>
            </w:pPr>
            <w:r w:rsidRPr="00CC74F1">
              <w:rPr>
                <w:szCs w:val="19"/>
              </w:rPr>
              <w:t xml:space="preserve">CCT helps consumers select the appropriate product depending on their light colour preference and match light colour across different manufacturer lighting products. This way, when lighting products from different manufacturers are used in the same space there is not an unintended </w:t>
            </w:r>
            <w:r w:rsidR="00070C23" w:rsidRPr="00CC74F1">
              <w:rPr>
                <w:szCs w:val="19"/>
              </w:rPr>
              <w:t>assortment of light sources with some appearing a</w:t>
            </w:r>
            <w:r w:rsidRPr="00CC74F1">
              <w:rPr>
                <w:szCs w:val="19"/>
              </w:rPr>
              <w:t xml:space="preserve"> cool</w:t>
            </w:r>
            <w:r w:rsidR="00070C23" w:rsidRPr="00CC74F1">
              <w:rPr>
                <w:szCs w:val="19"/>
              </w:rPr>
              <w:t>ish</w:t>
            </w:r>
            <w:r w:rsidRPr="00CC74F1">
              <w:rPr>
                <w:szCs w:val="19"/>
              </w:rPr>
              <w:t xml:space="preserve"> white </w:t>
            </w:r>
            <w:r w:rsidR="00070C23" w:rsidRPr="00CC74F1">
              <w:rPr>
                <w:szCs w:val="19"/>
              </w:rPr>
              <w:t>and others a warmish white</w:t>
            </w:r>
            <w:r w:rsidRPr="00CC74F1">
              <w:rPr>
                <w:szCs w:val="19"/>
              </w:rPr>
              <w:t>.</w:t>
            </w:r>
          </w:p>
        </w:tc>
        <w:tc>
          <w:tcPr>
            <w:tcW w:w="1560" w:type="dxa"/>
          </w:tcPr>
          <w:p w:rsidR="00FC5328" w:rsidRPr="00CC74F1" w:rsidRDefault="00FC5328" w:rsidP="00330384">
            <w:pPr>
              <w:rPr>
                <w:szCs w:val="19"/>
              </w:rPr>
            </w:pPr>
            <w:r w:rsidRPr="00CC74F1">
              <w:rPr>
                <w:szCs w:val="19"/>
              </w:rPr>
              <w:t>ANSI C78.377 defines target colour temperatures and allowable tolerances (below)</w:t>
            </w:r>
          </w:p>
          <w:p w:rsidR="00FC5328" w:rsidRPr="00CC74F1" w:rsidRDefault="00FC5328" w:rsidP="00330384">
            <w:pPr>
              <w:rPr>
                <w:szCs w:val="19"/>
              </w:rPr>
            </w:pPr>
          </w:p>
          <w:p w:rsidR="00FC5328" w:rsidRPr="00CC74F1" w:rsidRDefault="00AF1EBD" w:rsidP="00330384">
            <w:pPr>
              <w:rPr>
                <w:szCs w:val="19"/>
              </w:rPr>
            </w:pPr>
            <w:r w:rsidRPr="00CC74F1">
              <w:rPr>
                <w:szCs w:val="19"/>
              </w:rPr>
              <w:t xml:space="preserve">IEC </w:t>
            </w:r>
            <w:r w:rsidR="00FC5328" w:rsidRPr="00CC74F1">
              <w:rPr>
                <w:szCs w:val="19"/>
              </w:rPr>
              <w:t>62612 (Self ballasted LED)</w:t>
            </w:r>
          </w:p>
          <w:p w:rsidR="00FC5328" w:rsidRPr="00CC74F1" w:rsidRDefault="00FC5328" w:rsidP="00330384">
            <w:pPr>
              <w:rPr>
                <w:szCs w:val="19"/>
              </w:rPr>
            </w:pPr>
          </w:p>
          <w:p w:rsidR="00FC5328" w:rsidRPr="00CC74F1" w:rsidRDefault="00AF1EBD" w:rsidP="00330384">
            <w:pPr>
              <w:rPr>
                <w:szCs w:val="19"/>
              </w:rPr>
            </w:pPr>
            <w:r w:rsidRPr="00CC74F1">
              <w:rPr>
                <w:szCs w:val="19"/>
              </w:rPr>
              <w:t xml:space="preserve">IEC </w:t>
            </w:r>
            <w:r w:rsidR="00FC5328" w:rsidRPr="00CC74F1">
              <w:rPr>
                <w:szCs w:val="19"/>
              </w:rPr>
              <w:t>62717 (LED modules)</w:t>
            </w:r>
          </w:p>
          <w:p w:rsidR="00FC5328" w:rsidRPr="00CC74F1" w:rsidRDefault="00FC5328" w:rsidP="00330384">
            <w:pPr>
              <w:rPr>
                <w:szCs w:val="19"/>
              </w:rPr>
            </w:pPr>
          </w:p>
        </w:tc>
        <w:tc>
          <w:tcPr>
            <w:tcW w:w="3361" w:type="dxa"/>
          </w:tcPr>
          <w:p w:rsidR="009639AF" w:rsidRPr="00CC74F1" w:rsidRDefault="009639AF" w:rsidP="009639AF">
            <w:pPr>
              <w:autoSpaceDE w:val="0"/>
              <w:autoSpaceDN w:val="0"/>
              <w:adjustRightInd w:val="0"/>
              <w:spacing w:after="0" w:line="240" w:lineRule="auto"/>
              <w:rPr>
                <w:szCs w:val="19"/>
              </w:rPr>
            </w:pPr>
            <w:r w:rsidRPr="00CC74F1">
              <w:rPr>
                <w:szCs w:val="19"/>
              </w:rPr>
              <w:t>Follow ANSI C78.377, excluding flexible CCT</w:t>
            </w:r>
          </w:p>
          <w:p w:rsidR="00FC5328" w:rsidRPr="00CC74F1" w:rsidRDefault="00FC5328" w:rsidP="00916106">
            <w:pPr>
              <w:rPr>
                <w:szCs w:val="19"/>
              </w:rPr>
            </w:pPr>
          </w:p>
          <w:tbl>
            <w:tblPr>
              <w:tblStyle w:val="TableGrid"/>
              <w:tblW w:w="0" w:type="auto"/>
              <w:tblLayout w:type="fixed"/>
              <w:tblLook w:val="04A0" w:firstRow="1" w:lastRow="0" w:firstColumn="1" w:lastColumn="0" w:noHBand="0" w:noVBand="1"/>
            </w:tblPr>
            <w:tblGrid>
              <w:gridCol w:w="1009"/>
              <w:gridCol w:w="1009"/>
              <w:gridCol w:w="1010"/>
            </w:tblGrid>
            <w:tr w:rsidR="00AF1EBD" w:rsidRPr="00CC74F1" w:rsidTr="006224FD">
              <w:trPr>
                <w:tblHeader/>
              </w:trPr>
              <w:tc>
                <w:tcPr>
                  <w:tcW w:w="1009" w:type="dxa"/>
                </w:tcPr>
                <w:p w:rsidR="00AF1EBD" w:rsidRPr="00CC74F1" w:rsidRDefault="00AF1EBD" w:rsidP="00AF1EBD">
                  <w:pPr>
                    <w:rPr>
                      <w:szCs w:val="19"/>
                    </w:rPr>
                  </w:pPr>
                  <w:r w:rsidRPr="00CC74F1">
                    <w:rPr>
                      <w:szCs w:val="19"/>
                    </w:rPr>
                    <w:t>Nominal CCT (K)</w:t>
                  </w:r>
                </w:p>
              </w:tc>
              <w:tc>
                <w:tcPr>
                  <w:tcW w:w="1009" w:type="dxa"/>
                </w:tcPr>
                <w:p w:rsidR="00AF1EBD" w:rsidRPr="00CC74F1" w:rsidRDefault="00AF1EBD" w:rsidP="00AF1EBD">
                  <w:pPr>
                    <w:rPr>
                      <w:szCs w:val="19"/>
                    </w:rPr>
                  </w:pPr>
                  <w:r w:rsidRPr="00CC74F1">
                    <w:rPr>
                      <w:szCs w:val="19"/>
                    </w:rPr>
                    <w:t>Target CCT (K)</w:t>
                  </w:r>
                </w:p>
              </w:tc>
              <w:tc>
                <w:tcPr>
                  <w:tcW w:w="1010" w:type="dxa"/>
                </w:tcPr>
                <w:p w:rsidR="00AF1EBD" w:rsidRPr="00CC74F1" w:rsidRDefault="00AF1EBD" w:rsidP="00AF1EBD">
                  <w:pPr>
                    <w:rPr>
                      <w:szCs w:val="19"/>
                    </w:rPr>
                  </w:pPr>
                  <w:r w:rsidRPr="00CC74F1">
                    <w:rPr>
                      <w:szCs w:val="19"/>
                    </w:rPr>
                    <w:t>Tolerance (K)</w:t>
                  </w:r>
                </w:p>
              </w:tc>
            </w:tr>
            <w:tr w:rsidR="00AF1EBD" w:rsidRPr="00CC74F1" w:rsidTr="00AC53BD">
              <w:tc>
                <w:tcPr>
                  <w:tcW w:w="1009" w:type="dxa"/>
                </w:tcPr>
                <w:p w:rsidR="00AF1EBD" w:rsidRPr="00CC74F1" w:rsidRDefault="00AF1EBD" w:rsidP="00AF1EBD">
                  <w:pPr>
                    <w:rPr>
                      <w:szCs w:val="19"/>
                    </w:rPr>
                  </w:pPr>
                  <w:r w:rsidRPr="00CC74F1">
                    <w:rPr>
                      <w:szCs w:val="19"/>
                    </w:rPr>
                    <w:t>2700</w:t>
                  </w:r>
                </w:p>
              </w:tc>
              <w:tc>
                <w:tcPr>
                  <w:tcW w:w="1009" w:type="dxa"/>
                </w:tcPr>
                <w:p w:rsidR="00AF1EBD" w:rsidRPr="00CC74F1" w:rsidRDefault="00AF1EBD" w:rsidP="00AF1EBD">
                  <w:pPr>
                    <w:rPr>
                      <w:szCs w:val="19"/>
                    </w:rPr>
                  </w:pPr>
                  <w:r w:rsidRPr="00CC74F1">
                    <w:rPr>
                      <w:szCs w:val="19"/>
                    </w:rPr>
                    <w:t>2725</w:t>
                  </w:r>
                </w:p>
              </w:tc>
              <w:tc>
                <w:tcPr>
                  <w:tcW w:w="1010" w:type="dxa"/>
                </w:tcPr>
                <w:p w:rsidR="00AF1EBD" w:rsidRPr="00CC74F1" w:rsidRDefault="00AF1EBD" w:rsidP="00AF1EBD">
                  <w:pPr>
                    <w:rPr>
                      <w:szCs w:val="19"/>
                    </w:rPr>
                  </w:pPr>
                  <w:r w:rsidRPr="00CC74F1">
                    <w:rPr>
                      <w:szCs w:val="19"/>
                    </w:rPr>
                    <w:t>± 145</w:t>
                  </w:r>
                </w:p>
              </w:tc>
            </w:tr>
            <w:tr w:rsidR="00AF1EBD" w:rsidRPr="00CC74F1" w:rsidTr="00AC53BD">
              <w:tc>
                <w:tcPr>
                  <w:tcW w:w="1009" w:type="dxa"/>
                </w:tcPr>
                <w:p w:rsidR="00AF1EBD" w:rsidRPr="00CC74F1" w:rsidRDefault="00AF1EBD" w:rsidP="00AF1EBD">
                  <w:pPr>
                    <w:rPr>
                      <w:szCs w:val="19"/>
                    </w:rPr>
                  </w:pPr>
                  <w:r w:rsidRPr="00CC74F1">
                    <w:rPr>
                      <w:szCs w:val="19"/>
                    </w:rPr>
                    <w:t>3000</w:t>
                  </w:r>
                </w:p>
              </w:tc>
              <w:tc>
                <w:tcPr>
                  <w:tcW w:w="1009" w:type="dxa"/>
                </w:tcPr>
                <w:p w:rsidR="00AF1EBD" w:rsidRPr="00CC74F1" w:rsidRDefault="00AF1EBD" w:rsidP="00AF1EBD">
                  <w:pPr>
                    <w:rPr>
                      <w:szCs w:val="19"/>
                    </w:rPr>
                  </w:pPr>
                  <w:r w:rsidRPr="00CC74F1">
                    <w:rPr>
                      <w:szCs w:val="19"/>
                    </w:rPr>
                    <w:t>3045</w:t>
                  </w:r>
                </w:p>
              </w:tc>
              <w:tc>
                <w:tcPr>
                  <w:tcW w:w="1010" w:type="dxa"/>
                </w:tcPr>
                <w:p w:rsidR="00AF1EBD" w:rsidRPr="00CC74F1" w:rsidRDefault="00AF1EBD" w:rsidP="00AF1EBD">
                  <w:pPr>
                    <w:rPr>
                      <w:szCs w:val="19"/>
                    </w:rPr>
                  </w:pPr>
                  <w:r w:rsidRPr="00CC74F1">
                    <w:rPr>
                      <w:szCs w:val="19"/>
                    </w:rPr>
                    <w:t>± 175</w:t>
                  </w:r>
                </w:p>
              </w:tc>
            </w:tr>
            <w:tr w:rsidR="00AF1EBD" w:rsidRPr="00CC74F1" w:rsidTr="00AC53BD">
              <w:tc>
                <w:tcPr>
                  <w:tcW w:w="1009" w:type="dxa"/>
                </w:tcPr>
                <w:p w:rsidR="00AF1EBD" w:rsidRPr="00CC74F1" w:rsidRDefault="00AF1EBD" w:rsidP="00AF1EBD">
                  <w:pPr>
                    <w:rPr>
                      <w:szCs w:val="19"/>
                    </w:rPr>
                  </w:pPr>
                  <w:r w:rsidRPr="00CC74F1">
                    <w:rPr>
                      <w:szCs w:val="19"/>
                    </w:rPr>
                    <w:t>3500</w:t>
                  </w:r>
                </w:p>
              </w:tc>
              <w:tc>
                <w:tcPr>
                  <w:tcW w:w="1009" w:type="dxa"/>
                </w:tcPr>
                <w:p w:rsidR="00AF1EBD" w:rsidRPr="00CC74F1" w:rsidRDefault="00AF1EBD" w:rsidP="00AF1EBD">
                  <w:pPr>
                    <w:rPr>
                      <w:szCs w:val="19"/>
                    </w:rPr>
                  </w:pPr>
                  <w:r w:rsidRPr="00CC74F1">
                    <w:rPr>
                      <w:szCs w:val="19"/>
                    </w:rPr>
                    <w:t>3465</w:t>
                  </w:r>
                </w:p>
              </w:tc>
              <w:tc>
                <w:tcPr>
                  <w:tcW w:w="1010" w:type="dxa"/>
                </w:tcPr>
                <w:p w:rsidR="00AF1EBD" w:rsidRPr="00CC74F1" w:rsidRDefault="00AF1EBD" w:rsidP="00AF1EBD">
                  <w:pPr>
                    <w:rPr>
                      <w:szCs w:val="19"/>
                    </w:rPr>
                  </w:pPr>
                  <w:r w:rsidRPr="00CC74F1">
                    <w:rPr>
                      <w:szCs w:val="19"/>
                    </w:rPr>
                    <w:t>± 245</w:t>
                  </w:r>
                </w:p>
              </w:tc>
            </w:tr>
            <w:tr w:rsidR="00AF1EBD" w:rsidRPr="00CC74F1" w:rsidTr="00AC53BD">
              <w:tc>
                <w:tcPr>
                  <w:tcW w:w="1009" w:type="dxa"/>
                </w:tcPr>
                <w:p w:rsidR="00AF1EBD" w:rsidRPr="00CC74F1" w:rsidRDefault="00AF1EBD" w:rsidP="00AF1EBD">
                  <w:pPr>
                    <w:rPr>
                      <w:szCs w:val="19"/>
                    </w:rPr>
                  </w:pPr>
                  <w:r w:rsidRPr="00CC74F1">
                    <w:rPr>
                      <w:szCs w:val="19"/>
                    </w:rPr>
                    <w:t>4000</w:t>
                  </w:r>
                </w:p>
              </w:tc>
              <w:tc>
                <w:tcPr>
                  <w:tcW w:w="1009" w:type="dxa"/>
                </w:tcPr>
                <w:p w:rsidR="00AF1EBD" w:rsidRPr="00CC74F1" w:rsidRDefault="00AF1EBD" w:rsidP="00AF1EBD">
                  <w:pPr>
                    <w:rPr>
                      <w:szCs w:val="19"/>
                    </w:rPr>
                  </w:pPr>
                  <w:r w:rsidRPr="00CC74F1">
                    <w:rPr>
                      <w:szCs w:val="19"/>
                    </w:rPr>
                    <w:t>3985</w:t>
                  </w:r>
                </w:p>
              </w:tc>
              <w:tc>
                <w:tcPr>
                  <w:tcW w:w="1010" w:type="dxa"/>
                </w:tcPr>
                <w:p w:rsidR="00AF1EBD" w:rsidRPr="00CC74F1" w:rsidRDefault="00AF1EBD" w:rsidP="00AF1EBD">
                  <w:pPr>
                    <w:rPr>
                      <w:szCs w:val="19"/>
                    </w:rPr>
                  </w:pPr>
                  <w:r w:rsidRPr="00CC74F1">
                    <w:rPr>
                      <w:szCs w:val="19"/>
                    </w:rPr>
                    <w:t>± 275</w:t>
                  </w:r>
                </w:p>
              </w:tc>
            </w:tr>
            <w:tr w:rsidR="00AF1EBD" w:rsidRPr="00CC74F1" w:rsidTr="00AC53BD">
              <w:tc>
                <w:tcPr>
                  <w:tcW w:w="1009" w:type="dxa"/>
                </w:tcPr>
                <w:p w:rsidR="00AF1EBD" w:rsidRPr="00CC74F1" w:rsidRDefault="00AF1EBD" w:rsidP="00AF1EBD">
                  <w:pPr>
                    <w:rPr>
                      <w:szCs w:val="19"/>
                    </w:rPr>
                  </w:pPr>
                  <w:r w:rsidRPr="00CC74F1">
                    <w:rPr>
                      <w:szCs w:val="19"/>
                    </w:rPr>
                    <w:t>5000</w:t>
                  </w:r>
                </w:p>
              </w:tc>
              <w:tc>
                <w:tcPr>
                  <w:tcW w:w="1009" w:type="dxa"/>
                </w:tcPr>
                <w:p w:rsidR="00AF1EBD" w:rsidRPr="00CC74F1" w:rsidRDefault="00AF1EBD" w:rsidP="00AF1EBD">
                  <w:pPr>
                    <w:rPr>
                      <w:szCs w:val="19"/>
                    </w:rPr>
                  </w:pPr>
                  <w:r w:rsidRPr="00CC74F1">
                    <w:rPr>
                      <w:szCs w:val="19"/>
                    </w:rPr>
                    <w:t>5028</w:t>
                  </w:r>
                </w:p>
              </w:tc>
              <w:tc>
                <w:tcPr>
                  <w:tcW w:w="1010" w:type="dxa"/>
                </w:tcPr>
                <w:p w:rsidR="00AF1EBD" w:rsidRPr="00CC74F1" w:rsidRDefault="00AF1EBD" w:rsidP="00AF1EBD">
                  <w:pPr>
                    <w:rPr>
                      <w:szCs w:val="19"/>
                    </w:rPr>
                  </w:pPr>
                  <w:r w:rsidRPr="00CC74F1">
                    <w:rPr>
                      <w:szCs w:val="19"/>
                    </w:rPr>
                    <w:t>±283</w:t>
                  </w:r>
                </w:p>
              </w:tc>
            </w:tr>
            <w:tr w:rsidR="00AF1EBD" w:rsidRPr="00CC74F1" w:rsidTr="00AC53BD">
              <w:tc>
                <w:tcPr>
                  <w:tcW w:w="1009" w:type="dxa"/>
                </w:tcPr>
                <w:p w:rsidR="00AF1EBD" w:rsidRPr="00CC74F1" w:rsidRDefault="00AF1EBD" w:rsidP="00AF1EBD">
                  <w:pPr>
                    <w:rPr>
                      <w:szCs w:val="19"/>
                    </w:rPr>
                  </w:pPr>
                  <w:r w:rsidRPr="00CC74F1">
                    <w:rPr>
                      <w:szCs w:val="19"/>
                    </w:rPr>
                    <w:t>5700</w:t>
                  </w:r>
                </w:p>
              </w:tc>
              <w:tc>
                <w:tcPr>
                  <w:tcW w:w="1009" w:type="dxa"/>
                </w:tcPr>
                <w:p w:rsidR="00AF1EBD" w:rsidRPr="00CC74F1" w:rsidRDefault="00AF1EBD" w:rsidP="00AF1EBD">
                  <w:pPr>
                    <w:rPr>
                      <w:szCs w:val="19"/>
                    </w:rPr>
                  </w:pPr>
                  <w:r w:rsidRPr="00CC74F1">
                    <w:rPr>
                      <w:szCs w:val="19"/>
                    </w:rPr>
                    <w:t>5665</w:t>
                  </w:r>
                </w:p>
              </w:tc>
              <w:tc>
                <w:tcPr>
                  <w:tcW w:w="1010" w:type="dxa"/>
                </w:tcPr>
                <w:p w:rsidR="00AF1EBD" w:rsidRPr="00CC74F1" w:rsidRDefault="00AF1EBD" w:rsidP="00AF1EBD">
                  <w:pPr>
                    <w:rPr>
                      <w:szCs w:val="19"/>
                    </w:rPr>
                  </w:pPr>
                  <w:r w:rsidRPr="00CC74F1">
                    <w:rPr>
                      <w:szCs w:val="19"/>
                    </w:rPr>
                    <w:t>± 355</w:t>
                  </w:r>
                </w:p>
              </w:tc>
            </w:tr>
            <w:tr w:rsidR="00AF1EBD" w:rsidRPr="00CC74F1" w:rsidTr="00AC53BD">
              <w:tc>
                <w:tcPr>
                  <w:tcW w:w="1009" w:type="dxa"/>
                </w:tcPr>
                <w:p w:rsidR="00AF1EBD" w:rsidRPr="00CC74F1" w:rsidRDefault="00AF1EBD" w:rsidP="00AF1EBD">
                  <w:pPr>
                    <w:rPr>
                      <w:szCs w:val="19"/>
                    </w:rPr>
                  </w:pPr>
                  <w:r w:rsidRPr="00CC74F1">
                    <w:rPr>
                      <w:szCs w:val="19"/>
                    </w:rPr>
                    <w:t>6500</w:t>
                  </w:r>
                </w:p>
              </w:tc>
              <w:tc>
                <w:tcPr>
                  <w:tcW w:w="1009" w:type="dxa"/>
                </w:tcPr>
                <w:p w:rsidR="00AF1EBD" w:rsidRPr="00CC74F1" w:rsidRDefault="00AF1EBD" w:rsidP="00AF1EBD">
                  <w:pPr>
                    <w:rPr>
                      <w:szCs w:val="19"/>
                    </w:rPr>
                  </w:pPr>
                  <w:r w:rsidRPr="00CC74F1">
                    <w:rPr>
                      <w:szCs w:val="19"/>
                    </w:rPr>
                    <w:t>6530</w:t>
                  </w:r>
                </w:p>
              </w:tc>
              <w:tc>
                <w:tcPr>
                  <w:tcW w:w="1010" w:type="dxa"/>
                </w:tcPr>
                <w:p w:rsidR="00AF1EBD" w:rsidRPr="00CC74F1" w:rsidRDefault="00AF1EBD" w:rsidP="00AF1EBD">
                  <w:pPr>
                    <w:rPr>
                      <w:szCs w:val="19"/>
                    </w:rPr>
                  </w:pPr>
                  <w:r w:rsidRPr="00CC74F1">
                    <w:rPr>
                      <w:szCs w:val="19"/>
                    </w:rPr>
                    <w:t>± 510</w:t>
                  </w:r>
                </w:p>
              </w:tc>
            </w:tr>
          </w:tbl>
          <w:p w:rsidR="00AF1EBD" w:rsidRPr="00CC74F1" w:rsidRDefault="00AF1EBD" w:rsidP="00916106">
            <w:pPr>
              <w:rPr>
                <w:szCs w:val="19"/>
              </w:rPr>
            </w:pPr>
          </w:p>
          <w:p w:rsidR="00AF1EBD" w:rsidRPr="00CC74F1" w:rsidRDefault="00AF1EBD" w:rsidP="00916106">
            <w:pPr>
              <w:rPr>
                <w:szCs w:val="19"/>
              </w:rPr>
            </w:pPr>
          </w:p>
        </w:tc>
      </w:tr>
      <w:tr w:rsidR="00FC5328" w:rsidRPr="00CC74F1" w:rsidTr="004E0F37">
        <w:trPr>
          <w:tblHeader/>
        </w:trPr>
        <w:tc>
          <w:tcPr>
            <w:tcW w:w="2096" w:type="dxa"/>
          </w:tcPr>
          <w:p w:rsidR="00FC5328" w:rsidRPr="00CC74F1" w:rsidRDefault="00FC5328" w:rsidP="00330384">
            <w:pPr>
              <w:rPr>
                <w:szCs w:val="19"/>
              </w:rPr>
            </w:pPr>
            <w:r w:rsidRPr="00CC74F1">
              <w:rPr>
                <w:szCs w:val="19"/>
              </w:rPr>
              <w:t>Colour spatial uniformity</w:t>
            </w:r>
          </w:p>
        </w:tc>
        <w:tc>
          <w:tcPr>
            <w:tcW w:w="3401" w:type="dxa"/>
          </w:tcPr>
          <w:p w:rsidR="00FC5328" w:rsidRPr="00CC74F1" w:rsidRDefault="00FC5328" w:rsidP="00330384">
            <w:pPr>
              <w:rPr>
                <w:szCs w:val="19"/>
              </w:rPr>
            </w:pPr>
            <w:r w:rsidRPr="00CC74F1">
              <w:rPr>
                <w:szCs w:val="19"/>
              </w:rPr>
              <w:t xml:space="preserve">The maximum allowable variation in the colour </w:t>
            </w:r>
            <w:r w:rsidR="00AF1EBD" w:rsidRPr="00CC74F1">
              <w:rPr>
                <w:szCs w:val="19"/>
              </w:rPr>
              <w:t xml:space="preserve">appearance of a light source when </w:t>
            </w:r>
            <w:r w:rsidR="00E702FA" w:rsidRPr="00CC74F1">
              <w:rPr>
                <w:szCs w:val="19"/>
              </w:rPr>
              <w:t>viewed from</w:t>
            </w:r>
            <w:r w:rsidR="00AF1EBD" w:rsidRPr="00CC74F1">
              <w:rPr>
                <w:szCs w:val="19"/>
              </w:rPr>
              <w:t xml:space="preserve"> different angles.</w:t>
            </w:r>
          </w:p>
        </w:tc>
        <w:tc>
          <w:tcPr>
            <w:tcW w:w="3401" w:type="dxa"/>
          </w:tcPr>
          <w:p w:rsidR="00FC5328" w:rsidRPr="00CC74F1" w:rsidRDefault="00916106" w:rsidP="00330384">
            <w:pPr>
              <w:rPr>
                <w:szCs w:val="19"/>
              </w:rPr>
            </w:pPr>
            <w:r w:rsidRPr="00CC74F1">
              <w:rPr>
                <w:szCs w:val="19"/>
              </w:rPr>
              <w:t>E</w:t>
            </w:r>
            <w:r w:rsidR="00FC5328" w:rsidRPr="00CC74F1">
              <w:rPr>
                <w:szCs w:val="19"/>
              </w:rPr>
              <w:t>nsures that there are no extreme, perceptible colour variations in light output of a lamp. (Colour blotches are often perceptible in poor quality products)</w:t>
            </w:r>
          </w:p>
        </w:tc>
        <w:tc>
          <w:tcPr>
            <w:tcW w:w="1560" w:type="dxa"/>
          </w:tcPr>
          <w:p w:rsidR="00FC5328" w:rsidRPr="00CC74F1" w:rsidRDefault="00AF1EBD" w:rsidP="00330384">
            <w:pPr>
              <w:rPr>
                <w:szCs w:val="19"/>
              </w:rPr>
            </w:pPr>
            <w:r w:rsidRPr="00CC74F1">
              <w:rPr>
                <w:szCs w:val="19"/>
              </w:rPr>
              <w:t>Energy Star Product Specification for Lamps V1.1</w:t>
            </w:r>
          </w:p>
        </w:tc>
        <w:tc>
          <w:tcPr>
            <w:tcW w:w="3361" w:type="dxa"/>
          </w:tcPr>
          <w:p w:rsidR="00AF1EBD" w:rsidRPr="00CC74F1" w:rsidRDefault="00AF1EBD" w:rsidP="00330384">
            <w:pPr>
              <w:rPr>
                <w:szCs w:val="19"/>
              </w:rPr>
            </w:pPr>
            <w:r w:rsidRPr="00CC74F1">
              <w:rPr>
                <w:szCs w:val="19"/>
              </w:rPr>
              <w:t xml:space="preserve">To be considered only for inclusion in the standard. </w:t>
            </w:r>
          </w:p>
          <w:p w:rsidR="00AF1EBD" w:rsidRPr="00CC74F1" w:rsidRDefault="00AF1EBD" w:rsidP="00330384">
            <w:pPr>
              <w:rPr>
                <w:szCs w:val="19"/>
              </w:rPr>
            </w:pPr>
            <w:r w:rsidRPr="00CC74F1">
              <w:rPr>
                <w:szCs w:val="19"/>
              </w:rPr>
              <w:t>Directional lamps: The variation of chromaticity across the beam and field angles shall be within 0.007 from the weighted average point on the CIE 1976 (u'v') diagram</w:t>
            </w:r>
          </w:p>
        </w:tc>
      </w:tr>
      <w:tr w:rsidR="00FC5328" w:rsidRPr="00CC74F1" w:rsidTr="004E0F37">
        <w:trPr>
          <w:tblHeader/>
        </w:trPr>
        <w:tc>
          <w:tcPr>
            <w:tcW w:w="2096" w:type="dxa"/>
          </w:tcPr>
          <w:p w:rsidR="00FC5328" w:rsidRPr="00CC74F1" w:rsidRDefault="00FC5328" w:rsidP="00330384">
            <w:pPr>
              <w:rPr>
                <w:szCs w:val="19"/>
              </w:rPr>
            </w:pPr>
            <w:r w:rsidRPr="00CC74F1">
              <w:rPr>
                <w:szCs w:val="19"/>
              </w:rPr>
              <w:lastRenderedPageBreak/>
              <w:t>Chromaticity tolerance (Du’v’)</w:t>
            </w:r>
          </w:p>
        </w:tc>
        <w:tc>
          <w:tcPr>
            <w:tcW w:w="3401" w:type="dxa"/>
          </w:tcPr>
          <w:p w:rsidR="00FC5328" w:rsidRPr="00CC74F1" w:rsidRDefault="00FC5328" w:rsidP="00330384">
            <w:pPr>
              <w:rPr>
                <w:szCs w:val="19"/>
              </w:rPr>
            </w:pPr>
            <w:r w:rsidRPr="00CC74F1">
              <w:rPr>
                <w:szCs w:val="19"/>
              </w:rPr>
              <w:t>Specifies the allowable deviation in light colour; technically defined to be the distance of the light chromaticity from the Planckian (black body) locus as per ANSI C78.377</w:t>
            </w:r>
          </w:p>
        </w:tc>
        <w:tc>
          <w:tcPr>
            <w:tcW w:w="3401" w:type="dxa"/>
          </w:tcPr>
          <w:p w:rsidR="00FC5328" w:rsidRPr="00CC74F1" w:rsidRDefault="00FC5328" w:rsidP="00AF1EBD">
            <w:pPr>
              <w:rPr>
                <w:szCs w:val="19"/>
              </w:rPr>
            </w:pPr>
            <w:r w:rsidRPr="00CC74F1">
              <w:rPr>
                <w:szCs w:val="19"/>
              </w:rPr>
              <w:t xml:space="preserve">Ensures that all lamps of the same claimed colour temperature </w:t>
            </w:r>
            <w:r w:rsidR="00AF1EBD" w:rsidRPr="00CC74F1">
              <w:rPr>
                <w:szCs w:val="19"/>
              </w:rPr>
              <w:t xml:space="preserve">(CCT) </w:t>
            </w:r>
            <w:r w:rsidRPr="00CC74F1">
              <w:rPr>
                <w:szCs w:val="19"/>
              </w:rPr>
              <w:t xml:space="preserve">appear to be the same colour when installed. Protects consumers from LED products </w:t>
            </w:r>
            <w:r w:rsidR="00AF1EBD" w:rsidRPr="00CC74F1">
              <w:rPr>
                <w:szCs w:val="19"/>
              </w:rPr>
              <w:t>that produce</w:t>
            </w:r>
            <w:r w:rsidRPr="00CC74F1">
              <w:rPr>
                <w:szCs w:val="19"/>
              </w:rPr>
              <w:t xml:space="preserve"> unacceptable pink or green tint</w:t>
            </w:r>
            <w:r w:rsidR="00AF1EBD" w:rsidRPr="00CC74F1">
              <w:rPr>
                <w:szCs w:val="19"/>
              </w:rPr>
              <w:t>ed light</w:t>
            </w:r>
            <w:r w:rsidRPr="00CC74F1">
              <w:rPr>
                <w:szCs w:val="19"/>
              </w:rPr>
              <w:t xml:space="preserve">. </w:t>
            </w:r>
          </w:p>
        </w:tc>
        <w:tc>
          <w:tcPr>
            <w:tcW w:w="1560" w:type="dxa"/>
          </w:tcPr>
          <w:p w:rsidR="00FC5328" w:rsidRPr="00CC74F1" w:rsidRDefault="00FC5328" w:rsidP="00330384">
            <w:pPr>
              <w:rPr>
                <w:szCs w:val="19"/>
              </w:rPr>
            </w:pPr>
            <w:r w:rsidRPr="00CC74F1">
              <w:rPr>
                <w:szCs w:val="19"/>
              </w:rPr>
              <w:t>ANSI C78.377</w:t>
            </w:r>
          </w:p>
          <w:p w:rsidR="00FC5328" w:rsidRPr="00CC74F1" w:rsidRDefault="00FC5328" w:rsidP="00330384">
            <w:pPr>
              <w:rPr>
                <w:szCs w:val="19"/>
              </w:rPr>
            </w:pPr>
          </w:p>
          <w:p w:rsidR="00FC5328" w:rsidRPr="00CC74F1" w:rsidRDefault="00AF1EBD" w:rsidP="00330384">
            <w:pPr>
              <w:rPr>
                <w:szCs w:val="19"/>
              </w:rPr>
            </w:pPr>
            <w:r w:rsidRPr="00CC74F1">
              <w:rPr>
                <w:szCs w:val="19"/>
              </w:rPr>
              <w:t>IEC</w:t>
            </w:r>
            <w:r w:rsidR="00FC5328" w:rsidRPr="00CC74F1">
              <w:rPr>
                <w:szCs w:val="19"/>
              </w:rPr>
              <w:t xml:space="preserve"> 62612 (Self ballasted LED)</w:t>
            </w:r>
          </w:p>
          <w:p w:rsidR="00FC5328" w:rsidRPr="00CC74F1" w:rsidRDefault="00FC5328" w:rsidP="00330384">
            <w:pPr>
              <w:rPr>
                <w:szCs w:val="19"/>
              </w:rPr>
            </w:pPr>
          </w:p>
          <w:p w:rsidR="00FC5328" w:rsidRPr="00CC74F1" w:rsidRDefault="00AF1EBD" w:rsidP="00330384">
            <w:pPr>
              <w:rPr>
                <w:szCs w:val="19"/>
              </w:rPr>
            </w:pPr>
            <w:r w:rsidRPr="00CC74F1">
              <w:rPr>
                <w:szCs w:val="19"/>
              </w:rPr>
              <w:t>IEC</w:t>
            </w:r>
            <w:r w:rsidR="00FC5328" w:rsidRPr="00CC74F1">
              <w:rPr>
                <w:szCs w:val="19"/>
              </w:rPr>
              <w:t xml:space="preserve"> 62717 (LED modules)</w:t>
            </w:r>
          </w:p>
        </w:tc>
        <w:tc>
          <w:tcPr>
            <w:tcW w:w="3361" w:type="dxa"/>
          </w:tcPr>
          <w:p w:rsidR="00916106" w:rsidRPr="00CC74F1" w:rsidRDefault="00916106" w:rsidP="00916106">
            <w:pPr>
              <w:rPr>
                <w:szCs w:val="19"/>
              </w:rPr>
            </w:pPr>
            <w:r w:rsidRPr="00CC74F1">
              <w:rPr>
                <w:szCs w:val="19"/>
              </w:rPr>
              <w:t>Centre points based on ANSI C78.377, excluding flexible CCT</w:t>
            </w:r>
          </w:p>
          <w:tbl>
            <w:tblPr>
              <w:tblStyle w:val="TableGrid"/>
              <w:tblW w:w="0" w:type="auto"/>
              <w:tblLayout w:type="fixed"/>
              <w:tblLook w:val="04A0" w:firstRow="1" w:lastRow="0" w:firstColumn="1" w:lastColumn="0" w:noHBand="0" w:noVBand="1"/>
            </w:tblPr>
            <w:tblGrid>
              <w:gridCol w:w="1021"/>
              <w:gridCol w:w="851"/>
              <w:gridCol w:w="1156"/>
            </w:tblGrid>
            <w:tr w:rsidR="00AF1EBD" w:rsidRPr="00CC74F1" w:rsidTr="006224FD">
              <w:trPr>
                <w:tblHeader/>
              </w:trPr>
              <w:tc>
                <w:tcPr>
                  <w:tcW w:w="1021" w:type="dxa"/>
                </w:tcPr>
                <w:p w:rsidR="00AF1EBD" w:rsidRPr="00CC74F1" w:rsidRDefault="00AF1EBD" w:rsidP="00AF1EBD">
                  <w:pPr>
                    <w:rPr>
                      <w:szCs w:val="19"/>
                    </w:rPr>
                  </w:pPr>
                  <w:r w:rsidRPr="00CC74F1">
                    <w:rPr>
                      <w:szCs w:val="19"/>
                    </w:rPr>
                    <w:t>Nominal CCT</w:t>
                  </w:r>
                </w:p>
              </w:tc>
              <w:tc>
                <w:tcPr>
                  <w:tcW w:w="851" w:type="dxa"/>
                </w:tcPr>
                <w:p w:rsidR="00AF1EBD" w:rsidRPr="00CC74F1" w:rsidRDefault="00E702FA" w:rsidP="00AF1EBD">
                  <w:pPr>
                    <w:rPr>
                      <w:szCs w:val="19"/>
                    </w:rPr>
                  </w:pPr>
                  <w:r w:rsidRPr="00CC74F1">
                    <w:rPr>
                      <w:szCs w:val="19"/>
                    </w:rPr>
                    <w:t>Target</w:t>
                  </w:r>
                  <w:r>
                    <w:rPr>
                      <w:szCs w:val="19"/>
                    </w:rPr>
                    <w:t xml:space="preserve"> </w:t>
                  </w:r>
                  <w:r w:rsidRPr="00CC74F1">
                    <w:rPr>
                      <w:szCs w:val="19"/>
                    </w:rPr>
                    <w:t>Du'v</w:t>
                  </w:r>
                  <w:r w:rsidR="00AF1EBD" w:rsidRPr="00CC74F1">
                    <w:rPr>
                      <w:szCs w:val="19"/>
                    </w:rPr>
                    <w:t>'</w:t>
                  </w:r>
                </w:p>
              </w:tc>
              <w:tc>
                <w:tcPr>
                  <w:tcW w:w="1156" w:type="dxa"/>
                </w:tcPr>
                <w:p w:rsidR="00AF1EBD" w:rsidRPr="00CC74F1" w:rsidRDefault="00AF1EBD" w:rsidP="00AF1EBD">
                  <w:pPr>
                    <w:rPr>
                      <w:szCs w:val="19"/>
                    </w:rPr>
                  </w:pPr>
                  <w:r w:rsidRPr="00CC74F1">
                    <w:rPr>
                      <w:szCs w:val="19"/>
                    </w:rPr>
                    <w:t>± Tolerance</w:t>
                  </w:r>
                </w:p>
              </w:tc>
            </w:tr>
            <w:tr w:rsidR="00AF1EBD" w:rsidRPr="00CC74F1" w:rsidTr="00AC53BD">
              <w:tc>
                <w:tcPr>
                  <w:tcW w:w="1021" w:type="dxa"/>
                </w:tcPr>
                <w:p w:rsidR="00AF1EBD" w:rsidRPr="00CC74F1" w:rsidRDefault="00AF1EBD" w:rsidP="00AF1EBD">
                  <w:pPr>
                    <w:rPr>
                      <w:szCs w:val="19"/>
                    </w:rPr>
                  </w:pPr>
                  <w:r w:rsidRPr="00CC74F1">
                    <w:rPr>
                      <w:szCs w:val="19"/>
                    </w:rPr>
                    <w:t>2700</w:t>
                  </w:r>
                </w:p>
              </w:tc>
              <w:tc>
                <w:tcPr>
                  <w:tcW w:w="851" w:type="dxa"/>
                </w:tcPr>
                <w:p w:rsidR="00AF1EBD" w:rsidRPr="00CC74F1" w:rsidRDefault="00AF1EBD" w:rsidP="00AF1EBD">
                  <w:pPr>
                    <w:rPr>
                      <w:szCs w:val="19"/>
                    </w:rPr>
                  </w:pPr>
                  <w:r w:rsidRPr="00CC74F1">
                    <w:rPr>
                      <w:szCs w:val="19"/>
                    </w:rPr>
                    <w:t>0.000</w:t>
                  </w:r>
                </w:p>
              </w:tc>
              <w:tc>
                <w:tcPr>
                  <w:tcW w:w="1156" w:type="dxa"/>
                </w:tcPr>
                <w:p w:rsidR="00AF1EBD" w:rsidRPr="00CC74F1" w:rsidRDefault="00AF1EBD" w:rsidP="00AF1EBD">
                  <w:pPr>
                    <w:rPr>
                      <w:szCs w:val="19"/>
                    </w:rPr>
                  </w:pPr>
                  <w:r w:rsidRPr="00CC74F1">
                    <w:rPr>
                      <w:szCs w:val="19"/>
                    </w:rPr>
                    <w:t>± 0.006</w:t>
                  </w:r>
                </w:p>
              </w:tc>
            </w:tr>
            <w:tr w:rsidR="00AF1EBD" w:rsidRPr="00CC74F1" w:rsidTr="00AC53BD">
              <w:tc>
                <w:tcPr>
                  <w:tcW w:w="1021" w:type="dxa"/>
                </w:tcPr>
                <w:p w:rsidR="00AF1EBD" w:rsidRPr="00CC74F1" w:rsidRDefault="00AF1EBD" w:rsidP="00AF1EBD">
                  <w:pPr>
                    <w:rPr>
                      <w:szCs w:val="19"/>
                    </w:rPr>
                  </w:pPr>
                  <w:r w:rsidRPr="00CC74F1">
                    <w:rPr>
                      <w:szCs w:val="19"/>
                    </w:rPr>
                    <w:t>3000</w:t>
                  </w:r>
                </w:p>
              </w:tc>
              <w:tc>
                <w:tcPr>
                  <w:tcW w:w="851" w:type="dxa"/>
                </w:tcPr>
                <w:p w:rsidR="00AF1EBD" w:rsidRPr="00CC74F1" w:rsidRDefault="00AF1EBD" w:rsidP="00AF1EBD">
                  <w:pPr>
                    <w:rPr>
                      <w:szCs w:val="19"/>
                    </w:rPr>
                  </w:pPr>
                  <w:r w:rsidRPr="00CC74F1">
                    <w:rPr>
                      <w:szCs w:val="19"/>
                    </w:rPr>
                    <w:t>0.000</w:t>
                  </w:r>
                </w:p>
              </w:tc>
              <w:tc>
                <w:tcPr>
                  <w:tcW w:w="1156" w:type="dxa"/>
                </w:tcPr>
                <w:p w:rsidR="00AF1EBD" w:rsidRPr="00CC74F1" w:rsidRDefault="00AF1EBD" w:rsidP="00AF1EBD">
                  <w:pPr>
                    <w:rPr>
                      <w:szCs w:val="19"/>
                    </w:rPr>
                  </w:pPr>
                  <w:r w:rsidRPr="00CC74F1">
                    <w:rPr>
                      <w:szCs w:val="19"/>
                    </w:rPr>
                    <w:t>± 0.006</w:t>
                  </w:r>
                </w:p>
              </w:tc>
            </w:tr>
            <w:tr w:rsidR="00AF1EBD" w:rsidRPr="00CC74F1" w:rsidTr="00AC53BD">
              <w:tc>
                <w:tcPr>
                  <w:tcW w:w="1021" w:type="dxa"/>
                </w:tcPr>
                <w:p w:rsidR="00AF1EBD" w:rsidRPr="00CC74F1" w:rsidRDefault="00AF1EBD" w:rsidP="00AF1EBD">
                  <w:pPr>
                    <w:rPr>
                      <w:szCs w:val="19"/>
                    </w:rPr>
                  </w:pPr>
                  <w:r w:rsidRPr="00CC74F1">
                    <w:rPr>
                      <w:szCs w:val="19"/>
                    </w:rPr>
                    <w:t>3500</w:t>
                  </w:r>
                </w:p>
              </w:tc>
              <w:tc>
                <w:tcPr>
                  <w:tcW w:w="851" w:type="dxa"/>
                </w:tcPr>
                <w:p w:rsidR="00AF1EBD" w:rsidRPr="00CC74F1" w:rsidRDefault="00AF1EBD" w:rsidP="00AF1EBD">
                  <w:pPr>
                    <w:rPr>
                      <w:szCs w:val="19"/>
                    </w:rPr>
                  </w:pPr>
                  <w:r w:rsidRPr="00CC74F1">
                    <w:rPr>
                      <w:szCs w:val="19"/>
                    </w:rPr>
                    <w:t>0.000</w:t>
                  </w:r>
                </w:p>
              </w:tc>
              <w:tc>
                <w:tcPr>
                  <w:tcW w:w="1156" w:type="dxa"/>
                </w:tcPr>
                <w:p w:rsidR="00AF1EBD" w:rsidRPr="00CC74F1" w:rsidRDefault="00AF1EBD" w:rsidP="00AF1EBD">
                  <w:pPr>
                    <w:rPr>
                      <w:szCs w:val="19"/>
                    </w:rPr>
                  </w:pPr>
                  <w:r w:rsidRPr="00CC74F1">
                    <w:rPr>
                      <w:szCs w:val="19"/>
                    </w:rPr>
                    <w:t>± 0.006</w:t>
                  </w:r>
                </w:p>
              </w:tc>
            </w:tr>
            <w:tr w:rsidR="00AF1EBD" w:rsidRPr="00CC74F1" w:rsidTr="00AC53BD">
              <w:tc>
                <w:tcPr>
                  <w:tcW w:w="1021" w:type="dxa"/>
                </w:tcPr>
                <w:p w:rsidR="00AF1EBD" w:rsidRPr="00CC74F1" w:rsidRDefault="00AF1EBD" w:rsidP="00AF1EBD">
                  <w:pPr>
                    <w:rPr>
                      <w:szCs w:val="19"/>
                    </w:rPr>
                  </w:pPr>
                  <w:r w:rsidRPr="00CC74F1">
                    <w:rPr>
                      <w:szCs w:val="19"/>
                    </w:rPr>
                    <w:t>4000</w:t>
                  </w:r>
                </w:p>
              </w:tc>
              <w:tc>
                <w:tcPr>
                  <w:tcW w:w="851" w:type="dxa"/>
                </w:tcPr>
                <w:p w:rsidR="00AF1EBD" w:rsidRPr="00CC74F1" w:rsidRDefault="00AF1EBD" w:rsidP="00AF1EBD">
                  <w:pPr>
                    <w:rPr>
                      <w:szCs w:val="19"/>
                    </w:rPr>
                  </w:pPr>
                  <w:r w:rsidRPr="00CC74F1">
                    <w:rPr>
                      <w:szCs w:val="19"/>
                    </w:rPr>
                    <w:t>0.001</w:t>
                  </w:r>
                </w:p>
              </w:tc>
              <w:tc>
                <w:tcPr>
                  <w:tcW w:w="1156" w:type="dxa"/>
                </w:tcPr>
                <w:p w:rsidR="00AF1EBD" w:rsidRPr="00CC74F1" w:rsidRDefault="00AF1EBD" w:rsidP="00AF1EBD">
                  <w:pPr>
                    <w:rPr>
                      <w:szCs w:val="19"/>
                    </w:rPr>
                  </w:pPr>
                  <w:r w:rsidRPr="00CC74F1">
                    <w:rPr>
                      <w:szCs w:val="19"/>
                    </w:rPr>
                    <w:t>± 0.006</w:t>
                  </w:r>
                </w:p>
              </w:tc>
            </w:tr>
            <w:tr w:rsidR="00AF1EBD" w:rsidRPr="00CC74F1" w:rsidTr="00AC53BD">
              <w:tc>
                <w:tcPr>
                  <w:tcW w:w="1021" w:type="dxa"/>
                </w:tcPr>
                <w:p w:rsidR="00AF1EBD" w:rsidRPr="00CC74F1" w:rsidRDefault="00AF1EBD" w:rsidP="00AF1EBD">
                  <w:pPr>
                    <w:rPr>
                      <w:szCs w:val="19"/>
                    </w:rPr>
                  </w:pPr>
                  <w:r w:rsidRPr="00CC74F1">
                    <w:rPr>
                      <w:szCs w:val="19"/>
                    </w:rPr>
                    <w:t>5000</w:t>
                  </w:r>
                </w:p>
              </w:tc>
              <w:tc>
                <w:tcPr>
                  <w:tcW w:w="851" w:type="dxa"/>
                </w:tcPr>
                <w:p w:rsidR="00AF1EBD" w:rsidRPr="00CC74F1" w:rsidRDefault="00AF1EBD" w:rsidP="00AF1EBD">
                  <w:pPr>
                    <w:rPr>
                      <w:szCs w:val="19"/>
                    </w:rPr>
                  </w:pPr>
                  <w:r w:rsidRPr="00CC74F1">
                    <w:rPr>
                      <w:szCs w:val="19"/>
                    </w:rPr>
                    <w:t>0.002</w:t>
                  </w:r>
                </w:p>
              </w:tc>
              <w:tc>
                <w:tcPr>
                  <w:tcW w:w="1156" w:type="dxa"/>
                </w:tcPr>
                <w:p w:rsidR="00AF1EBD" w:rsidRPr="00CC74F1" w:rsidRDefault="00AF1EBD" w:rsidP="00AF1EBD">
                  <w:pPr>
                    <w:rPr>
                      <w:szCs w:val="19"/>
                    </w:rPr>
                  </w:pPr>
                  <w:r w:rsidRPr="00CC74F1">
                    <w:rPr>
                      <w:szCs w:val="19"/>
                    </w:rPr>
                    <w:t>± 0.006</w:t>
                  </w:r>
                </w:p>
              </w:tc>
            </w:tr>
            <w:tr w:rsidR="00AF1EBD" w:rsidRPr="00CC74F1" w:rsidTr="00AC53BD">
              <w:tc>
                <w:tcPr>
                  <w:tcW w:w="1021" w:type="dxa"/>
                </w:tcPr>
                <w:p w:rsidR="00AF1EBD" w:rsidRPr="00CC74F1" w:rsidRDefault="00AF1EBD" w:rsidP="00AF1EBD">
                  <w:pPr>
                    <w:rPr>
                      <w:szCs w:val="19"/>
                    </w:rPr>
                  </w:pPr>
                  <w:r w:rsidRPr="00CC74F1">
                    <w:rPr>
                      <w:szCs w:val="19"/>
                    </w:rPr>
                    <w:t>5700</w:t>
                  </w:r>
                </w:p>
              </w:tc>
              <w:tc>
                <w:tcPr>
                  <w:tcW w:w="851" w:type="dxa"/>
                </w:tcPr>
                <w:p w:rsidR="00AF1EBD" w:rsidRPr="00CC74F1" w:rsidRDefault="00AF1EBD" w:rsidP="00AF1EBD">
                  <w:pPr>
                    <w:rPr>
                      <w:szCs w:val="19"/>
                    </w:rPr>
                  </w:pPr>
                  <w:r w:rsidRPr="00CC74F1">
                    <w:rPr>
                      <w:szCs w:val="19"/>
                    </w:rPr>
                    <w:t>0.002</w:t>
                  </w:r>
                </w:p>
              </w:tc>
              <w:tc>
                <w:tcPr>
                  <w:tcW w:w="1156" w:type="dxa"/>
                </w:tcPr>
                <w:p w:rsidR="00AF1EBD" w:rsidRPr="00CC74F1" w:rsidRDefault="00AF1EBD" w:rsidP="00AF1EBD">
                  <w:pPr>
                    <w:rPr>
                      <w:szCs w:val="19"/>
                    </w:rPr>
                  </w:pPr>
                  <w:r w:rsidRPr="00CC74F1">
                    <w:rPr>
                      <w:szCs w:val="19"/>
                    </w:rPr>
                    <w:t>± 0.006</w:t>
                  </w:r>
                </w:p>
              </w:tc>
            </w:tr>
            <w:tr w:rsidR="00AF1EBD" w:rsidRPr="00CC74F1" w:rsidTr="00AC53BD">
              <w:tc>
                <w:tcPr>
                  <w:tcW w:w="1021" w:type="dxa"/>
                </w:tcPr>
                <w:p w:rsidR="00AF1EBD" w:rsidRPr="00CC74F1" w:rsidRDefault="00AF1EBD" w:rsidP="00AF1EBD">
                  <w:pPr>
                    <w:rPr>
                      <w:szCs w:val="19"/>
                    </w:rPr>
                  </w:pPr>
                  <w:r w:rsidRPr="00CC74F1">
                    <w:rPr>
                      <w:szCs w:val="19"/>
                    </w:rPr>
                    <w:t>6500</w:t>
                  </w:r>
                </w:p>
              </w:tc>
              <w:tc>
                <w:tcPr>
                  <w:tcW w:w="851" w:type="dxa"/>
                </w:tcPr>
                <w:p w:rsidR="00AF1EBD" w:rsidRPr="00CC74F1" w:rsidRDefault="00AF1EBD" w:rsidP="00AF1EBD">
                  <w:pPr>
                    <w:rPr>
                      <w:szCs w:val="19"/>
                    </w:rPr>
                  </w:pPr>
                  <w:r w:rsidRPr="00CC74F1">
                    <w:rPr>
                      <w:szCs w:val="19"/>
                    </w:rPr>
                    <w:t>0.003</w:t>
                  </w:r>
                </w:p>
              </w:tc>
              <w:tc>
                <w:tcPr>
                  <w:tcW w:w="1156" w:type="dxa"/>
                </w:tcPr>
                <w:p w:rsidR="00AF1EBD" w:rsidRPr="00CC74F1" w:rsidRDefault="00AF1EBD" w:rsidP="00AF1EBD">
                  <w:pPr>
                    <w:rPr>
                      <w:szCs w:val="19"/>
                    </w:rPr>
                  </w:pPr>
                  <w:r w:rsidRPr="00CC74F1">
                    <w:rPr>
                      <w:szCs w:val="19"/>
                    </w:rPr>
                    <w:t>± 0.006</w:t>
                  </w:r>
                </w:p>
              </w:tc>
            </w:tr>
          </w:tbl>
          <w:p w:rsidR="00FC5328" w:rsidRPr="00CC74F1" w:rsidRDefault="00FC5328" w:rsidP="00916106">
            <w:pPr>
              <w:rPr>
                <w:szCs w:val="19"/>
              </w:rPr>
            </w:pPr>
          </w:p>
        </w:tc>
      </w:tr>
      <w:tr w:rsidR="00916106" w:rsidRPr="00CC74F1" w:rsidTr="004E0F37">
        <w:trPr>
          <w:tblHeader/>
        </w:trPr>
        <w:tc>
          <w:tcPr>
            <w:tcW w:w="2096" w:type="dxa"/>
          </w:tcPr>
          <w:p w:rsidR="00916106" w:rsidRPr="00CC74F1" w:rsidRDefault="00916106" w:rsidP="00AA2FD8">
            <w:pPr>
              <w:rPr>
                <w:szCs w:val="19"/>
              </w:rPr>
            </w:pPr>
            <w:r w:rsidRPr="00CC74F1">
              <w:rPr>
                <w:szCs w:val="19"/>
              </w:rPr>
              <w:t xml:space="preserve">Colour maintenance </w:t>
            </w:r>
            <w:r w:rsidRPr="00CC74F1">
              <w:rPr>
                <w:szCs w:val="19"/>
              </w:rPr>
              <w:br/>
              <w:t>(Δ u’, v’at 6000 hours)</w:t>
            </w:r>
          </w:p>
        </w:tc>
        <w:tc>
          <w:tcPr>
            <w:tcW w:w="3401" w:type="dxa"/>
          </w:tcPr>
          <w:p w:rsidR="00916106" w:rsidRPr="00CC74F1" w:rsidRDefault="00916106" w:rsidP="00AA2FD8">
            <w:pPr>
              <w:rPr>
                <w:szCs w:val="19"/>
              </w:rPr>
            </w:pPr>
            <w:r w:rsidRPr="00CC74F1">
              <w:rPr>
                <w:szCs w:val="19"/>
              </w:rPr>
              <w:t>The allowable colour shift of a lighting product as it ages.</w:t>
            </w:r>
          </w:p>
        </w:tc>
        <w:tc>
          <w:tcPr>
            <w:tcW w:w="3401" w:type="dxa"/>
          </w:tcPr>
          <w:p w:rsidR="00916106" w:rsidRPr="00CC74F1" w:rsidRDefault="00916106" w:rsidP="00DD79A0">
            <w:pPr>
              <w:rPr>
                <w:szCs w:val="19"/>
              </w:rPr>
            </w:pPr>
            <w:r w:rsidRPr="00CC74F1">
              <w:rPr>
                <w:szCs w:val="19"/>
              </w:rPr>
              <w:t xml:space="preserve">Ensures that as the product ages, perceived colour of </w:t>
            </w:r>
            <w:r w:rsidR="00DD79A0" w:rsidRPr="00CC74F1">
              <w:rPr>
                <w:szCs w:val="19"/>
              </w:rPr>
              <w:t xml:space="preserve">the </w:t>
            </w:r>
            <w:r w:rsidRPr="00CC74F1">
              <w:rPr>
                <w:szCs w:val="19"/>
              </w:rPr>
              <w:t>light does not shift a noticeable extent – important for colour matching replacement lamps</w:t>
            </w:r>
            <w:r w:rsidR="00DD79A0" w:rsidRPr="00CC74F1">
              <w:rPr>
                <w:szCs w:val="19"/>
              </w:rPr>
              <w:t xml:space="preserve"> with existing lamps within an installation</w:t>
            </w:r>
            <w:r w:rsidRPr="00CC74F1">
              <w:rPr>
                <w:szCs w:val="19"/>
              </w:rPr>
              <w:t>.</w:t>
            </w:r>
          </w:p>
        </w:tc>
        <w:tc>
          <w:tcPr>
            <w:tcW w:w="1560" w:type="dxa"/>
          </w:tcPr>
          <w:p w:rsidR="00916106" w:rsidRPr="00CC74F1" w:rsidRDefault="00916106" w:rsidP="00AA2FD8">
            <w:pPr>
              <w:rPr>
                <w:szCs w:val="19"/>
              </w:rPr>
            </w:pPr>
            <w:r w:rsidRPr="00CC74F1">
              <w:rPr>
                <w:szCs w:val="19"/>
              </w:rPr>
              <w:t>Energy Star</w:t>
            </w:r>
          </w:p>
        </w:tc>
        <w:tc>
          <w:tcPr>
            <w:tcW w:w="3361" w:type="dxa"/>
          </w:tcPr>
          <w:p w:rsidR="00916106" w:rsidRPr="00CC74F1" w:rsidRDefault="00DD79A0" w:rsidP="00AA2FD8">
            <w:pPr>
              <w:rPr>
                <w:szCs w:val="19"/>
              </w:rPr>
            </w:pPr>
            <w:r w:rsidRPr="00CC74F1">
              <w:rPr>
                <w:szCs w:val="19"/>
              </w:rPr>
              <w:t xml:space="preserve">Δ u’, v’ (6000 hours) </w:t>
            </w:r>
            <w:r w:rsidR="00916106" w:rsidRPr="00CC74F1">
              <w:rPr>
                <w:szCs w:val="19"/>
              </w:rPr>
              <w:t>&lt; 0.007</w:t>
            </w:r>
          </w:p>
        </w:tc>
      </w:tr>
      <w:tr w:rsidR="00FC5328" w:rsidRPr="00CC74F1" w:rsidTr="004E0F37">
        <w:trPr>
          <w:tblHeader/>
        </w:trPr>
        <w:tc>
          <w:tcPr>
            <w:tcW w:w="2096" w:type="dxa"/>
          </w:tcPr>
          <w:p w:rsidR="00FC5328" w:rsidRPr="00CC74F1" w:rsidRDefault="00FC5328" w:rsidP="00330384">
            <w:pPr>
              <w:rPr>
                <w:szCs w:val="19"/>
              </w:rPr>
            </w:pPr>
            <w:r w:rsidRPr="00CC74F1">
              <w:rPr>
                <w:szCs w:val="19"/>
              </w:rPr>
              <w:t>Start time</w:t>
            </w:r>
          </w:p>
        </w:tc>
        <w:tc>
          <w:tcPr>
            <w:tcW w:w="3401" w:type="dxa"/>
          </w:tcPr>
          <w:p w:rsidR="00FC5328" w:rsidRPr="00CC74F1" w:rsidRDefault="00FC5328" w:rsidP="00330384">
            <w:pPr>
              <w:rPr>
                <w:szCs w:val="19"/>
              </w:rPr>
            </w:pPr>
            <w:r w:rsidRPr="00CC74F1">
              <w:rPr>
                <w:szCs w:val="19"/>
              </w:rPr>
              <w:t>Amount of time for a lighting product to begin emitting light after power is turned on.</w:t>
            </w:r>
          </w:p>
        </w:tc>
        <w:tc>
          <w:tcPr>
            <w:tcW w:w="3401" w:type="dxa"/>
          </w:tcPr>
          <w:p w:rsidR="00FC5328" w:rsidRPr="00CC74F1" w:rsidRDefault="00A00DFF" w:rsidP="00DD79A0">
            <w:pPr>
              <w:rPr>
                <w:szCs w:val="19"/>
              </w:rPr>
            </w:pPr>
            <w:r w:rsidRPr="00CC74F1">
              <w:rPr>
                <w:szCs w:val="19"/>
              </w:rPr>
              <w:t>S</w:t>
            </w:r>
            <w:r w:rsidR="00FC5328" w:rsidRPr="00CC74F1">
              <w:rPr>
                <w:szCs w:val="19"/>
              </w:rPr>
              <w:t>hort start times are necessary for emergency situations, and are preferable in tasks where the light will only be on briefly (</w:t>
            </w:r>
            <w:r w:rsidR="00E702FA" w:rsidRPr="00CC74F1">
              <w:rPr>
                <w:szCs w:val="19"/>
              </w:rPr>
              <w:t>i.e.</w:t>
            </w:r>
            <w:r w:rsidR="00FC5328" w:rsidRPr="00CC74F1">
              <w:rPr>
                <w:szCs w:val="19"/>
              </w:rPr>
              <w:t xml:space="preserve"> </w:t>
            </w:r>
            <w:r w:rsidR="00DD79A0" w:rsidRPr="00CC74F1">
              <w:rPr>
                <w:szCs w:val="19"/>
              </w:rPr>
              <w:t xml:space="preserve">Stairways, </w:t>
            </w:r>
            <w:r w:rsidR="00FC5328" w:rsidRPr="00CC74F1">
              <w:rPr>
                <w:szCs w:val="19"/>
              </w:rPr>
              <w:t xml:space="preserve">pantry, outdoor security). </w:t>
            </w:r>
            <w:r w:rsidRPr="00CC74F1">
              <w:rPr>
                <w:szCs w:val="19"/>
              </w:rPr>
              <w:t xml:space="preserve">However this has not found to be a significant problem with LED lamps to date apart from lamps </w:t>
            </w:r>
            <w:r w:rsidR="00DD79A0" w:rsidRPr="00CC74F1">
              <w:rPr>
                <w:szCs w:val="19"/>
              </w:rPr>
              <w:t xml:space="preserve">which are </w:t>
            </w:r>
            <w:r w:rsidRPr="00CC74F1">
              <w:rPr>
                <w:szCs w:val="19"/>
              </w:rPr>
              <w:t>specifically designed to ramp up to full light output.</w:t>
            </w:r>
          </w:p>
        </w:tc>
        <w:tc>
          <w:tcPr>
            <w:tcW w:w="1560" w:type="dxa"/>
          </w:tcPr>
          <w:p w:rsidR="00FC5328" w:rsidRPr="00CC74F1" w:rsidRDefault="00FC5328" w:rsidP="00330384">
            <w:pPr>
              <w:rPr>
                <w:szCs w:val="19"/>
              </w:rPr>
            </w:pPr>
            <w:r w:rsidRPr="00CC74F1">
              <w:rPr>
                <w:szCs w:val="19"/>
              </w:rPr>
              <w:t>Energy Star</w:t>
            </w:r>
          </w:p>
        </w:tc>
        <w:tc>
          <w:tcPr>
            <w:tcW w:w="3361" w:type="dxa"/>
          </w:tcPr>
          <w:p w:rsidR="00FC5328" w:rsidRPr="00CC74F1" w:rsidRDefault="00A00DFF" w:rsidP="00330384">
            <w:pPr>
              <w:rPr>
                <w:szCs w:val="19"/>
              </w:rPr>
            </w:pPr>
            <w:r w:rsidRPr="00CC74F1">
              <w:rPr>
                <w:szCs w:val="19"/>
              </w:rPr>
              <w:t>&lt;0.5sec until continuous light output</w:t>
            </w:r>
          </w:p>
        </w:tc>
      </w:tr>
      <w:tr w:rsidR="00FC5328" w:rsidRPr="00CC74F1" w:rsidTr="004E0F37">
        <w:trPr>
          <w:tblHeader/>
        </w:trPr>
        <w:tc>
          <w:tcPr>
            <w:tcW w:w="2096" w:type="dxa"/>
          </w:tcPr>
          <w:p w:rsidR="00FC5328" w:rsidRPr="00CC74F1" w:rsidRDefault="00FC5328" w:rsidP="00330384">
            <w:pPr>
              <w:rPr>
                <w:szCs w:val="19"/>
              </w:rPr>
            </w:pPr>
            <w:r w:rsidRPr="00CC74F1">
              <w:rPr>
                <w:szCs w:val="19"/>
              </w:rPr>
              <w:lastRenderedPageBreak/>
              <w:t>Minimum lumen maintenance (time to L</w:t>
            </w:r>
            <w:r w:rsidRPr="00CC74F1">
              <w:rPr>
                <w:szCs w:val="19"/>
                <w:vertAlign w:val="subscript"/>
              </w:rPr>
              <w:t>70</w:t>
            </w:r>
            <w:r w:rsidRPr="00CC74F1">
              <w:rPr>
                <w:szCs w:val="19"/>
              </w:rPr>
              <w:t>)</w:t>
            </w:r>
          </w:p>
        </w:tc>
        <w:tc>
          <w:tcPr>
            <w:tcW w:w="3401" w:type="dxa"/>
          </w:tcPr>
          <w:p w:rsidR="00FC5328" w:rsidRPr="00CC74F1" w:rsidRDefault="00FC5328" w:rsidP="00330384">
            <w:pPr>
              <w:rPr>
                <w:szCs w:val="19"/>
              </w:rPr>
            </w:pPr>
            <w:r w:rsidRPr="00CC74F1">
              <w:rPr>
                <w:szCs w:val="19"/>
              </w:rPr>
              <w:t>Indicates the amount of time it takes for a lighting product’s total light output to degrade to 70% of initial lighting levels</w:t>
            </w:r>
          </w:p>
        </w:tc>
        <w:tc>
          <w:tcPr>
            <w:tcW w:w="3401" w:type="dxa"/>
          </w:tcPr>
          <w:p w:rsidR="00FC5328" w:rsidRPr="00CC74F1" w:rsidRDefault="00FC5328" w:rsidP="00330384">
            <w:pPr>
              <w:rPr>
                <w:szCs w:val="19"/>
              </w:rPr>
            </w:pPr>
            <w:r w:rsidRPr="00CC74F1">
              <w:rPr>
                <w:szCs w:val="19"/>
              </w:rPr>
              <w:t>Lumen maintenance helps the consumer determine the time it will take for the lighting product to degrade to the point that it is no longer usable. High lumen maintenance over time helps to justify higher initial cost of LED lighting products.</w:t>
            </w:r>
          </w:p>
        </w:tc>
        <w:tc>
          <w:tcPr>
            <w:tcW w:w="1560" w:type="dxa"/>
          </w:tcPr>
          <w:p w:rsidR="00FC5328" w:rsidRPr="00CC74F1" w:rsidRDefault="00DD79A0" w:rsidP="00330384">
            <w:pPr>
              <w:rPr>
                <w:szCs w:val="19"/>
              </w:rPr>
            </w:pPr>
            <w:r w:rsidRPr="00CC74F1">
              <w:rPr>
                <w:szCs w:val="19"/>
              </w:rPr>
              <w:t>IEC</w:t>
            </w:r>
            <w:r w:rsidR="00FC5328" w:rsidRPr="00CC74F1">
              <w:rPr>
                <w:szCs w:val="19"/>
              </w:rPr>
              <w:t xml:space="preserve"> 62612 (Self ballasted LED)</w:t>
            </w:r>
          </w:p>
          <w:p w:rsidR="00FC5328" w:rsidRPr="00CC74F1" w:rsidRDefault="00FC5328" w:rsidP="00330384">
            <w:pPr>
              <w:rPr>
                <w:szCs w:val="19"/>
              </w:rPr>
            </w:pPr>
          </w:p>
          <w:p w:rsidR="00FC5328" w:rsidRPr="00CC74F1" w:rsidRDefault="00DD79A0" w:rsidP="00330384">
            <w:pPr>
              <w:rPr>
                <w:szCs w:val="19"/>
              </w:rPr>
            </w:pPr>
            <w:r w:rsidRPr="00CC74F1">
              <w:rPr>
                <w:szCs w:val="19"/>
              </w:rPr>
              <w:t>IEC</w:t>
            </w:r>
            <w:r w:rsidR="00FC5328" w:rsidRPr="00CC74F1">
              <w:rPr>
                <w:szCs w:val="19"/>
              </w:rPr>
              <w:t xml:space="preserve"> 62717 (LED modules)</w:t>
            </w:r>
          </w:p>
        </w:tc>
        <w:tc>
          <w:tcPr>
            <w:tcW w:w="3361" w:type="dxa"/>
          </w:tcPr>
          <w:p w:rsidR="002E4735" w:rsidRPr="00CC74F1" w:rsidRDefault="002E4735" w:rsidP="002E4735">
            <w:pPr>
              <w:autoSpaceDE w:val="0"/>
              <w:autoSpaceDN w:val="0"/>
              <w:adjustRightInd w:val="0"/>
              <w:spacing w:after="0" w:line="240" w:lineRule="auto"/>
              <w:rPr>
                <w:szCs w:val="19"/>
              </w:rPr>
            </w:pPr>
            <w:r w:rsidRPr="00CC74F1">
              <w:rPr>
                <w:szCs w:val="19"/>
              </w:rPr>
              <w:t>At 15,000h, Lumen Maintenance</w:t>
            </w:r>
          </w:p>
          <w:p w:rsidR="00FC5328" w:rsidRPr="00CC74F1" w:rsidRDefault="002E4735" w:rsidP="002E4735">
            <w:pPr>
              <w:rPr>
                <w:szCs w:val="19"/>
              </w:rPr>
            </w:pPr>
            <w:r w:rsidRPr="00CC74F1">
              <w:rPr>
                <w:szCs w:val="19"/>
              </w:rPr>
              <w:t>&gt; 70% of initial</w:t>
            </w:r>
          </w:p>
        </w:tc>
      </w:tr>
      <w:tr w:rsidR="00916106" w:rsidRPr="00CC74F1" w:rsidTr="004E0F37">
        <w:trPr>
          <w:tblHeader/>
        </w:trPr>
        <w:tc>
          <w:tcPr>
            <w:tcW w:w="2096" w:type="dxa"/>
          </w:tcPr>
          <w:p w:rsidR="00916106" w:rsidRPr="00CC74F1" w:rsidRDefault="00916106" w:rsidP="00AA2FD8">
            <w:pPr>
              <w:rPr>
                <w:szCs w:val="19"/>
              </w:rPr>
            </w:pPr>
            <w:r w:rsidRPr="00CC74F1">
              <w:rPr>
                <w:szCs w:val="19"/>
              </w:rPr>
              <w:t>Flicker (flicker index)</w:t>
            </w:r>
          </w:p>
        </w:tc>
        <w:tc>
          <w:tcPr>
            <w:tcW w:w="3401" w:type="dxa"/>
          </w:tcPr>
          <w:p w:rsidR="00916106" w:rsidRPr="00CC74F1" w:rsidRDefault="00916106" w:rsidP="00AA2FD8">
            <w:pPr>
              <w:rPr>
                <w:szCs w:val="19"/>
              </w:rPr>
            </w:pPr>
            <w:r w:rsidRPr="00CC74F1">
              <w:rPr>
                <w:szCs w:val="19"/>
              </w:rPr>
              <w:t xml:space="preserve">Measures the perceived </w:t>
            </w:r>
            <w:r w:rsidR="00E702FA" w:rsidRPr="00CC74F1">
              <w:rPr>
                <w:szCs w:val="19"/>
              </w:rPr>
              <w:t>photometric flicker</w:t>
            </w:r>
            <w:r w:rsidRPr="00CC74F1">
              <w:rPr>
                <w:szCs w:val="19"/>
              </w:rPr>
              <w:t xml:space="preserve"> of a lamp. Presently defined:</w:t>
            </w:r>
          </w:p>
          <w:p w:rsidR="00916106" w:rsidRPr="00CC74F1" w:rsidRDefault="00916106" w:rsidP="00AA2FD8">
            <w:pPr>
              <w:rPr>
                <w:szCs w:val="19"/>
              </w:rPr>
            </w:pPr>
          </w:p>
          <w:p w:rsidR="00916106" w:rsidRPr="00CC74F1" w:rsidRDefault="00916106" w:rsidP="00AA2FD8">
            <w:pPr>
              <w:rPr>
                <w:rFonts w:ascii="Cambria Math"/>
                <w:szCs w:val="19"/>
                <w:oMath/>
              </w:rPr>
            </w:pPr>
            <m:oMathPara>
              <m:oMath>
                <m:r>
                  <m:rPr>
                    <m:nor/>
                  </m:rPr>
                  <w:rPr>
                    <w:szCs w:val="19"/>
                  </w:rPr>
                  <m:t>Flicker Index=</m:t>
                </m:r>
                <m:f>
                  <m:fPr>
                    <m:ctrlPr>
                      <w:rPr>
                        <w:rFonts w:ascii="Cambria Math" w:hAnsi="Cambria Math"/>
                        <w:i/>
                        <w:szCs w:val="19"/>
                      </w:rPr>
                    </m:ctrlPr>
                  </m:fPr>
                  <m:num>
                    <m:r>
                      <m:rPr>
                        <m:nor/>
                      </m:rPr>
                      <w:rPr>
                        <w:szCs w:val="19"/>
                      </w:rPr>
                      <m:t>Area 1</m:t>
                    </m:r>
                  </m:num>
                  <m:den>
                    <m:r>
                      <m:rPr>
                        <m:nor/>
                      </m:rPr>
                      <w:rPr>
                        <w:szCs w:val="19"/>
                      </w:rPr>
                      <m:t>Area 1+Area 2</m:t>
                    </m:r>
                  </m:den>
                </m:f>
              </m:oMath>
            </m:oMathPara>
          </w:p>
          <w:p w:rsidR="00916106" w:rsidRPr="00CC74F1" w:rsidRDefault="00916106" w:rsidP="00AA2FD8">
            <w:pPr>
              <w:rPr>
                <w:szCs w:val="19"/>
              </w:rPr>
            </w:pPr>
            <w:r w:rsidRPr="00CC74F1">
              <w:rPr>
                <w:noProof/>
                <w:szCs w:val="19"/>
              </w:rPr>
              <w:drawing>
                <wp:inline distT="0" distB="0" distL="0" distR="0" wp14:anchorId="61A31908" wp14:editId="490442CA">
                  <wp:extent cx="2023110" cy="1580515"/>
                  <wp:effectExtent l="0" t="0" r="0" b="635"/>
                  <wp:docPr id="408" name="Picture 1" descr="Diagram of light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cker_wave from IESNA Handbook.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023110" cy="1580515"/>
                          </a:xfrm>
                          <a:prstGeom prst="rect">
                            <a:avLst/>
                          </a:prstGeom>
                        </pic:spPr>
                      </pic:pic>
                    </a:graphicData>
                  </a:graphic>
                </wp:inline>
              </w:drawing>
            </w:r>
          </w:p>
          <w:p w:rsidR="00916106" w:rsidRPr="00CC74F1" w:rsidRDefault="00916106" w:rsidP="00AA2FD8">
            <w:pPr>
              <w:rPr>
                <w:szCs w:val="19"/>
              </w:rPr>
            </w:pPr>
          </w:p>
          <w:p w:rsidR="00916106" w:rsidRPr="00CC74F1" w:rsidRDefault="00916106" w:rsidP="00AA2FD8">
            <w:pPr>
              <w:rPr>
                <w:szCs w:val="19"/>
              </w:rPr>
            </w:pPr>
          </w:p>
        </w:tc>
        <w:tc>
          <w:tcPr>
            <w:tcW w:w="3401" w:type="dxa"/>
          </w:tcPr>
          <w:p w:rsidR="00916106" w:rsidRPr="00CC74F1" w:rsidRDefault="00916106" w:rsidP="00AA2FD8">
            <w:pPr>
              <w:rPr>
                <w:szCs w:val="19"/>
              </w:rPr>
            </w:pPr>
            <w:r w:rsidRPr="00CC74F1">
              <w:rPr>
                <w:szCs w:val="19"/>
              </w:rPr>
              <w:t>Important for consumer satisfaction and resultant acceptance of LED products.</w:t>
            </w:r>
          </w:p>
          <w:p w:rsidR="00916106" w:rsidRPr="00CC74F1" w:rsidRDefault="00916106" w:rsidP="00F1452F">
            <w:pPr>
              <w:pStyle w:val="ListParagraph"/>
              <w:numPr>
                <w:ilvl w:val="0"/>
                <w:numId w:val="38"/>
              </w:numPr>
              <w:contextualSpacing/>
              <w:rPr>
                <w:rFonts w:ascii="Georgia" w:hAnsi="Georgia"/>
                <w:sz w:val="19"/>
                <w:szCs w:val="19"/>
              </w:rPr>
            </w:pPr>
            <w:r w:rsidRPr="00CC74F1">
              <w:rPr>
                <w:rFonts w:ascii="Georgia" w:hAnsi="Georgia"/>
                <w:sz w:val="19"/>
                <w:szCs w:val="19"/>
              </w:rPr>
              <w:t>Certain human health conditions are characterised by severe reactions to light sources that flicker at certain frequencies, with effects ranging from headaches to extreme seizures.</w:t>
            </w:r>
          </w:p>
          <w:p w:rsidR="00916106" w:rsidRPr="00CC74F1" w:rsidRDefault="00916106" w:rsidP="00F1452F">
            <w:pPr>
              <w:pStyle w:val="ListParagraph"/>
              <w:numPr>
                <w:ilvl w:val="0"/>
                <w:numId w:val="38"/>
              </w:numPr>
              <w:contextualSpacing/>
              <w:rPr>
                <w:rFonts w:ascii="Georgia" w:hAnsi="Georgia"/>
                <w:sz w:val="19"/>
                <w:szCs w:val="19"/>
              </w:rPr>
            </w:pPr>
            <w:r w:rsidRPr="00CC74F1">
              <w:rPr>
                <w:rFonts w:ascii="Georgia" w:hAnsi="Georgia"/>
                <w:sz w:val="19"/>
                <w:szCs w:val="19"/>
              </w:rPr>
              <w:t>Flicker can make rapidly moving objects seem like they are stationary</w:t>
            </w:r>
          </w:p>
          <w:p w:rsidR="00916106" w:rsidRPr="00CC74F1" w:rsidRDefault="00916106" w:rsidP="00F1452F">
            <w:pPr>
              <w:pStyle w:val="ListParagraph"/>
              <w:numPr>
                <w:ilvl w:val="0"/>
                <w:numId w:val="38"/>
              </w:numPr>
              <w:contextualSpacing/>
              <w:rPr>
                <w:rFonts w:ascii="Georgia" w:hAnsi="Georgia"/>
                <w:sz w:val="19"/>
                <w:szCs w:val="19"/>
              </w:rPr>
            </w:pPr>
            <w:r w:rsidRPr="00CC74F1">
              <w:rPr>
                <w:rFonts w:ascii="Georgia" w:hAnsi="Georgia"/>
                <w:sz w:val="19"/>
                <w:szCs w:val="19"/>
              </w:rPr>
              <w:t>Can also leave residual images of bright spots in the visual field</w:t>
            </w:r>
          </w:p>
          <w:p w:rsidR="00916106" w:rsidRPr="00CC74F1" w:rsidRDefault="00916106" w:rsidP="00AA2FD8">
            <w:pPr>
              <w:rPr>
                <w:szCs w:val="19"/>
              </w:rPr>
            </w:pPr>
            <w:r w:rsidRPr="00CC74F1">
              <w:rPr>
                <w:szCs w:val="19"/>
              </w:rPr>
              <w:t>Flicker requirements minimise these stroboscopic effects.</w:t>
            </w:r>
          </w:p>
        </w:tc>
        <w:tc>
          <w:tcPr>
            <w:tcW w:w="1560" w:type="dxa"/>
          </w:tcPr>
          <w:p w:rsidR="00916106" w:rsidRPr="00CC74F1" w:rsidRDefault="00916106" w:rsidP="00AA2FD8">
            <w:pPr>
              <w:rPr>
                <w:szCs w:val="19"/>
              </w:rPr>
            </w:pPr>
            <w:r w:rsidRPr="00CC74F1">
              <w:rPr>
                <w:szCs w:val="19"/>
              </w:rPr>
              <w:t>IEEE PAR 1789</w:t>
            </w:r>
          </w:p>
        </w:tc>
        <w:tc>
          <w:tcPr>
            <w:tcW w:w="3361" w:type="dxa"/>
          </w:tcPr>
          <w:p w:rsidR="00916106" w:rsidRPr="00CC74F1" w:rsidRDefault="002E4735" w:rsidP="002E4735">
            <w:pPr>
              <w:rPr>
                <w:szCs w:val="19"/>
              </w:rPr>
            </w:pPr>
            <w:r w:rsidRPr="00CC74F1">
              <w:rPr>
                <w:szCs w:val="19"/>
              </w:rPr>
              <w:t>At full power: flicker index ≤ 0.3</w:t>
            </w:r>
          </w:p>
          <w:p w:rsidR="002E4735" w:rsidRPr="00CC74F1" w:rsidRDefault="002E4735" w:rsidP="002E4735">
            <w:pPr>
              <w:rPr>
                <w:szCs w:val="19"/>
              </w:rPr>
            </w:pPr>
          </w:p>
          <w:p w:rsidR="002E4735" w:rsidRPr="00CC74F1" w:rsidRDefault="002E4735" w:rsidP="002E4735">
            <w:pPr>
              <w:rPr>
                <w:szCs w:val="19"/>
              </w:rPr>
            </w:pPr>
            <w:r w:rsidRPr="00CC74F1">
              <w:rPr>
                <w:szCs w:val="19"/>
              </w:rPr>
              <w:t>Flicker index defined by Area 1/(Area 1+Area2); replaced by new metric under development by IEEE PAR1789 which accounts for frequency, when available</w:t>
            </w:r>
            <w:r w:rsidR="000420F9" w:rsidRPr="00CC74F1">
              <w:rPr>
                <w:szCs w:val="19"/>
              </w:rPr>
              <w:t xml:space="preserve"> (Link: http://grouper.ieee.org/groups/1789/)</w:t>
            </w:r>
          </w:p>
        </w:tc>
      </w:tr>
      <w:tr w:rsidR="00FC5328" w:rsidRPr="00CC74F1" w:rsidTr="004E0F37">
        <w:trPr>
          <w:tblHeader/>
        </w:trPr>
        <w:tc>
          <w:tcPr>
            <w:tcW w:w="2096" w:type="dxa"/>
          </w:tcPr>
          <w:p w:rsidR="00FC5328" w:rsidRPr="00CC74F1" w:rsidRDefault="00FC5328" w:rsidP="00330384">
            <w:pPr>
              <w:rPr>
                <w:szCs w:val="19"/>
              </w:rPr>
            </w:pPr>
            <w:r w:rsidRPr="00CC74F1">
              <w:rPr>
                <w:szCs w:val="19"/>
              </w:rPr>
              <w:lastRenderedPageBreak/>
              <w:t>Minimum rated lamp life (B</w:t>
            </w:r>
            <w:r w:rsidRPr="00CC74F1">
              <w:rPr>
                <w:szCs w:val="19"/>
                <w:vertAlign w:val="subscript"/>
              </w:rPr>
              <w:t>50</w:t>
            </w:r>
            <w:r w:rsidRPr="00CC74F1">
              <w:rPr>
                <w:szCs w:val="19"/>
              </w:rPr>
              <w:t>)</w:t>
            </w:r>
          </w:p>
        </w:tc>
        <w:tc>
          <w:tcPr>
            <w:tcW w:w="3401" w:type="dxa"/>
          </w:tcPr>
          <w:p w:rsidR="00FC5328" w:rsidRPr="00CC74F1" w:rsidRDefault="00FC5328" w:rsidP="00330384">
            <w:pPr>
              <w:rPr>
                <w:szCs w:val="19"/>
              </w:rPr>
            </w:pPr>
            <w:r w:rsidRPr="00CC74F1">
              <w:rPr>
                <w:szCs w:val="19"/>
              </w:rPr>
              <w:t>Typically defined as the amount of time that it takes for 50% of a statistically significant sample of lamps to fail.</w:t>
            </w:r>
          </w:p>
        </w:tc>
        <w:tc>
          <w:tcPr>
            <w:tcW w:w="3401" w:type="dxa"/>
          </w:tcPr>
          <w:p w:rsidR="00FC5328" w:rsidRPr="00CC74F1" w:rsidRDefault="00FC5328" w:rsidP="00330384">
            <w:pPr>
              <w:rPr>
                <w:szCs w:val="19"/>
              </w:rPr>
            </w:pPr>
            <w:r w:rsidRPr="00CC74F1">
              <w:rPr>
                <w:szCs w:val="19"/>
              </w:rPr>
              <w:t>It is unrealistic to physically measure very long lifetimes for LED products. Having a credible B</w:t>
            </w:r>
            <w:r w:rsidRPr="00CC74F1">
              <w:rPr>
                <w:szCs w:val="19"/>
                <w:vertAlign w:val="subscript"/>
              </w:rPr>
              <w:t>50</w:t>
            </w:r>
            <w:r w:rsidRPr="00CC74F1">
              <w:rPr>
                <w:szCs w:val="19"/>
              </w:rPr>
              <w:t xml:space="preserve"> estimation is very important, as longer LED lighting product lifetimes help to justify the high initial cost</w:t>
            </w:r>
            <w:r w:rsidR="000420F9" w:rsidRPr="00CC74F1">
              <w:rPr>
                <w:szCs w:val="19"/>
              </w:rPr>
              <w:t xml:space="preserve"> through accrued energy savings</w:t>
            </w:r>
            <w:r w:rsidRPr="00CC74F1">
              <w:rPr>
                <w:szCs w:val="19"/>
              </w:rPr>
              <w:t>. Ultimately, if SSL products are able to meet their lifetime claims, they can cut long term energy consumption, save on manufacturing waste, and save money for consumers.</w:t>
            </w:r>
          </w:p>
        </w:tc>
        <w:tc>
          <w:tcPr>
            <w:tcW w:w="1560" w:type="dxa"/>
          </w:tcPr>
          <w:p w:rsidR="00FC5328" w:rsidRPr="00CC74F1" w:rsidRDefault="00FC5328" w:rsidP="00330384">
            <w:pPr>
              <w:rPr>
                <w:szCs w:val="19"/>
              </w:rPr>
            </w:pPr>
            <w:r w:rsidRPr="00CC74F1">
              <w:rPr>
                <w:szCs w:val="19"/>
              </w:rPr>
              <w:t>Energy Star</w:t>
            </w:r>
          </w:p>
        </w:tc>
        <w:tc>
          <w:tcPr>
            <w:tcW w:w="3361" w:type="dxa"/>
          </w:tcPr>
          <w:p w:rsidR="00FC5328" w:rsidRPr="00CC74F1" w:rsidRDefault="002E4735" w:rsidP="00736E1F">
            <w:pPr>
              <w:rPr>
                <w:szCs w:val="19"/>
              </w:rPr>
            </w:pPr>
            <w:r w:rsidRPr="00CC74F1">
              <w:rPr>
                <w:noProof/>
                <w:szCs w:val="19"/>
              </w:rPr>
              <w:t>Minimum lifetime should be 50%at 15,000 hours.  Inclusion in M</w:t>
            </w:r>
            <w:r w:rsidR="00736E1F" w:rsidRPr="00CC74F1">
              <w:rPr>
                <w:noProof/>
                <w:szCs w:val="19"/>
              </w:rPr>
              <w:t>EP</w:t>
            </w:r>
            <w:r w:rsidRPr="00CC74F1">
              <w:rPr>
                <w:noProof/>
                <w:szCs w:val="19"/>
              </w:rPr>
              <w:t>S would require a practical</w:t>
            </w:r>
            <w:r w:rsidR="000420F9" w:rsidRPr="00CC74F1">
              <w:rPr>
                <w:noProof/>
                <w:szCs w:val="19"/>
              </w:rPr>
              <w:t>, and preferrably internationally agreed</w:t>
            </w:r>
            <w:r w:rsidRPr="00CC74F1">
              <w:rPr>
                <w:noProof/>
                <w:szCs w:val="19"/>
              </w:rPr>
              <w:t xml:space="preserve"> test method to be available</w:t>
            </w:r>
            <w:r w:rsidR="000420F9" w:rsidRPr="00CC74F1">
              <w:rPr>
                <w:noProof/>
                <w:szCs w:val="19"/>
              </w:rPr>
              <w:t>.</w:t>
            </w:r>
            <w:r w:rsidRPr="00CC74F1">
              <w:rPr>
                <w:noProof/>
                <w:szCs w:val="19"/>
              </w:rPr>
              <w:t xml:space="preserve"> IEA 4E SSL </w:t>
            </w:r>
            <w:r w:rsidR="000420F9" w:rsidRPr="00CC74F1">
              <w:rPr>
                <w:noProof/>
                <w:szCs w:val="19"/>
              </w:rPr>
              <w:t xml:space="preserve">currently </w:t>
            </w:r>
            <w:r w:rsidRPr="00CC74F1">
              <w:rPr>
                <w:noProof/>
                <w:szCs w:val="19"/>
              </w:rPr>
              <w:t>review</w:t>
            </w:r>
            <w:r w:rsidR="000420F9" w:rsidRPr="00CC74F1">
              <w:rPr>
                <w:noProof/>
                <w:szCs w:val="19"/>
              </w:rPr>
              <w:t>ing available methodology</w:t>
            </w:r>
            <w:r w:rsidRPr="00CC74F1">
              <w:rPr>
                <w:noProof/>
                <w:szCs w:val="19"/>
              </w:rPr>
              <w:t>.</w:t>
            </w:r>
          </w:p>
        </w:tc>
      </w:tr>
      <w:tr w:rsidR="003C4617" w:rsidRPr="00CC74F1" w:rsidTr="004E0F37">
        <w:trPr>
          <w:tblHeader/>
        </w:trPr>
        <w:tc>
          <w:tcPr>
            <w:tcW w:w="2096" w:type="dxa"/>
          </w:tcPr>
          <w:p w:rsidR="003C4617" w:rsidRPr="00CC74F1" w:rsidRDefault="003C4617" w:rsidP="00330384">
            <w:pPr>
              <w:rPr>
                <w:szCs w:val="19"/>
              </w:rPr>
            </w:pPr>
            <w:r w:rsidRPr="00CC74F1">
              <w:rPr>
                <w:szCs w:val="19"/>
              </w:rPr>
              <w:t>Maximum premature lamp failure rate</w:t>
            </w:r>
          </w:p>
        </w:tc>
        <w:tc>
          <w:tcPr>
            <w:tcW w:w="3401" w:type="dxa"/>
          </w:tcPr>
          <w:p w:rsidR="003C4617" w:rsidRPr="00CC74F1" w:rsidRDefault="00947A11" w:rsidP="00947A11">
            <w:pPr>
              <w:rPr>
                <w:szCs w:val="19"/>
              </w:rPr>
            </w:pPr>
            <w:r w:rsidRPr="00CC74F1">
              <w:rPr>
                <w:szCs w:val="19"/>
              </w:rPr>
              <w:t>Defined as the maximum percentage of a lamp sample that is allowed to have failed within a percentage of the rated life of the lamp</w:t>
            </w:r>
          </w:p>
        </w:tc>
        <w:tc>
          <w:tcPr>
            <w:tcW w:w="3401" w:type="dxa"/>
          </w:tcPr>
          <w:p w:rsidR="003C4617" w:rsidRPr="00CC74F1" w:rsidRDefault="00947A11" w:rsidP="00330384">
            <w:pPr>
              <w:rPr>
                <w:szCs w:val="19"/>
              </w:rPr>
            </w:pPr>
            <w:r w:rsidRPr="00CC74F1">
              <w:rPr>
                <w:szCs w:val="19"/>
              </w:rPr>
              <w:t>This parameter is intended to reduce the number of early lamp failures.  In the absence of a minimum lifetime test it could also serve as a substitute for lifetime in a MEPS.</w:t>
            </w:r>
          </w:p>
        </w:tc>
        <w:tc>
          <w:tcPr>
            <w:tcW w:w="1560" w:type="dxa"/>
          </w:tcPr>
          <w:p w:rsidR="003C4617" w:rsidRPr="00CC74F1" w:rsidRDefault="00947A11" w:rsidP="00330384">
            <w:pPr>
              <w:rPr>
                <w:szCs w:val="19"/>
              </w:rPr>
            </w:pPr>
            <w:r w:rsidRPr="00CC74F1">
              <w:rPr>
                <w:szCs w:val="19"/>
              </w:rPr>
              <w:t>IESNA LM84</w:t>
            </w:r>
          </w:p>
        </w:tc>
        <w:tc>
          <w:tcPr>
            <w:tcW w:w="3361" w:type="dxa"/>
          </w:tcPr>
          <w:p w:rsidR="003C4617" w:rsidRPr="00CC74F1" w:rsidRDefault="00947A11" w:rsidP="00330384">
            <w:pPr>
              <w:rPr>
                <w:szCs w:val="19"/>
              </w:rPr>
            </w:pPr>
            <w:r w:rsidRPr="00CC74F1">
              <w:rPr>
                <w:szCs w:val="19"/>
              </w:rPr>
              <w:t>10% at 30% of rated life.</w:t>
            </w:r>
          </w:p>
          <w:p w:rsidR="006C0AAD" w:rsidRPr="00CC74F1" w:rsidRDefault="006C0AAD" w:rsidP="00330384">
            <w:pPr>
              <w:rPr>
                <w:szCs w:val="19"/>
              </w:rPr>
            </w:pPr>
            <w:r w:rsidRPr="00CC74F1">
              <w:rPr>
                <w:szCs w:val="19"/>
              </w:rPr>
              <w:t>Or</w:t>
            </w:r>
          </w:p>
          <w:p w:rsidR="006C0AAD" w:rsidRPr="00CC74F1" w:rsidRDefault="006C0AAD" w:rsidP="00330384">
            <w:pPr>
              <w:rPr>
                <w:szCs w:val="19"/>
              </w:rPr>
            </w:pPr>
            <w:r w:rsidRPr="00CC74F1">
              <w:rPr>
                <w:szCs w:val="19"/>
                <w:lang w:val="en-GB"/>
              </w:rPr>
              <w:t>≤ 5% early failures at 6000 hours</w:t>
            </w:r>
          </w:p>
        </w:tc>
      </w:tr>
      <w:tr w:rsidR="00FC5328" w:rsidRPr="00CC74F1" w:rsidTr="004E0F37">
        <w:trPr>
          <w:tblHeader/>
        </w:trPr>
        <w:tc>
          <w:tcPr>
            <w:tcW w:w="2096" w:type="dxa"/>
          </w:tcPr>
          <w:p w:rsidR="00FC5328" w:rsidRPr="00CC74F1" w:rsidRDefault="00FC5328" w:rsidP="00330384">
            <w:pPr>
              <w:rPr>
                <w:szCs w:val="19"/>
              </w:rPr>
            </w:pPr>
            <w:r w:rsidRPr="00CC74F1">
              <w:rPr>
                <w:szCs w:val="19"/>
              </w:rPr>
              <w:t>Endurance test</w:t>
            </w:r>
          </w:p>
        </w:tc>
        <w:tc>
          <w:tcPr>
            <w:tcW w:w="3401" w:type="dxa"/>
          </w:tcPr>
          <w:p w:rsidR="00FC5328" w:rsidRPr="00CC74F1" w:rsidRDefault="00DF5F2C" w:rsidP="00330384">
            <w:pPr>
              <w:rPr>
                <w:szCs w:val="19"/>
              </w:rPr>
            </w:pPr>
            <w:r w:rsidRPr="00CC74F1">
              <w:rPr>
                <w:szCs w:val="19"/>
              </w:rPr>
              <w:t>Includes supply switching test, temperature cycling test and accelerated operation test:</w:t>
            </w:r>
          </w:p>
          <w:p w:rsidR="00FC5328" w:rsidRPr="00CC74F1" w:rsidRDefault="00FC5328" w:rsidP="00330384">
            <w:pPr>
              <w:rPr>
                <w:szCs w:val="19"/>
              </w:rPr>
            </w:pPr>
            <w:r w:rsidRPr="00CC74F1">
              <w:rPr>
                <w:szCs w:val="19"/>
              </w:rPr>
              <w:t>Ability of LED product to be rapidly switched on and off, to simulate how the product will be used over its lifetime</w:t>
            </w:r>
          </w:p>
        </w:tc>
        <w:tc>
          <w:tcPr>
            <w:tcW w:w="3401" w:type="dxa"/>
          </w:tcPr>
          <w:p w:rsidR="00DF5F2C" w:rsidRPr="00CC74F1" w:rsidRDefault="00DF5F2C" w:rsidP="00DF5F2C">
            <w:pPr>
              <w:rPr>
                <w:szCs w:val="19"/>
              </w:rPr>
            </w:pPr>
            <w:r w:rsidRPr="00CC74F1">
              <w:rPr>
                <w:szCs w:val="19"/>
              </w:rPr>
              <w:t xml:space="preserve">The </w:t>
            </w:r>
            <w:r w:rsidR="00E702FA" w:rsidRPr="00CC74F1">
              <w:rPr>
                <w:szCs w:val="19"/>
              </w:rPr>
              <w:t>purposes of the tests are</w:t>
            </w:r>
            <w:r w:rsidRPr="00CC74F1">
              <w:rPr>
                <w:szCs w:val="19"/>
              </w:rPr>
              <w:t xml:space="preserve"> to check for catastrophic failures, the endurance of the built-in electronic components and the mechanical strength of the assembly.</w:t>
            </w:r>
          </w:p>
          <w:p w:rsidR="00FC5328" w:rsidRPr="00CC74F1" w:rsidRDefault="00FC5328" w:rsidP="00DF5F2C">
            <w:pPr>
              <w:rPr>
                <w:szCs w:val="19"/>
              </w:rPr>
            </w:pPr>
            <w:r w:rsidRPr="00CC74F1">
              <w:rPr>
                <w:szCs w:val="19"/>
              </w:rPr>
              <w:t xml:space="preserve">The </w:t>
            </w:r>
            <w:r w:rsidR="00DF5F2C" w:rsidRPr="00CC74F1">
              <w:rPr>
                <w:szCs w:val="19"/>
              </w:rPr>
              <w:t>endurance</w:t>
            </w:r>
            <w:r w:rsidRPr="00CC74F1">
              <w:rPr>
                <w:szCs w:val="19"/>
              </w:rPr>
              <w:t xml:space="preserve"> test</w:t>
            </w:r>
            <w:r w:rsidR="00DF5F2C" w:rsidRPr="00CC74F1">
              <w:rPr>
                <w:szCs w:val="19"/>
              </w:rPr>
              <w:t>s</w:t>
            </w:r>
            <w:r w:rsidRPr="00CC74F1">
              <w:rPr>
                <w:szCs w:val="19"/>
              </w:rPr>
              <w:t xml:space="preserve"> can help verify tha</w:t>
            </w:r>
            <w:r w:rsidR="00DF5F2C" w:rsidRPr="00CC74F1">
              <w:rPr>
                <w:szCs w:val="19"/>
              </w:rPr>
              <w:t>t an LED product will not fail</w:t>
            </w:r>
            <w:r w:rsidRPr="00CC74F1">
              <w:rPr>
                <w:szCs w:val="19"/>
              </w:rPr>
              <w:t xml:space="preserve"> when installed and used.</w:t>
            </w:r>
          </w:p>
        </w:tc>
        <w:tc>
          <w:tcPr>
            <w:tcW w:w="1560" w:type="dxa"/>
          </w:tcPr>
          <w:p w:rsidR="00FC5328" w:rsidRPr="00CC74F1" w:rsidRDefault="00FC5328" w:rsidP="00330384">
            <w:pPr>
              <w:rPr>
                <w:szCs w:val="19"/>
              </w:rPr>
            </w:pPr>
            <w:r w:rsidRPr="00CC74F1">
              <w:rPr>
                <w:szCs w:val="19"/>
              </w:rPr>
              <w:t>IEC 62612</w:t>
            </w:r>
          </w:p>
          <w:p w:rsidR="00FC5328" w:rsidRPr="00CC74F1" w:rsidRDefault="00FC5328" w:rsidP="00330384">
            <w:pPr>
              <w:rPr>
                <w:szCs w:val="19"/>
              </w:rPr>
            </w:pPr>
          </w:p>
          <w:p w:rsidR="00FC5328" w:rsidRPr="00CC74F1" w:rsidRDefault="00FC5328" w:rsidP="00330384">
            <w:pPr>
              <w:rPr>
                <w:szCs w:val="19"/>
              </w:rPr>
            </w:pPr>
            <w:r w:rsidRPr="00CC74F1">
              <w:rPr>
                <w:szCs w:val="19"/>
              </w:rPr>
              <w:t>Energy Star</w:t>
            </w:r>
          </w:p>
        </w:tc>
        <w:tc>
          <w:tcPr>
            <w:tcW w:w="3361" w:type="dxa"/>
          </w:tcPr>
          <w:p w:rsidR="00FC5328" w:rsidRPr="00CC74F1" w:rsidRDefault="00DF5F2C" w:rsidP="00DF5F2C">
            <w:pPr>
              <w:rPr>
                <w:szCs w:val="19"/>
              </w:rPr>
            </w:pPr>
            <w:r w:rsidRPr="00CC74F1">
              <w:rPr>
                <w:szCs w:val="19"/>
              </w:rPr>
              <w:t xml:space="preserve">Refer to </w:t>
            </w:r>
            <w:r w:rsidR="002E4735" w:rsidRPr="00CC74F1">
              <w:rPr>
                <w:szCs w:val="19"/>
              </w:rPr>
              <w:t xml:space="preserve">section </w:t>
            </w:r>
            <w:r w:rsidRPr="00CC74F1">
              <w:rPr>
                <w:szCs w:val="19"/>
              </w:rPr>
              <w:t>11.3</w:t>
            </w:r>
            <w:r w:rsidR="002E4735" w:rsidRPr="00CC74F1">
              <w:rPr>
                <w:szCs w:val="19"/>
              </w:rPr>
              <w:t xml:space="preserve"> of IEC 62612 </w:t>
            </w:r>
          </w:p>
        </w:tc>
      </w:tr>
      <w:tr w:rsidR="00FC5328" w:rsidRPr="00CC74F1" w:rsidTr="004E0F37">
        <w:trPr>
          <w:tblHeader/>
        </w:trPr>
        <w:tc>
          <w:tcPr>
            <w:tcW w:w="2096" w:type="dxa"/>
          </w:tcPr>
          <w:p w:rsidR="00FC5328" w:rsidRPr="00CC74F1" w:rsidRDefault="00FC5328" w:rsidP="00330384">
            <w:pPr>
              <w:rPr>
                <w:szCs w:val="19"/>
              </w:rPr>
            </w:pPr>
            <w:r w:rsidRPr="00CC74F1">
              <w:rPr>
                <w:szCs w:val="19"/>
              </w:rPr>
              <w:t>Warranty duration</w:t>
            </w:r>
          </w:p>
        </w:tc>
        <w:tc>
          <w:tcPr>
            <w:tcW w:w="3401" w:type="dxa"/>
          </w:tcPr>
          <w:p w:rsidR="00FC5328" w:rsidRPr="00CC74F1" w:rsidRDefault="00FC5328" w:rsidP="00330384">
            <w:pPr>
              <w:rPr>
                <w:szCs w:val="19"/>
              </w:rPr>
            </w:pPr>
            <w:r w:rsidRPr="00CC74F1">
              <w:rPr>
                <w:szCs w:val="19"/>
              </w:rPr>
              <w:t>The duration in years from date of manufacture that the product has warranty cover for manufacturing faults</w:t>
            </w:r>
          </w:p>
        </w:tc>
        <w:tc>
          <w:tcPr>
            <w:tcW w:w="3401" w:type="dxa"/>
          </w:tcPr>
          <w:p w:rsidR="00FC5328" w:rsidRPr="00CC74F1" w:rsidRDefault="00FC5328" w:rsidP="00330384">
            <w:pPr>
              <w:rPr>
                <w:szCs w:val="19"/>
              </w:rPr>
            </w:pPr>
            <w:r w:rsidRPr="00CC74F1">
              <w:rPr>
                <w:szCs w:val="19"/>
              </w:rPr>
              <w:t>Important for consumers to have a guarantee of minimum amount of time that LED products will perform as claimed (justification of price).</w:t>
            </w:r>
          </w:p>
        </w:tc>
        <w:tc>
          <w:tcPr>
            <w:tcW w:w="1560" w:type="dxa"/>
          </w:tcPr>
          <w:p w:rsidR="00FC5328" w:rsidRPr="00CC74F1" w:rsidRDefault="00FC5328" w:rsidP="00330384">
            <w:pPr>
              <w:rPr>
                <w:szCs w:val="19"/>
              </w:rPr>
            </w:pPr>
            <w:r w:rsidRPr="00CC74F1">
              <w:rPr>
                <w:szCs w:val="19"/>
              </w:rPr>
              <w:t xml:space="preserve">SEAD: </w:t>
            </w:r>
          </w:p>
          <w:p w:rsidR="00FC5328" w:rsidRPr="00CC74F1" w:rsidRDefault="00FC5328" w:rsidP="00330384">
            <w:pPr>
              <w:rPr>
                <w:szCs w:val="19"/>
              </w:rPr>
            </w:pPr>
          </w:p>
        </w:tc>
        <w:tc>
          <w:tcPr>
            <w:tcW w:w="3361" w:type="dxa"/>
          </w:tcPr>
          <w:p w:rsidR="00CE4AE6" w:rsidRPr="00CC74F1" w:rsidRDefault="00CE4AE6" w:rsidP="00CE4AE6">
            <w:pPr>
              <w:rPr>
                <w:szCs w:val="19"/>
              </w:rPr>
            </w:pPr>
            <w:r w:rsidRPr="00CC74F1">
              <w:rPr>
                <w:szCs w:val="19"/>
              </w:rPr>
              <w:t>With rated life &lt;15,000 hrs, min warranty 2 years</w:t>
            </w:r>
          </w:p>
          <w:p w:rsidR="00FC5328" w:rsidRDefault="00CE4AE6" w:rsidP="00CE4AE6">
            <w:pPr>
              <w:rPr>
                <w:szCs w:val="19"/>
              </w:rPr>
            </w:pPr>
            <w:r w:rsidRPr="00CC74F1">
              <w:rPr>
                <w:szCs w:val="19"/>
              </w:rPr>
              <w:t>Life ≥ 15,000 hrs, min warranty 3 years</w:t>
            </w:r>
          </w:p>
          <w:p w:rsidR="003A0EE1" w:rsidRPr="00CC74F1" w:rsidRDefault="003A0EE1" w:rsidP="00CE4AE6">
            <w:pPr>
              <w:rPr>
                <w:szCs w:val="19"/>
              </w:rPr>
            </w:pPr>
            <w:r>
              <w:rPr>
                <w:szCs w:val="19"/>
              </w:rPr>
              <w:t>(this option subject to confirmation of legislative feasibility).</w:t>
            </w:r>
          </w:p>
        </w:tc>
      </w:tr>
      <w:tr w:rsidR="00FC5328" w:rsidRPr="00CC74F1" w:rsidTr="004E0F37">
        <w:trPr>
          <w:tblHeader/>
        </w:trPr>
        <w:tc>
          <w:tcPr>
            <w:tcW w:w="2096" w:type="dxa"/>
          </w:tcPr>
          <w:p w:rsidR="00FC5328" w:rsidRPr="00CC74F1" w:rsidRDefault="00FC5328" w:rsidP="00330384">
            <w:pPr>
              <w:rPr>
                <w:szCs w:val="19"/>
              </w:rPr>
            </w:pPr>
            <w:r w:rsidRPr="00CC74F1">
              <w:rPr>
                <w:szCs w:val="19"/>
              </w:rPr>
              <w:lastRenderedPageBreak/>
              <w:t>Safety requirements</w:t>
            </w:r>
          </w:p>
        </w:tc>
        <w:tc>
          <w:tcPr>
            <w:tcW w:w="3401" w:type="dxa"/>
          </w:tcPr>
          <w:p w:rsidR="00FC5328" w:rsidRPr="00CC74F1" w:rsidRDefault="00FC5328" w:rsidP="00330384">
            <w:pPr>
              <w:rPr>
                <w:szCs w:val="19"/>
              </w:rPr>
            </w:pPr>
            <w:r w:rsidRPr="00CC74F1">
              <w:rPr>
                <w:szCs w:val="19"/>
              </w:rPr>
              <w:t xml:space="preserve">Specifies that a product meets electrical safety and marking requirements in an economy. </w:t>
            </w:r>
          </w:p>
        </w:tc>
        <w:tc>
          <w:tcPr>
            <w:tcW w:w="3401" w:type="dxa"/>
          </w:tcPr>
          <w:p w:rsidR="00FC5328" w:rsidRPr="00CC74F1" w:rsidRDefault="00FC5328" w:rsidP="00330384">
            <w:pPr>
              <w:rPr>
                <w:szCs w:val="19"/>
              </w:rPr>
            </w:pPr>
            <w:r w:rsidRPr="00CC74F1">
              <w:rPr>
                <w:szCs w:val="19"/>
              </w:rPr>
              <w:t xml:space="preserve">All products must meet all safety regulations of the region in which it is sold and used. </w:t>
            </w:r>
          </w:p>
          <w:p w:rsidR="00FC5328" w:rsidRPr="00CC74F1" w:rsidRDefault="00FC5328" w:rsidP="00330384">
            <w:pPr>
              <w:rPr>
                <w:szCs w:val="19"/>
              </w:rPr>
            </w:pPr>
            <w:r w:rsidRPr="00CC74F1">
              <w:rPr>
                <w:szCs w:val="19"/>
              </w:rPr>
              <w:t xml:space="preserve">This is covered under Australian </w:t>
            </w:r>
            <w:r w:rsidR="00CE4AE6" w:rsidRPr="00CC74F1">
              <w:rPr>
                <w:szCs w:val="19"/>
              </w:rPr>
              <w:t xml:space="preserve">/ New Zealand </w:t>
            </w:r>
            <w:r w:rsidRPr="00CC74F1">
              <w:rPr>
                <w:szCs w:val="19"/>
              </w:rPr>
              <w:t>electrical safety standards.</w:t>
            </w:r>
          </w:p>
        </w:tc>
        <w:tc>
          <w:tcPr>
            <w:tcW w:w="1560" w:type="dxa"/>
          </w:tcPr>
          <w:p w:rsidR="00FC5328" w:rsidRPr="00CC74F1" w:rsidRDefault="00FC5328" w:rsidP="00330384">
            <w:pPr>
              <w:rPr>
                <w:szCs w:val="19"/>
              </w:rPr>
            </w:pPr>
            <w:r w:rsidRPr="00CC74F1">
              <w:rPr>
                <w:szCs w:val="19"/>
              </w:rPr>
              <w:t>IEC 61000.3</w:t>
            </w:r>
          </w:p>
        </w:tc>
        <w:tc>
          <w:tcPr>
            <w:tcW w:w="3361" w:type="dxa"/>
          </w:tcPr>
          <w:p w:rsidR="00FC5328" w:rsidRPr="00CC74F1" w:rsidRDefault="00FC5328" w:rsidP="00330384">
            <w:pPr>
              <w:rPr>
                <w:szCs w:val="19"/>
              </w:rPr>
            </w:pPr>
            <w:r w:rsidRPr="00CC74F1">
              <w:rPr>
                <w:szCs w:val="19"/>
              </w:rPr>
              <w:t>n/a</w:t>
            </w:r>
            <w:r w:rsidR="00CE4AE6" w:rsidRPr="00CC74F1">
              <w:rPr>
                <w:szCs w:val="19"/>
              </w:rPr>
              <w:t xml:space="preserve"> – safety standards and regulation</w:t>
            </w:r>
          </w:p>
        </w:tc>
      </w:tr>
      <w:tr w:rsidR="00FC5328" w:rsidRPr="00CC74F1" w:rsidTr="004E0F37">
        <w:trPr>
          <w:tblHeader/>
        </w:trPr>
        <w:tc>
          <w:tcPr>
            <w:tcW w:w="2096" w:type="dxa"/>
          </w:tcPr>
          <w:p w:rsidR="00FC5328" w:rsidRPr="00CC74F1" w:rsidRDefault="00FC5328" w:rsidP="00330384">
            <w:pPr>
              <w:rPr>
                <w:szCs w:val="19"/>
              </w:rPr>
            </w:pPr>
            <w:r w:rsidRPr="00CC74F1">
              <w:rPr>
                <w:szCs w:val="19"/>
              </w:rPr>
              <w:t>Safety marking</w:t>
            </w:r>
          </w:p>
        </w:tc>
        <w:tc>
          <w:tcPr>
            <w:tcW w:w="3401" w:type="dxa"/>
          </w:tcPr>
          <w:p w:rsidR="00FC5328" w:rsidRPr="00CC74F1" w:rsidRDefault="00FC5328" w:rsidP="00330384">
            <w:pPr>
              <w:rPr>
                <w:szCs w:val="19"/>
              </w:rPr>
            </w:pPr>
            <w:r w:rsidRPr="00CC74F1">
              <w:rPr>
                <w:szCs w:val="19"/>
              </w:rPr>
              <w:t>Specifies that a product meets electrical safety requirements and marking requirements</w:t>
            </w:r>
          </w:p>
        </w:tc>
        <w:tc>
          <w:tcPr>
            <w:tcW w:w="3401" w:type="dxa"/>
          </w:tcPr>
          <w:p w:rsidR="00FC5328" w:rsidRPr="00CC74F1" w:rsidRDefault="00FC5328" w:rsidP="00330384">
            <w:pPr>
              <w:rPr>
                <w:szCs w:val="19"/>
              </w:rPr>
            </w:pPr>
            <w:r w:rsidRPr="00CC74F1">
              <w:rPr>
                <w:szCs w:val="19"/>
              </w:rPr>
              <w:t>Provides assurance that the product meets all safety regulations of the region.</w:t>
            </w:r>
          </w:p>
        </w:tc>
        <w:tc>
          <w:tcPr>
            <w:tcW w:w="1560" w:type="dxa"/>
          </w:tcPr>
          <w:p w:rsidR="00FC5328" w:rsidRPr="00CC74F1" w:rsidRDefault="00FC5328" w:rsidP="00330384">
            <w:pPr>
              <w:rPr>
                <w:szCs w:val="19"/>
              </w:rPr>
            </w:pPr>
            <w:r w:rsidRPr="00CC74F1">
              <w:rPr>
                <w:szCs w:val="19"/>
              </w:rPr>
              <w:t>ANSI/UL 1598</w:t>
            </w:r>
          </w:p>
          <w:p w:rsidR="00FC5328" w:rsidRPr="00CC74F1" w:rsidRDefault="00FC5328" w:rsidP="00330384">
            <w:pPr>
              <w:rPr>
                <w:szCs w:val="19"/>
              </w:rPr>
            </w:pPr>
            <w:r w:rsidRPr="00CC74F1">
              <w:rPr>
                <w:szCs w:val="19"/>
              </w:rPr>
              <w:t>CE mark</w:t>
            </w:r>
          </w:p>
          <w:p w:rsidR="00FC5328" w:rsidRPr="00CC74F1" w:rsidRDefault="00FC5328" w:rsidP="00330384">
            <w:pPr>
              <w:rPr>
                <w:szCs w:val="19"/>
              </w:rPr>
            </w:pPr>
          </w:p>
        </w:tc>
        <w:tc>
          <w:tcPr>
            <w:tcW w:w="3361" w:type="dxa"/>
          </w:tcPr>
          <w:p w:rsidR="00FC5328" w:rsidRPr="00CC74F1" w:rsidRDefault="00FC5328" w:rsidP="00330384">
            <w:pPr>
              <w:rPr>
                <w:szCs w:val="19"/>
              </w:rPr>
            </w:pPr>
            <w:r w:rsidRPr="00CC74F1">
              <w:rPr>
                <w:szCs w:val="19"/>
              </w:rPr>
              <w:t>n/a</w:t>
            </w:r>
            <w:r w:rsidR="00CE4AE6" w:rsidRPr="00CC74F1">
              <w:rPr>
                <w:szCs w:val="19"/>
              </w:rPr>
              <w:t xml:space="preserve"> – safety standards and regulation</w:t>
            </w:r>
          </w:p>
        </w:tc>
      </w:tr>
      <w:tr w:rsidR="00FC5328" w:rsidRPr="00CC74F1" w:rsidTr="004E0F37">
        <w:trPr>
          <w:tblHeader/>
        </w:trPr>
        <w:tc>
          <w:tcPr>
            <w:tcW w:w="2096" w:type="dxa"/>
          </w:tcPr>
          <w:p w:rsidR="00FC5328" w:rsidRPr="00CC74F1" w:rsidRDefault="00FC5328" w:rsidP="00330384">
            <w:pPr>
              <w:rPr>
                <w:szCs w:val="19"/>
              </w:rPr>
            </w:pPr>
            <w:r w:rsidRPr="00CC74F1">
              <w:rPr>
                <w:szCs w:val="19"/>
              </w:rPr>
              <w:t xml:space="preserve">Photobiological hazard class </w:t>
            </w:r>
          </w:p>
          <w:p w:rsidR="00FC5328" w:rsidRPr="00CC74F1" w:rsidRDefault="00FC5328" w:rsidP="00330384">
            <w:pPr>
              <w:rPr>
                <w:szCs w:val="19"/>
              </w:rPr>
            </w:pPr>
            <w:r w:rsidRPr="00CC74F1">
              <w:rPr>
                <w:szCs w:val="19"/>
              </w:rPr>
              <w:t>(UV &amp; blue light)</w:t>
            </w:r>
          </w:p>
        </w:tc>
        <w:tc>
          <w:tcPr>
            <w:tcW w:w="3401" w:type="dxa"/>
          </w:tcPr>
          <w:p w:rsidR="00FC5328" w:rsidRPr="00CC74F1" w:rsidRDefault="00FC5328" w:rsidP="00330384">
            <w:pPr>
              <w:rPr>
                <w:szCs w:val="19"/>
              </w:rPr>
            </w:pPr>
            <w:r w:rsidRPr="00CC74F1">
              <w:rPr>
                <w:szCs w:val="19"/>
              </w:rPr>
              <w:t>Ultraviolet (UV) and blue light hazard (BLH) classes as defined in AS/NZS 62471 specify the allowable amount of optical radiation emitted by an LED product in range of 100-400 nm 400-500 nm spectrums, respectively.</w:t>
            </w:r>
          </w:p>
        </w:tc>
        <w:tc>
          <w:tcPr>
            <w:tcW w:w="3401" w:type="dxa"/>
          </w:tcPr>
          <w:p w:rsidR="00FC5328" w:rsidRPr="00CC74F1" w:rsidRDefault="00FC5328" w:rsidP="00330384">
            <w:pPr>
              <w:rPr>
                <w:szCs w:val="19"/>
              </w:rPr>
            </w:pPr>
            <w:r w:rsidRPr="00CC74F1">
              <w:rPr>
                <w:szCs w:val="19"/>
              </w:rPr>
              <w:t>Important for consumer safety; UV</w:t>
            </w:r>
            <w:r w:rsidR="00CE4AE6" w:rsidRPr="00CC74F1">
              <w:rPr>
                <w:szCs w:val="19"/>
              </w:rPr>
              <w:t xml:space="preserve"> and blue</w:t>
            </w:r>
            <w:r w:rsidRPr="00CC74F1">
              <w:rPr>
                <w:szCs w:val="19"/>
              </w:rPr>
              <w:t xml:space="preserve"> light can cause damage to eyesight. Some human health conditions result in high sensitivity to </w:t>
            </w:r>
            <w:r w:rsidR="00CE4AE6" w:rsidRPr="00CC74F1">
              <w:rPr>
                <w:szCs w:val="19"/>
              </w:rPr>
              <w:t>UV</w:t>
            </w:r>
            <w:r w:rsidRPr="00CC74F1">
              <w:rPr>
                <w:szCs w:val="19"/>
              </w:rPr>
              <w:t xml:space="preserve"> wavelengths.</w:t>
            </w:r>
          </w:p>
          <w:p w:rsidR="00FC5328" w:rsidRPr="00CC74F1" w:rsidRDefault="00FC5328" w:rsidP="00330384">
            <w:pPr>
              <w:rPr>
                <w:szCs w:val="19"/>
              </w:rPr>
            </w:pPr>
            <w:r w:rsidRPr="00CC74F1">
              <w:rPr>
                <w:szCs w:val="19"/>
              </w:rPr>
              <w:t>Products must be evaluated to determine their appropriate photobiological hazard class.</w:t>
            </w:r>
          </w:p>
        </w:tc>
        <w:tc>
          <w:tcPr>
            <w:tcW w:w="1560" w:type="dxa"/>
          </w:tcPr>
          <w:p w:rsidR="00FC5328" w:rsidRPr="00CC74F1" w:rsidRDefault="00FC5328" w:rsidP="00330384">
            <w:pPr>
              <w:rPr>
                <w:szCs w:val="19"/>
              </w:rPr>
            </w:pPr>
            <w:r w:rsidRPr="00CC74F1">
              <w:rPr>
                <w:szCs w:val="19"/>
              </w:rPr>
              <w:t>IEC 62471</w:t>
            </w:r>
            <w:r w:rsidR="00DF5F2C" w:rsidRPr="00CC74F1">
              <w:rPr>
                <w:szCs w:val="19"/>
              </w:rPr>
              <w:t xml:space="preserve"> / CIE S009</w:t>
            </w:r>
          </w:p>
        </w:tc>
        <w:tc>
          <w:tcPr>
            <w:tcW w:w="3361" w:type="dxa"/>
          </w:tcPr>
          <w:p w:rsidR="00FC5328" w:rsidRPr="00CC74F1" w:rsidRDefault="00CE4AE6" w:rsidP="00330384">
            <w:pPr>
              <w:rPr>
                <w:szCs w:val="19"/>
              </w:rPr>
            </w:pPr>
            <w:r w:rsidRPr="00CC74F1">
              <w:rPr>
                <w:szCs w:val="19"/>
              </w:rPr>
              <w:t xml:space="preserve">RG0 or RG1 </w:t>
            </w:r>
            <w:r w:rsidR="00736E1F" w:rsidRPr="00CC74F1">
              <w:rPr>
                <w:szCs w:val="19"/>
              </w:rPr>
              <w:t>unlimited (IEC TR 62778:2015)</w:t>
            </w:r>
          </w:p>
        </w:tc>
      </w:tr>
      <w:tr w:rsidR="00FC5328" w:rsidRPr="00CC74F1" w:rsidTr="004E0F37">
        <w:trPr>
          <w:tblHeader/>
        </w:trPr>
        <w:tc>
          <w:tcPr>
            <w:tcW w:w="2096" w:type="dxa"/>
          </w:tcPr>
          <w:p w:rsidR="00FC5328" w:rsidRPr="00CC74F1" w:rsidRDefault="00FC5328" w:rsidP="00330384">
            <w:pPr>
              <w:rPr>
                <w:szCs w:val="19"/>
              </w:rPr>
            </w:pPr>
            <w:r w:rsidRPr="00CC74F1">
              <w:rPr>
                <w:szCs w:val="19"/>
              </w:rPr>
              <w:t>Minimum power factor</w:t>
            </w:r>
          </w:p>
        </w:tc>
        <w:tc>
          <w:tcPr>
            <w:tcW w:w="3401" w:type="dxa"/>
          </w:tcPr>
          <w:p w:rsidR="00FC5328" w:rsidRPr="00CC74F1" w:rsidRDefault="00FC5328" w:rsidP="00330384">
            <w:pPr>
              <w:rPr>
                <w:szCs w:val="19"/>
              </w:rPr>
            </w:pPr>
            <w:r w:rsidRPr="00CC74F1">
              <w:rPr>
                <w:szCs w:val="19"/>
              </w:rPr>
              <w:t>The ratio of real power flowing to the load to the apparent power in the circuit</w:t>
            </w:r>
          </w:p>
        </w:tc>
        <w:tc>
          <w:tcPr>
            <w:tcW w:w="3401" w:type="dxa"/>
          </w:tcPr>
          <w:p w:rsidR="00FC5328" w:rsidRPr="00CC74F1" w:rsidRDefault="00FC5328" w:rsidP="00330384">
            <w:pPr>
              <w:rPr>
                <w:szCs w:val="19"/>
              </w:rPr>
            </w:pPr>
            <w:r w:rsidRPr="00CC74F1">
              <w:rPr>
                <w:szCs w:val="19"/>
              </w:rPr>
              <w:t>Of high importance to the electricity distributors as they must generate more than the minimum volt-amperes necessary to supply the real power, which increases generation and transmission costs.</w:t>
            </w:r>
          </w:p>
        </w:tc>
        <w:tc>
          <w:tcPr>
            <w:tcW w:w="1560" w:type="dxa"/>
          </w:tcPr>
          <w:p w:rsidR="00FC5328" w:rsidRPr="00CC74F1" w:rsidRDefault="00FC5328" w:rsidP="00330384">
            <w:pPr>
              <w:rPr>
                <w:szCs w:val="19"/>
              </w:rPr>
            </w:pPr>
            <w:r w:rsidRPr="00CC74F1">
              <w:rPr>
                <w:szCs w:val="19"/>
              </w:rPr>
              <w:t>AS/NZS 61000.3</w:t>
            </w:r>
          </w:p>
        </w:tc>
        <w:tc>
          <w:tcPr>
            <w:tcW w:w="3361" w:type="dxa"/>
          </w:tcPr>
          <w:p w:rsidR="003C4617" w:rsidRPr="00CC74F1" w:rsidRDefault="003C4617" w:rsidP="00330384">
            <w:pPr>
              <w:rPr>
                <w:szCs w:val="19"/>
              </w:rPr>
            </w:pPr>
            <w:r w:rsidRPr="00CC74F1">
              <w:rPr>
                <w:szCs w:val="19"/>
              </w:rPr>
              <w:t xml:space="preserve">Low voltage lamps exempt. </w:t>
            </w:r>
          </w:p>
          <w:p w:rsidR="003C4617" w:rsidRPr="00CC74F1" w:rsidRDefault="003C4617" w:rsidP="00330384">
            <w:pPr>
              <w:rPr>
                <w:szCs w:val="19"/>
              </w:rPr>
            </w:pPr>
            <w:r w:rsidRPr="00CC74F1">
              <w:rPr>
                <w:szCs w:val="19"/>
              </w:rPr>
              <w:t xml:space="preserve">≤5W: no requirement; </w:t>
            </w:r>
          </w:p>
          <w:p w:rsidR="003C4617" w:rsidRPr="00CC74F1" w:rsidRDefault="003C4617" w:rsidP="00330384">
            <w:pPr>
              <w:rPr>
                <w:szCs w:val="19"/>
              </w:rPr>
            </w:pPr>
            <w:r w:rsidRPr="00CC74F1">
              <w:rPr>
                <w:szCs w:val="19"/>
              </w:rPr>
              <w:t>&gt;5W, PF &gt;0.5</w:t>
            </w:r>
            <w:r w:rsidR="00DF5F2C" w:rsidRPr="00CC74F1">
              <w:rPr>
                <w:szCs w:val="19"/>
              </w:rPr>
              <w:t>5</w:t>
            </w:r>
          </w:p>
          <w:p w:rsidR="00DF5F2C" w:rsidRPr="00CC74F1" w:rsidRDefault="00DF5F2C" w:rsidP="00330384">
            <w:pPr>
              <w:rPr>
                <w:szCs w:val="19"/>
              </w:rPr>
            </w:pPr>
            <w:r w:rsidRPr="00CC74F1">
              <w:rPr>
                <w:szCs w:val="19"/>
              </w:rPr>
              <w:t>High power factor claim: 0.9</w:t>
            </w:r>
          </w:p>
        </w:tc>
      </w:tr>
      <w:tr w:rsidR="00FC5328" w:rsidRPr="00CC74F1" w:rsidTr="004E0F37">
        <w:trPr>
          <w:tblHeader/>
        </w:trPr>
        <w:tc>
          <w:tcPr>
            <w:tcW w:w="2096" w:type="dxa"/>
          </w:tcPr>
          <w:p w:rsidR="00FC5328" w:rsidRPr="00CC74F1" w:rsidRDefault="00FC5328" w:rsidP="00330384">
            <w:pPr>
              <w:rPr>
                <w:szCs w:val="19"/>
              </w:rPr>
            </w:pPr>
            <w:r w:rsidRPr="00CC74F1">
              <w:rPr>
                <w:szCs w:val="19"/>
              </w:rPr>
              <w:lastRenderedPageBreak/>
              <w:t>Harmonic distortion</w:t>
            </w:r>
          </w:p>
        </w:tc>
        <w:tc>
          <w:tcPr>
            <w:tcW w:w="3401" w:type="dxa"/>
          </w:tcPr>
          <w:p w:rsidR="00FC5328" w:rsidRPr="00CC74F1" w:rsidRDefault="00FC5328" w:rsidP="00330384">
            <w:pPr>
              <w:rPr>
                <w:szCs w:val="19"/>
              </w:rPr>
            </w:pPr>
            <w:r w:rsidRPr="00CC74F1">
              <w:rPr>
                <w:szCs w:val="19"/>
              </w:rPr>
              <w:t>Harmonic distortion is the addition of non-linear overtones in the waveform of electrical supply. This metric indicates how the lighting product will affect the quality of the electrical utility’s grid.</w:t>
            </w:r>
          </w:p>
          <w:p w:rsidR="00FC5328" w:rsidRPr="00CC74F1" w:rsidRDefault="00FC5328" w:rsidP="00330384">
            <w:pPr>
              <w:rPr>
                <w:szCs w:val="19"/>
              </w:rPr>
            </w:pPr>
            <w:r w:rsidRPr="00CC74F1">
              <w:rPr>
                <w:szCs w:val="19"/>
              </w:rPr>
              <w:t>The metric is the mathematic ratio of the sum of the powers of all harmonic components to the power of the fundamental frequency.</w:t>
            </w:r>
          </w:p>
        </w:tc>
        <w:tc>
          <w:tcPr>
            <w:tcW w:w="3401" w:type="dxa"/>
          </w:tcPr>
          <w:p w:rsidR="00FC5328" w:rsidRPr="00CC74F1" w:rsidRDefault="00FC5328" w:rsidP="00330384">
            <w:pPr>
              <w:rPr>
                <w:szCs w:val="19"/>
              </w:rPr>
            </w:pPr>
            <w:r w:rsidRPr="00CC74F1">
              <w:rPr>
                <w:szCs w:val="19"/>
              </w:rPr>
              <w:t xml:space="preserve">Total harmonic distortion (THD) affects the quality of the electrical grid, causing a loss of reliability of switch pulse </w:t>
            </w:r>
            <w:r w:rsidR="00E702FA" w:rsidRPr="00CC74F1">
              <w:rPr>
                <w:szCs w:val="19"/>
              </w:rPr>
              <w:t>information used</w:t>
            </w:r>
            <w:r w:rsidR="00DF5F2C" w:rsidRPr="00CC74F1">
              <w:rPr>
                <w:szCs w:val="19"/>
              </w:rPr>
              <w:t xml:space="preserve"> to remotely control equipment connected to the electrical supply</w:t>
            </w:r>
            <w:r w:rsidRPr="00CC74F1">
              <w:rPr>
                <w:szCs w:val="19"/>
              </w:rPr>
              <w:t>. Therefore it must be kept as minimal as possible.</w:t>
            </w:r>
          </w:p>
        </w:tc>
        <w:tc>
          <w:tcPr>
            <w:tcW w:w="1560" w:type="dxa"/>
          </w:tcPr>
          <w:p w:rsidR="00FC5328" w:rsidRPr="00CC74F1" w:rsidRDefault="00FC5328" w:rsidP="00330384">
            <w:pPr>
              <w:rPr>
                <w:szCs w:val="19"/>
              </w:rPr>
            </w:pPr>
            <w:r w:rsidRPr="00CC74F1">
              <w:rPr>
                <w:szCs w:val="19"/>
              </w:rPr>
              <w:t>ANSI C82.77 Harmonic Emission Limits</w:t>
            </w:r>
          </w:p>
          <w:p w:rsidR="00FC5328" w:rsidRPr="00CC74F1" w:rsidRDefault="00FC5328" w:rsidP="00330384">
            <w:pPr>
              <w:rPr>
                <w:szCs w:val="19"/>
              </w:rPr>
            </w:pPr>
          </w:p>
          <w:p w:rsidR="00FC5328" w:rsidRPr="00CC74F1" w:rsidRDefault="00FC5328" w:rsidP="00330384">
            <w:pPr>
              <w:rPr>
                <w:szCs w:val="19"/>
              </w:rPr>
            </w:pPr>
            <w:r w:rsidRPr="00CC74F1">
              <w:rPr>
                <w:szCs w:val="19"/>
              </w:rPr>
              <w:t>EN 61000-3-2 LED EMC/harmonics</w:t>
            </w:r>
          </w:p>
        </w:tc>
        <w:tc>
          <w:tcPr>
            <w:tcW w:w="3361" w:type="dxa"/>
          </w:tcPr>
          <w:p w:rsidR="00FC5328" w:rsidRPr="00CC74F1" w:rsidRDefault="00DF5F2C" w:rsidP="00330384">
            <w:pPr>
              <w:rPr>
                <w:szCs w:val="19"/>
              </w:rPr>
            </w:pPr>
            <w:r w:rsidRPr="00CC74F1">
              <w:rPr>
                <w:szCs w:val="19"/>
              </w:rPr>
              <w:t>Comply with IEC 61000-3-2</w:t>
            </w:r>
          </w:p>
        </w:tc>
      </w:tr>
      <w:tr w:rsidR="003C4617" w:rsidRPr="00CC74F1" w:rsidTr="004E0F37">
        <w:trPr>
          <w:tblHeader/>
        </w:trPr>
        <w:tc>
          <w:tcPr>
            <w:tcW w:w="2096" w:type="dxa"/>
          </w:tcPr>
          <w:p w:rsidR="003C4617" w:rsidRPr="00CC74F1" w:rsidRDefault="003C4617" w:rsidP="00AA2FD8">
            <w:pPr>
              <w:rPr>
                <w:szCs w:val="19"/>
              </w:rPr>
            </w:pPr>
            <w:r w:rsidRPr="00CC74F1">
              <w:rPr>
                <w:szCs w:val="19"/>
              </w:rPr>
              <w:t>Electromagnetic Compatibility (EMC)</w:t>
            </w:r>
          </w:p>
        </w:tc>
        <w:tc>
          <w:tcPr>
            <w:tcW w:w="3401" w:type="dxa"/>
          </w:tcPr>
          <w:p w:rsidR="003C4617" w:rsidRPr="00CC74F1" w:rsidRDefault="003C4617" w:rsidP="00AA2FD8">
            <w:pPr>
              <w:rPr>
                <w:szCs w:val="19"/>
              </w:rPr>
            </w:pPr>
          </w:p>
        </w:tc>
        <w:tc>
          <w:tcPr>
            <w:tcW w:w="3401" w:type="dxa"/>
          </w:tcPr>
          <w:p w:rsidR="003C4617" w:rsidRPr="00CC74F1" w:rsidRDefault="003C4617" w:rsidP="00AA2FD8">
            <w:pPr>
              <w:rPr>
                <w:szCs w:val="19"/>
              </w:rPr>
            </w:pPr>
          </w:p>
        </w:tc>
        <w:tc>
          <w:tcPr>
            <w:tcW w:w="1560" w:type="dxa"/>
          </w:tcPr>
          <w:p w:rsidR="00AF3F6D" w:rsidRPr="00CC74F1" w:rsidRDefault="00AF3F6D" w:rsidP="00AA2FD8">
            <w:pPr>
              <w:rPr>
                <w:szCs w:val="19"/>
              </w:rPr>
            </w:pPr>
            <w:r w:rsidRPr="00CC74F1">
              <w:rPr>
                <w:szCs w:val="19"/>
              </w:rPr>
              <w:t>IEC 61547</w:t>
            </w:r>
          </w:p>
          <w:p w:rsidR="003C4617" w:rsidRPr="00CC74F1" w:rsidRDefault="003C4617" w:rsidP="00AA2FD8">
            <w:pPr>
              <w:rPr>
                <w:szCs w:val="19"/>
              </w:rPr>
            </w:pPr>
            <w:r w:rsidRPr="00CC74F1">
              <w:rPr>
                <w:szCs w:val="19"/>
              </w:rPr>
              <w:t>C tick</w:t>
            </w:r>
          </w:p>
        </w:tc>
        <w:tc>
          <w:tcPr>
            <w:tcW w:w="3361" w:type="dxa"/>
          </w:tcPr>
          <w:p w:rsidR="003C4617" w:rsidRPr="00CC74F1" w:rsidRDefault="003C4617" w:rsidP="0091495A">
            <w:pPr>
              <w:rPr>
                <w:szCs w:val="19"/>
              </w:rPr>
            </w:pPr>
            <w:r w:rsidRPr="00CC74F1">
              <w:rPr>
                <w:szCs w:val="19"/>
              </w:rPr>
              <w:t xml:space="preserve">n/a – regulated by ACMA / </w:t>
            </w:r>
            <w:r w:rsidRPr="0091495A">
              <w:rPr>
                <w:szCs w:val="19"/>
              </w:rPr>
              <w:t xml:space="preserve">NZ </w:t>
            </w:r>
            <w:r w:rsidR="0091495A" w:rsidRPr="0091495A">
              <w:rPr>
                <w:szCs w:val="19"/>
              </w:rPr>
              <w:t>Radio Spectrum Management (RSM)</w:t>
            </w:r>
            <w:r w:rsidR="004A1BD8">
              <w:rPr>
                <w:szCs w:val="19"/>
              </w:rPr>
              <w:t xml:space="preserve">, Ministry of Business, Innovation and Employment. </w:t>
            </w:r>
          </w:p>
        </w:tc>
      </w:tr>
      <w:tr w:rsidR="00FC5328" w:rsidRPr="00CC74F1" w:rsidTr="004E0F37">
        <w:trPr>
          <w:tblHeader/>
        </w:trPr>
        <w:tc>
          <w:tcPr>
            <w:tcW w:w="2096" w:type="dxa"/>
          </w:tcPr>
          <w:p w:rsidR="00FC5328" w:rsidRPr="00CC74F1" w:rsidRDefault="00FC5328" w:rsidP="00330384">
            <w:pPr>
              <w:rPr>
                <w:szCs w:val="19"/>
              </w:rPr>
            </w:pPr>
            <w:r w:rsidRPr="00CC74F1">
              <w:rPr>
                <w:szCs w:val="19"/>
              </w:rPr>
              <w:t>Dimmer compatibility</w:t>
            </w:r>
          </w:p>
        </w:tc>
        <w:tc>
          <w:tcPr>
            <w:tcW w:w="3401" w:type="dxa"/>
          </w:tcPr>
          <w:p w:rsidR="00FC5328" w:rsidRPr="00CC74F1" w:rsidRDefault="00FC5328" w:rsidP="00330384">
            <w:pPr>
              <w:rPr>
                <w:szCs w:val="19"/>
              </w:rPr>
            </w:pPr>
            <w:r w:rsidRPr="00CC74F1">
              <w:rPr>
                <w:szCs w:val="19"/>
              </w:rPr>
              <w:t>An evaluation of whether the LED lighting product will operate sufficiently well with installed dimmers used for incandescent light sources.</w:t>
            </w:r>
          </w:p>
        </w:tc>
        <w:tc>
          <w:tcPr>
            <w:tcW w:w="3401" w:type="dxa"/>
          </w:tcPr>
          <w:p w:rsidR="00FC5328" w:rsidRPr="00CC74F1" w:rsidRDefault="00FC5328" w:rsidP="00330384">
            <w:pPr>
              <w:rPr>
                <w:szCs w:val="19"/>
              </w:rPr>
            </w:pPr>
            <w:r w:rsidRPr="00CC74F1">
              <w:rPr>
                <w:szCs w:val="19"/>
              </w:rPr>
              <w:t xml:space="preserve">High importance for the consumer as many LED products are not completely compatible with commonly available dimmers. </w:t>
            </w:r>
          </w:p>
        </w:tc>
        <w:tc>
          <w:tcPr>
            <w:tcW w:w="1560" w:type="dxa"/>
          </w:tcPr>
          <w:p w:rsidR="00FC5328" w:rsidRPr="00CC74F1" w:rsidRDefault="00FC5328" w:rsidP="00330384">
            <w:pPr>
              <w:rPr>
                <w:szCs w:val="19"/>
              </w:rPr>
            </w:pPr>
            <w:r w:rsidRPr="00CC74F1">
              <w:rPr>
                <w:szCs w:val="19"/>
              </w:rPr>
              <w:t xml:space="preserve">NEMA SSL 7A-2013 </w:t>
            </w:r>
          </w:p>
        </w:tc>
        <w:tc>
          <w:tcPr>
            <w:tcW w:w="3361" w:type="dxa"/>
          </w:tcPr>
          <w:p w:rsidR="00FC5328" w:rsidRPr="00CC74F1" w:rsidRDefault="003C4617" w:rsidP="003848FE">
            <w:pPr>
              <w:autoSpaceDE w:val="0"/>
              <w:autoSpaceDN w:val="0"/>
              <w:adjustRightInd w:val="0"/>
              <w:spacing w:after="0" w:line="240" w:lineRule="auto"/>
              <w:rPr>
                <w:szCs w:val="19"/>
              </w:rPr>
            </w:pPr>
            <w:r w:rsidRPr="00CC74F1">
              <w:rPr>
                <w:szCs w:val="19"/>
              </w:rPr>
              <w:t xml:space="preserve">Product packaging shall clearly indicate whether the lamp is dimmable or not dimmable. </w:t>
            </w:r>
            <w:r w:rsidR="003848FE" w:rsidRPr="00CC74F1">
              <w:rPr>
                <w:szCs w:val="19"/>
              </w:rPr>
              <w:t xml:space="preserve">See </w:t>
            </w:r>
            <w:r w:rsidR="003848FE" w:rsidRPr="00353197">
              <w:rPr>
                <w:szCs w:val="19"/>
              </w:rPr>
              <w:t>details in Product Packaging section</w:t>
            </w:r>
            <w:r w:rsidR="003848FE" w:rsidRPr="00CC74F1">
              <w:rPr>
                <w:szCs w:val="19"/>
              </w:rPr>
              <w:t xml:space="preserve"> below.</w:t>
            </w:r>
          </w:p>
        </w:tc>
      </w:tr>
      <w:tr w:rsidR="00FC5328" w:rsidRPr="00CC74F1" w:rsidTr="004E0F37">
        <w:trPr>
          <w:tblHeader/>
        </w:trPr>
        <w:tc>
          <w:tcPr>
            <w:tcW w:w="2096" w:type="dxa"/>
          </w:tcPr>
          <w:p w:rsidR="00FC5328" w:rsidRPr="00CC74F1" w:rsidRDefault="00FC5328" w:rsidP="00330384">
            <w:pPr>
              <w:rPr>
                <w:szCs w:val="19"/>
              </w:rPr>
            </w:pPr>
            <w:r w:rsidRPr="00CC74F1">
              <w:rPr>
                <w:szCs w:val="19"/>
              </w:rPr>
              <w:t>Recyclability (%)</w:t>
            </w:r>
          </w:p>
        </w:tc>
        <w:tc>
          <w:tcPr>
            <w:tcW w:w="3401" w:type="dxa"/>
          </w:tcPr>
          <w:p w:rsidR="00FC5328" w:rsidRPr="00CC74F1" w:rsidRDefault="00FC5328" w:rsidP="00330384">
            <w:pPr>
              <w:rPr>
                <w:szCs w:val="19"/>
              </w:rPr>
            </w:pPr>
            <w:r w:rsidRPr="00CC74F1">
              <w:rPr>
                <w:szCs w:val="19"/>
              </w:rPr>
              <w:t>An indication of the proportion on an LED product which must be recyclable.</w:t>
            </w:r>
          </w:p>
        </w:tc>
        <w:tc>
          <w:tcPr>
            <w:tcW w:w="3401" w:type="dxa"/>
          </w:tcPr>
          <w:p w:rsidR="00FC5328" w:rsidRPr="00CC74F1" w:rsidRDefault="00FC5328" w:rsidP="00330384">
            <w:pPr>
              <w:rPr>
                <w:szCs w:val="19"/>
              </w:rPr>
            </w:pPr>
            <w:r w:rsidRPr="00CC74F1">
              <w:rPr>
                <w:szCs w:val="19"/>
              </w:rPr>
              <w:t xml:space="preserve">Important for management of electronic equipment waste so as to reduce the environmental burden of these products. </w:t>
            </w:r>
          </w:p>
          <w:p w:rsidR="00FC5328" w:rsidRPr="00CC74F1" w:rsidRDefault="00FC5328" w:rsidP="00330384">
            <w:pPr>
              <w:rPr>
                <w:szCs w:val="19"/>
              </w:rPr>
            </w:pPr>
            <w:r w:rsidRPr="00CC74F1">
              <w:rPr>
                <w:szCs w:val="19"/>
              </w:rPr>
              <w:t>Ideally products should be designed for easy of recyclability</w:t>
            </w:r>
          </w:p>
        </w:tc>
        <w:tc>
          <w:tcPr>
            <w:tcW w:w="1560" w:type="dxa"/>
          </w:tcPr>
          <w:p w:rsidR="00FC5328" w:rsidRPr="00CC74F1" w:rsidRDefault="00FC5328" w:rsidP="00330384">
            <w:pPr>
              <w:rPr>
                <w:szCs w:val="19"/>
              </w:rPr>
            </w:pPr>
            <w:r w:rsidRPr="00CC74F1">
              <w:rPr>
                <w:szCs w:val="19"/>
              </w:rPr>
              <w:t>ISO 14021</w:t>
            </w:r>
          </w:p>
        </w:tc>
        <w:tc>
          <w:tcPr>
            <w:tcW w:w="3361" w:type="dxa"/>
          </w:tcPr>
          <w:p w:rsidR="00FC5328" w:rsidRPr="00CC74F1" w:rsidRDefault="00D0681E" w:rsidP="00330384">
            <w:pPr>
              <w:rPr>
                <w:szCs w:val="19"/>
              </w:rPr>
            </w:pPr>
            <w:r w:rsidRPr="00CC74F1">
              <w:rPr>
                <w:szCs w:val="19"/>
              </w:rPr>
              <w:t>Not to be included in MEPS but manufacturers encouraged to principles of self- declaration found in ISO 14021</w:t>
            </w:r>
          </w:p>
        </w:tc>
      </w:tr>
      <w:tr w:rsidR="00DF7C0F" w:rsidRPr="00CC74F1" w:rsidTr="004E0F37">
        <w:trPr>
          <w:tblHeader/>
        </w:trPr>
        <w:tc>
          <w:tcPr>
            <w:tcW w:w="2096" w:type="dxa"/>
          </w:tcPr>
          <w:p w:rsidR="00DF7C0F" w:rsidRPr="00CC74F1" w:rsidRDefault="00DF7C0F" w:rsidP="00330384">
            <w:pPr>
              <w:rPr>
                <w:szCs w:val="19"/>
              </w:rPr>
            </w:pPr>
            <w:r w:rsidRPr="00CC74F1">
              <w:rPr>
                <w:szCs w:val="19"/>
              </w:rPr>
              <w:t>Standby Power</w:t>
            </w:r>
          </w:p>
        </w:tc>
        <w:tc>
          <w:tcPr>
            <w:tcW w:w="3401" w:type="dxa"/>
          </w:tcPr>
          <w:p w:rsidR="00DF7C0F" w:rsidRPr="00CC74F1" w:rsidRDefault="00DF7C0F" w:rsidP="00330384">
            <w:pPr>
              <w:rPr>
                <w:szCs w:val="19"/>
              </w:rPr>
            </w:pPr>
            <w:r w:rsidRPr="00CC74F1">
              <w:rPr>
                <w:szCs w:val="19"/>
              </w:rPr>
              <w:t>Power used by the lamp when not providing a lighting service.</w:t>
            </w:r>
          </w:p>
        </w:tc>
        <w:tc>
          <w:tcPr>
            <w:tcW w:w="3401" w:type="dxa"/>
          </w:tcPr>
          <w:p w:rsidR="00DF7C0F" w:rsidRPr="00CC74F1" w:rsidRDefault="00DF7C0F" w:rsidP="00330384">
            <w:pPr>
              <w:rPr>
                <w:szCs w:val="19"/>
              </w:rPr>
            </w:pPr>
            <w:r w:rsidRPr="00CC74F1">
              <w:rPr>
                <w:szCs w:val="19"/>
              </w:rPr>
              <w:t>Important as in some cases standby power draw can be as much if not more than the active energy use of the lamp</w:t>
            </w:r>
            <w:r w:rsidR="00AF3F6D" w:rsidRPr="00CC74F1">
              <w:rPr>
                <w:szCs w:val="19"/>
              </w:rPr>
              <w:t xml:space="preserve"> during operation of lighting service</w:t>
            </w:r>
            <w:r w:rsidRPr="00CC74F1">
              <w:rPr>
                <w:szCs w:val="19"/>
              </w:rPr>
              <w:t>.</w:t>
            </w:r>
          </w:p>
        </w:tc>
        <w:tc>
          <w:tcPr>
            <w:tcW w:w="1560" w:type="dxa"/>
          </w:tcPr>
          <w:p w:rsidR="00DF7C0F" w:rsidRPr="00CC74F1" w:rsidRDefault="00DF7C0F" w:rsidP="00330384">
            <w:pPr>
              <w:rPr>
                <w:szCs w:val="19"/>
              </w:rPr>
            </w:pPr>
            <w:r w:rsidRPr="00CC74F1">
              <w:rPr>
                <w:szCs w:val="19"/>
              </w:rPr>
              <w:t>AS/NZS 62301</w:t>
            </w:r>
          </w:p>
        </w:tc>
        <w:tc>
          <w:tcPr>
            <w:tcW w:w="3361" w:type="dxa"/>
          </w:tcPr>
          <w:p w:rsidR="00DF7C0F" w:rsidRPr="00CC74F1" w:rsidRDefault="00480218" w:rsidP="00330384">
            <w:pPr>
              <w:rPr>
                <w:szCs w:val="19"/>
              </w:rPr>
            </w:pPr>
            <w:r w:rsidRPr="00CC74F1">
              <w:rPr>
                <w:szCs w:val="19"/>
              </w:rPr>
              <w:t>&lt;0.5W</w:t>
            </w:r>
          </w:p>
        </w:tc>
      </w:tr>
      <w:tr w:rsidR="00D3179E" w:rsidRPr="00CC74F1" w:rsidTr="004E0F37">
        <w:trPr>
          <w:tblHeader/>
        </w:trPr>
        <w:tc>
          <w:tcPr>
            <w:tcW w:w="2096" w:type="dxa"/>
          </w:tcPr>
          <w:p w:rsidR="00D3179E" w:rsidRPr="00CC74F1" w:rsidRDefault="00D3179E" w:rsidP="00330384">
            <w:pPr>
              <w:rPr>
                <w:szCs w:val="19"/>
              </w:rPr>
            </w:pPr>
            <w:r w:rsidRPr="00CC74F1">
              <w:rPr>
                <w:szCs w:val="19"/>
              </w:rPr>
              <w:lastRenderedPageBreak/>
              <w:t>Smart Lighting</w:t>
            </w:r>
            <w:r w:rsidR="004F0B05" w:rsidRPr="00CC74F1">
              <w:rPr>
                <w:szCs w:val="19"/>
              </w:rPr>
              <w:t xml:space="preserve"> – </w:t>
            </w:r>
            <w:r w:rsidR="00AF3F6D" w:rsidRPr="00CC74F1">
              <w:rPr>
                <w:szCs w:val="19"/>
              </w:rPr>
              <w:t xml:space="preserve">controlled </w:t>
            </w:r>
            <w:r w:rsidR="004F0B05" w:rsidRPr="00CC74F1">
              <w:rPr>
                <w:szCs w:val="19"/>
              </w:rPr>
              <w:t>variations in power consumption</w:t>
            </w:r>
          </w:p>
        </w:tc>
        <w:tc>
          <w:tcPr>
            <w:tcW w:w="3401" w:type="dxa"/>
          </w:tcPr>
          <w:p w:rsidR="00D3179E" w:rsidRPr="00CC74F1" w:rsidRDefault="00D3179E" w:rsidP="00D3179E">
            <w:pPr>
              <w:rPr>
                <w:szCs w:val="19"/>
              </w:rPr>
            </w:pPr>
            <w:r w:rsidRPr="00CC74F1">
              <w:rPr>
                <w:szCs w:val="19"/>
              </w:rPr>
              <w:t>Power used by the lamp in addition to that used providing a lighting service – may include active standby and networking.  May also include variations in power use and lumen output</w:t>
            </w:r>
            <w:r w:rsidR="00AF3F6D" w:rsidRPr="00CC74F1">
              <w:rPr>
                <w:szCs w:val="19"/>
              </w:rPr>
              <w:t xml:space="preserve"> in response to changes in ambient conditions</w:t>
            </w:r>
            <w:r w:rsidRPr="00CC74F1">
              <w:rPr>
                <w:szCs w:val="19"/>
              </w:rPr>
              <w:t>.</w:t>
            </w:r>
          </w:p>
        </w:tc>
        <w:tc>
          <w:tcPr>
            <w:tcW w:w="3401" w:type="dxa"/>
          </w:tcPr>
          <w:p w:rsidR="00D3179E" w:rsidRPr="00CC74F1" w:rsidRDefault="00D3179E" w:rsidP="00D3179E">
            <w:pPr>
              <w:rPr>
                <w:szCs w:val="19"/>
              </w:rPr>
            </w:pPr>
            <w:r w:rsidRPr="00CC74F1">
              <w:rPr>
                <w:szCs w:val="19"/>
              </w:rPr>
              <w:t>Important as may significantly reduce overall efficacy of the lighting product. May also make it harder to test and measure the product</w:t>
            </w:r>
            <w:r w:rsidR="00AF3F6D" w:rsidRPr="00CC74F1">
              <w:rPr>
                <w:szCs w:val="19"/>
              </w:rPr>
              <w:t xml:space="preserve"> in relation to any compliance</w:t>
            </w:r>
            <w:r w:rsidRPr="00CC74F1">
              <w:rPr>
                <w:szCs w:val="19"/>
              </w:rPr>
              <w:t>.</w:t>
            </w:r>
          </w:p>
        </w:tc>
        <w:tc>
          <w:tcPr>
            <w:tcW w:w="1560" w:type="dxa"/>
          </w:tcPr>
          <w:p w:rsidR="00D3179E" w:rsidRPr="00CC74F1" w:rsidRDefault="00D3179E" w:rsidP="00330384">
            <w:pPr>
              <w:rPr>
                <w:szCs w:val="19"/>
              </w:rPr>
            </w:pPr>
          </w:p>
        </w:tc>
        <w:tc>
          <w:tcPr>
            <w:tcW w:w="3361" w:type="dxa"/>
          </w:tcPr>
          <w:p w:rsidR="00D3179E" w:rsidRPr="00CC74F1" w:rsidRDefault="00D3179E" w:rsidP="00330384">
            <w:pPr>
              <w:rPr>
                <w:szCs w:val="19"/>
              </w:rPr>
            </w:pPr>
            <w:r w:rsidRPr="00CC74F1">
              <w:rPr>
                <w:szCs w:val="19"/>
              </w:rPr>
              <w:t>To be considered following the outcomes of investigations by the IEA 4E SSL and G20 working groups</w:t>
            </w:r>
          </w:p>
        </w:tc>
      </w:tr>
    </w:tbl>
    <w:p w:rsidR="00CC1CFF" w:rsidRDefault="00CC1CFF" w:rsidP="00227F29">
      <w:pPr>
        <w:pStyle w:val="E3BodyText"/>
      </w:pPr>
    </w:p>
    <w:p w:rsidR="00480218" w:rsidRDefault="00480218" w:rsidP="00227F29">
      <w:pPr>
        <w:pStyle w:val="E3BodyText"/>
      </w:pPr>
    </w:p>
    <w:p w:rsidR="00F800AB" w:rsidRPr="005E3AAE" w:rsidRDefault="00F800AB" w:rsidP="00227F29">
      <w:pPr>
        <w:pStyle w:val="E3BodyText"/>
        <w:rPr>
          <w:b/>
        </w:rPr>
        <w:sectPr w:rsidR="00F800AB" w:rsidRPr="005E3AAE" w:rsidSect="00F0347E">
          <w:pgSz w:w="16840" w:h="11907" w:orient="landscape" w:code="9"/>
          <w:pgMar w:top="1134" w:right="1418" w:bottom="1134" w:left="1134" w:header="142" w:footer="709" w:gutter="0"/>
          <w:cols w:space="720"/>
          <w:docGrid w:linePitch="360"/>
        </w:sectPr>
      </w:pPr>
      <w:r w:rsidRPr="005E3AAE">
        <w:rPr>
          <w:b/>
          <w:i/>
        </w:rPr>
        <w:t xml:space="preserve">Option 3: LED MEPS to also include a range of performance parameters (that address important quality and performance issues found in market testing) to ensure that LED lighting provides </w:t>
      </w:r>
      <w:r w:rsidR="00AF3F6D" w:rsidRPr="005E3AAE">
        <w:rPr>
          <w:b/>
          <w:i/>
        </w:rPr>
        <w:t xml:space="preserve">an </w:t>
      </w:r>
      <w:r w:rsidRPr="005E3AAE">
        <w:rPr>
          <w:b/>
          <w:i/>
        </w:rPr>
        <w:t>effective as well as effi</w:t>
      </w:r>
      <w:r w:rsidR="00AF3F6D" w:rsidRPr="005E3AAE">
        <w:rPr>
          <w:b/>
          <w:i/>
        </w:rPr>
        <w:t>cient lighting alternative</w:t>
      </w:r>
      <w:r w:rsidRPr="005E3AAE">
        <w:rPr>
          <w:b/>
          <w:i/>
        </w:rPr>
        <w:t>.</w:t>
      </w:r>
    </w:p>
    <w:p w:rsidR="00D3360F" w:rsidRDefault="00D3360F" w:rsidP="00227F29">
      <w:pPr>
        <w:pStyle w:val="E3BodyText"/>
      </w:pPr>
    </w:p>
    <w:p w:rsidR="00480218" w:rsidRDefault="00480218" w:rsidP="00E96970">
      <w:pPr>
        <w:pStyle w:val="Heading3"/>
      </w:pPr>
      <w:bookmarkStart w:id="259" w:name="_Toc426387796"/>
      <w:r>
        <w:t>Tropical Performance</w:t>
      </w:r>
      <w:bookmarkEnd w:id="259"/>
    </w:p>
    <w:p w:rsidR="00AF3F6D" w:rsidRDefault="00D3360F" w:rsidP="00227F29">
      <w:pPr>
        <w:pStyle w:val="E3BodyText"/>
      </w:pPr>
      <w:r>
        <w:t xml:space="preserve">In some parts of Australia LED products are likely to be frequently or constantly operated in conditions more extreme than the conditions that lamps are </w:t>
      </w:r>
      <w:r w:rsidR="00E702FA">
        <w:t>usually tested</w:t>
      </w:r>
      <w:r>
        <w:t xml:space="preserve"> under in lighting test laboratories.  </w:t>
      </w:r>
      <w:r w:rsidR="00845A3E">
        <w:t xml:space="preserve">As electronic devices, higher temperatures can impact upon performance or operating life. </w:t>
      </w:r>
      <w:r>
        <w:t xml:space="preserve">The lites.asia </w:t>
      </w:r>
      <w:r w:rsidR="006C6D03">
        <w:t>forum has released a set of additional performance criteria for lamps that are used in conditions of extreme temperatures, voltage fluctuations and insect infiltration conditions (</w:t>
      </w:r>
      <w:hyperlink r:id="rId118" w:history="1">
        <w:r w:rsidR="006C6D03" w:rsidRPr="00C9078F">
          <w:rPr>
            <w:rStyle w:val="Hyperlink"/>
          </w:rPr>
          <w:t>www.lites.asia/downloads/tropical-performance-criteria</w:t>
        </w:r>
      </w:hyperlink>
      <w:r w:rsidR="006C6D03">
        <w:t>)</w:t>
      </w:r>
      <w:r w:rsidR="00BA0A94">
        <w:t xml:space="preserve"> that would be tested in accordance with</w:t>
      </w:r>
      <w:r w:rsidR="00932ABE">
        <w:t xml:space="preserve"> </w:t>
      </w:r>
      <w:r w:rsidR="00BA0A94">
        <w:t>IEC 62612</w:t>
      </w:r>
      <w:r w:rsidR="006C6D03">
        <w:t xml:space="preserve">.  Provision for optional compliance to some or all of these additional requirements could be included in </w:t>
      </w:r>
      <w:r w:rsidR="00E702FA">
        <w:t>the</w:t>
      </w:r>
      <w:r w:rsidR="006C6D03">
        <w:t xml:space="preserve"> Australian and New Zealand Standard and/or MEPS so that products that comply with the additional tropical performance specifications could make su</w:t>
      </w:r>
      <w:r w:rsidR="00BA0A94">
        <w:t>ch a claim on product packaging.</w:t>
      </w:r>
    </w:p>
    <w:p w:rsidR="00480218" w:rsidRPr="005E3AAE" w:rsidRDefault="00F800AB" w:rsidP="00227F29">
      <w:pPr>
        <w:pStyle w:val="E3BodyText"/>
        <w:rPr>
          <w:b/>
          <w:i/>
        </w:rPr>
      </w:pPr>
      <w:r w:rsidRPr="005E3AAE">
        <w:rPr>
          <w:b/>
          <w:i/>
        </w:rPr>
        <w:t>Option 4</w:t>
      </w:r>
      <w:r w:rsidR="006C6D03" w:rsidRPr="005E3AAE">
        <w:rPr>
          <w:b/>
          <w:i/>
        </w:rPr>
        <w:t xml:space="preserve">: Include optional extreme conditions </w:t>
      </w:r>
      <w:r w:rsidR="00E702FA" w:rsidRPr="005E3AAE">
        <w:rPr>
          <w:b/>
          <w:i/>
        </w:rPr>
        <w:t>performance specifications</w:t>
      </w:r>
      <w:r w:rsidR="006C6D03" w:rsidRPr="005E3AAE">
        <w:rPr>
          <w:b/>
          <w:i/>
        </w:rPr>
        <w:t xml:space="preserve"> in the Australian and New Zealand Standard and/or MEPS.</w:t>
      </w:r>
    </w:p>
    <w:p w:rsidR="00480218" w:rsidRDefault="00EC66C0" w:rsidP="00E96970">
      <w:pPr>
        <w:pStyle w:val="Heading3"/>
      </w:pPr>
      <w:bookmarkStart w:id="260" w:name="_Ref398298221"/>
      <w:bookmarkStart w:id="261" w:name="_Toc404613357"/>
      <w:bookmarkStart w:id="262" w:name="_Toc426387797"/>
      <w:r w:rsidRPr="00EC66C0">
        <w:t>Equivalency of Energy Efficient Lamps for Consumers</w:t>
      </w:r>
      <w:bookmarkEnd w:id="260"/>
      <w:bookmarkEnd w:id="261"/>
      <w:bookmarkEnd w:id="262"/>
    </w:p>
    <w:p w:rsidR="00EC66C0" w:rsidRPr="00EC66C0" w:rsidRDefault="00EC66C0" w:rsidP="00EC66C0">
      <w:pPr>
        <w:pStyle w:val="E3BodyText"/>
      </w:pPr>
      <w:r>
        <w:t>C</w:t>
      </w:r>
      <w:r w:rsidRPr="00EC66C0">
        <w:t xml:space="preserve">onsumers are now faced with a variety of lighting alternatives that make selection of replacement lamps by wattage impractical, while the diverse range of lumen outputs available can </w:t>
      </w:r>
      <w:r w:rsidR="00AF3F6D">
        <w:t xml:space="preserve">also </w:t>
      </w:r>
      <w:r w:rsidRPr="00EC66C0">
        <w:t>be difficult for consumers to compare and understand</w:t>
      </w:r>
      <w:r w:rsidR="00AF3F6D" w:rsidRPr="00AF3F6D">
        <w:t xml:space="preserve"> or appreciate the significance (acceptability) of the variance between products</w:t>
      </w:r>
      <w:r w:rsidRPr="00EC66C0">
        <w:t xml:space="preserve">.  One option to address this issue may be the classification of lamps within a simplified range of luminous flux.  A proposal by China </w:t>
      </w:r>
      <w:r w:rsidR="00AF3F6D">
        <w:t>has been approved</w:t>
      </w:r>
      <w:r w:rsidRPr="00EC66C0">
        <w:t xml:space="preserve"> by the IEC TC34 Committee to amend IEC 62612 to state that for non-directional LED lamps, the rated luminous flux LED lamps be preferably one of the following values:</w:t>
      </w:r>
    </w:p>
    <w:p w:rsidR="00EC66C0" w:rsidRPr="00EC66C0" w:rsidRDefault="00EC66C0" w:rsidP="00F1452F">
      <w:pPr>
        <w:pStyle w:val="E3BodyText"/>
        <w:numPr>
          <w:ilvl w:val="0"/>
          <w:numId w:val="45"/>
        </w:numPr>
      </w:pPr>
      <w:r w:rsidRPr="00EC66C0">
        <w:rPr>
          <w:b/>
          <w:bCs/>
        </w:rPr>
        <w:t>100lm, 150lm, 250lm, 350lm, 500lm, 800lm, 1000lm, 1500lm, 2000lm, 3000lm</w:t>
      </w:r>
    </w:p>
    <w:p w:rsidR="00EC66C0" w:rsidRPr="00EC66C0" w:rsidRDefault="00EC66C0" w:rsidP="00EC66C0">
      <w:pPr>
        <w:pStyle w:val="E3BodyText"/>
      </w:pPr>
      <w:r w:rsidRPr="00EC66C0">
        <w:t>For most consumers, only 6 of these values would be relevant (</w:t>
      </w:r>
      <w:r w:rsidR="00AF3F6D">
        <w:t xml:space="preserve">these are: </w:t>
      </w:r>
      <w:r w:rsidRPr="00EC66C0">
        <w:t xml:space="preserve">150 lumens or approximately 25 W tungsten filament, </w:t>
      </w:r>
      <w:r w:rsidR="00AF3F6D">
        <w:t xml:space="preserve">through </w:t>
      </w:r>
      <w:r w:rsidRPr="00EC66C0">
        <w:t>to 1500 lumens approximately 100 W tungsten filament).  If this approach was to be taken on packaging in Australia and New Zealand, consideration would need to be given to requiring that the initial luminous flux of each individual lamp in the measured sample would be within a specified range around the particular level (for example, not less than the rated luminous flux by more than 10%, and not be more than the rated luminous flux by more than 20%). The allowance for variations in the rated luminous flux on packaging would not however extend to compliance for MEPS. Such a system could be applied to the full range of omnidirectional lamp types including compact fluorescent, LED and halogen lamps.  It would also be beneficial to consumers for the lumens per Watt to be included on packaging. Consumer education material could be prepared to explain this approach, combined with guidance on lamp equivalency.</w:t>
      </w:r>
    </w:p>
    <w:p w:rsidR="003848FE" w:rsidRPr="00E9468D" w:rsidRDefault="00EC66C0" w:rsidP="003848FE">
      <w:pPr>
        <w:pStyle w:val="E3BodyIntroductionText"/>
        <w:rPr>
          <w:b/>
        </w:rPr>
      </w:pPr>
      <w:r w:rsidRPr="00E9468D">
        <w:rPr>
          <w:b/>
        </w:rPr>
        <w:t>Option</w:t>
      </w:r>
      <w:r w:rsidR="00F800AB" w:rsidRPr="00E9468D">
        <w:rPr>
          <w:b/>
        </w:rPr>
        <w:t xml:space="preserve"> 5</w:t>
      </w:r>
      <w:r w:rsidRPr="00E9468D">
        <w:rPr>
          <w:b/>
        </w:rPr>
        <w:t xml:space="preserve">: </w:t>
      </w:r>
      <w:r w:rsidR="00BA0A94" w:rsidRPr="00E9468D">
        <w:rPr>
          <w:b/>
        </w:rPr>
        <w:t>I</w:t>
      </w:r>
      <w:r w:rsidRPr="00E9468D">
        <w:rPr>
          <w:b/>
        </w:rPr>
        <w:t xml:space="preserve">n the MEPS </w:t>
      </w:r>
      <w:r w:rsidR="00BA0A94" w:rsidRPr="00E9468D">
        <w:rPr>
          <w:b/>
        </w:rPr>
        <w:t xml:space="preserve">include </w:t>
      </w:r>
      <w:r w:rsidRPr="00E9468D">
        <w:rPr>
          <w:b/>
        </w:rPr>
        <w:t>a preferred range of rated luminous flux values to be used on lamp packaging, along with a requirement for lumens per Wa</w:t>
      </w:r>
      <w:r w:rsidR="003848FE" w:rsidRPr="00E9468D">
        <w:rPr>
          <w:b/>
        </w:rPr>
        <w:t>tt to be included on packaging</w:t>
      </w:r>
      <w:r w:rsidR="00374C27" w:rsidRPr="00E9468D">
        <w:rPr>
          <w:b/>
        </w:rPr>
        <w:t xml:space="preserve"> in order to assist consumers in selecting replacement lamps</w:t>
      </w:r>
      <w:r w:rsidR="003848FE" w:rsidRPr="00E9468D">
        <w:rPr>
          <w:b/>
        </w:rPr>
        <w:t>.</w:t>
      </w:r>
    </w:p>
    <w:p w:rsidR="00E330BD" w:rsidRDefault="00E330BD" w:rsidP="00E96970">
      <w:pPr>
        <w:pStyle w:val="Heading3"/>
      </w:pPr>
      <w:bookmarkStart w:id="263" w:name="_Toc426387798"/>
      <w:r>
        <w:t>Packaging Requirements</w:t>
      </w:r>
      <w:bookmarkEnd w:id="263"/>
    </w:p>
    <w:p w:rsidR="005D13EC" w:rsidRPr="00304570" w:rsidRDefault="00E330BD" w:rsidP="00304570">
      <w:pPr>
        <w:pStyle w:val="E3BodyText"/>
      </w:pPr>
      <w:r w:rsidRPr="00304570">
        <w:t xml:space="preserve">The availability of consistent energy use and performance specification </w:t>
      </w:r>
      <w:r w:rsidR="00304570">
        <w:t xml:space="preserve">on products and </w:t>
      </w:r>
      <w:r w:rsidRPr="00304570">
        <w:t>product p</w:t>
      </w:r>
      <w:r w:rsidR="004379F0" w:rsidRPr="00304570">
        <w:t>ackaging, backed up by further d</w:t>
      </w:r>
      <w:r w:rsidRPr="00304570">
        <w:t xml:space="preserve">etails in technical information and </w:t>
      </w:r>
      <w:r w:rsidR="00304570">
        <w:t xml:space="preserve">on </w:t>
      </w:r>
      <w:r w:rsidRPr="00304570">
        <w:t xml:space="preserve">supplier websites can assist consumers in selecting the correct </w:t>
      </w:r>
      <w:r w:rsidR="004379F0" w:rsidRPr="00304570">
        <w:t xml:space="preserve">efficient lighting </w:t>
      </w:r>
      <w:r w:rsidRPr="00304570">
        <w:t xml:space="preserve">product for their needs and </w:t>
      </w:r>
      <w:r w:rsidR="005D13EC" w:rsidRPr="00304570">
        <w:t xml:space="preserve">using it correctly.  </w:t>
      </w:r>
      <w:r w:rsidR="00304570" w:rsidRPr="00304570">
        <w:t xml:space="preserve">This is particularly important with LEDs where consumers are being encouraged to make the transition from other less efficient lighting technology. </w:t>
      </w:r>
      <w:r w:rsidR="005D13EC" w:rsidRPr="00304570">
        <w:t>Consistent packagi</w:t>
      </w:r>
      <w:r w:rsidR="00BA0A94">
        <w:t>ng can also assist</w:t>
      </w:r>
      <w:r w:rsidR="005D13EC" w:rsidRPr="00304570">
        <w:t xml:space="preserve"> with compliance and enforcement if MEPS requirements are regulated.  </w:t>
      </w:r>
      <w:r w:rsidR="00304570">
        <w:t xml:space="preserve">In some cases the inclusion of information on the product itself (such as lumen output) would help consumers with selection of a replacement product at a </w:t>
      </w:r>
      <w:r w:rsidR="00AE499F">
        <w:t>later date</w:t>
      </w:r>
      <w:r w:rsidR="00304570">
        <w:t xml:space="preserve"> when the original packaging may have been disposed of. </w:t>
      </w:r>
      <w:r w:rsidR="005D13EC" w:rsidRPr="00304570">
        <w:t>In addition to the proposed preferred range of rated luminous flux values discussed above</w:t>
      </w:r>
      <w:r w:rsidR="00BA0A94">
        <w:t xml:space="preserve"> (option 5)</w:t>
      </w:r>
      <w:r w:rsidR="005D13EC" w:rsidRPr="00304570">
        <w:t>, consumers would benefit from the following information being included on product packaging</w:t>
      </w:r>
      <w:r w:rsidR="004379F0" w:rsidRPr="00304570">
        <w:t xml:space="preserve"> and/or the product</w:t>
      </w:r>
      <w:r w:rsidR="005D13EC" w:rsidRPr="00304570">
        <w:t xml:space="preserve"> in a consistent manner:</w:t>
      </w:r>
    </w:p>
    <w:p w:rsidR="005D13EC" w:rsidRDefault="005D13EC" w:rsidP="005D13EC">
      <w:pPr>
        <w:pStyle w:val="E3Bullets"/>
      </w:pPr>
      <w:r>
        <w:t>L</w:t>
      </w:r>
      <w:r w:rsidR="00E330BD">
        <w:t xml:space="preserve">umens, </w:t>
      </w:r>
    </w:p>
    <w:p w:rsidR="005D13EC" w:rsidRDefault="005D13EC" w:rsidP="005D13EC">
      <w:pPr>
        <w:pStyle w:val="E3Bullets"/>
      </w:pPr>
      <w:r>
        <w:t>Efficacy (lumens per Watt) ;</w:t>
      </w:r>
    </w:p>
    <w:p w:rsidR="005D13EC" w:rsidRDefault="005D13EC" w:rsidP="005D13EC">
      <w:pPr>
        <w:pStyle w:val="E3Bullets"/>
      </w:pPr>
      <w:r>
        <w:t>W</w:t>
      </w:r>
      <w:r w:rsidR="00E330BD">
        <w:t>atts</w:t>
      </w:r>
      <w:r>
        <w:t xml:space="preserve"> (in a smaller font than efficacy in order to encourage consumers to judge product equivalency by light output);</w:t>
      </w:r>
    </w:p>
    <w:p w:rsidR="00AE499F" w:rsidRDefault="00AE499F" w:rsidP="005D13EC">
      <w:pPr>
        <w:pStyle w:val="E3Bullets"/>
      </w:pPr>
      <w:r>
        <w:t>Lifetime;</w:t>
      </w:r>
    </w:p>
    <w:p w:rsidR="00AE499F" w:rsidRDefault="00AE499F" w:rsidP="005D13EC">
      <w:pPr>
        <w:pStyle w:val="E3Bullets"/>
      </w:pPr>
      <w:r w:rsidRPr="00AE499F">
        <w:t>Correlated colour temperature (CCT) in Kelvin (K)</w:t>
      </w:r>
      <w:r>
        <w:t>;</w:t>
      </w:r>
    </w:p>
    <w:p w:rsidR="005D13EC" w:rsidRDefault="005D13EC" w:rsidP="005D13EC">
      <w:pPr>
        <w:pStyle w:val="E3Bullets"/>
      </w:pPr>
      <w:r>
        <w:t>Dimability compatibility information;</w:t>
      </w:r>
    </w:p>
    <w:p w:rsidR="004379F0" w:rsidRDefault="004379F0" w:rsidP="004379F0">
      <w:pPr>
        <w:pStyle w:val="E3Bullets"/>
      </w:pPr>
      <w:r w:rsidRPr="004379F0">
        <w:lastRenderedPageBreak/>
        <w:t>ELVC converter compatibility information</w:t>
      </w:r>
      <w:r>
        <w:t xml:space="preserve"> (for products intended to serve as retrofits for low voltage halogen lamps);</w:t>
      </w:r>
    </w:p>
    <w:p w:rsidR="005D13EC" w:rsidRDefault="005D13EC" w:rsidP="005D13EC">
      <w:pPr>
        <w:pStyle w:val="E3Bullets"/>
      </w:pPr>
      <w:r>
        <w:t>W</w:t>
      </w:r>
      <w:r w:rsidR="00E330BD">
        <w:t xml:space="preserve">ebsite </w:t>
      </w:r>
      <w:r>
        <w:t>link for compatibility and disposal information;</w:t>
      </w:r>
    </w:p>
    <w:p w:rsidR="005D13EC" w:rsidRDefault="00E330BD" w:rsidP="005D13EC">
      <w:pPr>
        <w:pStyle w:val="E3Bullets"/>
      </w:pPr>
      <w:r>
        <w:t>Linear LED retrofit statement</w:t>
      </w:r>
      <w:r w:rsidR="005D13EC">
        <w:t xml:space="preserve"> regarding compatibility and whether the product meets the definition of a retrofit linear LED</w:t>
      </w:r>
      <w:r w:rsidR="00304570">
        <w:t>;</w:t>
      </w:r>
    </w:p>
    <w:p w:rsidR="00E330BD" w:rsidRDefault="00E330BD" w:rsidP="005D13EC">
      <w:pPr>
        <w:pStyle w:val="E3Bullets"/>
      </w:pPr>
      <w:r>
        <w:t xml:space="preserve">Standby </w:t>
      </w:r>
      <w:r w:rsidR="005D13EC">
        <w:t>energy use</w:t>
      </w:r>
      <w:r w:rsidR="00304570">
        <w:t>;</w:t>
      </w:r>
    </w:p>
    <w:p w:rsidR="00304570" w:rsidRDefault="00304570" w:rsidP="005D13EC">
      <w:pPr>
        <w:pStyle w:val="E3Bullets"/>
      </w:pPr>
      <w:r>
        <w:t>Product identification number as used for product registration.</w:t>
      </w:r>
    </w:p>
    <w:p w:rsidR="003848FE" w:rsidRDefault="005D13EC" w:rsidP="003848FE">
      <w:pPr>
        <w:pStyle w:val="E3BodyText"/>
      </w:pPr>
      <w:r>
        <w:t xml:space="preserve">The issue of compatibility of LED lamps with existing dimmers and ELVC converters is important </w:t>
      </w:r>
      <w:r w:rsidR="003848FE">
        <w:t xml:space="preserve">in terms of ensuring that a range of efficient LED products </w:t>
      </w:r>
      <w:r w:rsidR="00BA0A94">
        <w:t xml:space="preserve">are available to be installed in </w:t>
      </w:r>
      <w:r w:rsidR="003848FE">
        <w:t xml:space="preserve">lighting systems in use in Australian and New Zealand homes.  </w:t>
      </w:r>
    </w:p>
    <w:p w:rsidR="00E330BD" w:rsidRDefault="003848FE" w:rsidP="003848FE">
      <w:pPr>
        <w:pStyle w:val="E3BodyText"/>
      </w:pPr>
      <w:r>
        <w:t xml:space="preserve">It is proposed that if a product is declared as dimmable, </w:t>
      </w:r>
      <w:r w:rsidR="00BA0A94">
        <w:t xml:space="preserve">the </w:t>
      </w:r>
      <w:r>
        <w:t>manufacturer shall also declare the conditions under which a lamp will operate as declared, and shall provide a web address for a website that lists dimmer makes and models with which the lamp is compatible. For each compatible dimmer, the manufacturer could also be required to list the minimum and maximum number of lamps that can be satisfactorily dimmed with a given dimmer and the minimum relative luminous flux level a given dimmer-lamp combination can achieve.</w:t>
      </w:r>
    </w:p>
    <w:p w:rsidR="003848FE" w:rsidRDefault="003848FE" w:rsidP="003848FE">
      <w:pPr>
        <w:pStyle w:val="E3BodyText"/>
      </w:pPr>
      <w:r>
        <w:t xml:space="preserve">For products claiming to be retrofit replacements for MR16 halogen lamps, a requirement for similar information to be provided on compatibility with the range of ELVC converters </w:t>
      </w:r>
      <w:r w:rsidR="004C6947" w:rsidRPr="004C6947">
        <w:t>(and maximum number of lamps that can be connected</w:t>
      </w:r>
      <w:r w:rsidR="00E702FA" w:rsidRPr="004C6947">
        <w:t>)</w:t>
      </w:r>
      <w:r w:rsidR="00E702FA">
        <w:t xml:space="preserve"> would</w:t>
      </w:r>
      <w:r>
        <w:t xml:space="preserve"> also assist consumers in selecting a compatible product.</w:t>
      </w:r>
    </w:p>
    <w:p w:rsidR="00AE499F" w:rsidRPr="00CF298E" w:rsidRDefault="00AE499F" w:rsidP="00AE499F">
      <w:pPr>
        <w:pStyle w:val="E3BodyIntroductionText"/>
        <w:rPr>
          <w:b/>
        </w:rPr>
      </w:pPr>
      <w:r w:rsidRPr="00CF298E">
        <w:rPr>
          <w:b/>
        </w:rPr>
        <w:t xml:space="preserve">Option </w:t>
      </w:r>
      <w:r w:rsidR="00F800AB" w:rsidRPr="00CF298E">
        <w:rPr>
          <w:b/>
        </w:rPr>
        <w:t>6</w:t>
      </w:r>
      <w:r w:rsidRPr="00CF298E">
        <w:rPr>
          <w:b/>
        </w:rPr>
        <w:t>: Suppliers be required to include efficacy and performance information on LED product packaging and/or the</w:t>
      </w:r>
      <w:r w:rsidR="00374C27" w:rsidRPr="00CF298E">
        <w:rPr>
          <w:b/>
        </w:rPr>
        <w:t xml:space="preserve"> LED product to enable customers to choose </w:t>
      </w:r>
      <w:r w:rsidR="00E702FA" w:rsidRPr="00CF298E">
        <w:rPr>
          <w:b/>
        </w:rPr>
        <w:t>a</w:t>
      </w:r>
      <w:r w:rsidR="00374C27" w:rsidRPr="00CF298E">
        <w:rPr>
          <w:b/>
        </w:rPr>
        <w:t xml:space="preserve"> suitable and efficient model.</w:t>
      </w:r>
    </w:p>
    <w:p w:rsidR="00E330BD" w:rsidRDefault="00312D16" w:rsidP="00227F29">
      <w:pPr>
        <w:pStyle w:val="E3BodyText"/>
      </w:pPr>
      <w:r w:rsidRPr="00312D16">
        <w:t>Packaging information is also important to assist in product identification during compliance activities.  Past experience with compliance surveys of lighting products has shown that it is often difficult to match a product found for sale with the range of registered products.  One option may be to require additional identification information to be provided during product registration.  Such information would need to be able to be found on all lamps or packaging – bar codes may be one example.  Stakeholder input is requested in order to establish the best way to collect product identification data for lighting products during the registration process in order to assist with compliance activities.</w:t>
      </w:r>
    </w:p>
    <w:p w:rsidR="00EC66C0" w:rsidRDefault="00E330BD" w:rsidP="00E96970">
      <w:pPr>
        <w:pStyle w:val="Heading3"/>
      </w:pPr>
      <w:bookmarkStart w:id="264" w:name="_Toc426387799"/>
      <w:r>
        <w:t xml:space="preserve">Labelling and </w:t>
      </w:r>
      <w:r w:rsidR="00AE499F">
        <w:t>HEPS</w:t>
      </w:r>
      <w:bookmarkEnd w:id="264"/>
    </w:p>
    <w:p w:rsidR="00E330BD" w:rsidRPr="004A2059" w:rsidRDefault="00E330BD" w:rsidP="004A2059">
      <w:pPr>
        <w:pStyle w:val="E3BodyText"/>
      </w:pPr>
      <w:r w:rsidRPr="004A2059">
        <w:t xml:space="preserve">Product energy labelling has its influence primarily at the point of consumer product purchase, thereby encouraging manufacturers to produce more efficient equipment.  Energy labelling includes comparative labelling (e.g.  a star rating) or the use of voluntary endorsement labelling such as ENERGY STAR.  New Zealand runs an active ENERGY STAR scheme for a number of electrical </w:t>
      </w:r>
      <w:r w:rsidR="003738CE" w:rsidRPr="004A2059">
        <w:t>appliances;</w:t>
      </w:r>
      <w:r w:rsidRPr="004A2059">
        <w:t xml:space="preserve"> including CFLs an</w:t>
      </w:r>
      <w:r w:rsidRPr="006F672D">
        <w:t xml:space="preserve">d LEDs (see Chapter </w:t>
      </w:r>
      <w:r w:rsidR="006F672D" w:rsidRPr="006F672D">
        <w:t>7</w:t>
      </w:r>
      <w:r w:rsidRPr="006F672D">
        <w:t>).</w:t>
      </w:r>
      <w:r w:rsidRPr="004A2059">
        <w:t xml:space="preserve">  An option would be for Australia to adopt the New Zealand specification of ENERGY STAR for </w:t>
      </w:r>
      <w:r w:rsidR="004A2059">
        <w:t>CFL and LED products</w:t>
      </w:r>
      <w:r w:rsidRPr="004A2059">
        <w:t>.  This would provide an added means of encouraging lamp suppliers to meet high energy performance levels voluntarily.</w:t>
      </w:r>
    </w:p>
    <w:p w:rsidR="004A2059" w:rsidRDefault="00E330BD" w:rsidP="004A2059">
      <w:pPr>
        <w:pStyle w:val="E3BodyText"/>
      </w:pPr>
      <w:r w:rsidRPr="004A2059">
        <w:t xml:space="preserve">The main disadvantage of any voluntary labelling scheme is that it is generally only the high efficiency products (typically the top 20% of the market) which are labelled and, while it would make it easier for consumers to identify these products, they would not be able to compare the performance and benefits with the lower efficiency products.  </w:t>
      </w:r>
      <w:r w:rsidR="004C6947">
        <w:t>S</w:t>
      </w:r>
      <w:r w:rsidR="004A2059">
        <w:t>uch a scheme would also have less impact in large parts of the</w:t>
      </w:r>
      <w:r w:rsidR="004A2059" w:rsidRPr="004A2059">
        <w:t xml:space="preserve"> commercial lighting market</w:t>
      </w:r>
      <w:r w:rsidR="004A2059">
        <w:t xml:space="preserve">, subject to a split incentive </w:t>
      </w:r>
      <w:r w:rsidR="004A2059" w:rsidRPr="004A2059">
        <w:t xml:space="preserve">where the appliance is purchased by </w:t>
      </w:r>
      <w:r w:rsidR="004C6947">
        <w:t>the building owner</w:t>
      </w:r>
      <w:r w:rsidR="004A2059" w:rsidRPr="004A2059">
        <w:t xml:space="preserve"> who </w:t>
      </w:r>
      <w:r w:rsidR="004C6947">
        <w:t xml:space="preserve">often </w:t>
      </w:r>
      <w:r w:rsidR="004A2059" w:rsidRPr="004A2059">
        <w:t>isn’t the end-user and bill</w:t>
      </w:r>
      <w:r w:rsidR="004A2059">
        <w:t xml:space="preserve"> payer.</w:t>
      </w:r>
    </w:p>
    <w:p w:rsidR="00E330BD" w:rsidRDefault="00E330BD" w:rsidP="004A2059">
      <w:pPr>
        <w:pStyle w:val="E3BodyText"/>
      </w:pPr>
      <w:r w:rsidRPr="004A2059">
        <w:t xml:space="preserve">Endorsement schemes also need to be supported by a robust compliance regime </w:t>
      </w:r>
      <w:r w:rsidR="0067515B">
        <w:t xml:space="preserve">(potentially competing for compliance resources with enforcement of MEPS) </w:t>
      </w:r>
      <w:r w:rsidRPr="004A2059">
        <w:t xml:space="preserve">and considerable marketing and promotion if consumers are going to use and have confidence in endorsement labels.  In the case of lighting, a performance label </w:t>
      </w:r>
      <w:r w:rsidR="004C6947">
        <w:t xml:space="preserve">by </w:t>
      </w:r>
      <w:r w:rsidR="003738CE">
        <w:t>itself</w:t>
      </w:r>
      <w:r w:rsidR="003738CE" w:rsidRPr="004A2059">
        <w:t xml:space="preserve"> would</w:t>
      </w:r>
      <w:r w:rsidRPr="004A2059">
        <w:t xml:space="preserve"> not realise the savings that can be gained by </w:t>
      </w:r>
      <w:r w:rsidR="00BA0A94">
        <w:t>imposing</w:t>
      </w:r>
      <w:r w:rsidRPr="004A2059">
        <w:t xml:space="preserve"> MEPS but</w:t>
      </w:r>
      <w:r w:rsidR="004C6947">
        <w:t>, when combined,</w:t>
      </w:r>
      <w:r w:rsidRPr="004A2059">
        <w:t xml:space="preserve"> may add to savings</w:t>
      </w:r>
      <w:r w:rsidR="004C6947">
        <w:t>. This could be facilitated by</w:t>
      </w:r>
      <w:r w:rsidRPr="004A2059">
        <w:t xml:space="preserve"> Australia follow</w:t>
      </w:r>
      <w:r w:rsidR="004C6947">
        <w:t>ing</w:t>
      </w:r>
      <w:r w:rsidRPr="004A2059">
        <w:t xml:space="preserve"> the lead of New Zealand </w:t>
      </w:r>
      <w:r w:rsidR="004C6947">
        <w:t>in adopting the US Energy Star</w:t>
      </w:r>
      <w:r w:rsidRPr="004A2059">
        <w:t xml:space="preserve"> high performance labe</w:t>
      </w:r>
      <w:r w:rsidR="004A2059">
        <w:t>l in addition to MEPS for CFLs and LEDs</w:t>
      </w:r>
      <w:r w:rsidRPr="004A2059">
        <w:t>.</w:t>
      </w:r>
    </w:p>
    <w:p w:rsidR="004C6947" w:rsidRDefault="004C6947" w:rsidP="004A2059">
      <w:pPr>
        <w:pStyle w:val="E3BodyText"/>
      </w:pPr>
      <w:r>
        <w:t>Given the wide range of efficacy now available (and likely to broaden further in the future)</w:t>
      </w:r>
      <w:r w:rsidR="003738CE">
        <w:t>;</w:t>
      </w:r>
      <w:r>
        <w:t xml:space="preserve"> another alternative would be to apply the Australia New Zealand Energy Rating Label to a range of lighting products. In order to be effective and equitable, the label would need to be required for all technologies available on the market for particular applications – for example, residential omnidirectional and directional lamps.</w:t>
      </w:r>
    </w:p>
    <w:p w:rsidR="004A2059" w:rsidRPr="004A2059" w:rsidRDefault="004A2059" w:rsidP="004A2059">
      <w:pPr>
        <w:pStyle w:val="E3BodyText"/>
      </w:pPr>
      <w:r>
        <w:t xml:space="preserve">A further option would be to open the US Lighting Facts labelling scheme to the Australian </w:t>
      </w:r>
      <w:r w:rsidR="0067515B">
        <w:t>and New Zealand market (</w:t>
      </w:r>
      <w:r>
        <w:t>or establish a similar scheme in Australia</w:t>
      </w:r>
      <w:r w:rsidR="0067515B">
        <w:t xml:space="preserve"> and New Zealand)</w:t>
      </w:r>
      <w:r>
        <w:t xml:space="preserve">.  Consideration is currently being given in the </w:t>
      </w:r>
      <w:r>
        <w:lastRenderedPageBreak/>
        <w:t>IEA 4ESSL Annex as to how the US Lighting Facts Scheme could be extended to other markets</w:t>
      </w:r>
      <w:r w:rsidR="0067515B">
        <w:t xml:space="preserve"> (if agreed by the US administrators)</w:t>
      </w:r>
      <w:r>
        <w:t>.  As discussed in Chapter 4, Lighting Council Australia currently administers a very similar scheme</w:t>
      </w:r>
      <w:r w:rsidR="0067515B">
        <w:t>,</w:t>
      </w:r>
      <w:r>
        <w:t xml:space="preserve"> but this is only open to </w:t>
      </w:r>
      <w:r w:rsidR="0067515B">
        <w:t>C</w:t>
      </w:r>
      <w:r>
        <w:t>ouncil members.</w:t>
      </w:r>
      <w:r w:rsidR="0067515B">
        <w:t xml:space="preserve">  This approach would be most relevant if a decision was made to not go ahead with regulated MEPS requirements for LED lighting.  By requiring test validation of performance claims, the label could ensure that participat</w:t>
      </w:r>
      <w:r w:rsidR="008C6008">
        <w:t>ing products accurately report</w:t>
      </w:r>
      <w:r w:rsidR="0067515B">
        <w:t xml:space="preserve"> performance, but, as no minimum performance levels would be applied, such information in itself may be of limited assistance to less </w:t>
      </w:r>
      <w:r w:rsidR="003738CE">
        <w:t>technically knowledgeable</w:t>
      </w:r>
      <w:r w:rsidR="0067515B">
        <w:t xml:space="preserve"> consumers.</w:t>
      </w:r>
    </w:p>
    <w:p w:rsidR="00CA1FBE" w:rsidRPr="00E9468D" w:rsidRDefault="00795A2E" w:rsidP="004A2059">
      <w:pPr>
        <w:pStyle w:val="E3BodyText"/>
        <w:rPr>
          <w:b/>
          <w:i/>
        </w:rPr>
      </w:pPr>
      <w:r w:rsidRPr="00E9468D">
        <w:rPr>
          <w:b/>
          <w:i/>
        </w:rPr>
        <w:t xml:space="preserve">Option </w:t>
      </w:r>
      <w:r w:rsidR="00F800AB" w:rsidRPr="00E9468D">
        <w:rPr>
          <w:b/>
          <w:i/>
        </w:rPr>
        <w:t>7</w:t>
      </w:r>
      <w:r w:rsidR="00AE499F" w:rsidRPr="00E9468D">
        <w:rPr>
          <w:b/>
          <w:i/>
        </w:rPr>
        <w:t xml:space="preserve">: </w:t>
      </w:r>
      <w:r w:rsidR="0067515B" w:rsidRPr="00E9468D">
        <w:rPr>
          <w:b/>
          <w:i/>
        </w:rPr>
        <w:t xml:space="preserve">That Australia adopt and implement the New Zealand specification of </w:t>
      </w:r>
      <w:r w:rsidR="00A21563" w:rsidRPr="00E9468D">
        <w:rPr>
          <w:b/>
          <w:i/>
        </w:rPr>
        <w:t xml:space="preserve">voluntary </w:t>
      </w:r>
      <w:r w:rsidR="0067515B" w:rsidRPr="00E9468D">
        <w:rPr>
          <w:b/>
          <w:i/>
        </w:rPr>
        <w:t xml:space="preserve">ENERGY STAR </w:t>
      </w:r>
      <w:r w:rsidR="00A21563" w:rsidRPr="00E9468D">
        <w:rPr>
          <w:b/>
          <w:i/>
        </w:rPr>
        <w:t xml:space="preserve">labelling </w:t>
      </w:r>
      <w:r w:rsidR="0067515B" w:rsidRPr="00E9468D">
        <w:rPr>
          <w:b/>
          <w:i/>
        </w:rPr>
        <w:t xml:space="preserve">for </w:t>
      </w:r>
      <w:r w:rsidR="00A21563" w:rsidRPr="00E9468D">
        <w:rPr>
          <w:b/>
          <w:i/>
        </w:rPr>
        <w:t xml:space="preserve">high efficiency </w:t>
      </w:r>
      <w:r w:rsidR="0067515B" w:rsidRPr="00E9468D">
        <w:rPr>
          <w:b/>
          <w:i/>
        </w:rPr>
        <w:t xml:space="preserve">CFL and LED </w:t>
      </w:r>
      <w:r w:rsidR="000736B1" w:rsidRPr="00E9468D">
        <w:rPr>
          <w:b/>
          <w:i/>
        </w:rPr>
        <w:t xml:space="preserve">and luminaire </w:t>
      </w:r>
      <w:r w:rsidR="00A21563" w:rsidRPr="00E9468D">
        <w:rPr>
          <w:b/>
          <w:i/>
        </w:rPr>
        <w:t>products to provide customers with comparative information on lamp efficacy.</w:t>
      </w:r>
    </w:p>
    <w:p w:rsidR="008C6008" w:rsidRPr="00E9468D" w:rsidRDefault="008C6008" w:rsidP="004A2059">
      <w:pPr>
        <w:pStyle w:val="E3BodyText"/>
        <w:rPr>
          <w:b/>
          <w:i/>
        </w:rPr>
      </w:pPr>
      <w:r w:rsidRPr="00E9468D">
        <w:rPr>
          <w:b/>
          <w:i/>
        </w:rPr>
        <w:t xml:space="preserve">Option 8: </w:t>
      </w:r>
      <w:r w:rsidR="00A21563" w:rsidRPr="00E9468D">
        <w:rPr>
          <w:b/>
          <w:i/>
        </w:rPr>
        <w:t>Develop and a</w:t>
      </w:r>
      <w:r w:rsidRPr="00E9468D">
        <w:rPr>
          <w:b/>
          <w:i/>
        </w:rPr>
        <w:t>pply the Australia / New Zealand Energy Rating Label to all lamp technologies available for spec</w:t>
      </w:r>
      <w:r w:rsidR="00A21563" w:rsidRPr="00E9468D">
        <w:rPr>
          <w:b/>
          <w:i/>
        </w:rPr>
        <w:t>ified range of lamp applications to provide customers with comparative information on lamp efficacy.</w:t>
      </w:r>
    </w:p>
    <w:p w:rsidR="0067515B" w:rsidRPr="00B1532A" w:rsidRDefault="00795A2E" w:rsidP="004A2059">
      <w:pPr>
        <w:pStyle w:val="E3BodyText"/>
        <w:rPr>
          <w:i/>
        </w:rPr>
      </w:pPr>
      <w:r w:rsidRPr="00E9468D">
        <w:rPr>
          <w:b/>
          <w:i/>
        </w:rPr>
        <w:t xml:space="preserve">Option </w:t>
      </w:r>
      <w:r w:rsidR="008C6008" w:rsidRPr="00E9468D">
        <w:rPr>
          <w:b/>
          <w:i/>
        </w:rPr>
        <w:t>9</w:t>
      </w:r>
      <w:r w:rsidR="009B3871" w:rsidRPr="00E9468D">
        <w:rPr>
          <w:b/>
          <w:i/>
        </w:rPr>
        <w:t>:</w:t>
      </w:r>
      <w:r w:rsidR="0067515B" w:rsidRPr="00E9468D">
        <w:rPr>
          <w:b/>
          <w:i/>
        </w:rPr>
        <w:t xml:space="preserve"> If a </w:t>
      </w:r>
      <w:r w:rsidR="00C311C3" w:rsidRPr="00E9468D">
        <w:rPr>
          <w:b/>
          <w:i/>
        </w:rPr>
        <w:t>regulated MEPS is not implemented</w:t>
      </w:r>
      <w:r w:rsidR="0067515B" w:rsidRPr="00E9468D">
        <w:rPr>
          <w:b/>
          <w:i/>
        </w:rPr>
        <w:t xml:space="preserve">, Australia and New Zealand establish </w:t>
      </w:r>
      <w:r w:rsidR="00B07ABF" w:rsidRPr="00E9468D">
        <w:rPr>
          <w:b/>
          <w:i/>
        </w:rPr>
        <w:t xml:space="preserve">the </w:t>
      </w:r>
      <w:r w:rsidR="0067515B" w:rsidRPr="00E9468D">
        <w:rPr>
          <w:b/>
          <w:i/>
        </w:rPr>
        <w:t>Ligh</w:t>
      </w:r>
      <w:r w:rsidR="00B1532A" w:rsidRPr="00E9468D">
        <w:rPr>
          <w:b/>
          <w:i/>
        </w:rPr>
        <w:t>ting Facts scheme (or si</w:t>
      </w:r>
      <w:r w:rsidR="00A21563" w:rsidRPr="00E9468D">
        <w:rPr>
          <w:b/>
          <w:i/>
        </w:rPr>
        <w:t>milar program) for LED products to provide consumers with accurate lamp performance information.</w:t>
      </w:r>
    </w:p>
    <w:p w:rsidR="00CA1FBE" w:rsidRPr="00CA1FBE" w:rsidRDefault="00CA1FBE" w:rsidP="00FF1538">
      <w:pPr>
        <w:pStyle w:val="E3Bullets"/>
        <w:numPr>
          <w:ilvl w:val="0"/>
          <w:numId w:val="0"/>
        </w:numPr>
      </w:pPr>
    </w:p>
    <w:p w:rsidR="007B3FC2" w:rsidRDefault="003A0A2C" w:rsidP="00E96970">
      <w:pPr>
        <w:pStyle w:val="Heading3"/>
      </w:pPr>
      <w:bookmarkStart w:id="265" w:name="_Toc426387800"/>
      <w:bookmarkEnd w:id="229"/>
      <w:r>
        <w:t xml:space="preserve">Establishment of an Australian and New Zealand LED </w:t>
      </w:r>
      <w:r w:rsidR="007B3FC2">
        <w:t xml:space="preserve">Test </w:t>
      </w:r>
      <w:r>
        <w:t>Standard</w:t>
      </w:r>
      <w:bookmarkEnd w:id="265"/>
    </w:p>
    <w:p w:rsidR="00FF1538" w:rsidRDefault="003A0A2C" w:rsidP="007B3FC2">
      <w:pPr>
        <w:pStyle w:val="E3BodyText"/>
      </w:pPr>
      <w:r>
        <w:t>While essential if a regulated MEPS was to be introduced, an integrated LED test standard would still be of use if MEPS were not introduced as it would give a common baseline for LED performance testing and validation of performance claims</w:t>
      </w:r>
      <w:r w:rsidR="00FF1538">
        <w:t xml:space="preserve"> in the Australian and New Zealand market</w:t>
      </w:r>
      <w:r>
        <w:t xml:space="preserve">.  </w:t>
      </w:r>
      <w:r w:rsidR="00FF1538">
        <w:t xml:space="preserve">As outlined in Chapter 7, manufacturers and test laboratories have until recently had to rely upon a range of national level test methods in order to determine product performance.  The release of the international </w:t>
      </w:r>
      <w:r w:rsidR="00121601" w:rsidRPr="00121601">
        <w:t>CIE S 025/E:2015: Test Method for LED Lamps, LED Luminaires and LED Modules</w:t>
      </w:r>
      <w:r w:rsidR="00FF1538">
        <w:t xml:space="preserve"> offers an opportunity to establish a AS/NZS LED test standard with reference to </w:t>
      </w:r>
      <w:r w:rsidR="00121601" w:rsidRPr="00121601">
        <w:t>CIE S 025</w:t>
      </w:r>
      <w:r w:rsidR="00FF1538">
        <w:t xml:space="preserve">.  However </w:t>
      </w:r>
      <w:r w:rsidR="00121601" w:rsidRPr="00121601">
        <w:t>CIE S 025</w:t>
      </w:r>
      <w:r w:rsidR="00FF1538">
        <w:t xml:space="preserve"> does not cover all parameters that may be necessary for LED performance testing, so in some cases testing specifications may need to be drawn from other resources including IEC standards.</w:t>
      </w:r>
    </w:p>
    <w:p w:rsidR="00FF1538" w:rsidRDefault="00121601" w:rsidP="007B3FC2">
      <w:pPr>
        <w:pStyle w:val="E3BodyText"/>
      </w:pPr>
      <w:r w:rsidRPr="005F46A2">
        <w:t xml:space="preserve">Appendix </w:t>
      </w:r>
      <w:r w:rsidR="009B3871" w:rsidRPr="005F46A2">
        <w:t>C</w:t>
      </w:r>
      <w:r w:rsidR="00932ABE" w:rsidRPr="005F46A2">
        <w:t xml:space="preserve"> </w:t>
      </w:r>
      <w:r w:rsidRPr="005F46A2">
        <w:t>sets o</w:t>
      </w:r>
      <w:r w:rsidRPr="00121601">
        <w:t xml:space="preserve">ut possible tests that could be included in an Australian and New Zealand LED performance test standard.  The table </w:t>
      </w:r>
      <w:r>
        <w:t>in the appendix reviews the published CIE S 025</w:t>
      </w:r>
      <w:r w:rsidRPr="00121601">
        <w:t xml:space="preserve"> for the specific test methods required for each of the parameters and, where no such test method is provided in CIE - 025, a recommendation from the international standards bodies (IEC, CIE) or a national regulatory authority (USA Energy Star) is provided. Where a relevant test method is available in AS/NZS 4847: Self-ballasted lamps for general lighting services Part 1: Test methods – Energy performance this is also noted.</w:t>
      </w:r>
    </w:p>
    <w:p w:rsidR="003A0A2C" w:rsidRPr="00A66A17" w:rsidRDefault="00121601" w:rsidP="0063603E">
      <w:pPr>
        <w:pStyle w:val="E3BodyIntroductionText"/>
        <w:rPr>
          <w:b/>
        </w:rPr>
      </w:pPr>
      <w:r w:rsidRPr="00A66A17">
        <w:rPr>
          <w:b/>
        </w:rPr>
        <w:t xml:space="preserve">Option </w:t>
      </w:r>
      <w:r w:rsidR="00337F34" w:rsidRPr="00A66A17">
        <w:rPr>
          <w:b/>
        </w:rPr>
        <w:t>10</w:t>
      </w:r>
      <w:r w:rsidR="009B3871" w:rsidRPr="00A66A17">
        <w:rPr>
          <w:b/>
        </w:rPr>
        <w:t xml:space="preserve">: </w:t>
      </w:r>
      <w:r w:rsidR="005F46A2">
        <w:rPr>
          <w:b/>
        </w:rPr>
        <w:t xml:space="preserve">An Australian - </w:t>
      </w:r>
      <w:r w:rsidRPr="00A66A17">
        <w:rPr>
          <w:b/>
        </w:rPr>
        <w:t xml:space="preserve">New Zealand LED test standard be developed </w:t>
      </w:r>
      <w:r w:rsidR="0063603E" w:rsidRPr="00A66A17">
        <w:rPr>
          <w:b/>
        </w:rPr>
        <w:t>with reference to available international test standards including CIE S 025</w:t>
      </w:r>
      <w:r w:rsidRPr="00A66A17">
        <w:rPr>
          <w:b/>
        </w:rPr>
        <w:t>.</w:t>
      </w:r>
    </w:p>
    <w:p w:rsidR="007127B1" w:rsidRPr="003107D2" w:rsidRDefault="00EF546B" w:rsidP="00E96970">
      <w:pPr>
        <w:pStyle w:val="Heading2"/>
      </w:pPr>
      <w:bookmarkStart w:id="266" w:name="_Toc426387801"/>
      <w:r>
        <w:t>Information and e</w:t>
      </w:r>
      <w:r w:rsidR="007127B1" w:rsidRPr="003107D2">
        <w:t>ducation</w:t>
      </w:r>
      <w:bookmarkEnd w:id="266"/>
    </w:p>
    <w:p w:rsidR="00042C78" w:rsidRPr="00042C78" w:rsidRDefault="00042C78" w:rsidP="00042C78">
      <w:pPr>
        <w:rPr>
          <w:b/>
          <w:bCs/>
        </w:rPr>
      </w:pPr>
      <w:bookmarkStart w:id="267" w:name="_Toc255119918"/>
      <w:bookmarkStart w:id="268" w:name="_Ref403398624"/>
      <w:bookmarkStart w:id="269" w:name="_Toc404613366"/>
      <w:r w:rsidRPr="00042C78">
        <w:rPr>
          <w:b/>
          <w:bCs/>
        </w:rPr>
        <w:t>Influencing Lighting Design</w:t>
      </w:r>
      <w:bookmarkEnd w:id="267"/>
      <w:bookmarkEnd w:id="268"/>
      <w:bookmarkEnd w:id="269"/>
    </w:p>
    <w:p w:rsidR="00042C78" w:rsidRPr="00042C78" w:rsidRDefault="00042C78" w:rsidP="00042C78">
      <w:r w:rsidRPr="00042C78">
        <w:t>Good lighting design can further reduce overall lighting energy consumption (as well as provide better lighting quality).  Influencing lighting design can be undertaken at the point of building design and also at the point of building renovation or tenancy turnover.  This option could be explored further and might be achieved by training of lighting professionals, trades, retailers, etc.</w:t>
      </w:r>
    </w:p>
    <w:p w:rsidR="00042C78" w:rsidRDefault="00042C78" w:rsidP="00042C78">
      <w:r>
        <w:t>T</w:t>
      </w:r>
      <w:r w:rsidRPr="00042C78">
        <w:t xml:space="preserve">he Australian government </w:t>
      </w:r>
      <w:r>
        <w:t xml:space="preserve">has previously </w:t>
      </w:r>
      <w:r w:rsidRPr="00042C78">
        <w:t xml:space="preserve">worked with the National Electrical Communications Association (NECA) in developing an Energy Efficient lighting training resource as part of their EcoSmart Electricians Program.  This has also been used as a resource document in other programs run by the Illuminating Engineering Society of Australia and New Zealand and it is planned that this document be reviewed and updated.  </w:t>
      </w:r>
    </w:p>
    <w:p w:rsidR="00042C78" w:rsidRPr="00042C78" w:rsidRDefault="00042C78" w:rsidP="00042C78">
      <w:r w:rsidRPr="00042C78">
        <w:t xml:space="preserve">A specialist lighting retailer training package </w:t>
      </w:r>
      <w:r>
        <w:t>has also now been released</w:t>
      </w:r>
      <w:r w:rsidRPr="00042C78">
        <w:t xml:space="preserve"> in Australia which is intended to help retailers and customers achieve improved energy efficiency outcomes through the selection of more efficient lighting and understanding of better lighting design.  The New Zealand government has also developed the Energywise website, which includes tips on lighting design and a virtual designer tool.</w:t>
      </w:r>
    </w:p>
    <w:p w:rsidR="00042C78" w:rsidRPr="00042C78" w:rsidRDefault="00042C78" w:rsidP="00042C78">
      <w:r w:rsidRPr="00042C78">
        <w:lastRenderedPageBreak/>
        <w:t>The maximum illumination power density requirements for new buildings and significant renovations contained in the Building Code of Australia also encourage efficient lighting design.</w:t>
      </w:r>
    </w:p>
    <w:p w:rsidR="00042C78" w:rsidRPr="00042C78" w:rsidRDefault="00042C78" w:rsidP="00042C78">
      <w:r w:rsidRPr="00042C78">
        <w:t>Ultimately, the ability of information to influence a market toward efficient lighting design relies on relevant information being made available and consumers or installers seeking out the information and/or acting on it at the time they make a purchase or recommend a product.</w:t>
      </w:r>
    </w:p>
    <w:p w:rsidR="00042C78" w:rsidRPr="00042C78" w:rsidRDefault="00042C78" w:rsidP="00042C78">
      <w:pPr>
        <w:rPr>
          <w:b/>
          <w:bCs/>
        </w:rPr>
      </w:pPr>
      <w:bookmarkStart w:id="270" w:name="_Toc255119919"/>
      <w:bookmarkStart w:id="271" w:name="_Ref403398632"/>
      <w:bookmarkStart w:id="272" w:name="_Toc404613367"/>
      <w:r w:rsidRPr="00042C78">
        <w:rPr>
          <w:b/>
          <w:bCs/>
        </w:rPr>
        <w:t>Changing Consumer Behaviour</w:t>
      </w:r>
      <w:bookmarkEnd w:id="270"/>
      <w:bookmarkEnd w:id="271"/>
      <w:bookmarkEnd w:id="272"/>
    </w:p>
    <w:p w:rsidR="00042C78" w:rsidRPr="00042C78" w:rsidRDefault="00042C78" w:rsidP="00042C78">
      <w:r w:rsidRPr="00042C78">
        <w:t xml:space="preserve">Changing consumer behaviour can target buying behaviour and operating behaviour, and can be achieved using educational initiatives and incentives such as lamp exchange programs or </w:t>
      </w:r>
      <w:r w:rsidR="000736B1">
        <w:t>point of sale</w:t>
      </w:r>
      <w:r w:rsidR="00932ABE">
        <w:t xml:space="preserve"> </w:t>
      </w:r>
      <w:r w:rsidRPr="00042C78">
        <w:t>information.</w:t>
      </w:r>
    </w:p>
    <w:p w:rsidR="00042C78" w:rsidRPr="00042C78" w:rsidRDefault="00042C78" w:rsidP="00042C78">
      <w:r w:rsidRPr="00042C78">
        <w:t xml:space="preserve">At the start of the </w:t>
      </w:r>
      <w:r w:rsidR="000736B1">
        <w:t xml:space="preserve">Australian </w:t>
      </w:r>
      <w:r w:rsidRPr="00042C78">
        <w:t>phase-out of inefficient lighting in 2009, the initial focus of the communication strategy was to educate consumers and store assistants in-store of the most appropriate energy efficient lamp alternative to the traditional incandescent light globe.</w:t>
      </w:r>
    </w:p>
    <w:p w:rsidR="00042C78" w:rsidRPr="00042C78" w:rsidRDefault="00042C78" w:rsidP="00042C78">
      <w:r w:rsidRPr="00042C78">
        <w:t xml:space="preserve">In consultation with </w:t>
      </w:r>
      <w:r w:rsidR="000736B1">
        <w:t xml:space="preserve">Australian </w:t>
      </w:r>
      <w:r w:rsidRPr="00042C78">
        <w:t>retailers, E3 created and distributed to retailers a range of Change the Globe (CTG) branded POS materials, including consumer and staff posters, CFL stylised hanging posters, light globe and globe conversion guides (as stand-alone cards and tear-off forms), and shelf-strips.  More detail on the phase-out, including Frequently Asked Questions and fact sheets on health aspects, were included on the then Department of Environment, Water, Heritage and the Arts website (now on the Energy Rating website).</w:t>
      </w:r>
    </w:p>
    <w:p w:rsidR="00042C78" w:rsidRPr="00042C78" w:rsidRDefault="00042C78" w:rsidP="00042C78">
      <w:r w:rsidRPr="00042C78">
        <w:t>A research study assessing the POS campaign (Winton Sustainable Research Strategies 2011) in mid-2010 found that most people were aware of the phase-out before the POS campaign materials and associated publicity were released.  Less than half the sample recalled seeing any POS materials to do with the phase-out and, despite being supplied to participating retailers, little POS materials were found in stores.  At the time of the survey two years after the commencement of the phase-out, most people thought that the CTG POS material was no longer needed in its current format since the phase-out had largely occurred.  However, many consumers felt there was still a need for some kind of POS material containing information to a</w:t>
      </w:r>
      <w:r w:rsidR="008C6008">
        <w:t>ssist</w:t>
      </w:r>
      <w:r w:rsidRPr="00042C78">
        <w:t xml:space="preserve"> with:</w:t>
      </w:r>
    </w:p>
    <w:p w:rsidR="00042C78" w:rsidRPr="00042C78" w:rsidRDefault="00042C78" w:rsidP="00F1452F">
      <w:pPr>
        <w:numPr>
          <w:ilvl w:val="0"/>
          <w:numId w:val="8"/>
        </w:numPr>
      </w:pPr>
      <w:r w:rsidRPr="00042C78">
        <w:t>choosing the appropriate “brightness” of light to meet their needs;</w:t>
      </w:r>
    </w:p>
    <w:p w:rsidR="00042C78" w:rsidRPr="00042C78" w:rsidRDefault="00042C78" w:rsidP="00F1452F">
      <w:pPr>
        <w:numPr>
          <w:ilvl w:val="0"/>
          <w:numId w:val="8"/>
        </w:numPr>
      </w:pPr>
      <w:r w:rsidRPr="00042C78">
        <w:t>choosing the appropriate colour of light;</w:t>
      </w:r>
    </w:p>
    <w:p w:rsidR="00042C78" w:rsidRPr="00042C78" w:rsidRDefault="00042C78" w:rsidP="00F1452F">
      <w:pPr>
        <w:numPr>
          <w:ilvl w:val="0"/>
          <w:numId w:val="8"/>
        </w:numPr>
      </w:pPr>
      <w:r w:rsidRPr="00042C78">
        <w:t>clearly explaining LEDs; and</w:t>
      </w:r>
    </w:p>
    <w:p w:rsidR="00042C78" w:rsidRPr="00042C78" w:rsidRDefault="00042C78" w:rsidP="00F1452F">
      <w:pPr>
        <w:numPr>
          <w:ilvl w:val="0"/>
          <w:numId w:val="8"/>
        </w:numPr>
      </w:pPr>
      <w:r w:rsidRPr="00042C78">
        <w:t>providing advice on a range of common concerns and issues mainly related to CFLs (e.g.  flickering, slow start-up, mercury, correct disposal).</w:t>
      </w:r>
    </w:p>
    <w:p w:rsidR="00042C78" w:rsidRDefault="00042C78" w:rsidP="00042C78">
      <w:pPr>
        <w:rPr>
          <w:lang w:val="en-US"/>
        </w:rPr>
      </w:pPr>
      <w:r>
        <w:t xml:space="preserve">The recently </w:t>
      </w:r>
      <w:r w:rsidRPr="00042C78">
        <w:t xml:space="preserve">released specialist Lighting Retailer Training Package (developed in consultation with retailers and the lighting industry) </w:t>
      </w:r>
      <w:r>
        <w:t>is</w:t>
      </w:r>
      <w:r w:rsidRPr="00042C78">
        <w:rPr>
          <w:lang w:val="en-US"/>
        </w:rPr>
        <w:t xml:space="preserve"> intended to help retailers and their customers achieve improved energy efficiency outcomes through the selection of more efficient lighting and understanding of better lighting design.</w:t>
      </w:r>
    </w:p>
    <w:p w:rsidR="00042C78" w:rsidRDefault="00042C78" w:rsidP="00042C78">
      <w:pPr>
        <w:rPr>
          <w:lang w:val="en-US"/>
        </w:rPr>
      </w:pPr>
      <w:r>
        <w:rPr>
          <w:lang w:val="en-US"/>
        </w:rPr>
        <w:t xml:space="preserve">A guide to purchasing LED lighting has also been provided on the E3 website, however with the increasing emergence of LED lighting technology there is potential benefit in further information being provided on selecting and using LED lamps and luminaires.  </w:t>
      </w:r>
    </w:p>
    <w:p w:rsidR="000736B1" w:rsidRPr="00042C78" w:rsidRDefault="000736B1" w:rsidP="00042C78">
      <w:r w:rsidRPr="000736B1">
        <w:t>In New Zealand, Energywise website information is available to compare running costs of lamps, there have been POS promotions, TV commercials and ENERGY STAR labelling to promote efficient lighting.</w:t>
      </w:r>
    </w:p>
    <w:p w:rsidR="00042C78" w:rsidRPr="00042C78" w:rsidRDefault="00042C78" w:rsidP="00042C78">
      <w:r w:rsidRPr="00042C78">
        <w:t xml:space="preserve">The option of encouraging or requiring preferred rated </w:t>
      </w:r>
      <w:r w:rsidR="00471CDE">
        <w:t>luminous flux values outlined</w:t>
      </w:r>
      <w:r w:rsidRPr="00042C78">
        <w:t xml:space="preserve"> i</w:t>
      </w:r>
      <w:r w:rsidRPr="002B7B44">
        <w:t xml:space="preserve">n section </w:t>
      </w:r>
      <w:r w:rsidR="002B7B44" w:rsidRPr="002B7B44">
        <w:fldChar w:fldCharType="begin"/>
      </w:r>
      <w:r w:rsidR="002B7B44" w:rsidRPr="002B7B44">
        <w:instrText xml:space="preserve"> REF _Ref398298221 \r \h </w:instrText>
      </w:r>
      <w:r w:rsidR="002B7B44">
        <w:instrText xml:space="preserve"> \* MERGEFORMAT </w:instrText>
      </w:r>
      <w:r w:rsidR="002B7B44" w:rsidRPr="002B7B44">
        <w:fldChar w:fldCharType="separate"/>
      </w:r>
      <w:r w:rsidR="002C13E2">
        <w:t>9.2.5</w:t>
      </w:r>
      <w:r w:rsidR="002B7B44" w:rsidRPr="002B7B44">
        <w:fldChar w:fldCharType="end"/>
      </w:r>
      <w:r w:rsidRPr="00042C78">
        <w:t xml:space="preserve"> accompanied by consumer education, would be one way of assisting consumers to select appropriate “brightness”</w:t>
      </w:r>
      <w:r>
        <w:t xml:space="preserve"> of light for their needs in LED lamps.</w:t>
      </w:r>
    </w:p>
    <w:p w:rsidR="00042C78" w:rsidRPr="00042C78" w:rsidRDefault="00042C78" w:rsidP="00042C78">
      <w:r w:rsidRPr="00042C78">
        <w:t>One of the disadvantages of an information campaign alone is that awareness and promotional activities only have a limited effect to establish new practices and norms.  The awareness and promotional phase cannot be maintained indefinitely due to the large operational costs involved.  It is also dependent upon retailers being willing to have material in-store.</w:t>
      </w:r>
    </w:p>
    <w:p w:rsidR="00042C78" w:rsidRPr="00042C78" w:rsidRDefault="00042C78" w:rsidP="00042C78">
      <w:r w:rsidRPr="00042C78">
        <w:t xml:space="preserve">Encouragement of </w:t>
      </w:r>
      <w:r>
        <w:t xml:space="preserve">efficient lighting such as LEDs </w:t>
      </w:r>
      <w:r w:rsidRPr="00042C78">
        <w:t xml:space="preserve">and </w:t>
      </w:r>
      <w:r>
        <w:t>CFL</w:t>
      </w:r>
      <w:r w:rsidRPr="00042C78">
        <w:t xml:space="preserve"> lamps over halogen lamps through information and education (by industry and/or government) may be explored as an option.  However, </w:t>
      </w:r>
      <w:r>
        <w:t>the significant</w:t>
      </w:r>
      <w:r w:rsidRPr="00042C78">
        <w:t xml:space="preserve"> difference in the level of </w:t>
      </w:r>
      <w:r>
        <w:t>transition from incandescent lighting</w:t>
      </w:r>
      <w:r w:rsidRPr="00042C78">
        <w:t xml:space="preserve"> between Australia (</w:t>
      </w:r>
      <w:r>
        <w:t xml:space="preserve">62% </w:t>
      </w:r>
      <w:r w:rsidRPr="00042C78">
        <w:t>where MEPS has been in place since 2009) and New Zealand (</w:t>
      </w:r>
      <w:r>
        <w:t xml:space="preserve">32% </w:t>
      </w:r>
      <w:r w:rsidRPr="00042C78">
        <w:t xml:space="preserve">where MEPS is not in place for incandescent lamps and only since 1 October 2012 for CFL </w:t>
      </w:r>
      <w:r>
        <w:t>lamps</w:t>
      </w:r>
      <w:r w:rsidRPr="00042C78">
        <w:t xml:space="preserve">), it is clear that a combination of MEPS and education will result in significantly more uptake of efficient lighting alternatives than education programs alone. </w:t>
      </w:r>
    </w:p>
    <w:p w:rsidR="00362B3C" w:rsidRDefault="00042C78" w:rsidP="007127B1">
      <w:r w:rsidRPr="00042C78">
        <w:lastRenderedPageBreak/>
        <w:t>Any further consumer awareness initiatives addressing the issues outlined above would benefit from evaluation and testing with consumers and the lighting industry prior to release.</w:t>
      </w:r>
    </w:p>
    <w:p w:rsidR="00AD5D00" w:rsidRPr="00A66A17" w:rsidRDefault="00AD5D00" w:rsidP="00AD5D00">
      <w:pPr>
        <w:pStyle w:val="E3BodyIntroductionText"/>
        <w:rPr>
          <w:b/>
        </w:rPr>
      </w:pPr>
      <w:r w:rsidRPr="00A66A17">
        <w:rPr>
          <w:b/>
        </w:rPr>
        <w:t xml:space="preserve">Option </w:t>
      </w:r>
      <w:r w:rsidR="00F800AB" w:rsidRPr="00A66A17">
        <w:rPr>
          <w:b/>
        </w:rPr>
        <w:t>1</w:t>
      </w:r>
      <w:r w:rsidR="005F46A2">
        <w:rPr>
          <w:b/>
        </w:rPr>
        <w:t xml:space="preserve">1: </w:t>
      </w:r>
      <w:r w:rsidR="001B367D" w:rsidRPr="00A66A17">
        <w:rPr>
          <w:b/>
        </w:rPr>
        <w:t xml:space="preserve">Implement a </w:t>
      </w:r>
      <w:r w:rsidRPr="00A66A17">
        <w:rPr>
          <w:b/>
        </w:rPr>
        <w:t>consumer education campaign about LED lighting (in cooperation with the lighting industry and retailers) either:</w:t>
      </w:r>
    </w:p>
    <w:p w:rsidR="00AD5D00" w:rsidRPr="00A66A17" w:rsidRDefault="00AD5D00" w:rsidP="00AD5D00">
      <w:pPr>
        <w:pStyle w:val="E3Bullets"/>
        <w:rPr>
          <w:b/>
          <w:i/>
        </w:rPr>
      </w:pPr>
      <w:r w:rsidRPr="00A66A17">
        <w:rPr>
          <w:b/>
          <w:i/>
        </w:rPr>
        <w:t>alongside the introduction of MEPS for LEDs;</w:t>
      </w:r>
    </w:p>
    <w:p w:rsidR="00AD5D00" w:rsidRPr="00A66A17" w:rsidRDefault="00AD5D00" w:rsidP="00AD5D00">
      <w:pPr>
        <w:pStyle w:val="E3Bullets"/>
        <w:rPr>
          <w:b/>
          <w:i/>
        </w:rPr>
      </w:pPr>
      <w:r w:rsidRPr="00A66A17">
        <w:rPr>
          <w:b/>
          <w:i/>
        </w:rPr>
        <w:t>alongside the introduction of a labelling scheme; or</w:t>
      </w:r>
    </w:p>
    <w:p w:rsidR="00AD5D00" w:rsidRPr="00AD5D00" w:rsidRDefault="00AD5D00" w:rsidP="007127B1">
      <w:pPr>
        <w:pStyle w:val="E3Bullets"/>
        <w:rPr>
          <w:i/>
        </w:rPr>
      </w:pPr>
      <w:r w:rsidRPr="00A66A17">
        <w:rPr>
          <w:b/>
          <w:i/>
        </w:rPr>
        <w:t>as a stand-alone initiative.</w:t>
      </w:r>
    </w:p>
    <w:p w:rsidR="00D57455" w:rsidRPr="00D57455" w:rsidRDefault="00D57455" w:rsidP="00D57455">
      <w:pPr>
        <w:rPr>
          <w:b/>
          <w:bCs/>
        </w:rPr>
      </w:pPr>
      <w:bookmarkStart w:id="273" w:name="_Toc255119920"/>
      <w:bookmarkStart w:id="274" w:name="_Ref403398638"/>
      <w:bookmarkStart w:id="275" w:name="_Toc404613368"/>
      <w:r w:rsidRPr="00D57455">
        <w:rPr>
          <w:b/>
          <w:bCs/>
        </w:rPr>
        <w:t>Grants and Subsidies</w:t>
      </w:r>
      <w:bookmarkEnd w:id="273"/>
      <w:bookmarkEnd w:id="274"/>
      <w:bookmarkEnd w:id="275"/>
    </w:p>
    <w:p w:rsidR="00D57455" w:rsidRPr="008A2CAF" w:rsidRDefault="00D57455" w:rsidP="007127B1">
      <w:r w:rsidRPr="00573268">
        <w:t>Grants and subsidies can reduce financial barriers to energy efficient lighting.  They include tax incentives, rebates and energy efficiency obligation schemes which generate subsidies for retrofit of e</w:t>
      </w:r>
      <w:r w:rsidR="00035859">
        <w:t>fficient lighting. Section 8.8.3</w:t>
      </w:r>
      <w:r w:rsidRPr="00573268">
        <w:t xml:space="preserve"> of the E3 2014 Incandescent, Halogen and Compact Fluorescent Lamp Product Profile discusses current grants and subsidy programs in place for efficient lightin</w:t>
      </w:r>
      <w:r w:rsidR="008A2CAF">
        <w:t>g in Australia and New Zealand.</w:t>
      </w:r>
    </w:p>
    <w:p w:rsidR="00F112EE" w:rsidRDefault="00F112EE" w:rsidP="00E96970">
      <w:pPr>
        <w:pStyle w:val="Heading2"/>
      </w:pPr>
      <w:bookmarkStart w:id="276" w:name="_Toc426387802"/>
      <w:r>
        <w:t>Summary of policy options</w:t>
      </w:r>
      <w:bookmarkEnd w:id="276"/>
    </w:p>
    <w:p w:rsidR="00FE5000" w:rsidRDefault="00FE5000" w:rsidP="007127B1">
      <w:pPr>
        <w:rPr>
          <w:bCs/>
        </w:rPr>
      </w:pPr>
      <w:r>
        <w:t xml:space="preserve">Possible policy directions for </w:t>
      </w:r>
      <w:r w:rsidR="00823BA9">
        <w:t>LED</w:t>
      </w:r>
      <w:r>
        <w:t xml:space="preserve"> lighting products within the scope of this Product Profile are summarised below. More than one option could be implemented at the same time. </w:t>
      </w:r>
      <w:r w:rsidRPr="003B1034">
        <w:rPr>
          <w:bCs/>
        </w:rPr>
        <w:t xml:space="preserve">Policy options investigated in a </w:t>
      </w:r>
      <w:r>
        <w:rPr>
          <w:bCs/>
        </w:rPr>
        <w:t>Regulation Impact Statement (</w:t>
      </w:r>
      <w:r w:rsidRPr="003B1034">
        <w:rPr>
          <w:bCs/>
        </w:rPr>
        <w:t>RIS</w:t>
      </w:r>
      <w:r>
        <w:rPr>
          <w:bCs/>
        </w:rPr>
        <w:t>)</w:t>
      </w:r>
      <w:r w:rsidRPr="003B1034">
        <w:rPr>
          <w:bCs/>
        </w:rPr>
        <w:t xml:space="preserve"> would be subject to further consultation </w:t>
      </w:r>
      <w:r>
        <w:rPr>
          <w:bCs/>
        </w:rPr>
        <w:t xml:space="preserve">in both countries, </w:t>
      </w:r>
      <w:r w:rsidRPr="003B1034">
        <w:rPr>
          <w:bCs/>
        </w:rPr>
        <w:t xml:space="preserve">and </w:t>
      </w:r>
      <w:r>
        <w:rPr>
          <w:bCs/>
        </w:rPr>
        <w:t xml:space="preserve">to </w:t>
      </w:r>
      <w:r w:rsidRPr="003B1034">
        <w:rPr>
          <w:bCs/>
        </w:rPr>
        <w:t>Ministerial approval in New Zealand.</w:t>
      </w:r>
    </w:p>
    <w:p w:rsidR="001B367D" w:rsidRPr="00AC53BD" w:rsidRDefault="001B367D" w:rsidP="001B367D">
      <w:pPr>
        <w:pStyle w:val="E3BodyText"/>
        <w:rPr>
          <w:i/>
        </w:rPr>
      </w:pPr>
      <w:r w:rsidRPr="001C7FA8">
        <w:rPr>
          <w:b/>
          <w:i/>
        </w:rPr>
        <w:t>Option 1:</w:t>
      </w:r>
      <w:r w:rsidRPr="00AC53BD">
        <w:rPr>
          <w:i/>
        </w:rPr>
        <w:t xml:space="preserve"> Introduce </w:t>
      </w:r>
      <w:r>
        <w:rPr>
          <w:i/>
        </w:rPr>
        <w:t xml:space="preserve">LED </w:t>
      </w:r>
      <w:r w:rsidRPr="00AC53BD">
        <w:rPr>
          <w:i/>
        </w:rPr>
        <w:t>MEPS with a minimum efficacy level set to remove the lower performing lamps in the Australia and New Zealand Market.  Efficacy level to be either:</w:t>
      </w:r>
    </w:p>
    <w:p w:rsidR="001B367D" w:rsidRPr="00AC53BD" w:rsidRDefault="001B367D" w:rsidP="00F1452F">
      <w:pPr>
        <w:pStyle w:val="E3BodyText"/>
        <w:numPr>
          <w:ilvl w:val="0"/>
          <w:numId w:val="3"/>
        </w:numPr>
        <w:ind w:left="360"/>
        <w:rPr>
          <w:i/>
        </w:rPr>
      </w:pPr>
      <w:r w:rsidRPr="00AC53BD">
        <w:rPr>
          <w:i/>
        </w:rPr>
        <w:t>One or more linear levels; or</w:t>
      </w:r>
    </w:p>
    <w:p w:rsidR="001B367D" w:rsidRPr="00AC53BD" w:rsidRDefault="001B367D" w:rsidP="00F1452F">
      <w:pPr>
        <w:pStyle w:val="E3BodyText"/>
        <w:numPr>
          <w:ilvl w:val="0"/>
          <w:numId w:val="3"/>
        </w:numPr>
        <w:ind w:left="360"/>
        <w:rPr>
          <w:i/>
        </w:rPr>
      </w:pPr>
      <w:r w:rsidRPr="00AC53BD">
        <w:rPr>
          <w:i/>
        </w:rPr>
        <w:t>A curved level.</w:t>
      </w:r>
    </w:p>
    <w:p w:rsidR="001B367D" w:rsidRPr="00AC53BD" w:rsidRDefault="001B367D" w:rsidP="001B367D">
      <w:pPr>
        <w:pStyle w:val="E3BodyText"/>
        <w:rPr>
          <w:i/>
        </w:rPr>
      </w:pPr>
      <w:r w:rsidRPr="001C7FA8">
        <w:rPr>
          <w:b/>
          <w:i/>
        </w:rPr>
        <w:t>Option 2:</w:t>
      </w:r>
      <w:r w:rsidRPr="00AC53BD">
        <w:rPr>
          <w:i/>
        </w:rPr>
        <w:t xml:space="preserve"> Set a timetable of increases to minimum efficacy levels</w:t>
      </w:r>
      <w:r w:rsidR="001C7FA8">
        <w:rPr>
          <w:i/>
        </w:rPr>
        <w:t xml:space="preserve"> via MEPS</w:t>
      </w:r>
      <w:r w:rsidRPr="00AC53BD">
        <w:rPr>
          <w:i/>
        </w:rPr>
        <w:t>.</w:t>
      </w:r>
    </w:p>
    <w:p w:rsidR="001B367D" w:rsidRPr="00AC53BD" w:rsidRDefault="001B367D" w:rsidP="001B367D">
      <w:pPr>
        <w:pStyle w:val="E3BodyText"/>
        <w:rPr>
          <w:i/>
        </w:rPr>
      </w:pPr>
      <w:r w:rsidRPr="001C7FA8">
        <w:rPr>
          <w:b/>
          <w:i/>
        </w:rPr>
        <w:t>Option 3:</w:t>
      </w:r>
      <w:r w:rsidRPr="00AC53BD">
        <w:rPr>
          <w:i/>
        </w:rPr>
        <w:t xml:space="preserve"> LED MEPS to also include a range of performance parameters (that address important quality and performance issues found in market testing) to ensure that LED lighting provides </w:t>
      </w:r>
      <w:r w:rsidR="001A339B">
        <w:rPr>
          <w:i/>
        </w:rPr>
        <w:t xml:space="preserve">an </w:t>
      </w:r>
      <w:r w:rsidRPr="00AC53BD">
        <w:rPr>
          <w:i/>
        </w:rPr>
        <w:t>effective as well as effi</w:t>
      </w:r>
      <w:r w:rsidR="001A339B">
        <w:rPr>
          <w:i/>
        </w:rPr>
        <w:t>cient lighting alternative</w:t>
      </w:r>
      <w:r w:rsidRPr="00AC53BD">
        <w:rPr>
          <w:i/>
        </w:rPr>
        <w:t>.</w:t>
      </w:r>
    </w:p>
    <w:p w:rsidR="001B367D" w:rsidRPr="00AC53BD" w:rsidRDefault="001B367D" w:rsidP="001B367D">
      <w:pPr>
        <w:pStyle w:val="E3BodyText"/>
        <w:rPr>
          <w:bCs/>
        </w:rPr>
      </w:pPr>
      <w:r w:rsidRPr="001C7FA8">
        <w:rPr>
          <w:b/>
          <w:i/>
        </w:rPr>
        <w:t>Option 4:</w:t>
      </w:r>
      <w:r w:rsidRPr="00AC53BD">
        <w:rPr>
          <w:i/>
        </w:rPr>
        <w:t xml:space="preserve"> Include optional </w:t>
      </w:r>
      <w:r w:rsidR="00EA2737">
        <w:rPr>
          <w:i/>
        </w:rPr>
        <w:t xml:space="preserve">extreme conditions performance </w:t>
      </w:r>
      <w:r w:rsidRPr="00AC53BD">
        <w:rPr>
          <w:i/>
        </w:rPr>
        <w:t>specifications in the Australian and New Zealand Standard and/or MEPS.</w:t>
      </w:r>
    </w:p>
    <w:p w:rsidR="001B367D" w:rsidRPr="00AC53BD" w:rsidRDefault="001B367D" w:rsidP="001B367D">
      <w:pPr>
        <w:pStyle w:val="E3BodyText"/>
        <w:rPr>
          <w:i/>
        </w:rPr>
      </w:pPr>
      <w:r w:rsidRPr="001C7FA8">
        <w:rPr>
          <w:b/>
          <w:i/>
        </w:rPr>
        <w:t>Option 5:</w:t>
      </w:r>
      <w:r w:rsidRPr="00AC53BD">
        <w:rPr>
          <w:i/>
        </w:rPr>
        <w:t xml:space="preserve"> </w:t>
      </w:r>
      <w:r>
        <w:rPr>
          <w:i/>
        </w:rPr>
        <w:t>I</w:t>
      </w:r>
      <w:r w:rsidRPr="00AC53BD">
        <w:rPr>
          <w:i/>
        </w:rPr>
        <w:t xml:space="preserve">n the MEPS </w:t>
      </w:r>
      <w:r>
        <w:rPr>
          <w:i/>
        </w:rPr>
        <w:t xml:space="preserve">include </w:t>
      </w:r>
      <w:r w:rsidRPr="00AC53BD">
        <w:rPr>
          <w:i/>
        </w:rPr>
        <w:t>a preferred range of rated luminous flux values to be used on lamp packaging, along with a requirement for lumens per W</w:t>
      </w:r>
      <w:r w:rsidR="001A339B">
        <w:rPr>
          <w:i/>
        </w:rPr>
        <w:t xml:space="preserve">att to be included on packaging </w:t>
      </w:r>
      <w:r w:rsidR="001A339B" w:rsidRPr="001A339B">
        <w:rPr>
          <w:i/>
        </w:rPr>
        <w:t>in order to assist consumers in selecting replacement lamps</w:t>
      </w:r>
      <w:r w:rsidR="001A339B">
        <w:rPr>
          <w:i/>
        </w:rPr>
        <w:t>.</w:t>
      </w:r>
    </w:p>
    <w:p w:rsidR="001B367D" w:rsidRPr="00AC53BD" w:rsidRDefault="001B367D" w:rsidP="001B367D">
      <w:pPr>
        <w:pStyle w:val="E3BodyText"/>
        <w:rPr>
          <w:i/>
        </w:rPr>
      </w:pPr>
      <w:r w:rsidRPr="001C7FA8">
        <w:rPr>
          <w:b/>
          <w:i/>
        </w:rPr>
        <w:t>Option 6:</w:t>
      </w:r>
      <w:r w:rsidRPr="00AC53BD">
        <w:rPr>
          <w:i/>
        </w:rPr>
        <w:t xml:space="preserve"> Suppliers be required to include efficacy and performance information on LED product packaging and/or the LED product</w:t>
      </w:r>
      <w:r w:rsidR="001A339B" w:rsidRPr="001A339B">
        <w:t xml:space="preserve"> </w:t>
      </w:r>
      <w:r w:rsidR="001A339B" w:rsidRPr="001A339B">
        <w:rPr>
          <w:i/>
        </w:rPr>
        <w:t xml:space="preserve">to enable customers to choose </w:t>
      </w:r>
      <w:r w:rsidR="009B3871" w:rsidRPr="001A339B">
        <w:rPr>
          <w:i/>
        </w:rPr>
        <w:t>a</w:t>
      </w:r>
      <w:r w:rsidR="001A339B" w:rsidRPr="001A339B">
        <w:rPr>
          <w:i/>
        </w:rPr>
        <w:t xml:space="preserve"> suitab</w:t>
      </w:r>
      <w:r w:rsidR="001A339B">
        <w:rPr>
          <w:i/>
        </w:rPr>
        <w:t>le and efficient model</w:t>
      </w:r>
      <w:r w:rsidRPr="00AC53BD">
        <w:rPr>
          <w:i/>
        </w:rPr>
        <w:t>.</w:t>
      </w:r>
    </w:p>
    <w:p w:rsidR="001B367D" w:rsidRPr="00AC53BD" w:rsidRDefault="001B367D" w:rsidP="001B367D">
      <w:pPr>
        <w:pStyle w:val="E3BodyText"/>
        <w:rPr>
          <w:i/>
        </w:rPr>
      </w:pPr>
      <w:r w:rsidRPr="001C7FA8">
        <w:rPr>
          <w:b/>
          <w:i/>
        </w:rPr>
        <w:t>Option 7:</w:t>
      </w:r>
      <w:r w:rsidRPr="00AC53BD">
        <w:rPr>
          <w:i/>
        </w:rPr>
        <w:t xml:space="preserve"> That Australia adopt and implement the New Zealand specification of </w:t>
      </w:r>
      <w:r w:rsidR="001A339B">
        <w:rPr>
          <w:i/>
        </w:rPr>
        <w:t xml:space="preserve">voluntary </w:t>
      </w:r>
      <w:r w:rsidRPr="00AC53BD">
        <w:rPr>
          <w:i/>
        </w:rPr>
        <w:t>ENERGY STAR</w:t>
      </w:r>
      <w:r w:rsidR="001A339B">
        <w:rPr>
          <w:i/>
        </w:rPr>
        <w:t xml:space="preserve"> labelling</w:t>
      </w:r>
      <w:r w:rsidRPr="00AC53BD">
        <w:rPr>
          <w:i/>
        </w:rPr>
        <w:t xml:space="preserve"> for </w:t>
      </w:r>
      <w:r w:rsidR="001A339B">
        <w:rPr>
          <w:i/>
        </w:rPr>
        <w:t xml:space="preserve">high efficiency </w:t>
      </w:r>
      <w:r w:rsidRPr="00AC53BD">
        <w:rPr>
          <w:i/>
        </w:rPr>
        <w:t>CFL and LED products</w:t>
      </w:r>
      <w:r w:rsidR="001A339B">
        <w:rPr>
          <w:i/>
        </w:rPr>
        <w:t xml:space="preserve"> to provide guidance on high performance lamps</w:t>
      </w:r>
      <w:r w:rsidRPr="00AC53BD">
        <w:rPr>
          <w:i/>
        </w:rPr>
        <w:t>.</w:t>
      </w:r>
    </w:p>
    <w:p w:rsidR="001B367D" w:rsidRPr="00AC53BD" w:rsidRDefault="001B367D" w:rsidP="001B367D">
      <w:pPr>
        <w:pStyle w:val="E3BodyText"/>
        <w:rPr>
          <w:i/>
        </w:rPr>
      </w:pPr>
      <w:r w:rsidRPr="001C7FA8">
        <w:rPr>
          <w:b/>
          <w:i/>
        </w:rPr>
        <w:t>Option 8:</w:t>
      </w:r>
      <w:r w:rsidRPr="00AC53BD">
        <w:rPr>
          <w:i/>
        </w:rPr>
        <w:t xml:space="preserve"> </w:t>
      </w:r>
      <w:r w:rsidR="001A339B">
        <w:rPr>
          <w:i/>
        </w:rPr>
        <w:t>Develop and apply</w:t>
      </w:r>
      <w:r w:rsidRPr="00AC53BD">
        <w:rPr>
          <w:i/>
        </w:rPr>
        <w:t xml:space="preserve"> the Australia / New Zealand Energy Rating Label to all lamp technologies available for speci</w:t>
      </w:r>
      <w:r w:rsidR="001A339B">
        <w:rPr>
          <w:i/>
        </w:rPr>
        <w:t xml:space="preserve">fied range of lamp applications </w:t>
      </w:r>
      <w:r w:rsidR="001A339B" w:rsidRPr="001A339B">
        <w:rPr>
          <w:i/>
        </w:rPr>
        <w:t xml:space="preserve">to provide customers with comparative information </w:t>
      </w:r>
      <w:r w:rsidR="001A339B">
        <w:rPr>
          <w:i/>
        </w:rPr>
        <w:t>on lamp efficacy.</w:t>
      </w:r>
    </w:p>
    <w:p w:rsidR="001B367D" w:rsidRPr="00AC53BD" w:rsidRDefault="009B3871" w:rsidP="001B367D">
      <w:pPr>
        <w:pStyle w:val="E3BodyText"/>
        <w:rPr>
          <w:i/>
        </w:rPr>
      </w:pPr>
      <w:r w:rsidRPr="001C7FA8">
        <w:rPr>
          <w:b/>
          <w:i/>
        </w:rPr>
        <w:t>Option 9:</w:t>
      </w:r>
      <w:r w:rsidR="00EA2737">
        <w:rPr>
          <w:i/>
        </w:rPr>
        <w:t xml:space="preserve"> If a </w:t>
      </w:r>
      <w:r w:rsidR="001B367D" w:rsidRPr="00AC53BD">
        <w:rPr>
          <w:i/>
        </w:rPr>
        <w:t>regulated MEPS is not implemented, Australia and New Zealand establish the Lighting Facts scheme (or si</w:t>
      </w:r>
      <w:r w:rsidR="001A339B">
        <w:rPr>
          <w:i/>
        </w:rPr>
        <w:t xml:space="preserve">milar program) for LED products </w:t>
      </w:r>
      <w:r w:rsidR="001A339B" w:rsidRPr="001A339B">
        <w:rPr>
          <w:i/>
        </w:rPr>
        <w:t>to provide consumers with accurate lamp performance information</w:t>
      </w:r>
      <w:r w:rsidR="001A339B">
        <w:rPr>
          <w:i/>
        </w:rPr>
        <w:t>.</w:t>
      </w:r>
    </w:p>
    <w:p w:rsidR="001B367D" w:rsidRPr="00AC53BD" w:rsidRDefault="009B3871" w:rsidP="001B367D">
      <w:pPr>
        <w:pStyle w:val="E3BodyText"/>
        <w:rPr>
          <w:i/>
        </w:rPr>
      </w:pPr>
      <w:r w:rsidRPr="001C7FA8">
        <w:rPr>
          <w:b/>
          <w:i/>
        </w:rPr>
        <w:t>Option 10:</w:t>
      </w:r>
      <w:r w:rsidR="001B367D" w:rsidRPr="00AC53BD">
        <w:rPr>
          <w:i/>
        </w:rPr>
        <w:t xml:space="preserve"> An Australian - New Zealand LED test standard be developed with reference to available international test standards including CIE S 025.</w:t>
      </w:r>
    </w:p>
    <w:p w:rsidR="001B367D" w:rsidRPr="00AC53BD" w:rsidRDefault="001B367D" w:rsidP="001B367D">
      <w:pPr>
        <w:pStyle w:val="E3BodyText"/>
        <w:rPr>
          <w:i/>
        </w:rPr>
      </w:pPr>
      <w:r w:rsidRPr="001C7FA8">
        <w:rPr>
          <w:b/>
          <w:i/>
        </w:rPr>
        <w:t>Option 1</w:t>
      </w:r>
      <w:r w:rsidR="009B3871" w:rsidRPr="001C7FA8">
        <w:rPr>
          <w:b/>
          <w:i/>
        </w:rPr>
        <w:t>1:</w:t>
      </w:r>
      <w:r w:rsidR="009B3871">
        <w:rPr>
          <w:i/>
        </w:rPr>
        <w:t xml:space="preserve"> </w:t>
      </w:r>
      <w:r>
        <w:rPr>
          <w:i/>
        </w:rPr>
        <w:t xml:space="preserve">Implement a </w:t>
      </w:r>
      <w:r w:rsidRPr="00AC53BD">
        <w:rPr>
          <w:i/>
        </w:rPr>
        <w:t>consumer education campaign about LED lighting (in cooperation with the lighting industry and retailers) either:</w:t>
      </w:r>
    </w:p>
    <w:p w:rsidR="001B367D" w:rsidRPr="00AC53BD" w:rsidRDefault="001B367D" w:rsidP="00F1452F">
      <w:pPr>
        <w:pStyle w:val="E3BodyText"/>
        <w:numPr>
          <w:ilvl w:val="0"/>
          <w:numId w:val="3"/>
        </w:numPr>
        <w:ind w:left="360"/>
        <w:rPr>
          <w:i/>
        </w:rPr>
      </w:pPr>
      <w:r w:rsidRPr="00AC53BD">
        <w:rPr>
          <w:i/>
        </w:rPr>
        <w:t>alongside the introduction of MEPS for LEDs;</w:t>
      </w:r>
    </w:p>
    <w:p w:rsidR="001B367D" w:rsidRPr="00AC53BD" w:rsidRDefault="001B367D" w:rsidP="00F1452F">
      <w:pPr>
        <w:pStyle w:val="E3BodyText"/>
        <w:numPr>
          <w:ilvl w:val="0"/>
          <w:numId w:val="3"/>
        </w:numPr>
        <w:ind w:left="360"/>
        <w:rPr>
          <w:i/>
        </w:rPr>
      </w:pPr>
      <w:r w:rsidRPr="00AC53BD">
        <w:rPr>
          <w:i/>
        </w:rPr>
        <w:t>alongside the introduction of a labelling scheme; or</w:t>
      </w:r>
    </w:p>
    <w:p w:rsidR="001B367D" w:rsidRPr="00BE6566" w:rsidRDefault="001B367D" w:rsidP="00F1452F">
      <w:pPr>
        <w:pStyle w:val="E3BodyText"/>
        <w:numPr>
          <w:ilvl w:val="0"/>
          <w:numId w:val="3"/>
        </w:numPr>
        <w:ind w:left="360"/>
        <w:rPr>
          <w:i/>
        </w:rPr>
      </w:pPr>
      <w:r w:rsidRPr="00AC53BD">
        <w:rPr>
          <w:i/>
        </w:rPr>
        <w:lastRenderedPageBreak/>
        <w:t>as a stand-alone initiative.</w:t>
      </w:r>
    </w:p>
    <w:p w:rsidR="00FE5000" w:rsidRDefault="00A60E01" w:rsidP="00E96970">
      <w:pPr>
        <w:pStyle w:val="Heading2"/>
      </w:pPr>
      <w:bookmarkStart w:id="277" w:name="_Toc426387803"/>
      <w:r>
        <w:t>Cost-benefit analysis</w:t>
      </w:r>
      <w:bookmarkEnd w:id="277"/>
    </w:p>
    <w:p w:rsidR="00CD5DD3" w:rsidRDefault="00091C62" w:rsidP="00A60E01">
      <w:pPr>
        <w:pStyle w:val="E3BodyText"/>
      </w:pPr>
      <w:r>
        <w:t xml:space="preserve">The level and timing of energy productivity benefits of the transition to </w:t>
      </w:r>
      <w:r w:rsidR="00AF7C8F">
        <w:t>LED lighting</w:t>
      </w:r>
      <w:r w:rsidR="00CD5DD3">
        <w:t xml:space="preserve"> will in part depend upon the speed at which lighting consumers make the transition from less efficient lighting such as the remaining incandescent and halogen lamps.</w:t>
      </w:r>
      <w:r w:rsidR="000F2359">
        <w:t xml:space="preserve">  This in turn will be influenced by policies and regulation for both efficient and inefficient lighting.</w:t>
      </w:r>
    </w:p>
    <w:p w:rsidR="002C13E2" w:rsidRDefault="00CD5DD3" w:rsidP="00804C46">
      <w:pPr>
        <w:pStyle w:val="E3BodyText"/>
      </w:pPr>
      <w:r>
        <w:t xml:space="preserve">The </w:t>
      </w:r>
      <w:r w:rsidRPr="00A66A17">
        <w:t>Incandescent, Halogen and Compact Fluorescent Lamp Product Profile</w:t>
      </w:r>
      <w:r>
        <w:t xml:space="preserve"> proposes an accelerated phase-out of these products through increasing the</w:t>
      </w:r>
      <w:r w:rsidRPr="00CD5DD3">
        <w:t xml:space="preserve"> MEPS for incandescent/halogen lamps in Australia to a level that would result in the removal of these products from the market</w:t>
      </w:r>
      <w:r>
        <w:t xml:space="preserve">, </w:t>
      </w:r>
      <w:r w:rsidRPr="00CD5DD3">
        <w:t xml:space="preserve">as effective and efficient alternative products </w:t>
      </w:r>
      <w:r>
        <w:t>(such as LEDs and CFLs) become</w:t>
      </w:r>
      <w:r w:rsidRPr="00CD5DD3">
        <w:t xml:space="preserve"> available at a reasonable cost</w:t>
      </w:r>
      <w:r w:rsidR="00D84927">
        <w:t xml:space="preserve"> (see Sections 8.2 and 8.3)</w:t>
      </w:r>
      <w:r>
        <w:t>. Note that u</w:t>
      </w:r>
      <w:r w:rsidRPr="00CD5DD3">
        <w:t>nder New Zealand’s existing policy settings, MEPS would only be considered where it does not risk eliminating a lighting technology from the New Zealand market (as is the case with the existing MEPS for CFLs).</w:t>
      </w:r>
      <w:r w:rsidR="00B525E0">
        <w:fldChar w:fldCharType="begin"/>
      </w:r>
      <w:r w:rsidR="00B53DE9">
        <w:instrText xml:space="preserve"> REF _Ref424120086 \h </w:instrText>
      </w:r>
      <w:r w:rsidR="00B525E0">
        <w:fldChar w:fldCharType="separate"/>
      </w:r>
      <w:r w:rsidR="002C13E2">
        <w:t xml:space="preserve"> </w:t>
      </w:r>
    </w:p>
    <w:p w:rsidR="00D84927" w:rsidRDefault="002C13E2" w:rsidP="00A60E01">
      <w:pPr>
        <w:pStyle w:val="E3BodyText"/>
      </w:pPr>
      <w:r>
        <w:t xml:space="preserve">Table </w:t>
      </w:r>
      <w:r>
        <w:rPr>
          <w:noProof/>
        </w:rPr>
        <w:t>18</w:t>
      </w:r>
      <w:r w:rsidR="00B525E0">
        <w:fldChar w:fldCharType="end"/>
      </w:r>
      <w:r w:rsidR="00443A6A">
        <w:t xml:space="preserve"> </w:t>
      </w:r>
      <w:r w:rsidR="00D84927">
        <w:t>shows t</w:t>
      </w:r>
      <w:r w:rsidR="00D84927" w:rsidRPr="00D84927">
        <w:t>he results of the preliminary cost-benefit analysis</w:t>
      </w:r>
      <w:r w:rsidR="00D84927">
        <w:t xml:space="preserve"> for scenarios involving a complete transition to efficient CFL and LED lighting for the residential sector.  </w:t>
      </w:r>
      <w:r w:rsidR="005D00E1">
        <w:t>T</w:t>
      </w:r>
      <w:r w:rsidR="00D84927" w:rsidRPr="00D84927">
        <w:t>he options assessed have positive NPVs and IRRs of at least 3</w:t>
      </w:r>
      <w:r w:rsidR="005D00E1">
        <w:t>4</w:t>
      </w:r>
      <w:r w:rsidR="00D84927" w:rsidRPr="00D84927">
        <w:t>%.  Note that the national energy savings shown depend on all residential lamps being affected by MEPS, noting that there will be further savings from lamps in the commercial sector</w:t>
      </w:r>
      <w:r w:rsidR="00411E4D">
        <w:t xml:space="preserve"> (example shown below)</w:t>
      </w:r>
      <w:r w:rsidR="00D84927" w:rsidRPr="00D84927">
        <w:t>, and that natural market forces will also play a role - MEPS cannot take credit for all of these savings (although the level of anticipated business-as-usual activity is very difficult to forecast).</w:t>
      </w:r>
    </w:p>
    <w:p w:rsidR="00804C46" w:rsidRDefault="00D84927" w:rsidP="00804C46">
      <w:pPr>
        <w:pStyle w:val="E3BodyText"/>
      </w:pPr>
      <w:r>
        <w:t>This f</w:t>
      </w:r>
      <w:r w:rsidRPr="00D84927">
        <w:t xml:space="preserve">urther transition to high efficiency lamps would </w:t>
      </w:r>
      <w:r w:rsidR="00DF0316" w:rsidRPr="00DF0316">
        <w:t>reduce residential lighting energy use in Australia by approximately 65%</w:t>
      </w:r>
      <w:r w:rsidR="00DF0316">
        <w:t xml:space="preserve"> and </w:t>
      </w:r>
      <w:r w:rsidRPr="00D84927">
        <w:t>reduce greenhouse gas emissions by up to 2219 kilotonne CO</w:t>
      </w:r>
      <w:r w:rsidRPr="00804C46">
        <w:t>2</w:t>
      </w:r>
      <w:r w:rsidRPr="00D84927">
        <w:t>-e p.a. for Australia and 966 kilotonne CO</w:t>
      </w:r>
      <w:r w:rsidRPr="00804C46">
        <w:t>2</w:t>
      </w:r>
      <w:r w:rsidRPr="00D84927">
        <w:t xml:space="preserve">-e p.a. for New Zealand and therefore </w:t>
      </w:r>
      <w:r w:rsidR="005D00E1">
        <w:t xml:space="preserve">reduce </w:t>
      </w:r>
      <w:r w:rsidRPr="00D84927">
        <w:t>the cost of carbon abatement.  Improvements to residential lighting have a significant negative abatement cost, at about negative $40 per tonne of CO</w:t>
      </w:r>
      <w:r w:rsidRPr="00804C46">
        <w:t>2</w:t>
      </w:r>
      <w:r w:rsidRPr="00D84927">
        <w:t>-e (Lewis and Gomer 2008).</w:t>
      </w:r>
      <w:bookmarkStart w:id="278" w:name="_Ref424120086"/>
      <w:r w:rsidR="004B2928">
        <w:t xml:space="preserve"> </w:t>
      </w:r>
    </w:p>
    <w:p w:rsidR="00B53DE9" w:rsidRDefault="00B53DE9" w:rsidP="00B53DE9">
      <w:pPr>
        <w:pStyle w:val="Caption"/>
        <w:keepNext/>
      </w:pPr>
      <w:bookmarkStart w:id="279" w:name="_Ref426374284"/>
      <w:bookmarkStart w:id="280" w:name="_Toc426387833"/>
      <w:r>
        <w:t xml:space="preserve">Table </w:t>
      </w:r>
      <w:r w:rsidR="00B525E0">
        <w:fldChar w:fldCharType="begin"/>
      </w:r>
      <w:r>
        <w:instrText xml:space="preserve"> SEQ Table \* ARABIC </w:instrText>
      </w:r>
      <w:r w:rsidR="00B525E0">
        <w:fldChar w:fldCharType="separate"/>
      </w:r>
      <w:r w:rsidR="002C13E2">
        <w:rPr>
          <w:noProof/>
        </w:rPr>
        <w:t>18</w:t>
      </w:r>
      <w:r w:rsidR="00B525E0">
        <w:fldChar w:fldCharType="end"/>
      </w:r>
      <w:bookmarkEnd w:id="278"/>
      <w:bookmarkEnd w:id="279"/>
      <w:r>
        <w:t>.</w:t>
      </w:r>
      <w:r w:rsidRPr="008E41F5">
        <w:t>Preliminary cost benefit analysis and energy savings (from a consumer perspective</w:t>
      </w:r>
      <w:r w:rsidR="00F66BC9">
        <w:t>).</w:t>
      </w:r>
      <w:bookmarkEnd w:id="280"/>
    </w:p>
    <w:tbl>
      <w:tblPr>
        <w:tblW w:w="0" w:type="auto"/>
        <w:tblCellMar>
          <w:top w:w="57" w:type="dxa"/>
          <w:left w:w="57" w:type="dxa"/>
          <w:bottom w:w="57" w:type="dxa"/>
          <w:right w:w="57" w:type="dxa"/>
        </w:tblCellMar>
        <w:tblLook w:val="04A0" w:firstRow="1" w:lastRow="0" w:firstColumn="1" w:lastColumn="0" w:noHBand="0" w:noVBand="1"/>
      </w:tblPr>
      <w:tblGrid>
        <w:gridCol w:w="4715"/>
        <w:gridCol w:w="2781"/>
        <w:gridCol w:w="2257"/>
      </w:tblGrid>
      <w:tr w:rsidR="00D84927" w:rsidRPr="00D84927" w:rsidTr="00D8492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4927" w:rsidRPr="00D84927" w:rsidRDefault="00D84927" w:rsidP="00D84927">
            <w:pPr>
              <w:tabs>
                <w:tab w:val="left" w:pos="3293"/>
              </w:tabs>
              <w:spacing w:after="0" w:line="240" w:lineRule="auto"/>
              <w:rPr>
                <w:rFonts w:eastAsia="Times New Roman"/>
                <w:b/>
                <w:sz w:val="14"/>
                <w:szCs w:val="14"/>
              </w:rPr>
            </w:pPr>
            <w:r w:rsidRPr="00D84927">
              <w:rPr>
                <w:rFonts w:eastAsia="Times New Roman"/>
                <w:b/>
                <w:sz w:val="14"/>
                <w:szCs w:val="14"/>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84927" w:rsidRPr="00D84927" w:rsidRDefault="00D84927" w:rsidP="00D84927">
            <w:pPr>
              <w:tabs>
                <w:tab w:val="left" w:pos="3293"/>
              </w:tabs>
              <w:spacing w:after="0" w:line="240" w:lineRule="auto"/>
              <w:jc w:val="center"/>
              <w:rPr>
                <w:rFonts w:eastAsia="Times New Roman"/>
                <w:b/>
                <w:sz w:val="14"/>
                <w:szCs w:val="14"/>
              </w:rPr>
            </w:pPr>
            <w:r w:rsidRPr="00D84927">
              <w:rPr>
                <w:rFonts w:eastAsia="Times New Roman"/>
                <w:b/>
                <w:sz w:val="14"/>
                <w:szCs w:val="14"/>
              </w:rPr>
              <w:t>Complete Transition from MV incandescent &amp; halogen lamps to CFL and LED</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84927" w:rsidRPr="00D84927" w:rsidRDefault="00D84927" w:rsidP="00D84927">
            <w:pPr>
              <w:tabs>
                <w:tab w:val="left" w:pos="3293"/>
              </w:tabs>
              <w:spacing w:after="0" w:line="240" w:lineRule="auto"/>
              <w:jc w:val="center"/>
              <w:rPr>
                <w:rFonts w:eastAsia="Times New Roman"/>
                <w:b/>
                <w:sz w:val="14"/>
                <w:szCs w:val="14"/>
              </w:rPr>
            </w:pPr>
            <w:r w:rsidRPr="00D84927">
              <w:rPr>
                <w:rFonts w:eastAsia="Times New Roman"/>
                <w:b/>
                <w:sz w:val="14"/>
                <w:szCs w:val="14"/>
              </w:rPr>
              <w:t>Complete Transition from ELV halogen lamps to CFL and LED</w:t>
            </w:r>
          </w:p>
        </w:tc>
      </w:tr>
      <w:tr w:rsidR="00D84927" w:rsidRPr="00D84927" w:rsidTr="00D84927">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84927" w:rsidRPr="00D84927" w:rsidRDefault="00D84927" w:rsidP="00D84927">
            <w:pPr>
              <w:tabs>
                <w:tab w:val="left" w:pos="3293"/>
              </w:tabs>
              <w:spacing w:after="0" w:line="240" w:lineRule="auto"/>
              <w:rPr>
                <w:rFonts w:eastAsia="Times New Roman"/>
                <w:sz w:val="14"/>
                <w:szCs w:val="14"/>
              </w:rPr>
            </w:pPr>
            <w:r w:rsidRPr="00D84927">
              <w:rPr>
                <w:rFonts w:eastAsia="Times New Roman"/>
                <w:sz w:val="14"/>
                <w:szCs w:val="14"/>
              </w:rPr>
              <w:t>Power saving per lamp (W)</w:t>
            </w:r>
          </w:p>
        </w:tc>
        <w:tc>
          <w:tcPr>
            <w:tcW w:w="0" w:type="auto"/>
            <w:tcBorders>
              <w:top w:val="nil"/>
              <w:left w:val="nil"/>
              <w:bottom w:val="single" w:sz="4" w:space="0" w:color="auto"/>
              <w:right w:val="single" w:sz="4" w:space="0" w:color="auto"/>
            </w:tcBorders>
            <w:shd w:val="clear" w:color="auto" w:fill="auto"/>
            <w:noWrap/>
            <w:vAlign w:val="center"/>
            <w:hideMark/>
          </w:tcPr>
          <w:p w:rsidR="00D84927" w:rsidRPr="00D84927" w:rsidRDefault="00D84927" w:rsidP="00D84927">
            <w:pPr>
              <w:tabs>
                <w:tab w:val="left" w:pos="3293"/>
              </w:tabs>
              <w:spacing w:after="0" w:line="240" w:lineRule="auto"/>
              <w:jc w:val="center"/>
              <w:rPr>
                <w:rFonts w:eastAsia="Times New Roman"/>
                <w:sz w:val="14"/>
                <w:szCs w:val="14"/>
              </w:rPr>
            </w:pPr>
            <w:r w:rsidRPr="00D84927">
              <w:rPr>
                <w:rFonts w:eastAsia="Times New Roman"/>
                <w:sz w:val="14"/>
                <w:szCs w:val="14"/>
              </w:rPr>
              <w:t>40</w:t>
            </w:r>
          </w:p>
        </w:tc>
        <w:tc>
          <w:tcPr>
            <w:tcW w:w="0" w:type="auto"/>
            <w:tcBorders>
              <w:top w:val="nil"/>
              <w:left w:val="nil"/>
              <w:bottom w:val="single" w:sz="4" w:space="0" w:color="auto"/>
              <w:right w:val="single" w:sz="4" w:space="0" w:color="auto"/>
            </w:tcBorders>
            <w:shd w:val="clear" w:color="auto" w:fill="auto"/>
            <w:noWrap/>
            <w:vAlign w:val="center"/>
            <w:hideMark/>
          </w:tcPr>
          <w:p w:rsidR="00D84927" w:rsidRPr="00D84927" w:rsidRDefault="00D84927" w:rsidP="00D84927">
            <w:pPr>
              <w:tabs>
                <w:tab w:val="left" w:pos="3293"/>
              </w:tabs>
              <w:spacing w:after="0" w:line="240" w:lineRule="auto"/>
              <w:jc w:val="center"/>
              <w:rPr>
                <w:rFonts w:eastAsia="Times New Roman"/>
                <w:sz w:val="14"/>
                <w:szCs w:val="14"/>
              </w:rPr>
            </w:pPr>
            <w:r w:rsidRPr="00D84927">
              <w:rPr>
                <w:rFonts w:eastAsia="Times New Roman"/>
                <w:sz w:val="14"/>
                <w:szCs w:val="14"/>
              </w:rPr>
              <w:t>26</w:t>
            </w:r>
          </w:p>
        </w:tc>
      </w:tr>
      <w:tr w:rsidR="00D84927" w:rsidRPr="00D84927" w:rsidTr="00D84927">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84927" w:rsidRPr="00D84927" w:rsidRDefault="00D84927" w:rsidP="00D84927">
            <w:pPr>
              <w:tabs>
                <w:tab w:val="left" w:pos="3293"/>
              </w:tabs>
              <w:spacing w:after="0" w:line="240" w:lineRule="auto"/>
              <w:rPr>
                <w:rFonts w:eastAsia="Times New Roman"/>
                <w:sz w:val="14"/>
                <w:szCs w:val="14"/>
              </w:rPr>
            </w:pPr>
            <w:r w:rsidRPr="00D84927">
              <w:rPr>
                <w:rFonts w:eastAsia="Times New Roman"/>
                <w:sz w:val="14"/>
                <w:szCs w:val="14"/>
              </w:rPr>
              <w:t>Energy cost saving per lamp p.a. (@ 1.5hrs/day, 25c/kWh)</w:t>
            </w:r>
          </w:p>
        </w:tc>
        <w:tc>
          <w:tcPr>
            <w:tcW w:w="0" w:type="auto"/>
            <w:tcBorders>
              <w:top w:val="nil"/>
              <w:left w:val="nil"/>
              <w:bottom w:val="single" w:sz="4" w:space="0" w:color="auto"/>
              <w:right w:val="single" w:sz="4" w:space="0" w:color="auto"/>
            </w:tcBorders>
            <w:shd w:val="clear" w:color="auto" w:fill="auto"/>
            <w:noWrap/>
            <w:vAlign w:val="center"/>
            <w:hideMark/>
          </w:tcPr>
          <w:p w:rsidR="00D84927" w:rsidRPr="00D84927" w:rsidRDefault="00D84927" w:rsidP="00D84927">
            <w:pPr>
              <w:tabs>
                <w:tab w:val="left" w:pos="3293"/>
              </w:tabs>
              <w:spacing w:after="0" w:line="240" w:lineRule="auto"/>
              <w:jc w:val="center"/>
              <w:rPr>
                <w:rFonts w:eastAsia="Times New Roman"/>
                <w:sz w:val="14"/>
                <w:szCs w:val="14"/>
              </w:rPr>
            </w:pPr>
            <w:r w:rsidRPr="00D84927">
              <w:rPr>
                <w:rFonts w:eastAsia="Times New Roman"/>
                <w:sz w:val="14"/>
                <w:szCs w:val="14"/>
              </w:rPr>
              <w:t>$5.48</w:t>
            </w:r>
          </w:p>
        </w:tc>
        <w:tc>
          <w:tcPr>
            <w:tcW w:w="0" w:type="auto"/>
            <w:tcBorders>
              <w:top w:val="nil"/>
              <w:left w:val="nil"/>
              <w:bottom w:val="single" w:sz="4" w:space="0" w:color="auto"/>
              <w:right w:val="single" w:sz="4" w:space="0" w:color="auto"/>
            </w:tcBorders>
            <w:shd w:val="clear" w:color="auto" w:fill="auto"/>
            <w:noWrap/>
            <w:vAlign w:val="center"/>
            <w:hideMark/>
          </w:tcPr>
          <w:p w:rsidR="00D84927" w:rsidRPr="00D84927" w:rsidRDefault="00D84927" w:rsidP="00D84927">
            <w:pPr>
              <w:tabs>
                <w:tab w:val="left" w:pos="3293"/>
              </w:tabs>
              <w:spacing w:after="0" w:line="240" w:lineRule="auto"/>
              <w:jc w:val="center"/>
              <w:rPr>
                <w:rFonts w:eastAsia="Times New Roman"/>
                <w:sz w:val="14"/>
                <w:szCs w:val="14"/>
              </w:rPr>
            </w:pPr>
            <w:r w:rsidRPr="00D84927">
              <w:rPr>
                <w:rFonts w:eastAsia="Times New Roman"/>
                <w:sz w:val="14"/>
                <w:szCs w:val="14"/>
              </w:rPr>
              <w:t>$3.56</w:t>
            </w:r>
          </w:p>
        </w:tc>
      </w:tr>
      <w:tr w:rsidR="00D84927" w:rsidRPr="00D84927" w:rsidTr="00D84927">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84927" w:rsidRPr="00D84927" w:rsidRDefault="00D84927" w:rsidP="00D84927">
            <w:pPr>
              <w:tabs>
                <w:tab w:val="left" w:pos="3293"/>
              </w:tabs>
              <w:spacing w:after="0" w:line="240" w:lineRule="auto"/>
              <w:rPr>
                <w:rFonts w:eastAsia="Times New Roman"/>
                <w:sz w:val="14"/>
                <w:szCs w:val="14"/>
              </w:rPr>
            </w:pPr>
            <w:r w:rsidRPr="00D84927">
              <w:rPr>
                <w:rFonts w:eastAsia="Times New Roman"/>
                <w:sz w:val="14"/>
                <w:szCs w:val="14"/>
              </w:rPr>
              <w:t xml:space="preserve">Additional cost per lamp </w:t>
            </w:r>
          </w:p>
          <w:p w:rsidR="00D84927" w:rsidRPr="00D84927" w:rsidRDefault="00D84927" w:rsidP="00D84927">
            <w:pPr>
              <w:tabs>
                <w:tab w:val="left" w:pos="3293"/>
              </w:tabs>
              <w:spacing w:after="0" w:line="240" w:lineRule="auto"/>
              <w:rPr>
                <w:rFonts w:eastAsia="Times New Roman"/>
                <w:sz w:val="14"/>
                <w:szCs w:val="14"/>
              </w:rPr>
            </w:pPr>
            <w:r w:rsidRPr="00D84927">
              <w:rPr>
                <w:rFonts w:eastAsia="Times New Roman"/>
                <w:sz w:val="14"/>
                <w:szCs w:val="14"/>
              </w:rPr>
              <w:t>(note LED lamp cost is likely to be significantly lower in the medium term)</w:t>
            </w:r>
          </w:p>
        </w:tc>
        <w:tc>
          <w:tcPr>
            <w:tcW w:w="0" w:type="auto"/>
            <w:tcBorders>
              <w:top w:val="nil"/>
              <w:left w:val="nil"/>
              <w:bottom w:val="single" w:sz="4" w:space="0" w:color="auto"/>
              <w:right w:val="single" w:sz="4" w:space="0" w:color="auto"/>
            </w:tcBorders>
            <w:shd w:val="clear" w:color="auto" w:fill="auto"/>
            <w:noWrap/>
            <w:vAlign w:val="center"/>
            <w:hideMark/>
          </w:tcPr>
          <w:p w:rsidR="00D84927" w:rsidRPr="00D84927" w:rsidRDefault="00D84927" w:rsidP="00D84927">
            <w:pPr>
              <w:tabs>
                <w:tab w:val="left" w:pos="3293"/>
              </w:tabs>
              <w:spacing w:after="0" w:line="240" w:lineRule="auto"/>
              <w:jc w:val="center"/>
              <w:rPr>
                <w:rFonts w:eastAsia="Times New Roman"/>
                <w:sz w:val="14"/>
                <w:szCs w:val="14"/>
              </w:rPr>
            </w:pPr>
            <w:r w:rsidRPr="00D84927">
              <w:rPr>
                <w:rFonts w:eastAsia="Times New Roman"/>
                <w:sz w:val="14"/>
                <w:szCs w:val="14"/>
              </w:rPr>
              <w:t>$10.00</w:t>
            </w:r>
          </w:p>
        </w:tc>
        <w:tc>
          <w:tcPr>
            <w:tcW w:w="0" w:type="auto"/>
            <w:tcBorders>
              <w:top w:val="nil"/>
              <w:left w:val="nil"/>
              <w:bottom w:val="single" w:sz="4" w:space="0" w:color="auto"/>
              <w:right w:val="single" w:sz="4" w:space="0" w:color="auto"/>
            </w:tcBorders>
            <w:shd w:val="clear" w:color="auto" w:fill="auto"/>
            <w:noWrap/>
            <w:vAlign w:val="center"/>
            <w:hideMark/>
          </w:tcPr>
          <w:p w:rsidR="00D84927" w:rsidRPr="00D84927" w:rsidRDefault="00D84927" w:rsidP="00D84927">
            <w:pPr>
              <w:tabs>
                <w:tab w:val="left" w:pos="3293"/>
              </w:tabs>
              <w:spacing w:after="0" w:line="240" w:lineRule="auto"/>
              <w:jc w:val="center"/>
              <w:rPr>
                <w:rFonts w:eastAsia="Times New Roman"/>
                <w:sz w:val="14"/>
                <w:szCs w:val="14"/>
              </w:rPr>
            </w:pPr>
            <w:r w:rsidRPr="00D84927">
              <w:rPr>
                <w:rFonts w:eastAsia="Times New Roman"/>
                <w:sz w:val="14"/>
                <w:szCs w:val="14"/>
              </w:rPr>
              <w:t>$10.00</w:t>
            </w:r>
          </w:p>
        </w:tc>
      </w:tr>
      <w:tr w:rsidR="00D84927" w:rsidRPr="00D84927" w:rsidTr="00D84927">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84927" w:rsidRPr="00D84927" w:rsidRDefault="00D84927" w:rsidP="00D84927">
            <w:pPr>
              <w:tabs>
                <w:tab w:val="left" w:pos="3293"/>
              </w:tabs>
              <w:spacing w:after="0" w:line="240" w:lineRule="auto"/>
              <w:rPr>
                <w:rFonts w:eastAsia="Times New Roman"/>
                <w:sz w:val="14"/>
                <w:szCs w:val="14"/>
              </w:rPr>
            </w:pPr>
            <w:r w:rsidRPr="00D84927">
              <w:rPr>
                <w:rFonts w:eastAsia="Times New Roman"/>
                <w:sz w:val="14"/>
                <w:szCs w:val="14"/>
              </w:rPr>
              <w:t>Net present value @ 7% over 10 years (per lamp)</w:t>
            </w:r>
          </w:p>
        </w:tc>
        <w:tc>
          <w:tcPr>
            <w:tcW w:w="0" w:type="auto"/>
            <w:tcBorders>
              <w:top w:val="nil"/>
              <w:left w:val="nil"/>
              <w:bottom w:val="single" w:sz="4" w:space="0" w:color="auto"/>
              <w:right w:val="single" w:sz="4" w:space="0" w:color="auto"/>
            </w:tcBorders>
            <w:shd w:val="clear" w:color="auto" w:fill="auto"/>
            <w:noWrap/>
            <w:vAlign w:val="center"/>
            <w:hideMark/>
          </w:tcPr>
          <w:p w:rsidR="00D84927" w:rsidRPr="00D84927" w:rsidRDefault="00D84927" w:rsidP="00D84927">
            <w:pPr>
              <w:tabs>
                <w:tab w:val="left" w:pos="3293"/>
              </w:tabs>
              <w:spacing w:after="0" w:line="240" w:lineRule="auto"/>
              <w:jc w:val="center"/>
              <w:rPr>
                <w:rFonts w:eastAsia="Times New Roman"/>
                <w:sz w:val="14"/>
                <w:szCs w:val="14"/>
              </w:rPr>
            </w:pPr>
            <w:r w:rsidRPr="00D84927">
              <w:rPr>
                <w:rFonts w:eastAsia="Times New Roman"/>
                <w:sz w:val="14"/>
                <w:szCs w:val="14"/>
              </w:rPr>
              <w:t>$28.45</w:t>
            </w:r>
          </w:p>
        </w:tc>
        <w:tc>
          <w:tcPr>
            <w:tcW w:w="0" w:type="auto"/>
            <w:tcBorders>
              <w:top w:val="nil"/>
              <w:left w:val="nil"/>
              <w:bottom w:val="single" w:sz="4" w:space="0" w:color="auto"/>
              <w:right w:val="single" w:sz="4" w:space="0" w:color="auto"/>
            </w:tcBorders>
            <w:shd w:val="clear" w:color="auto" w:fill="auto"/>
            <w:noWrap/>
            <w:vAlign w:val="center"/>
            <w:hideMark/>
          </w:tcPr>
          <w:p w:rsidR="00D84927" w:rsidRPr="00D84927" w:rsidRDefault="00D84927" w:rsidP="00D84927">
            <w:pPr>
              <w:tabs>
                <w:tab w:val="left" w:pos="3293"/>
              </w:tabs>
              <w:spacing w:after="0" w:line="240" w:lineRule="auto"/>
              <w:jc w:val="center"/>
              <w:rPr>
                <w:rFonts w:eastAsia="Times New Roman"/>
                <w:sz w:val="14"/>
                <w:szCs w:val="14"/>
              </w:rPr>
            </w:pPr>
            <w:r w:rsidRPr="00D84927">
              <w:rPr>
                <w:rFonts w:eastAsia="Times New Roman"/>
                <w:sz w:val="14"/>
                <w:szCs w:val="14"/>
              </w:rPr>
              <w:t>$15.00</w:t>
            </w:r>
          </w:p>
        </w:tc>
      </w:tr>
      <w:tr w:rsidR="00D84927" w:rsidRPr="00D84927" w:rsidTr="00D84927">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84927" w:rsidRPr="00D84927" w:rsidRDefault="00D84927" w:rsidP="00D84927">
            <w:pPr>
              <w:tabs>
                <w:tab w:val="left" w:pos="3293"/>
              </w:tabs>
              <w:spacing w:after="0" w:line="240" w:lineRule="auto"/>
              <w:rPr>
                <w:rFonts w:eastAsia="Times New Roman"/>
                <w:sz w:val="14"/>
                <w:szCs w:val="14"/>
              </w:rPr>
            </w:pPr>
            <w:r w:rsidRPr="00D84927">
              <w:rPr>
                <w:rFonts w:eastAsia="Times New Roman"/>
                <w:sz w:val="14"/>
                <w:szCs w:val="14"/>
              </w:rPr>
              <w:t>Internal rate of return (IRR) over 10 years</w:t>
            </w:r>
          </w:p>
        </w:tc>
        <w:tc>
          <w:tcPr>
            <w:tcW w:w="0" w:type="auto"/>
            <w:tcBorders>
              <w:top w:val="nil"/>
              <w:left w:val="nil"/>
              <w:bottom w:val="single" w:sz="4" w:space="0" w:color="auto"/>
              <w:right w:val="single" w:sz="4" w:space="0" w:color="auto"/>
            </w:tcBorders>
            <w:shd w:val="clear" w:color="auto" w:fill="auto"/>
            <w:noWrap/>
            <w:vAlign w:val="center"/>
            <w:hideMark/>
          </w:tcPr>
          <w:p w:rsidR="00D84927" w:rsidRPr="00D84927" w:rsidRDefault="00D84927" w:rsidP="00D84927">
            <w:pPr>
              <w:tabs>
                <w:tab w:val="left" w:pos="3293"/>
              </w:tabs>
              <w:spacing w:after="0" w:line="240" w:lineRule="auto"/>
              <w:jc w:val="center"/>
              <w:rPr>
                <w:rFonts w:eastAsia="Times New Roman"/>
                <w:sz w:val="14"/>
                <w:szCs w:val="14"/>
              </w:rPr>
            </w:pPr>
            <w:r w:rsidRPr="00D84927">
              <w:rPr>
                <w:rFonts w:eastAsia="Times New Roman"/>
                <w:sz w:val="14"/>
                <w:szCs w:val="14"/>
              </w:rPr>
              <w:t>54%</w:t>
            </w:r>
          </w:p>
        </w:tc>
        <w:tc>
          <w:tcPr>
            <w:tcW w:w="0" w:type="auto"/>
            <w:tcBorders>
              <w:top w:val="nil"/>
              <w:left w:val="nil"/>
              <w:bottom w:val="single" w:sz="4" w:space="0" w:color="auto"/>
              <w:right w:val="single" w:sz="4" w:space="0" w:color="auto"/>
            </w:tcBorders>
            <w:shd w:val="clear" w:color="auto" w:fill="auto"/>
            <w:noWrap/>
            <w:vAlign w:val="center"/>
            <w:hideMark/>
          </w:tcPr>
          <w:p w:rsidR="00D84927" w:rsidRPr="00D84927" w:rsidRDefault="00D84927" w:rsidP="00D84927">
            <w:pPr>
              <w:tabs>
                <w:tab w:val="left" w:pos="3293"/>
              </w:tabs>
              <w:spacing w:after="0" w:line="240" w:lineRule="auto"/>
              <w:jc w:val="center"/>
              <w:rPr>
                <w:rFonts w:eastAsia="Times New Roman"/>
                <w:sz w:val="14"/>
                <w:szCs w:val="14"/>
              </w:rPr>
            </w:pPr>
            <w:r w:rsidRPr="00D84927">
              <w:rPr>
                <w:rFonts w:eastAsia="Times New Roman"/>
                <w:sz w:val="14"/>
                <w:szCs w:val="14"/>
              </w:rPr>
              <w:t>34%</w:t>
            </w:r>
          </w:p>
        </w:tc>
      </w:tr>
      <w:tr w:rsidR="00D84927" w:rsidRPr="00D84927" w:rsidTr="008F146B">
        <w:trPr>
          <w:cantSplit/>
        </w:trPr>
        <w:tc>
          <w:tcPr>
            <w:tcW w:w="0" w:type="auto"/>
            <w:tcBorders>
              <w:top w:val="nil"/>
              <w:left w:val="single" w:sz="4" w:space="0" w:color="auto"/>
              <w:bottom w:val="single" w:sz="4" w:space="0" w:color="auto"/>
              <w:right w:val="single" w:sz="4" w:space="0" w:color="auto"/>
            </w:tcBorders>
            <w:shd w:val="clear" w:color="auto" w:fill="auto"/>
            <w:noWrap/>
            <w:vAlign w:val="center"/>
          </w:tcPr>
          <w:p w:rsidR="00D84927" w:rsidRPr="00D84927" w:rsidRDefault="00D84927" w:rsidP="00D84927">
            <w:pPr>
              <w:tabs>
                <w:tab w:val="left" w:pos="3293"/>
              </w:tabs>
              <w:spacing w:after="0" w:line="240" w:lineRule="auto"/>
              <w:rPr>
                <w:rFonts w:eastAsia="Times New Roman"/>
                <w:sz w:val="14"/>
                <w:szCs w:val="14"/>
              </w:rPr>
            </w:pPr>
            <w:r w:rsidRPr="00D84927">
              <w:rPr>
                <w:rFonts w:eastAsia="Times New Roman"/>
                <w:sz w:val="14"/>
                <w:szCs w:val="14"/>
              </w:rPr>
              <w:t>Benefit : cost ratio (nominal over 10 years)</w:t>
            </w:r>
          </w:p>
        </w:tc>
        <w:tc>
          <w:tcPr>
            <w:tcW w:w="0" w:type="auto"/>
            <w:tcBorders>
              <w:top w:val="nil"/>
              <w:left w:val="nil"/>
              <w:bottom w:val="single" w:sz="4" w:space="0" w:color="auto"/>
              <w:right w:val="single" w:sz="4" w:space="0" w:color="auto"/>
            </w:tcBorders>
            <w:shd w:val="clear" w:color="auto" w:fill="auto"/>
            <w:noWrap/>
            <w:vAlign w:val="center"/>
          </w:tcPr>
          <w:p w:rsidR="00D84927" w:rsidRPr="00D84927" w:rsidRDefault="00D84927" w:rsidP="00D84927">
            <w:pPr>
              <w:tabs>
                <w:tab w:val="left" w:pos="3293"/>
              </w:tabs>
              <w:spacing w:after="0" w:line="240" w:lineRule="auto"/>
              <w:jc w:val="center"/>
              <w:rPr>
                <w:rFonts w:eastAsia="Times New Roman"/>
                <w:sz w:val="14"/>
                <w:szCs w:val="14"/>
              </w:rPr>
            </w:pPr>
            <w:r w:rsidRPr="00D84927">
              <w:rPr>
                <w:rFonts w:eastAsia="Times New Roman"/>
                <w:sz w:val="14"/>
                <w:szCs w:val="14"/>
              </w:rPr>
              <w:t>5.5</w:t>
            </w:r>
          </w:p>
        </w:tc>
        <w:tc>
          <w:tcPr>
            <w:tcW w:w="0" w:type="auto"/>
            <w:tcBorders>
              <w:top w:val="nil"/>
              <w:left w:val="nil"/>
              <w:bottom w:val="single" w:sz="4" w:space="0" w:color="auto"/>
              <w:right w:val="single" w:sz="4" w:space="0" w:color="auto"/>
            </w:tcBorders>
            <w:shd w:val="clear" w:color="auto" w:fill="auto"/>
            <w:noWrap/>
            <w:vAlign w:val="center"/>
          </w:tcPr>
          <w:p w:rsidR="00D84927" w:rsidRPr="00D84927" w:rsidRDefault="00D84927" w:rsidP="00D84927">
            <w:pPr>
              <w:tabs>
                <w:tab w:val="left" w:pos="3293"/>
              </w:tabs>
              <w:spacing w:after="0" w:line="240" w:lineRule="auto"/>
              <w:jc w:val="center"/>
              <w:rPr>
                <w:rFonts w:eastAsia="Times New Roman"/>
                <w:sz w:val="14"/>
                <w:szCs w:val="14"/>
              </w:rPr>
            </w:pPr>
            <w:r w:rsidRPr="00D84927">
              <w:rPr>
                <w:rFonts w:eastAsia="Times New Roman"/>
                <w:sz w:val="14"/>
                <w:szCs w:val="14"/>
              </w:rPr>
              <w:t>3.6</w:t>
            </w:r>
          </w:p>
        </w:tc>
      </w:tr>
      <w:tr w:rsidR="00D84927" w:rsidRPr="00D84927" w:rsidTr="00D84927">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84927" w:rsidRPr="00D84927" w:rsidRDefault="00D84927" w:rsidP="00D84927">
            <w:pPr>
              <w:tabs>
                <w:tab w:val="left" w:pos="3293"/>
              </w:tabs>
              <w:spacing w:after="0" w:line="240" w:lineRule="auto"/>
              <w:rPr>
                <w:rFonts w:eastAsia="Times New Roman"/>
                <w:sz w:val="14"/>
                <w:szCs w:val="14"/>
              </w:rPr>
            </w:pPr>
            <w:r w:rsidRPr="00D84927">
              <w:rPr>
                <w:rFonts w:eastAsia="Times New Roman"/>
                <w:sz w:val="14"/>
                <w:szCs w:val="14"/>
              </w:rPr>
              <w:t>No. lamps affected per house (Australia)</w:t>
            </w:r>
          </w:p>
        </w:tc>
        <w:tc>
          <w:tcPr>
            <w:tcW w:w="0" w:type="auto"/>
            <w:tcBorders>
              <w:top w:val="nil"/>
              <w:left w:val="nil"/>
              <w:bottom w:val="single" w:sz="4" w:space="0" w:color="auto"/>
              <w:right w:val="single" w:sz="4" w:space="0" w:color="auto"/>
            </w:tcBorders>
            <w:shd w:val="clear" w:color="auto" w:fill="auto"/>
            <w:noWrap/>
            <w:vAlign w:val="center"/>
            <w:hideMark/>
          </w:tcPr>
          <w:p w:rsidR="00D84927" w:rsidRPr="00D84927" w:rsidRDefault="00D84927" w:rsidP="00D84927">
            <w:pPr>
              <w:tabs>
                <w:tab w:val="left" w:pos="3293"/>
              </w:tabs>
              <w:spacing w:after="0" w:line="240" w:lineRule="auto"/>
              <w:jc w:val="center"/>
              <w:rPr>
                <w:rFonts w:eastAsia="Times New Roman"/>
                <w:sz w:val="14"/>
                <w:szCs w:val="14"/>
              </w:rPr>
            </w:pPr>
            <w:r w:rsidRPr="00D84927">
              <w:rPr>
                <w:rFonts w:eastAsia="Times New Roman"/>
                <w:sz w:val="14"/>
                <w:szCs w:val="14"/>
              </w:rPr>
              <w:t>15.4</w:t>
            </w:r>
          </w:p>
        </w:tc>
        <w:tc>
          <w:tcPr>
            <w:tcW w:w="0" w:type="auto"/>
            <w:tcBorders>
              <w:top w:val="nil"/>
              <w:left w:val="nil"/>
              <w:bottom w:val="single" w:sz="4" w:space="0" w:color="auto"/>
              <w:right w:val="single" w:sz="4" w:space="0" w:color="auto"/>
            </w:tcBorders>
            <w:shd w:val="clear" w:color="auto" w:fill="auto"/>
            <w:noWrap/>
            <w:vAlign w:val="center"/>
            <w:hideMark/>
          </w:tcPr>
          <w:p w:rsidR="00D84927" w:rsidRPr="00D84927" w:rsidRDefault="00D84927" w:rsidP="00D84927">
            <w:pPr>
              <w:tabs>
                <w:tab w:val="left" w:pos="3293"/>
              </w:tabs>
              <w:spacing w:after="0" w:line="240" w:lineRule="auto"/>
              <w:jc w:val="center"/>
              <w:rPr>
                <w:rFonts w:eastAsia="Times New Roman"/>
                <w:sz w:val="14"/>
                <w:szCs w:val="14"/>
              </w:rPr>
            </w:pPr>
            <w:r w:rsidRPr="00D84927">
              <w:rPr>
                <w:rFonts w:eastAsia="Times New Roman"/>
                <w:sz w:val="14"/>
                <w:szCs w:val="14"/>
              </w:rPr>
              <w:t>12.3</w:t>
            </w:r>
          </w:p>
        </w:tc>
      </w:tr>
      <w:tr w:rsidR="00D84927" w:rsidRPr="00D84927" w:rsidTr="00D84927">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84927" w:rsidRPr="00D84927" w:rsidRDefault="00D84927" w:rsidP="00D84927">
            <w:pPr>
              <w:tabs>
                <w:tab w:val="left" w:pos="3293"/>
              </w:tabs>
              <w:spacing w:after="0" w:line="240" w:lineRule="auto"/>
              <w:rPr>
                <w:rFonts w:eastAsia="Times New Roman"/>
                <w:sz w:val="14"/>
                <w:szCs w:val="14"/>
              </w:rPr>
            </w:pPr>
            <w:r w:rsidRPr="00D84927">
              <w:rPr>
                <w:rFonts w:eastAsia="Times New Roman"/>
                <w:sz w:val="14"/>
                <w:szCs w:val="14"/>
              </w:rPr>
              <w:t>No. lamps affected per house (New Zealand)</w:t>
            </w:r>
          </w:p>
        </w:tc>
        <w:tc>
          <w:tcPr>
            <w:tcW w:w="0" w:type="auto"/>
            <w:tcBorders>
              <w:top w:val="nil"/>
              <w:left w:val="nil"/>
              <w:bottom w:val="single" w:sz="4" w:space="0" w:color="auto"/>
              <w:right w:val="single" w:sz="4" w:space="0" w:color="auto"/>
            </w:tcBorders>
            <w:shd w:val="clear" w:color="auto" w:fill="auto"/>
            <w:noWrap/>
            <w:vAlign w:val="center"/>
            <w:hideMark/>
          </w:tcPr>
          <w:p w:rsidR="00D84927" w:rsidRPr="00D84927" w:rsidRDefault="00D84927" w:rsidP="00D84927">
            <w:pPr>
              <w:tabs>
                <w:tab w:val="left" w:pos="3293"/>
              </w:tabs>
              <w:spacing w:after="0" w:line="240" w:lineRule="auto"/>
              <w:jc w:val="center"/>
              <w:rPr>
                <w:rFonts w:eastAsia="Times New Roman"/>
                <w:sz w:val="14"/>
                <w:szCs w:val="14"/>
              </w:rPr>
            </w:pPr>
            <w:r w:rsidRPr="00D84927">
              <w:rPr>
                <w:rFonts w:eastAsia="Times New Roman"/>
                <w:sz w:val="14"/>
                <w:szCs w:val="14"/>
              </w:rPr>
              <w:t>22.3</w:t>
            </w:r>
          </w:p>
        </w:tc>
        <w:tc>
          <w:tcPr>
            <w:tcW w:w="0" w:type="auto"/>
            <w:tcBorders>
              <w:top w:val="nil"/>
              <w:left w:val="nil"/>
              <w:bottom w:val="single" w:sz="4" w:space="0" w:color="auto"/>
              <w:right w:val="single" w:sz="4" w:space="0" w:color="auto"/>
            </w:tcBorders>
            <w:shd w:val="clear" w:color="auto" w:fill="auto"/>
            <w:noWrap/>
            <w:vAlign w:val="center"/>
            <w:hideMark/>
          </w:tcPr>
          <w:p w:rsidR="00D84927" w:rsidRPr="00D84927" w:rsidRDefault="00D84927" w:rsidP="00D84927">
            <w:pPr>
              <w:tabs>
                <w:tab w:val="left" w:pos="3293"/>
              </w:tabs>
              <w:spacing w:after="0" w:line="240" w:lineRule="auto"/>
              <w:jc w:val="center"/>
              <w:rPr>
                <w:rFonts w:eastAsia="Times New Roman"/>
                <w:sz w:val="14"/>
                <w:szCs w:val="14"/>
              </w:rPr>
            </w:pPr>
            <w:r w:rsidRPr="00D84927">
              <w:rPr>
                <w:rFonts w:eastAsia="Times New Roman"/>
                <w:sz w:val="14"/>
                <w:szCs w:val="14"/>
              </w:rPr>
              <w:t>3.8</w:t>
            </w:r>
          </w:p>
        </w:tc>
      </w:tr>
      <w:tr w:rsidR="00D84927" w:rsidRPr="00D84927" w:rsidTr="008F146B">
        <w:trPr>
          <w:cantSplit/>
        </w:trPr>
        <w:tc>
          <w:tcPr>
            <w:tcW w:w="0" w:type="auto"/>
            <w:tcBorders>
              <w:top w:val="nil"/>
              <w:left w:val="single" w:sz="4" w:space="0" w:color="auto"/>
              <w:bottom w:val="single" w:sz="4" w:space="0" w:color="auto"/>
              <w:right w:val="single" w:sz="4" w:space="0" w:color="auto"/>
            </w:tcBorders>
            <w:shd w:val="clear" w:color="auto" w:fill="auto"/>
            <w:noWrap/>
            <w:vAlign w:val="center"/>
          </w:tcPr>
          <w:p w:rsidR="00D84927" w:rsidRPr="00D84927" w:rsidRDefault="00D84927" w:rsidP="00D84927">
            <w:pPr>
              <w:tabs>
                <w:tab w:val="left" w:pos="3293"/>
              </w:tabs>
              <w:spacing w:after="0" w:line="240" w:lineRule="auto"/>
              <w:rPr>
                <w:rFonts w:eastAsia="Times New Roman"/>
                <w:sz w:val="14"/>
                <w:szCs w:val="14"/>
              </w:rPr>
            </w:pPr>
            <w:r w:rsidRPr="00D84927">
              <w:rPr>
                <w:rFonts w:eastAsia="Times New Roman"/>
                <w:sz w:val="14"/>
                <w:szCs w:val="14"/>
              </w:rPr>
              <w:t>Annual national energy savings (Australia) (TWh p.a.)</w:t>
            </w:r>
          </w:p>
        </w:tc>
        <w:tc>
          <w:tcPr>
            <w:tcW w:w="0" w:type="auto"/>
            <w:tcBorders>
              <w:top w:val="nil"/>
              <w:left w:val="nil"/>
              <w:bottom w:val="single" w:sz="4" w:space="0" w:color="auto"/>
              <w:right w:val="single" w:sz="4" w:space="0" w:color="auto"/>
            </w:tcBorders>
            <w:shd w:val="clear" w:color="auto" w:fill="auto"/>
            <w:noWrap/>
            <w:vAlign w:val="center"/>
          </w:tcPr>
          <w:p w:rsidR="00D84927" w:rsidRPr="00D84927" w:rsidRDefault="00D84927" w:rsidP="00D84927">
            <w:pPr>
              <w:tabs>
                <w:tab w:val="left" w:pos="3293"/>
              </w:tabs>
              <w:spacing w:after="0" w:line="240" w:lineRule="auto"/>
              <w:jc w:val="center"/>
              <w:rPr>
                <w:rFonts w:eastAsia="Times New Roman"/>
                <w:sz w:val="14"/>
                <w:szCs w:val="14"/>
              </w:rPr>
            </w:pPr>
            <w:r w:rsidRPr="00D84927">
              <w:rPr>
                <w:rFonts w:eastAsia="Times New Roman"/>
                <w:sz w:val="14"/>
                <w:szCs w:val="14"/>
              </w:rPr>
              <w:t>3.4</w:t>
            </w:r>
          </w:p>
        </w:tc>
        <w:tc>
          <w:tcPr>
            <w:tcW w:w="0" w:type="auto"/>
            <w:tcBorders>
              <w:top w:val="nil"/>
              <w:left w:val="nil"/>
              <w:bottom w:val="single" w:sz="4" w:space="0" w:color="auto"/>
              <w:right w:val="single" w:sz="4" w:space="0" w:color="auto"/>
            </w:tcBorders>
            <w:shd w:val="clear" w:color="auto" w:fill="auto"/>
            <w:noWrap/>
            <w:vAlign w:val="center"/>
          </w:tcPr>
          <w:p w:rsidR="00D84927" w:rsidRPr="00D84927" w:rsidRDefault="00D84927" w:rsidP="00D84927">
            <w:pPr>
              <w:tabs>
                <w:tab w:val="left" w:pos="3293"/>
              </w:tabs>
              <w:spacing w:after="0" w:line="240" w:lineRule="auto"/>
              <w:jc w:val="center"/>
              <w:rPr>
                <w:rFonts w:eastAsia="Times New Roman"/>
                <w:sz w:val="14"/>
                <w:szCs w:val="14"/>
              </w:rPr>
            </w:pPr>
            <w:r w:rsidRPr="00D84927">
              <w:rPr>
                <w:rFonts w:eastAsia="Times New Roman"/>
                <w:sz w:val="14"/>
                <w:szCs w:val="14"/>
              </w:rPr>
              <w:t>1.8</w:t>
            </w:r>
          </w:p>
        </w:tc>
      </w:tr>
      <w:tr w:rsidR="00D84927" w:rsidRPr="00D84927" w:rsidTr="008F146B">
        <w:trPr>
          <w:cantSplit/>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84927" w:rsidRPr="00D84927" w:rsidRDefault="00D84927" w:rsidP="00D84927">
            <w:pPr>
              <w:tabs>
                <w:tab w:val="left" w:pos="3293"/>
              </w:tabs>
              <w:spacing w:after="0" w:line="240" w:lineRule="auto"/>
              <w:rPr>
                <w:rFonts w:eastAsia="Times New Roman"/>
                <w:sz w:val="14"/>
                <w:szCs w:val="14"/>
              </w:rPr>
            </w:pPr>
            <w:r w:rsidRPr="00D84927">
              <w:rPr>
                <w:rFonts w:eastAsia="Times New Roman"/>
                <w:sz w:val="14"/>
                <w:szCs w:val="14"/>
              </w:rPr>
              <w:t>Annual national energy savings (Australia) (PJ p.a.)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84927" w:rsidRPr="00D84927" w:rsidRDefault="00D84927" w:rsidP="00D84927">
            <w:pPr>
              <w:tabs>
                <w:tab w:val="left" w:pos="3293"/>
              </w:tabs>
              <w:spacing w:after="0" w:line="240" w:lineRule="auto"/>
              <w:jc w:val="center"/>
              <w:rPr>
                <w:rFonts w:eastAsia="Times New Roman"/>
                <w:sz w:val="14"/>
                <w:szCs w:val="14"/>
              </w:rPr>
            </w:pPr>
            <w:r w:rsidRPr="00D84927">
              <w:rPr>
                <w:rFonts w:eastAsia="Times New Roman"/>
                <w:sz w:val="14"/>
                <w:szCs w:val="14"/>
              </w:rPr>
              <w:t>12.3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84927" w:rsidRPr="00D84927" w:rsidRDefault="00D84927" w:rsidP="00D84927">
            <w:pPr>
              <w:tabs>
                <w:tab w:val="left" w:pos="3293"/>
              </w:tabs>
              <w:spacing w:after="0" w:line="240" w:lineRule="auto"/>
              <w:jc w:val="center"/>
              <w:rPr>
                <w:rFonts w:eastAsia="Times New Roman"/>
                <w:sz w:val="14"/>
                <w:szCs w:val="14"/>
              </w:rPr>
            </w:pPr>
            <w:r w:rsidRPr="00D84927">
              <w:rPr>
                <w:rFonts w:eastAsia="Times New Roman"/>
                <w:sz w:val="14"/>
                <w:szCs w:val="14"/>
              </w:rPr>
              <w:t>6.4</w:t>
            </w:r>
          </w:p>
        </w:tc>
      </w:tr>
      <w:tr w:rsidR="00D84927" w:rsidRPr="00D84927" w:rsidTr="008F146B">
        <w:trPr>
          <w:cantSplit/>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84927" w:rsidRPr="00D84927" w:rsidRDefault="00D84927" w:rsidP="00D84927">
            <w:pPr>
              <w:tabs>
                <w:tab w:val="left" w:pos="3293"/>
              </w:tabs>
              <w:spacing w:after="0" w:line="240" w:lineRule="auto"/>
              <w:rPr>
                <w:rFonts w:eastAsia="Times New Roman"/>
                <w:sz w:val="14"/>
                <w:szCs w:val="14"/>
              </w:rPr>
            </w:pPr>
            <w:r w:rsidRPr="00D84927">
              <w:rPr>
                <w:rFonts w:eastAsia="Times New Roman"/>
                <w:sz w:val="14"/>
                <w:szCs w:val="14"/>
              </w:rPr>
              <w:t>Annual national energy savings (New Zealand) (TWh p.a.)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84927" w:rsidRPr="00D84927" w:rsidRDefault="00D84927" w:rsidP="00D84927">
            <w:pPr>
              <w:tabs>
                <w:tab w:val="left" w:pos="3293"/>
              </w:tabs>
              <w:spacing w:after="0" w:line="240" w:lineRule="auto"/>
              <w:jc w:val="center"/>
              <w:rPr>
                <w:rFonts w:eastAsia="Times New Roman"/>
                <w:sz w:val="14"/>
                <w:szCs w:val="14"/>
              </w:rPr>
            </w:pPr>
            <w:r w:rsidRPr="00D84927">
              <w:rPr>
                <w:rFonts w:eastAsia="Times New Roman"/>
                <w:sz w:val="14"/>
                <w:szCs w:val="14"/>
              </w:rPr>
              <w:t>0.8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84927" w:rsidRPr="00D84927" w:rsidRDefault="00D84927" w:rsidP="00D84927">
            <w:pPr>
              <w:tabs>
                <w:tab w:val="left" w:pos="3293"/>
              </w:tabs>
              <w:spacing w:after="0" w:line="240" w:lineRule="auto"/>
              <w:jc w:val="center"/>
              <w:rPr>
                <w:rFonts w:eastAsia="Times New Roman"/>
                <w:sz w:val="14"/>
                <w:szCs w:val="14"/>
              </w:rPr>
            </w:pPr>
            <w:r w:rsidRPr="00D84927">
              <w:rPr>
                <w:rFonts w:eastAsia="Times New Roman"/>
                <w:sz w:val="14"/>
                <w:szCs w:val="14"/>
              </w:rPr>
              <w:t>0.1</w:t>
            </w:r>
          </w:p>
        </w:tc>
      </w:tr>
      <w:tr w:rsidR="00D84927" w:rsidRPr="00D84927" w:rsidTr="008F146B">
        <w:trPr>
          <w:cantSplit/>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84927" w:rsidRPr="00D84927" w:rsidRDefault="00D84927" w:rsidP="00D84927">
            <w:pPr>
              <w:tabs>
                <w:tab w:val="left" w:pos="3293"/>
              </w:tabs>
              <w:spacing w:after="0" w:line="240" w:lineRule="auto"/>
              <w:rPr>
                <w:rFonts w:eastAsia="Times New Roman"/>
                <w:sz w:val="14"/>
                <w:szCs w:val="14"/>
              </w:rPr>
            </w:pPr>
            <w:r w:rsidRPr="00D84927">
              <w:rPr>
                <w:rFonts w:eastAsia="Times New Roman"/>
                <w:sz w:val="14"/>
                <w:szCs w:val="14"/>
              </w:rPr>
              <w:t>Annual national energy savings (New Zealand) (PJ p.a.)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84927" w:rsidRPr="00D84927" w:rsidRDefault="00D84927" w:rsidP="00D84927">
            <w:pPr>
              <w:tabs>
                <w:tab w:val="left" w:pos="3293"/>
              </w:tabs>
              <w:spacing w:after="0" w:line="240" w:lineRule="auto"/>
              <w:jc w:val="center"/>
              <w:rPr>
                <w:rFonts w:eastAsia="Times New Roman"/>
                <w:sz w:val="14"/>
                <w:szCs w:val="14"/>
              </w:rPr>
            </w:pPr>
            <w:r w:rsidRPr="00D84927">
              <w:rPr>
                <w:rFonts w:eastAsia="Times New Roman"/>
                <w:sz w:val="14"/>
                <w:szCs w:val="14"/>
              </w:rPr>
              <w:t>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84927" w:rsidRPr="00D84927" w:rsidRDefault="00D84927" w:rsidP="00D84927">
            <w:pPr>
              <w:tabs>
                <w:tab w:val="left" w:pos="3293"/>
              </w:tabs>
              <w:spacing w:after="0" w:line="240" w:lineRule="auto"/>
              <w:jc w:val="center"/>
              <w:rPr>
                <w:rFonts w:eastAsia="Times New Roman"/>
                <w:sz w:val="14"/>
                <w:szCs w:val="14"/>
              </w:rPr>
            </w:pPr>
            <w:r w:rsidRPr="00D84927">
              <w:rPr>
                <w:rFonts w:eastAsia="Times New Roman"/>
                <w:sz w:val="14"/>
                <w:szCs w:val="14"/>
              </w:rPr>
              <w:t>0.2</w:t>
            </w:r>
          </w:p>
        </w:tc>
      </w:tr>
    </w:tbl>
    <w:p w:rsidR="00091C62" w:rsidRDefault="00091C62" w:rsidP="00A60E01">
      <w:pPr>
        <w:pStyle w:val="E3BodyText"/>
      </w:pPr>
    </w:p>
    <w:p w:rsidR="00553881" w:rsidRDefault="00553881" w:rsidP="00553881">
      <w:pPr>
        <w:pStyle w:val="E3BodyText"/>
      </w:pPr>
      <w:r w:rsidRPr="00553881">
        <w:t>Energy savings in the commercial sector would be achieved through conversion of linear fluorescent lamps to LED lamps. The typical linear fluorescent lamp consumes 40W power and provides 3500 lumens of light, a proportion of which is absorbed in the reflector cavity of a luminaire, whereas the typical LED linear replacement or LED panel runs on 28W and provides 2100 lumens with very low luminaire losses. Using these figures, and based on a daily runtime of 12.6 hours, the change to LED would yield immediate savings (in 2015) of 670 GWh</w:t>
      </w:r>
      <w:r w:rsidR="009B3871">
        <w:t xml:space="preserve"> </w:t>
      </w:r>
      <w:r w:rsidRPr="00553881">
        <w:t>per year in Australia and 130 GWh per year in New Zealand, translating to a saving of 590 megatonne CO</w:t>
      </w:r>
      <w:r w:rsidRPr="00553881">
        <w:rPr>
          <w:vertAlign w:val="subscript"/>
        </w:rPr>
        <w:t>2</w:t>
      </w:r>
      <w:r w:rsidRPr="00553881">
        <w:t xml:space="preserve">-e p.a. </w:t>
      </w:r>
      <w:r>
        <w:t>and 18 </w:t>
      </w:r>
      <w:r w:rsidRPr="00553881">
        <w:t>megatonne CO</w:t>
      </w:r>
      <w:r w:rsidRPr="00553881">
        <w:rPr>
          <w:vertAlign w:val="subscript"/>
        </w:rPr>
        <w:t>2</w:t>
      </w:r>
      <w:r w:rsidRPr="00553881">
        <w:t xml:space="preserve">-e p.a. of greenhouse gas emissions, respectively, as shown </w:t>
      </w:r>
      <w:r w:rsidRPr="00553881">
        <w:fldChar w:fldCharType="begin"/>
      </w:r>
      <w:r w:rsidRPr="00553881">
        <w:instrText xml:space="preserve"> REF _Ref424631990 \h </w:instrText>
      </w:r>
      <w:r w:rsidRPr="00553881">
        <w:fldChar w:fldCharType="separate"/>
      </w:r>
      <w:r w:rsidR="002C13E2" w:rsidRPr="00553881">
        <w:t xml:space="preserve">Figure </w:t>
      </w:r>
      <w:r w:rsidR="002C13E2">
        <w:rPr>
          <w:noProof/>
        </w:rPr>
        <w:t>47</w:t>
      </w:r>
      <w:r w:rsidRPr="00553881">
        <w:fldChar w:fldCharType="end"/>
      </w:r>
      <w:r w:rsidRPr="00553881">
        <w:t>.</w:t>
      </w:r>
      <w:r w:rsidRPr="00553881">
        <w:rPr>
          <w:vertAlign w:val="superscript"/>
        </w:rPr>
        <w:footnoteReference w:id="5"/>
      </w:r>
      <w:r w:rsidRPr="00553881">
        <w:t xml:space="preserve"> By 2030, in consideration of growth of Australian and New Zealand commercial spaces, the energy savings could potentially have risen to 1540 GWh in Australia and 570 GWh in New Zealand during that year.</w:t>
      </w:r>
    </w:p>
    <w:p w:rsidR="00553881" w:rsidRPr="00553881" w:rsidRDefault="00553881" w:rsidP="00E96970">
      <w:pPr>
        <w:pStyle w:val="Caption"/>
      </w:pPr>
      <w:bookmarkStart w:id="281" w:name="_Ref424631990"/>
      <w:bookmarkStart w:id="282" w:name="_Toc426387886"/>
      <w:r w:rsidRPr="00553881">
        <w:lastRenderedPageBreak/>
        <w:t xml:space="preserve">Figure </w:t>
      </w:r>
      <w:r w:rsidRPr="00553881">
        <w:fldChar w:fldCharType="begin"/>
      </w:r>
      <w:r w:rsidRPr="00553881">
        <w:instrText xml:space="preserve"> SEQ Figure \* ARABIC </w:instrText>
      </w:r>
      <w:r w:rsidRPr="00553881">
        <w:fldChar w:fldCharType="separate"/>
      </w:r>
      <w:r w:rsidR="002C13E2">
        <w:rPr>
          <w:noProof/>
        </w:rPr>
        <w:t>47</w:t>
      </w:r>
      <w:r w:rsidRPr="00553881">
        <w:fldChar w:fldCharType="end"/>
      </w:r>
      <w:bookmarkEnd w:id="281"/>
      <w:r w:rsidRPr="00553881">
        <w:t>.Energy savings to be achieved through changeover of all linear fluorescen</w:t>
      </w:r>
      <w:r>
        <w:t>t lamps to LED lamp technology.</w:t>
      </w:r>
      <w:bookmarkEnd w:id="282"/>
    </w:p>
    <w:p w:rsidR="00553881" w:rsidRDefault="00553881" w:rsidP="00A60E01">
      <w:pPr>
        <w:pStyle w:val="E3BodyText"/>
      </w:pPr>
      <w:r>
        <w:rPr>
          <w:noProof/>
          <w:lang w:eastAsia="en-AU"/>
        </w:rPr>
        <w:drawing>
          <wp:inline distT="0" distB="0" distL="0" distR="0" wp14:anchorId="50E7D8A8" wp14:editId="696F95B9">
            <wp:extent cx="5240216" cy="3064975"/>
            <wp:effectExtent l="19050" t="19050" r="17780" b="21590"/>
            <wp:docPr id="15" name="Picture 15" descr="Line Graph displaying Energy Savings (convert LFL to LED).&#10;&#10;From 2010 - 2030 Australia increases from 150 -1550&#10;New Zealand increases from 5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41120" cy="3065504"/>
                    </a:xfrm>
                    <a:prstGeom prst="rect">
                      <a:avLst/>
                    </a:prstGeom>
                    <a:noFill/>
                    <a:ln>
                      <a:solidFill>
                        <a:sysClr val="windowText" lastClr="000000">
                          <a:lumMod val="65000"/>
                          <a:lumOff val="35000"/>
                        </a:sysClr>
                      </a:solidFill>
                    </a:ln>
                  </pic:spPr>
                </pic:pic>
              </a:graphicData>
            </a:graphic>
          </wp:inline>
        </w:drawing>
      </w:r>
    </w:p>
    <w:p w:rsidR="00553881" w:rsidRDefault="00553881" w:rsidP="00A60E01">
      <w:pPr>
        <w:pStyle w:val="E3BodyText"/>
      </w:pPr>
    </w:p>
    <w:p w:rsidR="00091C62" w:rsidRDefault="000F2359" w:rsidP="00A60E01">
      <w:pPr>
        <w:pStyle w:val="E3BodyText"/>
      </w:pPr>
      <w:r>
        <w:t xml:space="preserve">With or without a further accelerated regulated phase-out of inefficient lighting, government actions to encourage the transition to efficient lighting </w:t>
      </w:r>
      <w:r w:rsidR="005D00E1">
        <w:t xml:space="preserve">including LEDs </w:t>
      </w:r>
      <w:r>
        <w:t>can help ensure that a larger portion of the market will change, and at an earlier point in time.  The introduction of a MEPS for LED lighting in particular would provide an assurance to consumers of the minimum quality and performance of LED products</w:t>
      </w:r>
      <w:r w:rsidR="007936BF">
        <w:t xml:space="preserve">, ensuring greater consumer satisfaction with LED products and less chance of a consumer backlash and return to less efficient products. By </w:t>
      </w:r>
      <w:r>
        <w:t>setting a minimum efficacy level,</w:t>
      </w:r>
      <w:r w:rsidR="007936BF">
        <w:t xml:space="preserve"> MEPS would</w:t>
      </w:r>
      <w:r>
        <w:t xml:space="preserve"> ensure that consumers making the transition do not lose some of the </w:t>
      </w:r>
      <w:r w:rsidR="00654B7A">
        <w:t xml:space="preserve">energy saving </w:t>
      </w:r>
      <w:r>
        <w:t xml:space="preserve">benefits </w:t>
      </w:r>
      <w:r w:rsidR="007936BF">
        <w:t xml:space="preserve">available </w:t>
      </w:r>
      <w:r>
        <w:t>through the presence of less efficient LED products in the market.</w:t>
      </w:r>
    </w:p>
    <w:p w:rsidR="002C13E2" w:rsidRDefault="000F2359" w:rsidP="00804C46">
      <w:pPr>
        <w:pStyle w:val="E3BodyText"/>
      </w:pPr>
      <w:r>
        <w:t xml:space="preserve">It is estimated that </w:t>
      </w:r>
      <w:r w:rsidR="007936BF">
        <w:t xml:space="preserve">the introduction of </w:t>
      </w:r>
      <w:r>
        <w:t xml:space="preserve">a minimum efficacy level, by increasing the average efficacy achieved by LED lighting, could </w:t>
      </w:r>
      <w:r w:rsidR="007936BF">
        <w:t>increase the energy savings of a hou</w:t>
      </w:r>
      <w:r w:rsidR="007936BF" w:rsidRPr="006A24F8">
        <w:t xml:space="preserve">sehold with </w:t>
      </w:r>
      <w:r w:rsidR="00C02635" w:rsidRPr="006A24F8">
        <w:t>75</w:t>
      </w:r>
      <w:r w:rsidR="007936BF" w:rsidRPr="006A24F8">
        <w:t>% L</w:t>
      </w:r>
      <w:r w:rsidR="007936BF">
        <w:t xml:space="preserve">ED lighting </w:t>
      </w:r>
      <w:r w:rsidR="00010745">
        <w:t>installed from</w:t>
      </w:r>
      <w:r w:rsidR="007936BF">
        <w:t xml:space="preserve"> </w:t>
      </w:r>
      <w:r w:rsidR="00C02635">
        <w:t>25% to 29%</w:t>
      </w:r>
      <w:r w:rsidR="00010745">
        <w:t xml:space="preserve"> dependent upon MEPS level</w:t>
      </w:r>
      <w:r w:rsidR="007936BF">
        <w:t>.</w:t>
      </w:r>
      <w:r w:rsidR="00010745">
        <w:t xml:space="preserve"> </w:t>
      </w:r>
      <w:r w:rsidR="000736B1">
        <w:t xml:space="preserve">If </w:t>
      </w:r>
      <w:r w:rsidR="00AF7C8F">
        <w:t>75</w:t>
      </w:r>
      <w:r w:rsidR="000736B1">
        <w:t xml:space="preserve">% of installed </w:t>
      </w:r>
      <w:r w:rsidR="00010745">
        <w:t>residential lighting became LED;</w:t>
      </w:r>
      <w:r w:rsidR="00932ABE">
        <w:t xml:space="preserve"> </w:t>
      </w:r>
      <w:r w:rsidR="00C02635">
        <w:t xml:space="preserve">with a household technology breakdown </w:t>
      </w:r>
      <w:r w:rsidR="00D9361E">
        <w:t xml:space="preserve">as depicted in </w:t>
      </w:r>
      <w:r w:rsidR="00B525E0">
        <w:fldChar w:fldCharType="begin"/>
      </w:r>
      <w:r w:rsidR="00D9361E">
        <w:instrText xml:space="preserve"> REF _Ref424565578 \h </w:instrText>
      </w:r>
      <w:r w:rsidR="00B525E0">
        <w:fldChar w:fldCharType="separate"/>
      </w:r>
      <w:r w:rsidR="002C13E2">
        <w:t xml:space="preserve">Figure </w:t>
      </w:r>
      <w:r w:rsidR="002C13E2">
        <w:rPr>
          <w:noProof/>
        </w:rPr>
        <w:t>48</w:t>
      </w:r>
      <w:r w:rsidR="00B525E0">
        <w:fldChar w:fldCharType="end"/>
      </w:r>
      <w:r w:rsidR="00452605">
        <w:t>,</w:t>
      </w:r>
      <w:r w:rsidR="000736B1">
        <w:t xml:space="preserve"> this </w:t>
      </w:r>
      <w:r w:rsidR="007936BF">
        <w:t xml:space="preserve">would translate to an additional energy saving above those outlined in </w:t>
      </w:r>
      <w:r w:rsidR="00B525E0">
        <w:fldChar w:fldCharType="begin"/>
      </w:r>
      <w:r w:rsidR="00C02635">
        <w:instrText xml:space="preserve"> REF _Ref424120086 \h </w:instrText>
      </w:r>
      <w:r w:rsidR="00B525E0">
        <w:fldChar w:fldCharType="separate"/>
      </w:r>
      <w:r w:rsidR="002C13E2">
        <w:t xml:space="preserve"> </w:t>
      </w:r>
    </w:p>
    <w:p w:rsidR="00D9361E" w:rsidRPr="00D9361E" w:rsidRDefault="002C13E2" w:rsidP="00E96970">
      <w:pPr>
        <w:pStyle w:val="E3BodyText"/>
      </w:pPr>
      <w:r>
        <w:t xml:space="preserve">Table </w:t>
      </w:r>
      <w:r>
        <w:rPr>
          <w:noProof/>
        </w:rPr>
        <w:t>18</w:t>
      </w:r>
      <w:r w:rsidR="00B525E0">
        <w:fldChar w:fldCharType="end"/>
      </w:r>
      <w:r w:rsidR="00443A6A">
        <w:t xml:space="preserve"> </w:t>
      </w:r>
      <w:r w:rsidR="007936BF">
        <w:t>for Australia and New Zealand</w:t>
      </w:r>
      <w:r w:rsidR="00010745">
        <w:t xml:space="preserve"> of between $209 and $243 million</w:t>
      </w:r>
      <w:r w:rsidR="007936BF">
        <w:t>.</w:t>
      </w:r>
    </w:p>
    <w:p w:rsidR="00AF7C8F" w:rsidRDefault="00ED0D5B" w:rsidP="00AF7C8F">
      <w:pPr>
        <w:pStyle w:val="E3BodyText"/>
        <w:keepNext/>
      </w:pPr>
      <w:r>
        <w:rPr>
          <w:noProof/>
          <w:lang w:eastAsia="en-AU"/>
        </w:rPr>
        <w:drawing>
          <wp:inline distT="0" distB="0" distL="0" distR="0" wp14:anchorId="78CFBB3C" wp14:editId="544EF59D">
            <wp:extent cx="6105525" cy="2400363"/>
            <wp:effectExtent l="0" t="0" r="0" b="0"/>
            <wp:docPr id="36" name="Picture 36" descr="Diagram showing two pie grap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07173" cy="2401011"/>
                    </a:xfrm>
                    <a:prstGeom prst="rect">
                      <a:avLst/>
                    </a:prstGeom>
                    <a:noFill/>
                  </pic:spPr>
                </pic:pic>
              </a:graphicData>
            </a:graphic>
          </wp:inline>
        </w:drawing>
      </w:r>
    </w:p>
    <w:p w:rsidR="00ED0D5B" w:rsidRDefault="00AF7C8F" w:rsidP="00AF7C8F">
      <w:pPr>
        <w:pStyle w:val="Caption"/>
      </w:pPr>
      <w:bookmarkStart w:id="283" w:name="_Ref424565578"/>
      <w:bookmarkStart w:id="284" w:name="_Toc426387887"/>
      <w:r>
        <w:t xml:space="preserve">Figure </w:t>
      </w:r>
      <w:r w:rsidR="00B525E0">
        <w:fldChar w:fldCharType="begin"/>
      </w:r>
      <w:r>
        <w:instrText xml:space="preserve"> SEQ Figure \* ARABIC </w:instrText>
      </w:r>
      <w:r w:rsidR="00B525E0">
        <w:fldChar w:fldCharType="separate"/>
      </w:r>
      <w:r w:rsidR="002C13E2">
        <w:rPr>
          <w:noProof/>
        </w:rPr>
        <w:t>48</w:t>
      </w:r>
      <w:r w:rsidR="00B525E0">
        <w:fldChar w:fldCharType="end"/>
      </w:r>
      <w:bookmarkEnd w:id="283"/>
      <w:r>
        <w:t>. Hypothetical l</w:t>
      </w:r>
      <w:r w:rsidRPr="00503ADA">
        <w:t xml:space="preserve">amp technology breakdown in a </w:t>
      </w:r>
      <w:r>
        <w:t>residential h</w:t>
      </w:r>
      <w:r w:rsidR="00D9361E">
        <w:t>ouse</w:t>
      </w:r>
      <w:r w:rsidRPr="00503ADA">
        <w:t xml:space="preserve"> where 75 % of lamps are LED lamps (circle left), further breakdown of LED lamp types provided (circle right).</w:t>
      </w:r>
      <w:bookmarkEnd w:id="284"/>
    </w:p>
    <w:p w:rsidR="00452605" w:rsidRDefault="00452605" w:rsidP="00A60E01">
      <w:pPr>
        <w:pStyle w:val="E3BodyText"/>
      </w:pPr>
    </w:p>
    <w:p w:rsidR="00AF7C8F" w:rsidRDefault="00BC5DF8" w:rsidP="00A60E01">
      <w:pPr>
        <w:pStyle w:val="E3BodyText"/>
      </w:pPr>
      <w:r>
        <w:t>In Australia, with approximately 9.1 million homes and where there are 46 lamps in the average hou</w:t>
      </w:r>
      <w:r w:rsidR="00C02635">
        <w:t>sehold,</w:t>
      </w:r>
      <w:r w:rsidR="00932ABE">
        <w:t xml:space="preserve"> </w:t>
      </w:r>
      <w:r w:rsidR="00452605">
        <w:t>the additional energy saving</w:t>
      </w:r>
      <w:r w:rsidR="00270501">
        <w:t>, indicated in</w:t>
      </w:r>
      <w:r w:rsidR="00F1452F">
        <w:t xml:space="preserve"> </w:t>
      </w:r>
      <w:r w:rsidR="00F1452F">
        <w:rPr>
          <w:highlight w:val="yellow"/>
        </w:rPr>
        <w:fldChar w:fldCharType="begin"/>
      </w:r>
      <w:r w:rsidR="00F1452F">
        <w:instrText xml:space="preserve"> REF _Ref426374284 \h </w:instrText>
      </w:r>
      <w:r w:rsidR="00F1452F">
        <w:rPr>
          <w:highlight w:val="yellow"/>
        </w:rPr>
      </w:r>
      <w:r w:rsidR="00F1452F">
        <w:rPr>
          <w:highlight w:val="yellow"/>
        </w:rPr>
        <w:fldChar w:fldCharType="separate"/>
      </w:r>
      <w:r w:rsidR="002C13E2">
        <w:t xml:space="preserve">Table </w:t>
      </w:r>
      <w:r w:rsidR="002C13E2">
        <w:rPr>
          <w:noProof/>
        </w:rPr>
        <w:t>18</w:t>
      </w:r>
      <w:r w:rsidR="00F1452F">
        <w:rPr>
          <w:highlight w:val="yellow"/>
        </w:rPr>
        <w:fldChar w:fldCharType="end"/>
      </w:r>
      <w:r w:rsidR="00270501">
        <w:t xml:space="preserve">, </w:t>
      </w:r>
      <w:r w:rsidR="00956236">
        <w:t xml:space="preserve">would be </w:t>
      </w:r>
      <w:r w:rsidR="00276C46">
        <w:t>91.8 kWh per year (</w:t>
      </w:r>
      <w:r w:rsidR="00956236">
        <w:t>25%</w:t>
      </w:r>
      <w:r w:rsidR="00276C46">
        <w:t>)</w:t>
      </w:r>
      <w:r w:rsidR="00010745">
        <w:t xml:space="preserve"> </w:t>
      </w:r>
      <w:r w:rsidR="00276C46">
        <w:t>for each home and 837 GWh</w:t>
      </w:r>
      <w:r w:rsidR="00932ABE">
        <w:t xml:space="preserve"> </w:t>
      </w:r>
      <w:r w:rsidR="00C622D2">
        <w:t xml:space="preserve">per </w:t>
      </w:r>
      <w:r w:rsidR="00C622D2">
        <w:lastRenderedPageBreak/>
        <w:t xml:space="preserve">year across Australia, </w:t>
      </w:r>
      <w:r w:rsidR="00956236">
        <w:t>upon introduction of MEPS at a level equal to IEA Tier 1. The energy savings increase to</w:t>
      </w:r>
      <w:r w:rsidR="00276C46">
        <w:t xml:space="preserve"> 106.8</w:t>
      </w:r>
      <w:r w:rsidR="00C622D2">
        <w:t xml:space="preserve">kWh per year </w:t>
      </w:r>
      <w:r w:rsidR="00276C46">
        <w:t>(</w:t>
      </w:r>
      <w:r w:rsidR="00956236">
        <w:t>29%</w:t>
      </w:r>
      <w:r w:rsidR="00276C46">
        <w:t>)</w:t>
      </w:r>
      <w:r w:rsidR="00C622D2">
        <w:t xml:space="preserve"> in homes and 974 GWh per year </w:t>
      </w:r>
      <w:r w:rsidR="00A40D89">
        <w:t>Australia</w:t>
      </w:r>
      <w:r w:rsidR="00C622D2">
        <w:t>-wide</w:t>
      </w:r>
      <w:r w:rsidR="00956236">
        <w:t xml:space="preserve"> with introduction of an IEA Tier 2 level.  </w:t>
      </w:r>
    </w:p>
    <w:p w:rsidR="00956236" w:rsidRDefault="00956236" w:rsidP="00956236">
      <w:pPr>
        <w:pStyle w:val="Caption"/>
        <w:keepNext/>
      </w:pPr>
      <w:bookmarkStart w:id="285" w:name="_Ref426374390"/>
      <w:bookmarkStart w:id="286" w:name="_Toc426387834"/>
      <w:r>
        <w:t xml:space="preserve">Table </w:t>
      </w:r>
      <w:r w:rsidR="00B525E0">
        <w:fldChar w:fldCharType="begin"/>
      </w:r>
      <w:r w:rsidR="00A40D89">
        <w:instrText xml:space="preserve"> SEQ Table \* ARABIC </w:instrText>
      </w:r>
      <w:r w:rsidR="00B525E0">
        <w:fldChar w:fldCharType="separate"/>
      </w:r>
      <w:r w:rsidR="002C13E2">
        <w:rPr>
          <w:noProof/>
        </w:rPr>
        <w:t>19</w:t>
      </w:r>
      <w:r w:rsidR="00B525E0">
        <w:rPr>
          <w:noProof/>
        </w:rPr>
        <w:fldChar w:fldCharType="end"/>
      </w:r>
      <w:bookmarkEnd w:id="285"/>
      <w:r w:rsidR="00270501">
        <w:t>. Predicted e</w:t>
      </w:r>
      <w:r>
        <w:t>nergy savings for Australian homes with 75% LED lamps installed, upon introduction of ME</w:t>
      </w:r>
      <w:r w:rsidR="00270501">
        <w:t xml:space="preserve">PS equal to IEA Tier 1 and Tier 2 </w:t>
      </w:r>
      <w:r>
        <w:t>minimum efficacies.</w:t>
      </w:r>
      <w:bookmarkEnd w:id="286"/>
    </w:p>
    <w:tbl>
      <w:tblPr>
        <w:tblW w:w="3527" w:type="pct"/>
        <w:tblInd w:w="103" w:type="dxa"/>
        <w:tblLayout w:type="fixed"/>
        <w:tblLook w:val="04A0" w:firstRow="1" w:lastRow="0" w:firstColumn="1" w:lastColumn="0" w:noHBand="0" w:noVBand="1"/>
      </w:tblPr>
      <w:tblGrid>
        <w:gridCol w:w="1140"/>
        <w:gridCol w:w="3119"/>
        <w:gridCol w:w="1346"/>
        <w:gridCol w:w="1347"/>
      </w:tblGrid>
      <w:tr w:rsidR="00464234" w:rsidRPr="00452605" w:rsidTr="00270501">
        <w:trPr>
          <w:trHeight w:val="315"/>
        </w:trPr>
        <w:tc>
          <w:tcPr>
            <w:tcW w:w="69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234" w:rsidRPr="00BC5DF8" w:rsidRDefault="00464234" w:rsidP="00464234">
            <w:pPr>
              <w:spacing w:after="0" w:line="240" w:lineRule="auto"/>
              <w:rPr>
                <w:rFonts w:eastAsia="Times New Roman"/>
                <w:b/>
                <w:color w:val="000000"/>
                <w:sz w:val="18"/>
                <w:szCs w:val="18"/>
                <w:lang w:eastAsia="en-AU"/>
              </w:rPr>
            </w:pPr>
            <w:r w:rsidRPr="00452605">
              <w:rPr>
                <w:rFonts w:eastAsia="Times New Roman"/>
                <w:b/>
                <w:color w:val="000000"/>
                <w:sz w:val="18"/>
                <w:szCs w:val="18"/>
                <w:lang w:eastAsia="en-AU"/>
              </w:rPr>
              <w:t>Australia</w:t>
            </w:r>
            <w:r w:rsidR="00270501">
              <w:rPr>
                <w:rFonts w:eastAsia="Times New Roman"/>
                <w:b/>
                <w:color w:val="000000"/>
                <w:sz w:val="18"/>
                <w:szCs w:val="18"/>
                <w:lang w:eastAsia="en-AU"/>
              </w:rPr>
              <w:t xml:space="preserve"> – 75% LED Installed Stock Scenario</w:t>
            </w:r>
          </w:p>
        </w:tc>
      </w:tr>
      <w:tr w:rsidR="00270501" w:rsidRPr="00452605" w:rsidTr="00270501">
        <w:trPr>
          <w:trHeight w:val="315"/>
        </w:trPr>
        <w:tc>
          <w:tcPr>
            <w:tcW w:w="1140" w:type="dxa"/>
            <w:vMerge w:val="restart"/>
            <w:tcBorders>
              <w:top w:val="nil"/>
              <w:left w:val="single" w:sz="4" w:space="0" w:color="auto"/>
              <w:right w:val="single" w:sz="4" w:space="0" w:color="auto"/>
            </w:tcBorders>
            <w:shd w:val="clear" w:color="000000" w:fill="EAF1DD"/>
            <w:noWrap/>
            <w:vAlign w:val="center"/>
          </w:tcPr>
          <w:p w:rsidR="00270501" w:rsidRPr="00452605" w:rsidRDefault="00270501" w:rsidP="00270501">
            <w:pPr>
              <w:spacing w:after="0" w:line="240" w:lineRule="auto"/>
              <w:rPr>
                <w:rFonts w:eastAsia="Times New Roman"/>
                <w:color w:val="000000"/>
                <w:sz w:val="18"/>
                <w:szCs w:val="18"/>
                <w:lang w:eastAsia="en-AU"/>
              </w:rPr>
            </w:pPr>
            <w:r w:rsidRPr="00452605">
              <w:rPr>
                <w:rFonts w:eastAsia="Times New Roman"/>
                <w:color w:val="000000"/>
                <w:sz w:val="18"/>
                <w:szCs w:val="18"/>
                <w:lang w:eastAsia="en-AU"/>
              </w:rPr>
              <w:t>Status Quo</w:t>
            </w:r>
            <w:r>
              <w:rPr>
                <w:rFonts w:eastAsia="Times New Roman"/>
                <w:color w:val="000000"/>
                <w:sz w:val="18"/>
                <w:szCs w:val="18"/>
                <w:lang w:eastAsia="en-AU"/>
              </w:rPr>
              <w:t xml:space="preserve">  (no LED MEPS)</w:t>
            </w:r>
          </w:p>
        </w:tc>
        <w:tc>
          <w:tcPr>
            <w:tcW w:w="3119" w:type="dxa"/>
            <w:tcBorders>
              <w:top w:val="nil"/>
              <w:left w:val="nil"/>
              <w:bottom w:val="single" w:sz="4" w:space="0" w:color="auto"/>
              <w:right w:val="single" w:sz="4" w:space="0" w:color="auto"/>
            </w:tcBorders>
            <w:shd w:val="clear" w:color="000000" w:fill="D7E4BC"/>
            <w:vAlign w:val="center"/>
          </w:tcPr>
          <w:p w:rsidR="00270501" w:rsidRPr="00270501" w:rsidRDefault="00270501" w:rsidP="00BC5DF8">
            <w:pPr>
              <w:spacing w:after="0" w:line="240" w:lineRule="auto"/>
              <w:rPr>
                <w:rFonts w:eastAsia="Times New Roman"/>
                <w:b/>
                <w:color w:val="000000"/>
                <w:sz w:val="18"/>
                <w:szCs w:val="18"/>
                <w:lang w:eastAsia="en-AU"/>
              </w:rPr>
            </w:pPr>
            <w:r w:rsidRPr="00270501">
              <w:rPr>
                <w:rFonts w:eastAsia="Times New Roman"/>
                <w:b/>
                <w:color w:val="000000"/>
                <w:sz w:val="18"/>
                <w:szCs w:val="18"/>
                <w:lang w:eastAsia="en-AU"/>
              </w:rPr>
              <w:t>Per Household</w:t>
            </w:r>
          </w:p>
        </w:tc>
        <w:tc>
          <w:tcPr>
            <w:tcW w:w="2693" w:type="dxa"/>
            <w:gridSpan w:val="2"/>
            <w:tcBorders>
              <w:top w:val="nil"/>
              <w:left w:val="nil"/>
              <w:bottom w:val="single" w:sz="4" w:space="0" w:color="auto"/>
              <w:right w:val="single" w:sz="4" w:space="0" w:color="auto"/>
            </w:tcBorders>
            <w:shd w:val="clear" w:color="auto" w:fill="auto"/>
            <w:noWrap/>
            <w:vAlign w:val="center"/>
          </w:tcPr>
          <w:p w:rsidR="00270501" w:rsidRPr="00BC5DF8" w:rsidRDefault="00270501" w:rsidP="00464234">
            <w:pPr>
              <w:spacing w:after="0" w:line="240" w:lineRule="auto"/>
              <w:rPr>
                <w:rFonts w:eastAsia="Times New Roman"/>
                <w:color w:val="000000"/>
                <w:sz w:val="18"/>
                <w:szCs w:val="18"/>
                <w:lang w:eastAsia="en-AU"/>
              </w:rPr>
            </w:pPr>
          </w:p>
        </w:tc>
      </w:tr>
      <w:tr w:rsidR="00270501" w:rsidRPr="00452605" w:rsidTr="00270501">
        <w:trPr>
          <w:trHeight w:val="315"/>
        </w:trPr>
        <w:tc>
          <w:tcPr>
            <w:tcW w:w="1140" w:type="dxa"/>
            <w:vMerge/>
            <w:tcBorders>
              <w:left w:val="single" w:sz="4" w:space="0" w:color="auto"/>
              <w:right w:val="single" w:sz="4" w:space="0" w:color="auto"/>
            </w:tcBorders>
            <w:shd w:val="clear" w:color="000000" w:fill="EAF1DD"/>
            <w:noWrap/>
            <w:vAlign w:val="center"/>
            <w:hideMark/>
          </w:tcPr>
          <w:p w:rsidR="00270501" w:rsidRPr="00BC5DF8" w:rsidRDefault="00270501" w:rsidP="00270501">
            <w:pPr>
              <w:spacing w:after="0" w:line="240" w:lineRule="auto"/>
              <w:rPr>
                <w:rFonts w:eastAsia="Times New Roman"/>
                <w:color w:val="000000"/>
                <w:sz w:val="18"/>
                <w:szCs w:val="18"/>
                <w:lang w:eastAsia="en-AU"/>
              </w:rPr>
            </w:pPr>
          </w:p>
        </w:tc>
        <w:tc>
          <w:tcPr>
            <w:tcW w:w="3119" w:type="dxa"/>
            <w:tcBorders>
              <w:top w:val="nil"/>
              <w:left w:val="nil"/>
              <w:bottom w:val="single" w:sz="4" w:space="0" w:color="auto"/>
              <w:right w:val="single" w:sz="4" w:space="0" w:color="auto"/>
            </w:tcBorders>
            <w:shd w:val="clear" w:color="000000" w:fill="D7E4BC"/>
            <w:vAlign w:val="center"/>
            <w:hideMark/>
          </w:tcPr>
          <w:p w:rsidR="00270501" w:rsidRPr="00BC5DF8" w:rsidRDefault="00270501" w:rsidP="00270501">
            <w:pPr>
              <w:spacing w:after="0" w:line="240" w:lineRule="auto"/>
              <w:rPr>
                <w:rFonts w:eastAsia="Times New Roman"/>
                <w:color w:val="000000"/>
                <w:sz w:val="18"/>
                <w:szCs w:val="18"/>
                <w:lang w:eastAsia="en-AU"/>
              </w:rPr>
            </w:pPr>
            <w:r>
              <w:rPr>
                <w:rFonts w:eastAsia="Times New Roman"/>
                <w:color w:val="000000"/>
                <w:sz w:val="18"/>
                <w:szCs w:val="18"/>
                <w:lang w:eastAsia="en-AU"/>
              </w:rPr>
              <w:t>Lighting e</w:t>
            </w:r>
            <w:r w:rsidRPr="00BC5DF8">
              <w:rPr>
                <w:rFonts w:eastAsia="Times New Roman"/>
                <w:color w:val="000000"/>
                <w:sz w:val="18"/>
                <w:szCs w:val="18"/>
                <w:lang w:eastAsia="en-AU"/>
              </w:rPr>
              <w:t>nergy consumption (kWh p.a.)</w:t>
            </w:r>
          </w:p>
        </w:tc>
        <w:tc>
          <w:tcPr>
            <w:tcW w:w="2693" w:type="dxa"/>
            <w:gridSpan w:val="2"/>
            <w:tcBorders>
              <w:top w:val="nil"/>
              <w:left w:val="nil"/>
              <w:bottom w:val="single" w:sz="4" w:space="0" w:color="auto"/>
              <w:right w:val="single" w:sz="4" w:space="0" w:color="auto"/>
            </w:tcBorders>
            <w:shd w:val="clear" w:color="auto" w:fill="auto"/>
            <w:noWrap/>
            <w:vAlign w:val="center"/>
            <w:hideMark/>
          </w:tcPr>
          <w:p w:rsidR="00270501" w:rsidRPr="00BC5DF8" w:rsidRDefault="00270501" w:rsidP="00464234">
            <w:pPr>
              <w:spacing w:after="0" w:line="240" w:lineRule="auto"/>
              <w:rPr>
                <w:rFonts w:eastAsia="Times New Roman"/>
                <w:color w:val="000000"/>
                <w:sz w:val="18"/>
                <w:szCs w:val="18"/>
                <w:lang w:eastAsia="en-AU"/>
              </w:rPr>
            </w:pPr>
            <w:r w:rsidRPr="00BC5DF8">
              <w:rPr>
                <w:rFonts w:eastAsia="Times New Roman"/>
                <w:color w:val="000000"/>
                <w:sz w:val="18"/>
                <w:szCs w:val="18"/>
                <w:lang w:eastAsia="en-AU"/>
              </w:rPr>
              <w:t>363</w:t>
            </w:r>
          </w:p>
        </w:tc>
      </w:tr>
      <w:tr w:rsidR="00270501" w:rsidRPr="00452605" w:rsidTr="00270501">
        <w:trPr>
          <w:trHeight w:val="315"/>
        </w:trPr>
        <w:tc>
          <w:tcPr>
            <w:tcW w:w="1140" w:type="dxa"/>
            <w:vMerge/>
            <w:tcBorders>
              <w:left w:val="single" w:sz="4" w:space="0" w:color="auto"/>
              <w:right w:val="single" w:sz="4" w:space="0" w:color="auto"/>
            </w:tcBorders>
            <w:vAlign w:val="center"/>
            <w:hideMark/>
          </w:tcPr>
          <w:p w:rsidR="00270501" w:rsidRPr="00BC5DF8" w:rsidRDefault="00270501" w:rsidP="00BC5DF8">
            <w:pPr>
              <w:spacing w:after="0" w:line="240" w:lineRule="auto"/>
              <w:rPr>
                <w:rFonts w:eastAsia="Times New Roman"/>
                <w:color w:val="000000"/>
                <w:sz w:val="18"/>
                <w:szCs w:val="18"/>
                <w:lang w:eastAsia="en-AU"/>
              </w:rPr>
            </w:pPr>
          </w:p>
        </w:tc>
        <w:tc>
          <w:tcPr>
            <w:tcW w:w="3119" w:type="dxa"/>
            <w:tcBorders>
              <w:top w:val="nil"/>
              <w:left w:val="nil"/>
              <w:bottom w:val="nil"/>
              <w:right w:val="nil"/>
            </w:tcBorders>
            <w:shd w:val="clear" w:color="000000" w:fill="D7E4BC"/>
            <w:noWrap/>
            <w:vAlign w:val="center"/>
            <w:hideMark/>
          </w:tcPr>
          <w:p w:rsidR="00270501" w:rsidRPr="00BC5DF8" w:rsidRDefault="00270501" w:rsidP="00BC5DF8">
            <w:pPr>
              <w:spacing w:after="0" w:line="240" w:lineRule="auto"/>
              <w:rPr>
                <w:rFonts w:eastAsia="Times New Roman"/>
                <w:color w:val="000000"/>
                <w:sz w:val="18"/>
                <w:szCs w:val="18"/>
                <w:lang w:eastAsia="en-AU"/>
              </w:rPr>
            </w:pPr>
            <w:r>
              <w:rPr>
                <w:rFonts w:eastAsia="Times New Roman"/>
                <w:color w:val="000000"/>
                <w:sz w:val="18"/>
                <w:szCs w:val="18"/>
                <w:lang w:eastAsia="en-AU"/>
              </w:rPr>
              <w:t xml:space="preserve">Energy cost </w:t>
            </w:r>
            <w:r w:rsidRPr="00BC5DF8">
              <w:rPr>
                <w:rFonts w:eastAsia="Times New Roman"/>
                <w:color w:val="000000"/>
                <w:sz w:val="18"/>
                <w:szCs w:val="18"/>
                <w:lang w:eastAsia="en-AU"/>
              </w:rPr>
              <w:t>(AUD)</w:t>
            </w:r>
          </w:p>
        </w:tc>
        <w:tc>
          <w:tcPr>
            <w:tcW w:w="2693" w:type="dxa"/>
            <w:gridSpan w:val="2"/>
            <w:tcBorders>
              <w:top w:val="nil"/>
              <w:left w:val="single" w:sz="4" w:space="0" w:color="auto"/>
              <w:bottom w:val="single" w:sz="4" w:space="0" w:color="auto"/>
              <w:right w:val="single" w:sz="4" w:space="0" w:color="auto"/>
            </w:tcBorders>
            <w:shd w:val="clear" w:color="auto" w:fill="auto"/>
            <w:noWrap/>
            <w:vAlign w:val="center"/>
            <w:hideMark/>
          </w:tcPr>
          <w:p w:rsidR="00270501" w:rsidRPr="00BC5DF8" w:rsidRDefault="00270501" w:rsidP="00464234">
            <w:pPr>
              <w:spacing w:after="0" w:line="240" w:lineRule="auto"/>
              <w:rPr>
                <w:rFonts w:eastAsia="Times New Roman"/>
                <w:color w:val="000000"/>
                <w:sz w:val="18"/>
                <w:szCs w:val="18"/>
                <w:lang w:eastAsia="en-AU"/>
              </w:rPr>
            </w:pPr>
            <w:r w:rsidRPr="00BC5DF8">
              <w:rPr>
                <w:rFonts w:eastAsia="Times New Roman"/>
                <w:color w:val="000000"/>
                <w:sz w:val="18"/>
                <w:szCs w:val="18"/>
                <w:lang w:eastAsia="en-AU"/>
              </w:rPr>
              <w:t>$91</w:t>
            </w:r>
          </w:p>
        </w:tc>
      </w:tr>
      <w:tr w:rsidR="00270501" w:rsidRPr="00452605" w:rsidTr="00270501">
        <w:trPr>
          <w:trHeight w:val="315"/>
        </w:trPr>
        <w:tc>
          <w:tcPr>
            <w:tcW w:w="1140" w:type="dxa"/>
            <w:vMerge/>
            <w:tcBorders>
              <w:left w:val="single" w:sz="4" w:space="0" w:color="auto"/>
              <w:right w:val="single" w:sz="4" w:space="0" w:color="auto"/>
            </w:tcBorders>
            <w:vAlign w:val="center"/>
          </w:tcPr>
          <w:p w:rsidR="00270501" w:rsidRPr="00BC5DF8" w:rsidRDefault="00270501" w:rsidP="00BC5DF8">
            <w:pPr>
              <w:spacing w:after="0" w:line="240" w:lineRule="auto"/>
              <w:rPr>
                <w:rFonts w:eastAsia="Times New Roman"/>
                <w:color w:val="000000"/>
                <w:sz w:val="18"/>
                <w:szCs w:val="18"/>
                <w:lang w:eastAsia="en-AU"/>
              </w:rPr>
            </w:pPr>
          </w:p>
        </w:tc>
        <w:tc>
          <w:tcPr>
            <w:tcW w:w="3119" w:type="dxa"/>
            <w:tcBorders>
              <w:top w:val="single" w:sz="4" w:space="0" w:color="auto"/>
              <w:left w:val="nil"/>
              <w:bottom w:val="single" w:sz="4" w:space="0" w:color="auto"/>
              <w:right w:val="single" w:sz="4" w:space="0" w:color="auto"/>
            </w:tcBorders>
            <w:shd w:val="clear" w:color="000000" w:fill="D7E4BC"/>
            <w:vAlign w:val="center"/>
          </w:tcPr>
          <w:p w:rsidR="00270501" w:rsidRPr="00270501" w:rsidRDefault="00270501" w:rsidP="00956236">
            <w:pPr>
              <w:spacing w:after="0" w:line="240" w:lineRule="auto"/>
              <w:rPr>
                <w:rFonts w:eastAsia="Times New Roman"/>
                <w:b/>
                <w:color w:val="000000"/>
                <w:sz w:val="18"/>
                <w:szCs w:val="18"/>
                <w:lang w:eastAsia="en-AU"/>
              </w:rPr>
            </w:pPr>
            <w:r w:rsidRPr="00270501">
              <w:rPr>
                <w:rFonts w:eastAsia="Times New Roman"/>
                <w:b/>
                <w:color w:val="000000"/>
                <w:sz w:val="18"/>
                <w:szCs w:val="18"/>
                <w:lang w:eastAsia="en-AU"/>
              </w:rPr>
              <w:t>National</w:t>
            </w:r>
          </w:p>
        </w:tc>
        <w:tc>
          <w:tcPr>
            <w:tcW w:w="2693" w:type="dxa"/>
            <w:gridSpan w:val="2"/>
            <w:tcBorders>
              <w:top w:val="nil"/>
              <w:left w:val="nil"/>
              <w:bottom w:val="single" w:sz="4" w:space="0" w:color="auto"/>
              <w:right w:val="single" w:sz="4" w:space="0" w:color="auto"/>
            </w:tcBorders>
            <w:shd w:val="clear" w:color="auto" w:fill="auto"/>
            <w:noWrap/>
            <w:vAlign w:val="center"/>
          </w:tcPr>
          <w:p w:rsidR="00270501" w:rsidRPr="00BC5DF8" w:rsidRDefault="00270501" w:rsidP="00452605">
            <w:pPr>
              <w:spacing w:after="0" w:line="240" w:lineRule="auto"/>
              <w:rPr>
                <w:rFonts w:eastAsia="Times New Roman"/>
                <w:color w:val="000000"/>
                <w:sz w:val="18"/>
                <w:szCs w:val="18"/>
                <w:lang w:eastAsia="en-AU"/>
              </w:rPr>
            </w:pPr>
          </w:p>
        </w:tc>
      </w:tr>
      <w:tr w:rsidR="00270501" w:rsidRPr="00452605" w:rsidTr="00270501">
        <w:trPr>
          <w:trHeight w:val="315"/>
        </w:trPr>
        <w:tc>
          <w:tcPr>
            <w:tcW w:w="1140" w:type="dxa"/>
            <w:vMerge/>
            <w:tcBorders>
              <w:left w:val="single" w:sz="4" w:space="0" w:color="auto"/>
              <w:right w:val="single" w:sz="4" w:space="0" w:color="auto"/>
            </w:tcBorders>
            <w:vAlign w:val="center"/>
            <w:hideMark/>
          </w:tcPr>
          <w:p w:rsidR="00270501" w:rsidRPr="00BC5DF8" w:rsidRDefault="00270501" w:rsidP="00BC5DF8">
            <w:pPr>
              <w:spacing w:after="0" w:line="240" w:lineRule="auto"/>
              <w:rPr>
                <w:rFonts w:eastAsia="Times New Roman"/>
                <w:color w:val="000000"/>
                <w:sz w:val="18"/>
                <w:szCs w:val="18"/>
                <w:lang w:eastAsia="en-AU"/>
              </w:rPr>
            </w:pPr>
          </w:p>
        </w:tc>
        <w:tc>
          <w:tcPr>
            <w:tcW w:w="3119" w:type="dxa"/>
            <w:tcBorders>
              <w:top w:val="single" w:sz="4" w:space="0" w:color="auto"/>
              <w:left w:val="nil"/>
              <w:bottom w:val="single" w:sz="4" w:space="0" w:color="auto"/>
              <w:right w:val="single" w:sz="4" w:space="0" w:color="auto"/>
            </w:tcBorders>
            <w:shd w:val="clear" w:color="000000" w:fill="D7E4BC"/>
            <w:vAlign w:val="center"/>
            <w:hideMark/>
          </w:tcPr>
          <w:p w:rsidR="00270501" w:rsidRPr="00BC5DF8" w:rsidRDefault="00270501" w:rsidP="00270501">
            <w:pPr>
              <w:spacing w:after="0" w:line="240" w:lineRule="auto"/>
              <w:rPr>
                <w:rFonts w:eastAsia="Times New Roman"/>
                <w:color w:val="000000"/>
                <w:sz w:val="18"/>
                <w:szCs w:val="18"/>
                <w:lang w:eastAsia="en-AU"/>
              </w:rPr>
            </w:pPr>
            <w:r>
              <w:rPr>
                <w:rFonts w:eastAsia="Times New Roman"/>
                <w:color w:val="000000"/>
                <w:sz w:val="18"/>
                <w:szCs w:val="18"/>
                <w:lang w:eastAsia="en-AU"/>
              </w:rPr>
              <w:t xml:space="preserve">Energy consumption </w:t>
            </w:r>
            <w:r w:rsidRPr="00BC5DF8">
              <w:rPr>
                <w:rFonts w:eastAsia="Times New Roman"/>
                <w:color w:val="000000"/>
                <w:sz w:val="18"/>
                <w:szCs w:val="18"/>
                <w:lang w:eastAsia="en-AU"/>
              </w:rPr>
              <w:t>(</w:t>
            </w:r>
            <w:r w:rsidRPr="00452605">
              <w:rPr>
                <w:rFonts w:eastAsia="Times New Roman"/>
                <w:color w:val="000000"/>
                <w:sz w:val="18"/>
                <w:szCs w:val="18"/>
                <w:lang w:eastAsia="en-AU"/>
              </w:rPr>
              <w:t>G</w:t>
            </w:r>
            <w:r w:rsidRPr="00BC5DF8">
              <w:rPr>
                <w:rFonts w:eastAsia="Times New Roman"/>
                <w:color w:val="000000"/>
                <w:sz w:val="18"/>
                <w:szCs w:val="18"/>
                <w:lang w:eastAsia="en-AU"/>
              </w:rPr>
              <w:t>Wh p.a.)</w:t>
            </w:r>
          </w:p>
        </w:tc>
        <w:tc>
          <w:tcPr>
            <w:tcW w:w="2693" w:type="dxa"/>
            <w:gridSpan w:val="2"/>
            <w:tcBorders>
              <w:top w:val="nil"/>
              <w:left w:val="nil"/>
              <w:bottom w:val="single" w:sz="4" w:space="0" w:color="auto"/>
              <w:right w:val="single" w:sz="4" w:space="0" w:color="auto"/>
            </w:tcBorders>
            <w:shd w:val="clear" w:color="auto" w:fill="auto"/>
            <w:noWrap/>
            <w:vAlign w:val="center"/>
            <w:hideMark/>
          </w:tcPr>
          <w:p w:rsidR="00270501" w:rsidRPr="00BC5DF8" w:rsidRDefault="00270501" w:rsidP="00452605">
            <w:pPr>
              <w:spacing w:after="0" w:line="240" w:lineRule="auto"/>
              <w:rPr>
                <w:rFonts w:eastAsia="Times New Roman"/>
                <w:color w:val="000000"/>
                <w:sz w:val="18"/>
                <w:szCs w:val="18"/>
                <w:lang w:eastAsia="en-AU"/>
              </w:rPr>
            </w:pPr>
            <w:r w:rsidRPr="00BC5DF8">
              <w:rPr>
                <w:rFonts w:eastAsia="Times New Roman"/>
                <w:color w:val="000000"/>
                <w:sz w:val="18"/>
                <w:szCs w:val="18"/>
                <w:lang w:eastAsia="en-AU"/>
              </w:rPr>
              <w:t>3,313</w:t>
            </w:r>
          </w:p>
        </w:tc>
      </w:tr>
      <w:tr w:rsidR="00270501" w:rsidRPr="00452605" w:rsidTr="00270501">
        <w:trPr>
          <w:trHeight w:val="315"/>
        </w:trPr>
        <w:tc>
          <w:tcPr>
            <w:tcW w:w="1140" w:type="dxa"/>
            <w:vMerge/>
            <w:tcBorders>
              <w:left w:val="single" w:sz="4" w:space="0" w:color="auto"/>
              <w:bottom w:val="single" w:sz="4" w:space="0" w:color="auto"/>
              <w:right w:val="single" w:sz="4" w:space="0" w:color="auto"/>
            </w:tcBorders>
            <w:vAlign w:val="center"/>
            <w:hideMark/>
          </w:tcPr>
          <w:p w:rsidR="00270501" w:rsidRPr="00BC5DF8" w:rsidRDefault="00270501" w:rsidP="00BC5DF8">
            <w:pPr>
              <w:spacing w:after="0" w:line="240" w:lineRule="auto"/>
              <w:rPr>
                <w:rFonts w:eastAsia="Times New Roman"/>
                <w:color w:val="000000"/>
                <w:sz w:val="18"/>
                <w:szCs w:val="18"/>
                <w:lang w:eastAsia="en-AU"/>
              </w:rPr>
            </w:pPr>
          </w:p>
        </w:tc>
        <w:tc>
          <w:tcPr>
            <w:tcW w:w="3119" w:type="dxa"/>
            <w:tcBorders>
              <w:top w:val="nil"/>
              <w:left w:val="nil"/>
              <w:bottom w:val="single" w:sz="4" w:space="0" w:color="auto"/>
              <w:right w:val="single" w:sz="4" w:space="0" w:color="auto"/>
            </w:tcBorders>
            <w:shd w:val="clear" w:color="000000" w:fill="D7E4BC"/>
            <w:noWrap/>
            <w:vAlign w:val="center"/>
            <w:hideMark/>
          </w:tcPr>
          <w:p w:rsidR="00270501" w:rsidRPr="00BC5DF8" w:rsidRDefault="00270501" w:rsidP="00BC5DF8">
            <w:pPr>
              <w:spacing w:after="0" w:line="240" w:lineRule="auto"/>
              <w:rPr>
                <w:rFonts w:eastAsia="Times New Roman"/>
                <w:color w:val="000000"/>
                <w:sz w:val="18"/>
                <w:szCs w:val="18"/>
                <w:lang w:eastAsia="en-AU"/>
              </w:rPr>
            </w:pPr>
            <w:r>
              <w:rPr>
                <w:rFonts w:eastAsia="Times New Roman"/>
                <w:color w:val="000000"/>
                <w:sz w:val="18"/>
                <w:szCs w:val="18"/>
                <w:lang w:eastAsia="en-AU"/>
              </w:rPr>
              <w:t>Total energy cost</w:t>
            </w:r>
            <w:r w:rsidRPr="00BC5DF8">
              <w:rPr>
                <w:rFonts w:eastAsia="Times New Roman"/>
                <w:color w:val="000000"/>
                <w:sz w:val="18"/>
                <w:szCs w:val="18"/>
                <w:lang w:eastAsia="en-AU"/>
              </w:rPr>
              <w:t xml:space="preserve"> (AUD)</w:t>
            </w:r>
          </w:p>
        </w:tc>
        <w:tc>
          <w:tcPr>
            <w:tcW w:w="2693" w:type="dxa"/>
            <w:gridSpan w:val="2"/>
            <w:tcBorders>
              <w:top w:val="nil"/>
              <w:left w:val="nil"/>
              <w:bottom w:val="single" w:sz="4" w:space="0" w:color="auto"/>
              <w:right w:val="single" w:sz="4" w:space="0" w:color="auto"/>
            </w:tcBorders>
            <w:shd w:val="clear" w:color="auto" w:fill="auto"/>
            <w:noWrap/>
            <w:vAlign w:val="center"/>
            <w:hideMark/>
          </w:tcPr>
          <w:p w:rsidR="00270501" w:rsidRPr="00BC5DF8" w:rsidRDefault="00270501" w:rsidP="00464234">
            <w:pPr>
              <w:spacing w:after="0" w:line="240" w:lineRule="auto"/>
              <w:rPr>
                <w:rFonts w:eastAsia="Times New Roman"/>
                <w:color w:val="000000"/>
                <w:sz w:val="18"/>
                <w:szCs w:val="18"/>
                <w:lang w:eastAsia="en-AU"/>
              </w:rPr>
            </w:pPr>
            <w:r w:rsidRPr="00BC5DF8">
              <w:rPr>
                <w:rFonts w:eastAsia="Times New Roman"/>
                <w:color w:val="000000"/>
                <w:sz w:val="18"/>
                <w:szCs w:val="18"/>
                <w:lang w:eastAsia="en-AU"/>
              </w:rPr>
              <w:t>$828,354,804</w:t>
            </w:r>
          </w:p>
        </w:tc>
      </w:tr>
      <w:tr w:rsidR="00010745" w:rsidRPr="00452605" w:rsidTr="00270501">
        <w:trPr>
          <w:trHeight w:val="315"/>
        </w:trPr>
        <w:tc>
          <w:tcPr>
            <w:tcW w:w="4259" w:type="dxa"/>
            <w:gridSpan w:val="2"/>
            <w:tcBorders>
              <w:top w:val="nil"/>
              <w:left w:val="single" w:sz="4" w:space="0" w:color="auto"/>
              <w:bottom w:val="single" w:sz="4" w:space="0" w:color="auto"/>
              <w:right w:val="single" w:sz="4" w:space="0" w:color="auto"/>
            </w:tcBorders>
            <w:shd w:val="clear" w:color="000000" w:fill="DBE5F1"/>
            <w:noWrap/>
            <w:vAlign w:val="center"/>
            <w:hideMark/>
          </w:tcPr>
          <w:p w:rsidR="00010745" w:rsidRPr="00452605" w:rsidRDefault="00010745" w:rsidP="00BC5DF8">
            <w:pPr>
              <w:spacing w:after="0" w:line="240" w:lineRule="auto"/>
              <w:rPr>
                <w:rFonts w:eastAsia="Times New Roman"/>
                <w:color w:val="000000"/>
                <w:sz w:val="18"/>
                <w:szCs w:val="18"/>
                <w:lang w:eastAsia="en-AU"/>
              </w:rPr>
            </w:pPr>
          </w:p>
        </w:tc>
        <w:tc>
          <w:tcPr>
            <w:tcW w:w="1346" w:type="dxa"/>
            <w:tcBorders>
              <w:top w:val="nil"/>
              <w:left w:val="nil"/>
              <w:bottom w:val="single" w:sz="4" w:space="0" w:color="auto"/>
              <w:right w:val="single" w:sz="4" w:space="0" w:color="auto"/>
            </w:tcBorders>
            <w:shd w:val="clear" w:color="auto" w:fill="auto"/>
            <w:noWrap/>
            <w:vAlign w:val="center"/>
            <w:hideMark/>
          </w:tcPr>
          <w:p w:rsidR="00010745" w:rsidRPr="00BC5DF8" w:rsidRDefault="00010745" w:rsidP="00276C46">
            <w:pPr>
              <w:spacing w:after="0" w:line="240" w:lineRule="auto"/>
              <w:jc w:val="center"/>
              <w:rPr>
                <w:rFonts w:eastAsia="Times New Roman"/>
                <w:b/>
                <w:color w:val="000000"/>
                <w:sz w:val="18"/>
                <w:szCs w:val="18"/>
                <w:lang w:eastAsia="en-AU"/>
              </w:rPr>
            </w:pPr>
            <w:r w:rsidRPr="00BC5DF8">
              <w:rPr>
                <w:rFonts w:eastAsia="Times New Roman"/>
                <w:b/>
                <w:color w:val="000000"/>
                <w:sz w:val="18"/>
                <w:szCs w:val="18"/>
                <w:lang w:eastAsia="en-AU"/>
              </w:rPr>
              <w:t>IEA Tier 1</w:t>
            </w:r>
          </w:p>
        </w:tc>
        <w:tc>
          <w:tcPr>
            <w:tcW w:w="1347" w:type="dxa"/>
            <w:tcBorders>
              <w:top w:val="nil"/>
              <w:left w:val="nil"/>
              <w:bottom w:val="single" w:sz="4" w:space="0" w:color="auto"/>
              <w:right w:val="single" w:sz="4" w:space="0" w:color="auto"/>
            </w:tcBorders>
            <w:shd w:val="clear" w:color="auto" w:fill="auto"/>
            <w:noWrap/>
            <w:vAlign w:val="center"/>
            <w:hideMark/>
          </w:tcPr>
          <w:p w:rsidR="00010745" w:rsidRPr="00BC5DF8" w:rsidRDefault="00010745" w:rsidP="00276C46">
            <w:pPr>
              <w:spacing w:after="0" w:line="240" w:lineRule="auto"/>
              <w:jc w:val="center"/>
              <w:rPr>
                <w:rFonts w:eastAsia="Times New Roman"/>
                <w:b/>
                <w:color w:val="000000"/>
                <w:sz w:val="18"/>
                <w:szCs w:val="18"/>
                <w:lang w:eastAsia="en-AU"/>
              </w:rPr>
            </w:pPr>
            <w:r w:rsidRPr="00BC5DF8">
              <w:rPr>
                <w:rFonts w:eastAsia="Times New Roman"/>
                <w:b/>
                <w:color w:val="000000"/>
                <w:sz w:val="18"/>
                <w:szCs w:val="18"/>
                <w:lang w:eastAsia="en-AU"/>
              </w:rPr>
              <w:t>IEA Tier 2</w:t>
            </w:r>
          </w:p>
        </w:tc>
      </w:tr>
      <w:tr w:rsidR="00270501" w:rsidRPr="00BC5DF8" w:rsidTr="00CC4852">
        <w:trPr>
          <w:trHeight w:val="315"/>
        </w:trPr>
        <w:tc>
          <w:tcPr>
            <w:tcW w:w="1140" w:type="dxa"/>
            <w:vMerge w:val="restart"/>
            <w:tcBorders>
              <w:top w:val="nil"/>
              <w:left w:val="single" w:sz="4" w:space="0" w:color="auto"/>
              <w:right w:val="single" w:sz="4" w:space="0" w:color="auto"/>
            </w:tcBorders>
            <w:shd w:val="clear" w:color="000000" w:fill="DBE5F1"/>
            <w:noWrap/>
            <w:vAlign w:val="center"/>
          </w:tcPr>
          <w:p w:rsidR="00270501" w:rsidRPr="00452605" w:rsidRDefault="00270501" w:rsidP="00BC5DF8">
            <w:pPr>
              <w:spacing w:after="0" w:line="240" w:lineRule="auto"/>
              <w:rPr>
                <w:rFonts w:eastAsia="Times New Roman"/>
                <w:color w:val="000000"/>
                <w:sz w:val="18"/>
                <w:szCs w:val="18"/>
                <w:lang w:eastAsia="en-AU"/>
              </w:rPr>
            </w:pPr>
            <w:r w:rsidRPr="00452605">
              <w:rPr>
                <w:rFonts w:eastAsia="Times New Roman"/>
                <w:color w:val="000000"/>
                <w:sz w:val="18"/>
                <w:szCs w:val="18"/>
                <w:lang w:eastAsia="en-AU"/>
              </w:rPr>
              <w:t xml:space="preserve">Introduce </w:t>
            </w:r>
            <w:r>
              <w:rPr>
                <w:rFonts w:eastAsia="Times New Roman"/>
                <w:color w:val="000000"/>
                <w:sz w:val="18"/>
                <w:szCs w:val="18"/>
                <w:lang w:eastAsia="en-AU"/>
              </w:rPr>
              <w:t xml:space="preserve">LED </w:t>
            </w:r>
            <w:r w:rsidRPr="00452605">
              <w:rPr>
                <w:rFonts w:eastAsia="Times New Roman"/>
                <w:color w:val="000000"/>
                <w:sz w:val="18"/>
                <w:szCs w:val="18"/>
                <w:lang w:eastAsia="en-AU"/>
              </w:rPr>
              <w:t>MEPS</w:t>
            </w:r>
          </w:p>
        </w:tc>
        <w:tc>
          <w:tcPr>
            <w:tcW w:w="3119" w:type="dxa"/>
            <w:tcBorders>
              <w:top w:val="nil"/>
              <w:left w:val="nil"/>
              <w:bottom w:val="single" w:sz="4" w:space="0" w:color="auto"/>
              <w:right w:val="single" w:sz="4" w:space="0" w:color="auto"/>
            </w:tcBorders>
            <w:shd w:val="clear" w:color="000000" w:fill="C5D9F1"/>
            <w:vAlign w:val="center"/>
          </w:tcPr>
          <w:p w:rsidR="00270501" w:rsidRPr="00270501" w:rsidRDefault="00270501" w:rsidP="00BC5DF8">
            <w:pPr>
              <w:spacing w:after="0" w:line="240" w:lineRule="auto"/>
              <w:rPr>
                <w:rFonts w:eastAsia="Times New Roman"/>
                <w:b/>
                <w:color w:val="000000"/>
                <w:sz w:val="18"/>
                <w:szCs w:val="18"/>
                <w:lang w:eastAsia="en-AU"/>
              </w:rPr>
            </w:pPr>
            <w:r w:rsidRPr="00270501">
              <w:rPr>
                <w:rFonts w:eastAsia="Times New Roman"/>
                <w:b/>
                <w:color w:val="000000"/>
                <w:sz w:val="18"/>
                <w:szCs w:val="18"/>
                <w:lang w:eastAsia="en-AU"/>
              </w:rPr>
              <w:t>Per Household</w:t>
            </w:r>
          </w:p>
        </w:tc>
        <w:tc>
          <w:tcPr>
            <w:tcW w:w="1346" w:type="dxa"/>
            <w:tcBorders>
              <w:top w:val="nil"/>
              <w:left w:val="nil"/>
              <w:bottom w:val="single" w:sz="4" w:space="0" w:color="auto"/>
              <w:right w:val="single" w:sz="4" w:space="0" w:color="auto"/>
            </w:tcBorders>
            <w:shd w:val="clear" w:color="auto" w:fill="auto"/>
            <w:noWrap/>
            <w:vAlign w:val="center"/>
          </w:tcPr>
          <w:p w:rsidR="00270501" w:rsidRPr="00BC5DF8" w:rsidRDefault="00270501" w:rsidP="00BC5DF8">
            <w:pPr>
              <w:spacing w:after="0" w:line="240" w:lineRule="auto"/>
              <w:jc w:val="center"/>
              <w:rPr>
                <w:rFonts w:eastAsia="Times New Roman"/>
                <w:color w:val="000000"/>
                <w:sz w:val="18"/>
                <w:szCs w:val="18"/>
                <w:lang w:eastAsia="en-AU"/>
              </w:rPr>
            </w:pPr>
          </w:p>
        </w:tc>
        <w:tc>
          <w:tcPr>
            <w:tcW w:w="1347" w:type="dxa"/>
            <w:tcBorders>
              <w:top w:val="nil"/>
              <w:left w:val="nil"/>
              <w:bottom w:val="single" w:sz="4" w:space="0" w:color="auto"/>
              <w:right w:val="single" w:sz="4" w:space="0" w:color="auto"/>
            </w:tcBorders>
            <w:shd w:val="clear" w:color="auto" w:fill="auto"/>
            <w:noWrap/>
            <w:vAlign w:val="center"/>
          </w:tcPr>
          <w:p w:rsidR="00270501" w:rsidRPr="00BC5DF8" w:rsidRDefault="00270501" w:rsidP="00BC5DF8">
            <w:pPr>
              <w:spacing w:after="0" w:line="240" w:lineRule="auto"/>
              <w:jc w:val="center"/>
              <w:rPr>
                <w:rFonts w:eastAsia="Times New Roman"/>
                <w:color w:val="000000"/>
                <w:sz w:val="18"/>
                <w:szCs w:val="18"/>
                <w:lang w:eastAsia="en-AU"/>
              </w:rPr>
            </w:pPr>
          </w:p>
        </w:tc>
      </w:tr>
      <w:tr w:rsidR="00270501" w:rsidRPr="00BC5DF8" w:rsidTr="00CC4852">
        <w:trPr>
          <w:trHeight w:val="315"/>
        </w:trPr>
        <w:tc>
          <w:tcPr>
            <w:tcW w:w="1140" w:type="dxa"/>
            <w:vMerge/>
            <w:tcBorders>
              <w:left w:val="single" w:sz="4" w:space="0" w:color="auto"/>
              <w:right w:val="single" w:sz="4" w:space="0" w:color="auto"/>
            </w:tcBorders>
            <w:shd w:val="clear" w:color="000000" w:fill="DBE5F1"/>
            <w:noWrap/>
            <w:vAlign w:val="center"/>
            <w:hideMark/>
          </w:tcPr>
          <w:p w:rsidR="00270501" w:rsidRPr="00BC5DF8" w:rsidRDefault="00270501" w:rsidP="00BC5DF8">
            <w:pPr>
              <w:spacing w:after="0" w:line="240" w:lineRule="auto"/>
              <w:rPr>
                <w:rFonts w:eastAsia="Times New Roman"/>
                <w:color w:val="000000"/>
                <w:sz w:val="18"/>
                <w:szCs w:val="18"/>
                <w:lang w:eastAsia="en-AU"/>
              </w:rPr>
            </w:pPr>
          </w:p>
        </w:tc>
        <w:tc>
          <w:tcPr>
            <w:tcW w:w="3119" w:type="dxa"/>
            <w:tcBorders>
              <w:top w:val="nil"/>
              <w:left w:val="nil"/>
              <w:bottom w:val="single" w:sz="4" w:space="0" w:color="auto"/>
              <w:right w:val="single" w:sz="4" w:space="0" w:color="auto"/>
            </w:tcBorders>
            <w:shd w:val="clear" w:color="000000" w:fill="C5D9F1"/>
            <w:vAlign w:val="center"/>
            <w:hideMark/>
          </w:tcPr>
          <w:p w:rsidR="00270501" w:rsidRPr="00BC5DF8" w:rsidRDefault="00270501" w:rsidP="00270501">
            <w:pPr>
              <w:spacing w:after="0" w:line="240" w:lineRule="auto"/>
              <w:rPr>
                <w:rFonts w:eastAsia="Times New Roman"/>
                <w:color w:val="000000"/>
                <w:sz w:val="18"/>
                <w:szCs w:val="18"/>
                <w:lang w:eastAsia="en-AU"/>
              </w:rPr>
            </w:pPr>
            <w:r>
              <w:rPr>
                <w:rFonts w:eastAsia="Times New Roman"/>
                <w:color w:val="000000"/>
                <w:sz w:val="18"/>
                <w:szCs w:val="18"/>
                <w:lang w:eastAsia="en-AU"/>
              </w:rPr>
              <w:t>Lighting e</w:t>
            </w:r>
            <w:r w:rsidRPr="00BC5DF8">
              <w:rPr>
                <w:rFonts w:eastAsia="Times New Roman"/>
                <w:color w:val="000000"/>
                <w:sz w:val="18"/>
                <w:szCs w:val="18"/>
                <w:lang w:eastAsia="en-AU"/>
              </w:rPr>
              <w:t>nergy consumption (kWh p.a.)</w:t>
            </w:r>
          </w:p>
        </w:tc>
        <w:tc>
          <w:tcPr>
            <w:tcW w:w="1346" w:type="dxa"/>
            <w:tcBorders>
              <w:top w:val="nil"/>
              <w:left w:val="nil"/>
              <w:bottom w:val="single" w:sz="4" w:space="0" w:color="auto"/>
              <w:right w:val="single" w:sz="4" w:space="0" w:color="auto"/>
            </w:tcBorders>
            <w:shd w:val="clear" w:color="auto" w:fill="auto"/>
            <w:noWrap/>
            <w:vAlign w:val="center"/>
            <w:hideMark/>
          </w:tcPr>
          <w:p w:rsidR="00270501" w:rsidRPr="00BC5DF8" w:rsidRDefault="00270501" w:rsidP="00BC5DF8">
            <w:pPr>
              <w:spacing w:after="0" w:line="240" w:lineRule="auto"/>
              <w:jc w:val="center"/>
              <w:rPr>
                <w:rFonts w:eastAsia="Times New Roman"/>
                <w:color w:val="000000"/>
                <w:sz w:val="18"/>
                <w:szCs w:val="18"/>
                <w:lang w:eastAsia="en-AU"/>
              </w:rPr>
            </w:pPr>
            <w:r w:rsidRPr="00BC5DF8">
              <w:rPr>
                <w:rFonts w:eastAsia="Times New Roman"/>
                <w:color w:val="000000"/>
                <w:sz w:val="18"/>
                <w:szCs w:val="18"/>
                <w:lang w:eastAsia="en-AU"/>
              </w:rPr>
              <w:t>272</w:t>
            </w:r>
          </w:p>
        </w:tc>
        <w:tc>
          <w:tcPr>
            <w:tcW w:w="1347" w:type="dxa"/>
            <w:tcBorders>
              <w:top w:val="nil"/>
              <w:left w:val="nil"/>
              <w:bottom w:val="single" w:sz="4" w:space="0" w:color="auto"/>
              <w:right w:val="single" w:sz="4" w:space="0" w:color="auto"/>
            </w:tcBorders>
            <w:shd w:val="clear" w:color="auto" w:fill="auto"/>
            <w:noWrap/>
            <w:vAlign w:val="center"/>
            <w:hideMark/>
          </w:tcPr>
          <w:p w:rsidR="00270501" w:rsidRPr="00BC5DF8" w:rsidRDefault="00270501" w:rsidP="00BC5DF8">
            <w:pPr>
              <w:spacing w:after="0" w:line="240" w:lineRule="auto"/>
              <w:jc w:val="center"/>
              <w:rPr>
                <w:rFonts w:eastAsia="Times New Roman"/>
                <w:color w:val="000000"/>
                <w:sz w:val="18"/>
                <w:szCs w:val="18"/>
                <w:lang w:eastAsia="en-AU"/>
              </w:rPr>
            </w:pPr>
            <w:r w:rsidRPr="00BC5DF8">
              <w:rPr>
                <w:rFonts w:eastAsia="Times New Roman"/>
                <w:color w:val="000000"/>
                <w:sz w:val="18"/>
                <w:szCs w:val="18"/>
                <w:lang w:eastAsia="en-AU"/>
              </w:rPr>
              <w:t>257</w:t>
            </w:r>
          </w:p>
        </w:tc>
      </w:tr>
      <w:tr w:rsidR="00270501" w:rsidRPr="00BC5DF8" w:rsidTr="00CC4852">
        <w:trPr>
          <w:trHeight w:val="315"/>
        </w:trPr>
        <w:tc>
          <w:tcPr>
            <w:tcW w:w="1140" w:type="dxa"/>
            <w:vMerge/>
            <w:tcBorders>
              <w:left w:val="single" w:sz="4" w:space="0" w:color="auto"/>
              <w:right w:val="single" w:sz="4" w:space="0" w:color="auto"/>
            </w:tcBorders>
            <w:vAlign w:val="center"/>
            <w:hideMark/>
          </w:tcPr>
          <w:p w:rsidR="00270501" w:rsidRPr="00BC5DF8" w:rsidRDefault="00270501" w:rsidP="00BC5DF8">
            <w:pPr>
              <w:spacing w:after="0" w:line="240" w:lineRule="auto"/>
              <w:rPr>
                <w:rFonts w:eastAsia="Times New Roman"/>
                <w:color w:val="000000"/>
                <w:sz w:val="18"/>
                <w:szCs w:val="18"/>
                <w:lang w:eastAsia="en-AU"/>
              </w:rPr>
            </w:pPr>
          </w:p>
        </w:tc>
        <w:tc>
          <w:tcPr>
            <w:tcW w:w="3119" w:type="dxa"/>
            <w:tcBorders>
              <w:top w:val="nil"/>
              <w:left w:val="nil"/>
              <w:bottom w:val="nil"/>
              <w:right w:val="nil"/>
            </w:tcBorders>
            <w:shd w:val="clear" w:color="000000" w:fill="C5D9F1"/>
            <w:noWrap/>
            <w:vAlign w:val="center"/>
            <w:hideMark/>
          </w:tcPr>
          <w:p w:rsidR="00270501" w:rsidRPr="00BC5DF8" w:rsidRDefault="00270501" w:rsidP="00270501">
            <w:pPr>
              <w:spacing w:after="0" w:line="240" w:lineRule="auto"/>
              <w:rPr>
                <w:rFonts w:eastAsia="Times New Roman"/>
                <w:color w:val="000000"/>
                <w:sz w:val="18"/>
                <w:szCs w:val="18"/>
                <w:lang w:eastAsia="en-AU"/>
              </w:rPr>
            </w:pPr>
            <w:r>
              <w:rPr>
                <w:rFonts w:eastAsia="Times New Roman"/>
                <w:color w:val="000000"/>
                <w:sz w:val="18"/>
                <w:szCs w:val="18"/>
                <w:lang w:eastAsia="en-AU"/>
              </w:rPr>
              <w:t>Current energy cost</w:t>
            </w:r>
            <w:r w:rsidRPr="00BC5DF8">
              <w:rPr>
                <w:rFonts w:eastAsia="Times New Roman"/>
                <w:color w:val="000000"/>
                <w:sz w:val="18"/>
                <w:szCs w:val="18"/>
                <w:lang w:eastAsia="en-AU"/>
              </w:rPr>
              <w:t xml:space="preserve"> (AUD)</w:t>
            </w:r>
          </w:p>
        </w:tc>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270501" w:rsidRPr="00BC5DF8" w:rsidRDefault="00270501" w:rsidP="00BC5DF8">
            <w:pPr>
              <w:spacing w:after="0" w:line="240" w:lineRule="auto"/>
              <w:jc w:val="center"/>
              <w:rPr>
                <w:rFonts w:eastAsia="Times New Roman"/>
                <w:color w:val="000000"/>
                <w:sz w:val="18"/>
                <w:szCs w:val="18"/>
                <w:lang w:eastAsia="en-AU"/>
              </w:rPr>
            </w:pPr>
            <w:r w:rsidRPr="00BC5DF8">
              <w:rPr>
                <w:rFonts w:eastAsia="Times New Roman"/>
                <w:color w:val="000000"/>
                <w:sz w:val="18"/>
                <w:szCs w:val="18"/>
                <w:lang w:eastAsia="en-AU"/>
              </w:rPr>
              <w:t>$68</w:t>
            </w:r>
          </w:p>
        </w:tc>
        <w:tc>
          <w:tcPr>
            <w:tcW w:w="1347" w:type="dxa"/>
            <w:tcBorders>
              <w:top w:val="nil"/>
              <w:left w:val="nil"/>
              <w:bottom w:val="single" w:sz="4" w:space="0" w:color="auto"/>
              <w:right w:val="single" w:sz="4" w:space="0" w:color="auto"/>
            </w:tcBorders>
            <w:shd w:val="clear" w:color="auto" w:fill="auto"/>
            <w:noWrap/>
            <w:vAlign w:val="center"/>
            <w:hideMark/>
          </w:tcPr>
          <w:p w:rsidR="00270501" w:rsidRPr="00BC5DF8" w:rsidRDefault="00270501" w:rsidP="00BC5DF8">
            <w:pPr>
              <w:spacing w:after="0" w:line="240" w:lineRule="auto"/>
              <w:jc w:val="center"/>
              <w:rPr>
                <w:rFonts w:eastAsia="Times New Roman"/>
                <w:color w:val="000000"/>
                <w:sz w:val="18"/>
                <w:szCs w:val="18"/>
                <w:lang w:eastAsia="en-AU"/>
              </w:rPr>
            </w:pPr>
            <w:r w:rsidRPr="00BC5DF8">
              <w:rPr>
                <w:rFonts w:eastAsia="Times New Roman"/>
                <w:color w:val="000000"/>
                <w:sz w:val="18"/>
                <w:szCs w:val="18"/>
                <w:lang w:eastAsia="en-AU"/>
              </w:rPr>
              <w:t>$64</w:t>
            </w:r>
          </w:p>
        </w:tc>
      </w:tr>
      <w:tr w:rsidR="00270501" w:rsidRPr="00BC5DF8" w:rsidTr="00CC4852">
        <w:trPr>
          <w:trHeight w:val="315"/>
        </w:trPr>
        <w:tc>
          <w:tcPr>
            <w:tcW w:w="1140" w:type="dxa"/>
            <w:vMerge/>
            <w:tcBorders>
              <w:left w:val="single" w:sz="4" w:space="0" w:color="auto"/>
              <w:right w:val="single" w:sz="4" w:space="0" w:color="auto"/>
            </w:tcBorders>
            <w:vAlign w:val="center"/>
          </w:tcPr>
          <w:p w:rsidR="00270501" w:rsidRPr="00BC5DF8" w:rsidRDefault="00270501" w:rsidP="00BC5DF8">
            <w:pPr>
              <w:spacing w:after="0" w:line="240" w:lineRule="auto"/>
              <w:rPr>
                <w:rFonts w:eastAsia="Times New Roman"/>
                <w:color w:val="000000"/>
                <w:sz w:val="18"/>
                <w:szCs w:val="18"/>
                <w:lang w:eastAsia="en-AU"/>
              </w:rPr>
            </w:pPr>
          </w:p>
        </w:tc>
        <w:tc>
          <w:tcPr>
            <w:tcW w:w="3119" w:type="dxa"/>
            <w:tcBorders>
              <w:top w:val="single" w:sz="4" w:space="0" w:color="auto"/>
              <w:left w:val="nil"/>
              <w:bottom w:val="single" w:sz="4" w:space="0" w:color="auto"/>
              <w:right w:val="single" w:sz="4" w:space="0" w:color="auto"/>
            </w:tcBorders>
            <w:shd w:val="clear" w:color="000000" w:fill="C5D9F1"/>
            <w:vAlign w:val="center"/>
          </w:tcPr>
          <w:p w:rsidR="00270501" w:rsidRPr="00270501" w:rsidRDefault="00270501" w:rsidP="00BC5DF8">
            <w:pPr>
              <w:spacing w:after="0" w:line="240" w:lineRule="auto"/>
              <w:rPr>
                <w:rFonts w:eastAsia="Times New Roman"/>
                <w:b/>
                <w:color w:val="000000"/>
                <w:sz w:val="18"/>
                <w:szCs w:val="18"/>
                <w:lang w:eastAsia="en-AU"/>
              </w:rPr>
            </w:pPr>
            <w:r w:rsidRPr="00270501">
              <w:rPr>
                <w:rFonts w:eastAsia="Times New Roman"/>
                <w:b/>
                <w:color w:val="000000"/>
                <w:sz w:val="18"/>
                <w:szCs w:val="18"/>
                <w:lang w:eastAsia="en-AU"/>
              </w:rPr>
              <w:t>National</w:t>
            </w:r>
          </w:p>
        </w:tc>
        <w:tc>
          <w:tcPr>
            <w:tcW w:w="1346" w:type="dxa"/>
            <w:tcBorders>
              <w:top w:val="nil"/>
              <w:left w:val="nil"/>
              <w:bottom w:val="single" w:sz="4" w:space="0" w:color="auto"/>
              <w:right w:val="single" w:sz="4" w:space="0" w:color="auto"/>
            </w:tcBorders>
            <w:shd w:val="clear" w:color="auto" w:fill="auto"/>
            <w:noWrap/>
            <w:vAlign w:val="center"/>
          </w:tcPr>
          <w:p w:rsidR="00270501" w:rsidRPr="00452605" w:rsidRDefault="00270501">
            <w:pPr>
              <w:jc w:val="center"/>
              <w:rPr>
                <w:color w:val="000000"/>
                <w:sz w:val="18"/>
                <w:szCs w:val="18"/>
              </w:rPr>
            </w:pPr>
          </w:p>
        </w:tc>
        <w:tc>
          <w:tcPr>
            <w:tcW w:w="1347" w:type="dxa"/>
            <w:tcBorders>
              <w:top w:val="nil"/>
              <w:left w:val="nil"/>
              <w:bottom w:val="single" w:sz="4" w:space="0" w:color="auto"/>
              <w:right w:val="single" w:sz="4" w:space="0" w:color="auto"/>
            </w:tcBorders>
            <w:shd w:val="clear" w:color="auto" w:fill="auto"/>
            <w:noWrap/>
            <w:vAlign w:val="center"/>
          </w:tcPr>
          <w:p w:rsidR="00270501" w:rsidRPr="00452605" w:rsidRDefault="00270501">
            <w:pPr>
              <w:jc w:val="center"/>
              <w:rPr>
                <w:color w:val="000000"/>
                <w:sz w:val="18"/>
                <w:szCs w:val="18"/>
              </w:rPr>
            </w:pPr>
          </w:p>
        </w:tc>
      </w:tr>
      <w:tr w:rsidR="00270501" w:rsidRPr="00BC5DF8" w:rsidTr="00CC4852">
        <w:trPr>
          <w:trHeight w:val="315"/>
        </w:trPr>
        <w:tc>
          <w:tcPr>
            <w:tcW w:w="1140" w:type="dxa"/>
            <w:vMerge/>
            <w:tcBorders>
              <w:left w:val="single" w:sz="4" w:space="0" w:color="auto"/>
              <w:right w:val="single" w:sz="4" w:space="0" w:color="auto"/>
            </w:tcBorders>
            <w:vAlign w:val="center"/>
            <w:hideMark/>
          </w:tcPr>
          <w:p w:rsidR="00270501" w:rsidRPr="00BC5DF8" w:rsidRDefault="00270501" w:rsidP="00BC5DF8">
            <w:pPr>
              <w:spacing w:after="0" w:line="240" w:lineRule="auto"/>
              <w:rPr>
                <w:rFonts w:eastAsia="Times New Roman"/>
                <w:color w:val="000000"/>
                <w:sz w:val="18"/>
                <w:szCs w:val="18"/>
                <w:lang w:eastAsia="en-AU"/>
              </w:rPr>
            </w:pPr>
          </w:p>
        </w:tc>
        <w:tc>
          <w:tcPr>
            <w:tcW w:w="3119" w:type="dxa"/>
            <w:tcBorders>
              <w:top w:val="single" w:sz="4" w:space="0" w:color="auto"/>
              <w:left w:val="nil"/>
              <w:bottom w:val="single" w:sz="4" w:space="0" w:color="auto"/>
              <w:right w:val="single" w:sz="4" w:space="0" w:color="auto"/>
            </w:tcBorders>
            <w:shd w:val="clear" w:color="000000" w:fill="C5D9F1"/>
            <w:vAlign w:val="center"/>
            <w:hideMark/>
          </w:tcPr>
          <w:p w:rsidR="00270501" w:rsidRPr="00BC5DF8" w:rsidRDefault="00270501" w:rsidP="00270501">
            <w:pPr>
              <w:spacing w:after="0" w:line="240" w:lineRule="auto"/>
              <w:rPr>
                <w:rFonts w:eastAsia="Times New Roman"/>
                <w:color w:val="000000"/>
                <w:sz w:val="18"/>
                <w:szCs w:val="18"/>
                <w:lang w:eastAsia="en-AU"/>
              </w:rPr>
            </w:pPr>
            <w:r>
              <w:rPr>
                <w:rFonts w:eastAsia="Times New Roman"/>
                <w:color w:val="000000"/>
                <w:sz w:val="18"/>
                <w:szCs w:val="18"/>
                <w:lang w:eastAsia="en-AU"/>
              </w:rPr>
              <w:t xml:space="preserve">Energy consumption </w:t>
            </w:r>
            <w:r w:rsidRPr="00452605">
              <w:rPr>
                <w:rFonts w:eastAsia="Times New Roman"/>
                <w:color w:val="000000"/>
                <w:sz w:val="18"/>
                <w:szCs w:val="18"/>
                <w:lang w:eastAsia="en-AU"/>
              </w:rPr>
              <w:t>(G</w:t>
            </w:r>
            <w:r w:rsidRPr="00BC5DF8">
              <w:rPr>
                <w:rFonts w:eastAsia="Times New Roman"/>
                <w:color w:val="000000"/>
                <w:sz w:val="18"/>
                <w:szCs w:val="18"/>
                <w:lang w:eastAsia="en-AU"/>
              </w:rPr>
              <w:t>Wh p.a.)</w:t>
            </w:r>
          </w:p>
        </w:tc>
        <w:tc>
          <w:tcPr>
            <w:tcW w:w="1346" w:type="dxa"/>
            <w:tcBorders>
              <w:top w:val="nil"/>
              <w:left w:val="nil"/>
              <w:bottom w:val="single" w:sz="4" w:space="0" w:color="auto"/>
              <w:right w:val="single" w:sz="4" w:space="0" w:color="auto"/>
            </w:tcBorders>
            <w:shd w:val="clear" w:color="auto" w:fill="auto"/>
            <w:noWrap/>
            <w:vAlign w:val="center"/>
            <w:hideMark/>
          </w:tcPr>
          <w:p w:rsidR="00270501" w:rsidRPr="00452605" w:rsidRDefault="00270501">
            <w:pPr>
              <w:jc w:val="center"/>
              <w:rPr>
                <w:color w:val="000000"/>
                <w:sz w:val="18"/>
                <w:szCs w:val="18"/>
              </w:rPr>
            </w:pPr>
            <w:r w:rsidRPr="00452605">
              <w:rPr>
                <w:color w:val="000000"/>
                <w:sz w:val="18"/>
                <w:szCs w:val="18"/>
              </w:rPr>
              <w:t>2,477</w:t>
            </w:r>
          </w:p>
        </w:tc>
        <w:tc>
          <w:tcPr>
            <w:tcW w:w="1347" w:type="dxa"/>
            <w:tcBorders>
              <w:top w:val="nil"/>
              <w:left w:val="nil"/>
              <w:bottom w:val="single" w:sz="4" w:space="0" w:color="auto"/>
              <w:right w:val="single" w:sz="4" w:space="0" w:color="auto"/>
            </w:tcBorders>
            <w:shd w:val="clear" w:color="auto" w:fill="auto"/>
            <w:noWrap/>
            <w:vAlign w:val="center"/>
            <w:hideMark/>
          </w:tcPr>
          <w:p w:rsidR="00270501" w:rsidRPr="00452605" w:rsidRDefault="00270501">
            <w:pPr>
              <w:jc w:val="center"/>
              <w:rPr>
                <w:color w:val="000000"/>
                <w:sz w:val="18"/>
                <w:szCs w:val="18"/>
              </w:rPr>
            </w:pPr>
            <w:r w:rsidRPr="00452605">
              <w:rPr>
                <w:color w:val="000000"/>
                <w:sz w:val="18"/>
                <w:szCs w:val="18"/>
              </w:rPr>
              <w:t>2,340</w:t>
            </w:r>
          </w:p>
        </w:tc>
      </w:tr>
      <w:tr w:rsidR="00270501" w:rsidRPr="00BC5DF8" w:rsidTr="00CC4852">
        <w:trPr>
          <w:trHeight w:val="315"/>
        </w:trPr>
        <w:tc>
          <w:tcPr>
            <w:tcW w:w="1140" w:type="dxa"/>
            <w:vMerge/>
            <w:tcBorders>
              <w:left w:val="single" w:sz="4" w:space="0" w:color="auto"/>
              <w:bottom w:val="single" w:sz="4" w:space="0" w:color="auto"/>
              <w:right w:val="single" w:sz="4" w:space="0" w:color="auto"/>
            </w:tcBorders>
            <w:vAlign w:val="center"/>
            <w:hideMark/>
          </w:tcPr>
          <w:p w:rsidR="00270501" w:rsidRPr="00BC5DF8" w:rsidRDefault="00270501" w:rsidP="00BC5DF8">
            <w:pPr>
              <w:spacing w:after="0" w:line="240" w:lineRule="auto"/>
              <w:rPr>
                <w:rFonts w:eastAsia="Times New Roman"/>
                <w:color w:val="000000"/>
                <w:sz w:val="18"/>
                <w:szCs w:val="18"/>
                <w:lang w:eastAsia="en-AU"/>
              </w:rPr>
            </w:pPr>
          </w:p>
        </w:tc>
        <w:tc>
          <w:tcPr>
            <w:tcW w:w="3119" w:type="dxa"/>
            <w:tcBorders>
              <w:top w:val="nil"/>
              <w:left w:val="nil"/>
              <w:bottom w:val="single" w:sz="4" w:space="0" w:color="auto"/>
              <w:right w:val="single" w:sz="4" w:space="0" w:color="auto"/>
            </w:tcBorders>
            <w:shd w:val="clear" w:color="000000" w:fill="C5D9F1"/>
            <w:noWrap/>
            <w:vAlign w:val="center"/>
            <w:hideMark/>
          </w:tcPr>
          <w:p w:rsidR="00270501" w:rsidRPr="00BC5DF8" w:rsidRDefault="00270501" w:rsidP="00BC5DF8">
            <w:pPr>
              <w:spacing w:after="0" w:line="240" w:lineRule="auto"/>
              <w:rPr>
                <w:rFonts w:eastAsia="Times New Roman"/>
                <w:color w:val="000000"/>
                <w:sz w:val="18"/>
                <w:szCs w:val="18"/>
                <w:lang w:eastAsia="en-AU"/>
              </w:rPr>
            </w:pPr>
            <w:r>
              <w:rPr>
                <w:rFonts w:eastAsia="Times New Roman"/>
                <w:color w:val="000000"/>
                <w:sz w:val="18"/>
                <w:szCs w:val="18"/>
                <w:lang w:eastAsia="en-AU"/>
              </w:rPr>
              <w:t>Total energy cost</w:t>
            </w:r>
            <w:r w:rsidRPr="00BC5DF8">
              <w:rPr>
                <w:rFonts w:eastAsia="Times New Roman"/>
                <w:color w:val="000000"/>
                <w:sz w:val="18"/>
                <w:szCs w:val="18"/>
                <w:lang w:eastAsia="en-AU"/>
              </w:rPr>
              <w:t xml:space="preserve"> </w:t>
            </w:r>
            <w:r>
              <w:rPr>
                <w:rFonts w:eastAsia="Times New Roman"/>
                <w:color w:val="000000"/>
                <w:sz w:val="18"/>
                <w:szCs w:val="18"/>
                <w:lang w:eastAsia="en-AU"/>
              </w:rPr>
              <w:t xml:space="preserve">after transition </w:t>
            </w:r>
            <w:r w:rsidRPr="00BC5DF8">
              <w:rPr>
                <w:rFonts w:eastAsia="Times New Roman"/>
                <w:color w:val="000000"/>
                <w:sz w:val="18"/>
                <w:szCs w:val="18"/>
                <w:lang w:eastAsia="en-AU"/>
              </w:rPr>
              <w:t>(AUD)</w:t>
            </w:r>
          </w:p>
        </w:tc>
        <w:tc>
          <w:tcPr>
            <w:tcW w:w="1346" w:type="dxa"/>
            <w:tcBorders>
              <w:top w:val="nil"/>
              <w:left w:val="nil"/>
              <w:bottom w:val="nil"/>
              <w:right w:val="nil"/>
            </w:tcBorders>
            <w:shd w:val="clear" w:color="auto" w:fill="auto"/>
            <w:noWrap/>
            <w:vAlign w:val="center"/>
            <w:hideMark/>
          </w:tcPr>
          <w:p w:rsidR="00270501" w:rsidRPr="00BC5DF8" w:rsidRDefault="00270501" w:rsidP="00BC5DF8">
            <w:pPr>
              <w:spacing w:after="0" w:line="240" w:lineRule="auto"/>
              <w:jc w:val="center"/>
              <w:rPr>
                <w:rFonts w:eastAsia="Times New Roman"/>
                <w:color w:val="000000"/>
                <w:sz w:val="18"/>
                <w:szCs w:val="18"/>
                <w:lang w:eastAsia="en-AU"/>
              </w:rPr>
            </w:pPr>
            <w:r w:rsidRPr="00BC5DF8">
              <w:rPr>
                <w:rFonts w:eastAsia="Times New Roman"/>
                <w:color w:val="000000"/>
                <w:sz w:val="18"/>
                <w:szCs w:val="18"/>
                <w:lang w:eastAsia="en-AU"/>
              </w:rPr>
              <w:t>$619,228,242</w:t>
            </w: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70501" w:rsidRPr="00BC5DF8" w:rsidRDefault="00270501" w:rsidP="00BC5DF8">
            <w:pPr>
              <w:spacing w:after="0" w:line="240" w:lineRule="auto"/>
              <w:jc w:val="center"/>
              <w:rPr>
                <w:rFonts w:eastAsia="Times New Roman"/>
                <w:color w:val="000000"/>
                <w:sz w:val="18"/>
                <w:szCs w:val="18"/>
                <w:lang w:eastAsia="en-AU"/>
              </w:rPr>
            </w:pPr>
            <w:r w:rsidRPr="00BC5DF8">
              <w:rPr>
                <w:rFonts w:eastAsia="Times New Roman"/>
                <w:color w:val="000000"/>
                <w:sz w:val="18"/>
                <w:szCs w:val="18"/>
                <w:lang w:eastAsia="en-AU"/>
              </w:rPr>
              <w:t>$</w:t>
            </w:r>
            <w:r w:rsidRPr="00270501">
              <w:rPr>
                <w:rFonts w:eastAsia="Times New Roman"/>
                <w:color w:val="000000"/>
                <w:sz w:val="18"/>
                <w:szCs w:val="18"/>
                <w:lang w:eastAsia="en-AU"/>
              </w:rPr>
              <w:t>584,923,739</w:t>
            </w:r>
          </w:p>
        </w:tc>
      </w:tr>
      <w:tr w:rsidR="00270501" w:rsidRPr="00452605" w:rsidTr="00270501">
        <w:trPr>
          <w:trHeight w:val="315"/>
        </w:trPr>
        <w:tc>
          <w:tcPr>
            <w:tcW w:w="1140" w:type="dxa"/>
            <w:tcBorders>
              <w:top w:val="nil"/>
              <w:left w:val="single" w:sz="4" w:space="0" w:color="auto"/>
              <w:right w:val="single" w:sz="4" w:space="0" w:color="auto"/>
            </w:tcBorders>
            <w:shd w:val="clear" w:color="000000" w:fill="E5E0EC"/>
            <w:noWrap/>
            <w:vAlign w:val="center"/>
          </w:tcPr>
          <w:p w:rsidR="00270501" w:rsidRPr="00BC5DF8" w:rsidRDefault="00270501" w:rsidP="00BC5DF8">
            <w:pPr>
              <w:spacing w:after="0" w:line="240" w:lineRule="auto"/>
              <w:rPr>
                <w:rFonts w:eastAsia="Times New Roman"/>
                <w:color w:val="000000"/>
                <w:sz w:val="18"/>
                <w:szCs w:val="18"/>
                <w:lang w:eastAsia="en-AU"/>
              </w:rPr>
            </w:pPr>
          </w:p>
        </w:tc>
        <w:tc>
          <w:tcPr>
            <w:tcW w:w="3119" w:type="dxa"/>
            <w:tcBorders>
              <w:top w:val="nil"/>
              <w:left w:val="nil"/>
              <w:bottom w:val="single" w:sz="4" w:space="0" w:color="auto"/>
              <w:right w:val="single" w:sz="4" w:space="0" w:color="auto"/>
            </w:tcBorders>
            <w:shd w:val="clear" w:color="000000" w:fill="CCC0DA"/>
            <w:vAlign w:val="center"/>
          </w:tcPr>
          <w:p w:rsidR="00270501" w:rsidRPr="00270501" w:rsidRDefault="00270501" w:rsidP="00BC5DF8">
            <w:pPr>
              <w:spacing w:after="0" w:line="240" w:lineRule="auto"/>
              <w:rPr>
                <w:rFonts w:eastAsia="Times New Roman"/>
                <w:b/>
                <w:color w:val="000000"/>
                <w:sz w:val="18"/>
                <w:szCs w:val="18"/>
                <w:lang w:eastAsia="en-AU"/>
              </w:rPr>
            </w:pPr>
            <w:r w:rsidRPr="00270501">
              <w:rPr>
                <w:rFonts w:eastAsia="Times New Roman"/>
                <w:b/>
                <w:color w:val="000000"/>
                <w:sz w:val="18"/>
                <w:szCs w:val="18"/>
                <w:lang w:eastAsia="en-AU"/>
              </w:rPr>
              <w:t>Per Household</w:t>
            </w:r>
          </w:p>
        </w:tc>
        <w:tc>
          <w:tcPr>
            <w:tcW w:w="1346" w:type="dxa"/>
            <w:tcBorders>
              <w:top w:val="single" w:sz="4" w:space="0" w:color="auto"/>
              <w:left w:val="nil"/>
              <w:bottom w:val="single" w:sz="4" w:space="0" w:color="auto"/>
              <w:right w:val="single" w:sz="4" w:space="0" w:color="auto"/>
            </w:tcBorders>
            <w:shd w:val="clear" w:color="auto" w:fill="auto"/>
            <w:noWrap/>
            <w:vAlign w:val="center"/>
          </w:tcPr>
          <w:p w:rsidR="00270501" w:rsidRPr="00BC5DF8" w:rsidRDefault="00270501" w:rsidP="00BC5DF8">
            <w:pPr>
              <w:spacing w:after="0" w:line="240" w:lineRule="auto"/>
              <w:jc w:val="center"/>
              <w:rPr>
                <w:rFonts w:eastAsia="Times New Roman"/>
                <w:color w:val="000000"/>
                <w:sz w:val="18"/>
                <w:szCs w:val="18"/>
                <w:lang w:eastAsia="en-AU"/>
              </w:rPr>
            </w:pPr>
          </w:p>
        </w:tc>
        <w:tc>
          <w:tcPr>
            <w:tcW w:w="1347" w:type="dxa"/>
            <w:tcBorders>
              <w:top w:val="nil"/>
              <w:left w:val="nil"/>
              <w:bottom w:val="single" w:sz="4" w:space="0" w:color="auto"/>
              <w:right w:val="single" w:sz="4" w:space="0" w:color="auto"/>
            </w:tcBorders>
            <w:shd w:val="clear" w:color="auto" w:fill="auto"/>
            <w:noWrap/>
            <w:vAlign w:val="center"/>
          </w:tcPr>
          <w:p w:rsidR="00270501" w:rsidRPr="00BC5DF8" w:rsidRDefault="00270501" w:rsidP="00BC5DF8">
            <w:pPr>
              <w:spacing w:after="0" w:line="240" w:lineRule="auto"/>
              <w:jc w:val="center"/>
              <w:rPr>
                <w:rFonts w:eastAsia="Times New Roman"/>
                <w:color w:val="000000"/>
                <w:sz w:val="18"/>
                <w:szCs w:val="18"/>
                <w:lang w:eastAsia="en-AU"/>
              </w:rPr>
            </w:pPr>
          </w:p>
        </w:tc>
      </w:tr>
      <w:tr w:rsidR="00010745" w:rsidRPr="00452605" w:rsidTr="00270501">
        <w:trPr>
          <w:trHeight w:val="315"/>
        </w:trPr>
        <w:tc>
          <w:tcPr>
            <w:tcW w:w="1140" w:type="dxa"/>
            <w:vMerge w:val="restart"/>
            <w:tcBorders>
              <w:top w:val="nil"/>
              <w:left w:val="single" w:sz="4" w:space="0" w:color="auto"/>
              <w:right w:val="single" w:sz="4" w:space="0" w:color="auto"/>
            </w:tcBorders>
            <w:shd w:val="clear" w:color="000000" w:fill="E5E0EC"/>
            <w:noWrap/>
            <w:vAlign w:val="center"/>
            <w:hideMark/>
          </w:tcPr>
          <w:p w:rsidR="00010745" w:rsidRPr="00BC5DF8" w:rsidRDefault="00010745" w:rsidP="00BC5DF8">
            <w:pPr>
              <w:spacing w:after="0" w:line="240" w:lineRule="auto"/>
              <w:rPr>
                <w:rFonts w:eastAsia="Times New Roman"/>
                <w:color w:val="000000"/>
                <w:sz w:val="18"/>
                <w:szCs w:val="18"/>
                <w:lang w:eastAsia="en-AU"/>
              </w:rPr>
            </w:pPr>
            <w:r w:rsidRPr="00BC5DF8">
              <w:rPr>
                <w:rFonts w:eastAsia="Times New Roman"/>
                <w:color w:val="000000"/>
                <w:sz w:val="18"/>
                <w:szCs w:val="18"/>
                <w:lang w:eastAsia="en-AU"/>
              </w:rPr>
              <w:t>Savings</w:t>
            </w:r>
          </w:p>
        </w:tc>
        <w:tc>
          <w:tcPr>
            <w:tcW w:w="3119" w:type="dxa"/>
            <w:tcBorders>
              <w:top w:val="nil"/>
              <w:left w:val="nil"/>
              <w:bottom w:val="single" w:sz="4" w:space="0" w:color="auto"/>
              <w:right w:val="single" w:sz="4" w:space="0" w:color="auto"/>
            </w:tcBorders>
            <w:shd w:val="clear" w:color="000000" w:fill="CCC0DA"/>
            <w:vAlign w:val="center"/>
            <w:hideMark/>
          </w:tcPr>
          <w:p w:rsidR="00010745" w:rsidRPr="00BC5DF8" w:rsidRDefault="00010745" w:rsidP="00270501">
            <w:pPr>
              <w:spacing w:after="0" w:line="240" w:lineRule="auto"/>
              <w:rPr>
                <w:rFonts w:eastAsia="Times New Roman"/>
                <w:color w:val="000000"/>
                <w:sz w:val="18"/>
                <w:szCs w:val="18"/>
                <w:lang w:eastAsia="en-AU"/>
              </w:rPr>
            </w:pPr>
            <w:r w:rsidRPr="00BC5DF8">
              <w:rPr>
                <w:rFonts w:eastAsia="Times New Roman"/>
                <w:color w:val="000000"/>
                <w:sz w:val="18"/>
                <w:szCs w:val="18"/>
                <w:lang w:eastAsia="en-AU"/>
              </w:rPr>
              <w:t>Energy savings (kWh p.a.)</w:t>
            </w:r>
          </w:p>
        </w:tc>
        <w:tc>
          <w:tcPr>
            <w:tcW w:w="1346" w:type="dxa"/>
            <w:tcBorders>
              <w:top w:val="single" w:sz="4" w:space="0" w:color="auto"/>
              <w:left w:val="nil"/>
              <w:bottom w:val="single" w:sz="4" w:space="0" w:color="auto"/>
              <w:right w:val="single" w:sz="4" w:space="0" w:color="auto"/>
            </w:tcBorders>
            <w:shd w:val="clear" w:color="auto" w:fill="auto"/>
            <w:noWrap/>
            <w:vAlign w:val="center"/>
            <w:hideMark/>
          </w:tcPr>
          <w:p w:rsidR="00010745" w:rsidRPr="00BC5DF8" w:rsidRDefault="00010745" w:rsidP="00BC5DF8">
            <w:pPr>
              <w:spacing w:after="0" w:line="240" w:lineRule="auto"/>
              <w:jc w:val="center"/>
              <w:rPr>
                <w:rFonts w:eastAsia="Times New Roman"/>
                <w:color w:val="000000"/>
                <w:sz w:val="18"/>
                <w:szCs w:val="18"/>
                <w:lang w:eastAsia="en-AU"/>
              </w:rPr>
            </w:pPr>
            <w:r w:rsidRPr="00BC5DF8">
              <w:rPr>
                <w:rFonts w:eastAsia="Times New Roman"/>
                <w:color w:val="000000"/>
                <w:sz w:val="18"/>
                <w:szCs w:val="18"/>
                <w:lang w:eastAsia="en-AU"/>
              </w:rPr>
              <w:t>91.8</w:t>
            </w:r>
          </w:p>
        </w:tc>
        <w:tc>
          <w:tcPr>
            <w:tcW w:w="1347" w:type="dxa"/>
            <w:tcBorders>
              <w:top w:val="nil"/>
              <w:left w:val="nil"/>
              <w:bottom w:val="single" w:sz="4" w:space="0" w:color="auto"/>
              <w:right w:val="single" w:sz="4" w:space="0" w:color="auto"/>
            </w:tcBorders>
            <w:shd w:val="clear" w:color="auto" w:fill="auto"/>
            <w:noWrap/>
            <w:vAlign w:val="center"/>
            <w:hideMark/>
          </w:tcPr>
          <w:p w:rsidR="00010745" w:rsidRPr="00BC5DF8" w:rsidRDefault="00010745" w:rsidP="00BC5DF8">
            <w:pPr>
              <w:spacing w:after="0" w:line="240" w:lineRule="auto"/>
              <w:jc w:val="center"/>
              <w:rPr>
                <w:rFonts w:eastAsia="Times New Roman"/>
                <w:color w:val="000000"/>
                <w:sz w:val="18"/>
                <w:szCs w:val="18"/>
                <w:lang w:eastAsia="en-AU"/>
              </w:rPr>
            </w:pPr>
            <w:r w:rsidRPr="00BC5DF8">
              <w:rPr>
                <w:rFonts w:eastAsia="Times New Roman"/>
                <w:color w:val="000000"/>
                <w:sz w:val="18"/>
                <w:szCs w:val="18"/>
                <w:lang w:eastAsia="en-AU"/>
              </w:rPr>
              <w:t>106.8</w:t>
            </w:r>
          </w:p>
        </w:tc>
      </w:tr>
      <w:tr w:rsidR="00010745" w:rsidRPr="00452605" w:rsidTr="00270501">
        <w:trPr>
          <w:trHeight w:val="420"/>
        </w:trPr>
        <w:tc>
          <w:tcPr>
            <w:tcW w:w="1140" w:type="dxa"/>
            <w:vMerge/>
            <w:tcBorders>
              <w:left w:val="single" w:sz="4" w:space="0" w:color="auto"/>
              <w:right w:val="single" w:sz="4" w:space="0" w:color="auto"/>
            </w:tcBorders>
            <w:vAlign w:val="center"/>
            <w:hideMark/>
          </w:tcPr>
          <w:p w:rsidR="00010745" w:rsidRPr="00BC5DF8" w:rsidRDefault="00010745" w:rsidP="00BC5DF8">
            <w:pPr>
              <w:spacing w:after="0" w:line="240" w:lineRule="auto"/>
              <w:jc w:val="center"/>
              <w:rPr>
                <w:rFonts w:eastAsia="Times New Roman"/>
                <w:color w:val="000000"/>
                <w:sz w:val="18"/>
                <w:szCs w:val="18"/>
                <w:lang w:eastAsia="en-AU"/>
              </w:rPr>
            </w:pPr>
          </w:p>
        </w:tc>
        <w:tc>
          <w:tcPr>
            <w:tcW w:w="3119" w:type="dxa"/>
            <w:tcBorders>
              <w:top w:val="nil"/>
              <w:left w:val="nil"/>
              <w:bottom w:val="single" w:sz="4" w:space="0" w:color="auto"/>
              <w:right w:val="single" w:sz="4" w:space="0" w:color="auto"/>
            </w:tcBorders>
            <w:shd w:val="clear" w:color="000000" w:fill="CCC0DA"/>
            <w:vAlign w:val="center"/>
            <w:hideMark/>
          </w:tcPr>
          <w:p w:rsidR="00010745" w:rsidRPr="00BC5DF8" w:rsidRDefault="00010745" w:rsidP="00270501">
            <w:pPr>
              <w:spacing w:after="0" w:line="240" w:lineRule="auto"/>
              <w:rPr>
                <w:rFonts w:eastAsia="Times New Roman"/>
                <w:color w:val="000000"/>
                <w:sz w:val="18"/>
                <w:szCs w:val="18"/>
                <w:lang w:eastAsia="en-AU"/>
              </w:rPr>
            </w:pPr>
            <w:r w:rsidRPr="00BC5DF8">
              <w:rPr>
                <w:rFonts w:eastAsia="Times New Roman"/>
                <w:color w:val="000000"/>
                <w:sz w:val="18"/>
                <w:szCs w:val="18"/>
                <w:lang w:eastAsia="en-AU"/>
              </w:rPr>
              <w:t>Energy savings (% p.a.)</w:t>
            </w:r>
          </w:p>
        </w:tc>
        <w:tc>
          <w:tcPr>
            <w:tcW w:w="1346" w:type="dxa"/>
            <w:tcBorders>
              <w:top w:val="nil"/>
              <w:left w:val="nil"/>
              <w:bottom w:val="single" w:sz="4" w:space="0" w:color="auto"/>
              <w:right w:val="single" w:sz="4" w:space="0" w:color="auto"/>
            </w:tcBorders>
            <w:shd w:val="clear" w:color="auto" w:fill="auto"/>
            <w:noWrap/>
            <w:vAlign w:val="center"/>
            <w:hideMark/>
          </w:tcPr>
          <w:p w:rsidR="00010745" w:rsidRPr="00BC5DF8" w:rsidRDefault="00010745" w:rsidP="00BC5DF8">
            <w:pPr>
              <w:spacing w:after="0" w:line="240" w:lineRule="auto"/>
              <w:jc w:val="center"/>
              <w:rPr>
                <w:rFonts w:eastAsia="Times New Roman"/>
                <w:b/>
                <w:color w:val="000000"/>
                <w:sz w:val="18"/>
                <w:szCs w:val="18"/>
                <w:lang w:eastAsia="en-AU"/>
              </w:rPr>
            </w:pPr>
            <w:r w:rsidRPr="00BC5DF8">
              <w:rPr>
                <w:rFonts w:eastAsia="Times New Roman"/>
                <w:b/>
                <w:color w:val="000000"/>
                <w:sz w:val="18"/>
                <w:szCs w:val="18"/>
                <w:lang w:eastAsia="en-AU"/>
              </w:rPr>
              <w:t>25%</w:t>
            </w:r>
          </w:p>
        </w:tc>
        <w:tc>
          <w:tcPr>
            <w:tcW w:w="1347" w:type="dxa"/>
            <w:tcBorders>
              <w:top w:val="nil"/>
              <w:left w:val="nil"/>
              <w:bottom w:val="single" w:sz="4" w:space="0" w:color="auto"/>
              <w:right w:val="single" w:sz="4" w:space="0" w:color="auto"/>
            </w:tcBorders>
            <w:shd w:val="clear" w:color="auto" w:fill="auto"/>
            <w:noWrap/>
            <w:vAlign w:val="center"/>
            <w:hideMark/>
          </w:tcPr>
          <w:p w:rsidR="00010745" w:rsidRPr="00BC5DF8" w:rsidRDefault="00010745" w:rsidP="00BC5DF8">
            <w:pPr>
              <w:spacing w:after="0" w:line="240" w:lineRule="auto"/>
              <w:jc w:val="center"/>
              <w:rPr>
                <w:rFonts w:eastAsia="Times New Roman"/>
                <w:b/>
                <w:color w:val="000000"/>
                <w:sz w:val="18"/>
                <w:szCs w:val="18"/>
                <w:lang w:eastAsia="en-AU"/>
              </w:rPr>
            </w:pPr>
            <w:r w:rsidRPr="00BC5DF8">
              <w:rPr>
                <w:rFonts w:eastAsia="Times New Roman"/>
                <w:b/>
                <w:color w:val="000000"/>
                <w:sz w:val="18"/>
                <w:szCs w:val="18"/>
                <w:lang w:eastAsia="en-AU"/>
              </w:rPr>
              <w:t>29%</w:t>
            </w:r>
          </w:p>
        </w:tc>
      </w:tr>
      <w:tr w:rsidR="00010745" w:rsidRPr="00452605" w:rsidTr="00270501">
        <w:trPr>
          <w:trHeight w:val="315"/>
        </w:trPr>
        <w:tc>
          <w:tcPr>
            <w:tcW w:w="1140" w:type="dxa"/>
            <w:vMerge/>
            <w:tcBorders>
              <w:left w:val="single" w:sz="4" w:space="0" w:color="auto"/>
              <w:right w:val="single" w:sz="4" w:space="0" w:color="auto"/>
            </w:tcBorders>
            <w:vAlign w:val="center"/>
            <w:hideMark/>
          </w:tcPr>
          <w:p w:rsidR="00010745" w:rsidRPr="00BC5DF8" w:rsidRDefault="00010745" w:rsidP="00BC5DF8">
            <w:pPr>
              <w:spacing w:after="0" w:line="240" w:lineRule="auto"/>
              <w:jc w:val="center"/>
              <w:rPr>
                <w:rFonts w:eastAsia="Times New Roman"/>
                <w:color w:val="000000"/>
                <w:sz w:val="18"/>
                <w:szCs w:val="18"/>
                <w:lang w:eastAsia="en-AU"/>
              </w:rPr>
            </w:pPr>
          </w:p>
        </w:tc>
        <w:tc>
          <w:tcPr>
            <w:tcW w:w="3119" w:type="dxa"/>
            <w:tcBorders>
              <w:top w:val="nil"/>
              <w:left w:val="nil"/>
              <w:bottom w:val="nil"/>
              <w:right w:val="nil"/>
            </w:tcBorders>
            <w:shd w:val="clear" w:color="000000" w:fill="CCC0DA"/>
            <w:noWrap/>
            <w:vAlign w:val="center"/>
            <w:hideMark/>
          </w:tcPr>
          <w:p w:rsidR="00010745" w:rsidRPr="00BC5DF8" w:rsidRDefault="00270501" w:rsidP="00270501">
            <w:pPr>
              <w:spacing w:after="0" w:line="240" w:lineRule="auto"/>
              <w:rPr>
                <w:rFonts w:eastAsia="Times New Roman"/>
                <w:color w:val="000000"/>
                <w:sz w:val="18"/>
                <w:szCs w:val="18"/>
                <w:lang w:eastAsia="en-AU"/>
              </w:rPr>
            </w:pPr>
            <w:r>
              <w:rPr>
                <w:rFonts w:eastAsia="Times New Roman"/>
                <w:color w:val="000000"/>
                <w:sz w:val="18"/>
                <w:szCs w:val="18"/>
                <w:lang w:eastAsia="en-AU"/>
              </w:rPr>
              <w:t>Cost</w:t>
            </w:r>
            <w:r w:rsidR="00010745" w:rsidRPr="00BC5DF8">
              <w:rPr>
                <w:rFonts w:eastAsia="Times New Roman"/>
                <w:color w:val="000000"/>
                <w:sz w:val="18"/>
                <w:szCs w:val="18"/>
                <w:lang w:eastAsia="en-AU"/>
              </w:rPr>
              <w:t xml:space="preserve"> savings (AUD)</w:t>
            </w:r>
          </w:p>
        </w:tc>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010745" w:rsidRPr="00BC5DF8" w:rsidRDefault="00010745" w:rsidP="00BC5DF8">
            <w:pPr>
              <w:spacing w:after="0" w:line="240" w:lineRule="auto"/>
              <w:jc w:val="center"/>
              <w:rPr>
                <w:rFonts w:eastAsia="Times New Roman"/>
                <w:color w:val="000000"/>
                <w:sz w:val="18"/>
                <w:szCs w:val="18"/>
                <w:lang w:eastAsia="en-AU"/>
              </w:rPr>
            </w:pPr>
            <w:r w:rsidRPr="00BC5DF8">
              <w:rPr>
                <w:rFonts w:eastAsia="Times New Roman"/>
                <w:color w:val="000000"/>
                <w:sz w:val="18"/>
                <w:szCs w:val="18"/>
                <w:lang w:eastAsia="en-AU"/>
              </w:rPr>
              <w:t>$23</w:t>
            </w:r>
          </w:p>
        </w:tc>
        <w:tc>
          <w:tcPr>
            <w:tcW w:w="1347" w:type="dxa"/>
            <w:tcBorders>
              <w:top w:val="nil"/>
              <w:left w:val="nil"/>
              <w:bottom w:val="single" w:sz="4" w:space="0" w:color="auto"/>
              <w:right w:val="single" w:sz="4" w:space="0" w:color="auto"/>
            </w:tcBorders>
            <w:shd w:val="clear" w:color="auto" w:fill="auto"/>
            <w:noWrap/>
            <w:vAlign w:val="center"/>
            <w:hideMark/>
          </w:tcPr>
          <w:p w:rsidR="00010745" w:rsidRPr="00BC5DF8" w:rsidRDefault="00010745" w:rsidP="00BC5DF8">
            <w:pPr>
              <w:spacing w:after="0" w:line="240" w:lineRule="auto"/>
              <w:jc w:val="center"/>
              <w:rPr>
                <w:rFonts w:eastAsia="Times New Roman"/>
                <w:color w:val="000000"/>
                <w:sz w:val="18"/>
                <w:szCs w:val="18"/>
                <w:lang w:eastAsia="en-AU"/>
              </w:rPr>
            </w:pPr>
            <w:r w:rsidRPr="00BC5DF8">
              <w:rPr>
                <w:rFonts w:eastAsia="Times New Roman"/>
                <w:color w:val="000000"/>
                <w:sz w:val="18"/>
                <w:szCs w:val="18"/>
                <w:lang w:eastAsia="en-AU"/>
              </w:rPr>
              <w:t>$27</w:t>
            </w:r>
          </w:p>
        </w:tc>
      </w:tr>
      <w:tr w:rsidR="00270501" w:rsidRPr="00452605" w:rsidTr="00270501">
        <w:trPr>
          <w:trHeight w:val="315"/>
        </w:trPr>
        <w:tc>
          <w:tcPr>
            <w:tcW w:w="1140" w:type="dxa"/>
            <w:vMerge/>
            <w:tcBorders>
              <w:left w:val="single" w:sz="4" w:space="0" w:color="auto"/>
              <w:right w:val="single" w:sz="4" w:space="0" w:color="auto"/>
            </w:tcBorders>
            <w:vAlign w:val="center"/>
          </w:tcPr>
          <w:p w:rsidR="00270501" w:rsidRPr="00BC5DF8" w:rsidRDefault="00270501" w:rsidP="00BC5DF8">
            <w:pPr>
              <w:spacing w:after="0" w:line="240" w:lineRule="auto"/>
              <w:jc w:val="center"/>
              <w:rPr>
                <w:rFonts w:eastAsia="Times New Roman"/>
                <w:color w:val="000000"/>
                <w:sz w:val="18"/>
                <w:szCs w:val="18"/>
                <w:lang w:eastAsia="en-AU"/>
              </w:rPr>
            </w:pPr>
          </w:p>
        </w:tc>
        <w:tc>
          <w:tcPr>
            <w:tcW w:w="3119" w:type="dxa"/>
            <w:tcBorders>
              <w:top w:val="single" w:sz="4" w:space="0" w:color="auto"/>
              <w:left w:val="nil"/>
              <w:bottom w:val="single" w:sz="4" w:space="0" w:color="auto"/>
              <w:right w:val="single" w:sz="4" w:space="0" w:color="auto"/>
            </w:tcBorders>
            <w:shd w:val="clear" w:color="000000" w:fill="CCC0DA"/>
            <w:vAlign w:val="center"/>
          </w:tcPr>
          <w:p w:rsidR="00270501" w:rsidRPr="00270501" w:rsidRDefault="00270501" w:rsidP="00452605">
            <w:pPr>
              <w:spacing w:after="0" w:line="240" w:lineRule="auto"/>
              <w:rPr>
                <w:rFonts w:eastAsia="Times New Roman"/>
                <w:b/>
                <w:color w:val="000000"/>
                <w:sz w:val="18"/>
                <w:szCs w:val="18"/>
                <w:lang w:eastAsia="en-AU"/>
              </w:rPr>
            </w:pPr>
            <w:r w:rsidRPr="00270501">
              <w:rPr>
                <w:rFonts w:eastAsia="Times New Roman"/>
                <w:b/>
                <w:color w:val="000000"/>
                <w:sz w:val="18"/>
                <w:szCs w:val="18"/>
                <w:lang w:eastAsia="en-AU"/>
              </w:rPr>
              <w:t>National</w:t>
            </w:r>
          </w:p>
        </w:tc>
        <w:tc>
          <w:tcPr>
            <w:tcW w:w="1346" w:type="dxa"/>
            <w:tcBorders>
              <w:top w:val="nil"/>
              <w:left w:val="nil"/>
              <w:bottom w:val="single" w:sz="4" w:space="0" w:color="auto"/>
              <w:right w:val="single" w:sz="4" w:space="0" w:color="auto"/>
            </w:tcBorders>
            <w:shd w:val="clear" w:color="auto" w:fill="auto"/>
            <w:noWrap/>
            <w:vAlign w:val="center"/>
          </w:tcPr>
          <w:p w:rsidR="00270501" w:rsidRPr="00452605" w:rsidRDefault="00270501">
            <w:pPr>
              <w:jc w:val="center"/>
              <w:rPr>
                <w:color w:val="000000"/>
                <w:sz w:val="18"/>
                <w:szCs w:val="18"/>
              </w:rPr>
            </w:pPr>
          </w:p>
        </w:tc>
        <w:tc>
          <w:tcPr>
            <w:tcW w:w="1347" w:type="dxa"/>
            <w:tcBorders>
              <w:top w:val="nil"/>
              <w:left w:val="nil"/>
              <w:bottom w:val="single" w:sz="4" w:space="0" w:color="auto"/>
              <w:right w:val="single" w:sz="4" w:space="0" w:color="auto"/>
            </w:tcBorders>
            <w:shd w:val="clear" w:color="auto" w:fill="auto"/>
            <w:noWrap/>
            <w:vAlign w:val="center"/>
          </w:tcPr>
          <w:p w:rsidR="00270501" w:rsidRPr="00452605" w:rsidRDefault="00270501">
            <w:pPr>
              <w:jc w:val="center"/>
              <w:rPr>
                <w:color w:val="000000"/>
                <w:sz w:val="18"/>
                <w:szCs w:val="18"/>
              </w:rPr>
            </w:pPr>
          </w:p>
        </w:tc>
      </w:tr>
      <w:tr w:rsidR="00010745" w:rsidRPr="00452605" w:rsidTr="00270501">
        <w:trPr>
          <w:trHeight w:val="315"/>
        </w:trPr>
        <w:tc>
          <w:tcPr>
            <w:tcW w:w="1140" w:type="dxa"/>
            <w:vMerge/>
            <w:tcBorders>
              <w:left w:val="single" w:sz="4" w:space="0" w:color="auto"/>
              <w:right w:val="single" w:sz="4" w:space="0" w:color="auto"/>
            </w:tcBorders>
            <w:vAlign w:val="center"/>
            <w:hideMark/>
          </w:tcPr>
          <w:p w:rsidR="00010745" w:rsidRPr="00BC5DF8" w:rsidRDefault="00010745" w:rsidP="00BC5DF8">
            <w:pPr>
              <w:spacing w:after="0" w:line="240" w:lineRule="auto"/>
              <w:jc w:val="center"/>
              <w:rPr>
                <w:rFonts w:eastAsia="Times New Roman"/>
                <w:color w:val="000000"/>
                <w:sz w:val="18"/>
                <w:szCs w:val="18"/>
                <w:lang w:eastAsia="en-AU"/>
              </w:rPr>
            </w:pPr>
          </w:p>
        </w:tc>
        <w:tc>
          <w:tcPr>
            <w:tcW w:w="3119" w:type="dxa"/>
            <w:tcBorders>
              <w:top w:val="single" w:sz="4" w:space="0" w:color="auto"/>
              <w:left w:val="nil"/>
              <w:bottom w:val="single" w:sz="4" w:space="0" w:color="auto"/>
              <w:right w:val="single" w:sz="4" w:space="0" w:color="auto"/>
            </w:tcBorders>
            <w:shd w:val="clear" w:color="000000" w:fill="CCC0DA"/>
            <w:vAlign w:val="center"/>
            <w:hideMark/>
          </w:tcPr>
          <w:p w:rsidR="00010745" w:rsidRPr="00BC5DF8" w:rsidRDefault="00270501" w:rsidP="00270501">
            <w:pPr>
              <w:spacing w:after="0" w:line="240" w:lineRule="auto"/>
              <w:rPr>
                <w:rFonts w:eastAsia="Times New Roman"/>
                <w:color w:val="000000"/>
                <w:sz w:val="18"/>
                <w:szCs w:val="18"/>
                <w:lang w:eastAsia="en-AU"/>
              </w:rPr>
            </w:pPr>
            <w:r>
              <w:rPr>
                <w:rFonts w:eastAsia="Times New Roman"/>
                <w:color w:val="000000"/>
                <w:sz w:val="18"/>
                <w:szCs w:val="18"/>
                <w:lang w:eastAsia="en-AU"/>
              </w:rPr>
              <w:t>Total e</w:t>
            </w:r>
            <w:r w:rsidR="00010745" w:rsidRPr="00BC5DF8">
              <w:rPr>
                <w:rFonts w:eastAsia="Times New Roman"/>
                <w:color w:val="000000"/>
                <w:sz w:val="18"/>
                <w:szCs w:val="18"/>
                <w:lang w:eastAsia="en-AU"/>
              </w:rPr>
              <w:t>nergy savings (</w:t>
            </w:r>
            <w:r w:rsidR="00010745" w:rsidRPr="00452605">
              <w:rPr>
                <w:rFonts w:eastAsia="Times New Roman"/>
                <w:color w:val="000000"/>
                <w:sz w:val="18"/>
                <w:szCs w:val="18"/>
                <w:lang w:eastAsia="en-AU"/>
              </w:rPr>
              <w:t>G</w:t>
            </w:r>
            <w:r w:rsidR="00010745" w:rsidRPr="00BC5DF8">
              <w:rPr>
                <w:rFonts w:eastAsia="Times New Roman"/>
                <w:color w:val="000000"/>
                <w:sz w:val="18"/>
                <w:szCs w:val="18"/>
                <w:lang w:eastAsia="en-AU"/>
              </w:rPr>
              <w:t>Wh p.a.)</w:t>
            </w:r>
          </w:p>
        </w:tc>
        <w:tc>
          <w:tcPr>
            <w:tcW w:w="1346" w:type="dxa"/>
            <w:tcBorders>
              <w:top w:val="nil"/>
              <w:left w:val="nil"/>
              <w:bottom w:val="single" w:sz="4" w:space="0" w:color="auto"/>
              <w:right w:val="single" w:sz="4" w:space="0" w:color="auto"/>
            </w:tcBorders>
            <w:shd w:val="clear" w:color="auto" w:fill="auto"/>
            <w:noWrap/>
            <w:vAlign w:val="center"/>
            <w:hideMark/>
          </w:tcPr>
          <w:p w:rsidR="00010745" w:rsidRPr="00452605" w:rsidRDefault="00010745">
            <w:pPr>
              <w:jc w:val="center"/>
              <w:rPr>
                <w:color w:val="000000"/>
                <w:sz w:val="18"/>
                <w:szCs w:val="18"/>
              </w:rPr>
            </w:pPr>
            <w:r w:rsidRPr="00452605">
              <w:rPr>
                <w:color w:val="000000"/>
                <w:sz w:val="18"/>
                <w:szCs w:val="18"/>
              </w:rPr>
              <w:t>837</w:t>
            </w:r>
          </w:p>
        </w:tc>
        <w:tc>
          <w:tcPr>
            <w:tcW w:w="1347" w:type="dxa"/>
            <w:tcBorders>
              <w:top w:val="nil"/>
              <w:left w:val="nil"/>
              <w:bottom w:val="single" w:sz="4" w:space="0" w:color="auto"/>
              <w:right w:val="single" w:sz="4" w:space="0" w:color="auto"/>
            </w:tcBorders>
            <w:shd w:val="clear" w:color="auto" w:fill="auto"/>
            <w:noWrap/>
            <w:vAlign w:val="center"/>
            <w:hideMark/>
          </w:tcPr>
          <w:p w:rsidR="00010745" w:rsidRPr="00452605" w:rsidRDefault="00010745">
            <w:pPr>
              <w:jc w:val="center"/>
              <w:rPr>
                <w:color w:val="000000"/>
                <w:sz w:val="18"/>
                <w:szCs w:val="18"/>
              </w:rPr>
            </w:pPr>
            <w:r w:rsidRPr="00452605">
              <w:rPr>
                <w:color w:val="000000"/>
                <w:sz w:val="18"/>
                <w:szCs w:val="18"/>
              </w:rPr>
              <w:t>974</w:t>
            </w:r>
          </w:p>
        </w:tc>
      </w:tr>
      <w:tr w:rsidR="00010745" w:rsidRPr="00452605" w:rsidTr="00270501">
        <w:trPr>
          <w:trHeight w:val="315"/>
        </w:trPr>
        <w:tc>
          <w:tcPr>
            <w:tcW w:w="1140" w:type="dxa"/>
            <w:vMerge/>
            <w:tcBorders>
              <w:left w:val="single" w:sz="4" w:space="0" w:color="auto"/>
              <w:right w:val="single" w:sz="4" w:space="0" w:color="auto"/>
            </w:tcBorders>
            <w:vAlign w:val="center"/>
            <w:hideMark/>
          </w:tcPr>
          <w:p w:rsidR="00010745" w:rsidRPr="00BC5DF8" w:rsidRDefault="00010745" w:rsidP="00BC5DF8">
            <w:pPr>
              <w:spacing w:after="0" w:line="240" w:lineRule="auto"/>
              <w:jc w:val="center"/>
              <w:rPr>
                <w:rFonts w:eastAsia="Times New Roman"/>
                <w:color w:val="000000"/>
                <w:sz w:val="18"/>
                <w:szCs w:val="18"/>
                <w:lang w:eastAsia="en-AU"/>
              </w:rPr>
            </w:pPr>
          </w:p>
        </w:tc>
        <w:tc>
          <w:tcPr>
            <w:tcW w:w="3119" w:type="dxa"/>
            <w:tcBorders>
              <w:top w:val="nil"/>
              <w:left w:val="nil"/>
              <w:bottom w:val="single" w:sz="4" w:space="0" w:color="auto"/>
              <w:right w:val="nil"/>
            </w:tcBorders>
            <w:shd w:val="clear" w:color="000000" w:fill="CCC0DA"/>
            <w:noWrap/>
            <w:vAlign w:val="center"/>
            <w:hideMark/>
          </w:tcPr>
          <w:p w:rsidR="00010745" w:rsidRPr="00BC5DF8" w:rsidRDefault="00010745" w:rsidP="00BC5DF8">
            <w:pPr>
              <w:spacing w:after="0" w:line="240" w:lineRule="auto"/>
              <w:rPr>
                <w:rFonts w:eastAsia="Times New Roman"/>
                <w:sz w:val="18"/>
                <w:szCs w:val="18"/>
                <w:lang w:eastAsia="en-AU"/>
              </w:rPr>
            </w:pPr>
            <w:r w:rsidRPr="00452605">
              <w:rPr>
                <w:rFonts w:eastAsia="Times New Roman"/>
                <w:sz w:val="18"/>
                <w:szCs w:val="18"/>
                <w:lang w:eastAsia="en-AU"/>
              </w:rPr>
              <w:t>kt</w:t>
            </w:r>
            <w:r w:rsidRPr="00BC5DF8">
              <w:rPr>
                <w:rFonts w:eastAsia="Times New Roman"/>
                <w:sz w:val="18"/>
                <w:szCs w:val="18"/>
                <w:lang w:eastAsia="en-AU"/>
              </w:rPr>
              <w:t xml:space="preserve"> GHG-e (kg CO2-e/kWh)</w:t>
            </w:r>
          </w:p>
        </w:tc>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010745" w:rsidRPr="00452605" w:rsidRDefault="00010745">
            <w:pPr>
              <w:jc w:val="center"/>
              <w:rPr>
                <w:sz w:val="18"/>
                <w:szCs w:val="18"/>
              </w:rPr>
            </w:pPr>
            <w:r w:rsidRPr="00452605">
              <w:rPr>
                <w:sz w:val="18"/>
                <w:szCs w:val="18"/>
              </w:rPr>
              <w:t>734</w:t>
            </w:r>
          </w:p>
        </w:tc>
        <w:tc>
          <w:tcPr>
            <w:tcW w:w="1347" w:type="dxa"/>
            <w:tcBorders>
              <w:top w:val="nil"/>
              <w:left w:val="nil"/>
              <w:bottom w:val="single" w:sz="4" w:space="0" w:color="auto"/>
              <w:right w:val="single" w:sz="4" w:space="0" w:color="auto"/>
            </w:tcBorders>
            <w:shd w:val="clear" w:color="auto" w:fill="auto"/>
            <w:noWrap/>
            <w:vAlign w:val="center"/>
            <w:hideMark/>
          </w:tcPr>
          <w:p w:rsidR="00010745" w:rsidRPr="00452605" w:rsidRDefault="00010745">
            <w:pPr>
              <w:jc w:val="center"/>
              <w:rPr>
                <w:sz w:val="18"/>
                <w:szCs w:val="18"/>
              </w:rPr>
            </w:pPr>
            <w:r w:rsidRPr="00452605">
              <w:rPr>
                <w:sz w:val="18"/>
                <w:szCs w:val="18"/>
              </w:rPr>
              <w:t>854</w:t>
            </w:r>
          </w:p>
        </w:tc>
      </w:tr>
      <w:tr w:rsidR="00010745" w:rsidRPr="00452605" w:rsidTr="00270501">
        <w:trPr>
          <w:trHeight w:val="315"/>
        </w:trPr>
        <w:tc>
          <w:tcPr>
            <w:tcW w:w="1140" w:type="dxa"/>
            <w:vMerge/>
            <w:tcBorders>
              <w:left w:val="single" w:sz="4" w:space="0" w:color="auto"/>
              <w:bottom w:val="single" w:sz="4" w:space="0" w:color="000000"/>
              <w:right w:val="single" w:sz="4" w:space="0" w:color="auto"/>
            </w:tcBorders>
            <w:vAlign w:val="center"/>
          </w:tcPr>
          <w:p w:rsidR="00010745" w:rsidRPr="00452605" w:rsidRDefault="00010745" w:rsidP="00BC5DF8">
            <w:pPr>
              <w:spacing w:after="0" w:line="240" w:lineRule="auto"/>
              <w:jc w:val="center"/>
              <w:rPr>
                <w:rFonts w:eastAsia="Times New Roman"/>
                <w:color w:val="000000"/>
                <w:sz w:val="18"/>
                <w:szCs w:val="18"/>
                <w:lang w:eastAsia="en-AU"/>
              </w:rPr>
            </w:pPr>
          </w:p>
        </w:tc>
        <w:tc>
          <w:tcPr>
            <w:tcW w:w="3119" w:type="dxa"/>
            <w:tcBorders>
              <w:top w:val="single" w:sz="4" w:space="0" w:color="auto"/>
              <w:left w:val="nil"/>
              <w:bottom w:val="single" w:sz="4" w:space="0" w:color="auto"/>
              <w:right w:val="nil"/>
            </w:tcBorders>
            <w:shd w:val="clear" w:color="000000" w:fill="CCC0DA"/>
            <w:noWrap/>
            <w:vAlign w:val="bottom"/>
          </w:tcPr>
          <w:p w:rsidR="00010745" w:rsidRPr="00452605" w:rsidRDefault="00270501">
            <w:pPr>
              <w:rPr>
                <w:color w:val="000000"/>
                <w:sz w:val="18"/>
                <w:szCs w:val="18"/>
              </w:rPr>
            </w:pPr>
            <w:r>
              <w:rPr>
                <w:color w:val="000000"/>
                <w:sz w:val="18"/>
                <w:szCs w:val="18"/>
              </w:rPr>
              <w:t>Total cost</w:t>
            </w:r>
            <w:r w:rsidR="00010745" w:rsidRPr="00452605">
              <w:rPr>
                <w:color w:val="000000"/>
                <w:sz w:val="18"/>
                <w:szCs w:val="18"/>
              </w:rPr>
              <w:t xml:space="preserve"> savings (AUD)</w:t>
            </w:r>
          </w:p>
        </w:tc>
        <w:tc>
          <w:tcPr>
            <w:tcW w:w="13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0745" w:rsidRPr="00452605" w:rsidRDefault="00010745">
            <w:pPr>
              <w:jc w:val="center"/>
              <w:rPr>
                <w:sz w:val="18"/>
                <w:szCs w:val="18"/>
              </w:rPr>
            </w:pPr>
            <w:r w:rsidRPr="00452605">
              <w:rPr>
                <w:sz w:val="18"/>
                <w:szCs w:val="18"/>
              </w:rPr>
              <w:t>$209,126,562</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010745" w:rsidRPr="00452605" w:rsidRDefault="00010745">
            <w:pPr>
              <w:jc w:val="center"/>
              <w:rPr>
                <w:sz w:val="18"/>
                <w:szCs w:val="18"/>
              </w:rPr>
            </w:pPr>
            <w:r w:rsidRPr="00452605">
              <w:rPr>
                <w:sz w:val="18"/>
                <w:szCs w:val="18"/>
              </w:rPr>
              <w:t>$243,431,065</w:t>
            </w:r>
          </w:p>
        </w:tc>
      </w:tr>
    </w:tbl>
    <w:p w:rsidR="00BC5DF8" w:rsidRDefault="00BC5DF8" w:rsidP="00A60E01">
      <w:pPr>
        <w:pStyle w:val="E3BodyText"/>
      </w:pPr>
    </w:p>
    <w:p w:rsidR="00A14AF7" w:rsidRDefault="00276C46" w:rsidP="00A60E01">
      <w:pPr>
        <w:pStyle w:val="E3BodyText"/>
      </w:pPr>
      <w:r>
        <w:t>Similarly for New Zealand, which has approximately 1.7 million homes and where there are 35 lamps in the average household; the additional energy saving</w:t>
      </w:r>
      <w:r w:rsidR="00270501">
        <w:t xml:space="preserve">, indicated in </w:t>
      </w:r>
      <w:r w:rsidR="00F1452F">
        <w:fldChar w:fldCharType="begin"/>
      </w:r>
      <w:r w:rsidR="00F1452F">
        <w:instrText xml:space="preserve"> REF _Ref426374390 \h </w:instrText>
      </w:r>
      <w:r w:rsidR="00F1452F">
        <w:fldChar w:fldCharType="separate"/>
      </w:r>
      <w:r w:rsidR="002C13E2">
        <w:t xml:space="preserve">Table </w:t>
      </w:r>
      <w:r w:rsidR="002C13E2">
        <w:rPr>
          <w:noProof/>
        </w:rPr>
        <w:t>19</w:t>
      </w:r>
      <w:r w:rsidR="00F1452F">
        <w:fldChar w:fldCharType="end"/>
      </w:r>
      <w:r w:rsidR="00F1452F">
        <w:t xml:space="preserve"> </w:t>
      </w:r>
      <w:r>
        <w:t xml:space="preserve">would </w:t>
      </w:r>
      <w:r w:rsidR="00C622D2">
        <w:t xml:space="preserve">be 69.8 kWh per year (25%) for each home and 122 GWh per year across Australia, upon introduction of MEPS at a level equal to IEA Tier 1. The energy savings increase to 81.3 kWh per year (29%) in homes and 142 GWh per year across the country with introduction of an IEA Tier 2 level.  </w:t>
      </w:r>
      <w:r w:rsidR="00A14AF7">
        <w:br w:type="page"/>
      </w:r>
    </w:p>
    <w:p w:rsidR="00276C46" w:rsidRDefault="00276C46" w:rsidP="00A60E01">
      <w:pPr>
        <w:pStyle w:val="E3BodyText"/>
      </w:pPr>
    </w:p>
    <w:p w:rsidR="00956236" w:rsidRDefault="00956236" w:rsidP="00956236">
      <w:pPr>
        <w:pStyle w:val="Caption"/>
        <w:keepNext/>
      </w:pPr>
      <w:bookmarkStart w:id="287" w:name="_Toc426387835"/>
      <w:r>
        <w:t xml:space="preserve">Table </w:t>
      </w:r>
      <w:r w:rsidR="00B525E0">
        <w:fldChar w:fldCharType="begin"/>
      </w:r>
      <w:r w:rsidR="00A40D89">
        <w:instrText xml:space="preserve"> SEQ Table \* ARABIC </w:instrText>
      </w:r>
      <w:r w:rsidR="00B525E0">
        <w:fldChar w:fldCharType="separate"/>
      </w:r>
      <w:r w:rsidR="002C13E2">
        <w:rPr>
          <w:noProof/>
        </w:rPr>
        <w:t>20</w:t>
      </w:r>
      <w:r w:rsidR="00B525E0">
        <w:rPr>
          <w:noProof/>
        </w:rPr>
        <w:fldChar w:fldCharType="end"/>
      </w:r>
      <w:r>
        <w:t>.</w:t>
      </w:r>
      <w:r w:rsidRPr="0077470B">
        <w:t xml:space="preserve">Energy savings for </w:t>
      </w:r>
      <w:r>
        <w:t>New Zealand</w:t>
      </w:r>
      <w:r w:rsidRPr="0077470B">
        <w:t xml:space="preserve"> homes with 75% LED lamps installed, upon introduction of MEPS equal to IEA Tier 1, Tier 2, 45 lm/W and 60 lm/W minimum efficacies.</w:t>
      </w:r>
      <w:bookmarkEnd w:id="287"/>
    </w:p>
    <w:tbl>
      <w:tblPr>
        <w:tblW w:w="3541" w:type="pct"/>
        <w:tblInd w:w="103" w:type="dxa"/>
        <w:tblLayout w:type="fixed"/>
        <w:tblLook w:val="04A0" w:firstRow="1" w:lastRow="0" w:firstColumn="1" w:lastColumn="0" w:noHBand="0" w:noVBand="1"/>
      </w:tblPr>
      <w:tblGrid>
        <w:gridCol w:w="1118"/>
        <w:gridCol w:w="3139"/>
        <w:gridCol w:w="1335"/>
        <w:gridCol w:w="1358"/>
        <w:gridCol w:w="29"/>
      </w:tblGrid>
      <w:tr w:rsidR="00A14AF7" w:rsidRPr="00452605" w:rsidTr="00CC4852">
        <w:trPr>
          <w:gridAfter w:val="1"/>
          <w:wAfter w:w="29" w:type="dxa"/>
          <w:trHeight w:val="315"/>
        </w:trPr>
        <w:tc>
          <w:tcPr>
            <w:tcW w:w="69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4AF7" w:rsidRPr="00452605" w:rsidRDefault="00A14AF7" w:rsidP="00CC4852">
            <w:pPr>
              <w:spacing w:after="0" w:line="240" w:lineRule="auto"/>
              <w:rPr>
                <w:rFonts w:eastAsia="Times New Roman"/>
                <w:color w:val="000000"/>
                <w:sz w:val="18"/>
                <w:szCs w:val="18"/>
                <w:lang w:eastAsia="en-AU"/>
              </w:rPr>
            </w:pPr>
            <w:r>
              <w:rPr>
                <w:rFonts w:eastAsia="Times New Roman"/>
                <w:b/>
                <w:color w:val="000000"/>
                <w:sz w:val="18"/>
                <w:szCs w:val="18"/>
                <w:lang w:eastAsia="en-AU"/>
              </w:rPr>
              <w:t>New Zealand</w:t>
            </w:r>
            <w:r w:rsidRPr="00452605">
              <w:rPr>
                <w:rFonts w:eastAsia="Times New Roman"/>
                <w:color w:val="000000"/>
                <w:sz w:val="18"/>
                <w:szCs w:val="18"/>
                <w:lang w:eastAsia="en-AU"/>
              </w:rPr>
              <w:t> </w:t>
            </w:r>
          </w:p>
        </w:tc>
      </w:tr>
      <w:tr w:rsidR="00A14AF7" w:rsidRPr="00452605" w:rsidTr="00CC4852">
        <w:trPr>
          <w:gridAfter w:val="1"/>
          <w:wAfter w:w="29" w:type="dxa"/>
          <w:trHeight w:val="315"/>
        </w:trPr>
        <w:tc>
          <w:tcPr>
            <w:tcW w:w="1118" w:type="dxa"/>
            <w:vMerge w:val="restart"/>
            <w:tcBorders>
              <w:top w:val="nil"/>
              <w:left w:val="single" w:sz="4" w:space="0" w:color="auto"/>
              <w:bottom w:val="single" w:sz="4" w:space="0" w:color="000000"/>
              <w:right w:val="single" w:sz="4" w:space="0" w:color="auto"/>
            </w:tcBorders>
            <w:shd w:val="clear" w:color="000000" w:fill="EAF1DD"/>
            <w:noWrap/>
            <w:vAlign w:val="center"/>
            <w:hideMark/>
          </w:tcPr>
          <w:p w:rsidR="00A14AF7" w:rsidRDefault="00A14AF7" w:rsidP="00CC4852">
            <w:pPr>
              <w:spacing w:after="0" w:line="240" w:lineRule="auto"/>
              <w:jc w:val="center"/>
              <w:rPr>
                <w:rFonts w:eastAsia="Times New Roman"/>
                <w:color w:val="000000"/>
                <w:sz w:val="18"/>
                <w:szCs w:val="18"/>
                <w:lang w:eastAsia="en-AU"/>
              </w:rPr>
            </w:pPr>
            <w:r>
              <w:rPr>
                <w:rFonts w:eastAsia="Times New Roman"/>
                <w:color w:val="000000"/>
                <w:sz w:val="18"/>
                <w:szCs w:val="18"/>
                <w:lang w:eastAsia="en-AU"/>
              </w:rPr>
              <w:t>Status Quo</w:t>
            </w:r>
          </w:p>
          <w:p w:rsidR="00A14AF7" w:rsidRPr="00452605" w:rsidRDefault="00A14AF7" w:rsidP="00CC4852">
            <w:pPr>
              <w:spacing w:after="0" w:line="240" w:lineRule="auto"/>
              <w:jc w:val="center"/>
              <w:rPr>
                <w:rFonts w:eastAsia="Times New Roman"/>
                <w:color w:val="000000"/>
                <w:sz w:val="18"/>
                <w:szCs w:val="18"/>
                <w:lang w:eastAsia="en-AU"/>
              </w:rPr>
            </w:pPr>
            <w:r>
              <w:rPr>
                <w:rFonts w:eastAsia="Times New Roman"/>
                <w:color w:val="000000"/>
                <w:sz w:val="18"/>
                <w:szCs w:val="18"/>
                <w:lang w:eastAsia="en-AU"/>
              </w:rPr>
              <w:t>(No MEPS)</w:t>
            </w:r>
          </w:p>
        </w:tc>
        <w:tc>
          <w:tcPr>
            <w:tcW w:w="3139" w:type="dxa"/>
            <w:tcBorders>
              <w:top w:val="nil"/>
              <w:left w:val="nil"/>
              <w:bottom w:val="single" w:sz="4" w:space="0" w:color="auto"/>
              <w:right w:val="single" w:sz="4" w:space="0" w:color="auto"/>
            </w:tcBorders>
            <w:shd w:val="clear" w:color="000000" w:fill="D7E4BC"/>
            <w:vAlign w:val="center"/>
          </w:tcPr>
          <w:p w:rsidR="00A14AF7" w:rsidRPr="00452605" w:rsidRDefault="00A14AF7" w:rsidP="00CC4852">
            <w:pPr>
              <w:spacing w:after="0" w:line="240" w:lineRule="auto"/>
              <w:rPr>
                <w:rFonts w:eastAsia="Times New Roman"/>
                <w:color w:val="000000"/>
                <w:sz w:val="18"/>
                <w:szCs w:val="18"/>
                <w:lang w:eastAsia="en-AU"/>
              </w:rPr>
            </w:pPr>
            <w:r w:rsidRPr="0005011B">
              <w:rPr>
                <w:rFonts w:eastAsia="Times New Roman"/>
                <w:b/>
                <w:color w:val="000000"/>
                <w:sz w:val="18"/>
                <w:szCs w:val="18"/>
                <w:lang w:eastAsia="en-AU"/>
              </w:rPr>
              <w:t>Per Household</w:t>
            </w:r>
          </w:p>
        </w:tc>
        <w:tc>
          <w:tcPr>
            <w:tcW w:w="2693" w:type="dxa"/>
            <w:gridSpan w:val="2"/>
            <w:tcBorders>
              <w:top w:val="nil"/>
              <w:left w:val="nil"/>
              <w:bottom w:val="single" w:sz="4" w:space="0" w:color="auto"/>
              <w:right w:val="single" w:sz="4" w:space="0" w:color="auto"/>
            </w:tcBorders>
            <w:shd w:val="clear" w:color="auto" w:fill="auto"/>
            <w:noWrap/>
            <w:vAlign w:val="center"/>
          </w:tcPr>
          <w:p w:rsidR="00A14AF7" w:rsidRPr="00452605" w:rsidRDefault="00A14AF7" w:rsidP="00CC4852">
            <w:pPr>
              <w:spacing w:after="0" w:line="240" w:lineRule="auto"/>
              <w:rPr>
                <w:rFonts w:eastAsia="Times New Roman"/>
                <w:color w:val="000000"/>
                <w:sz w:val="18"/>
                <w:szCs w:val="18"/>
                <w:lang w:eastAsia="en-AU"/>
              </w:rPr>
            </w:pPr>
          </w:p>
        </w:tc>
      </w:tr>
      <w:tr w:rsidR="00A14AF7" w:rsidRPr="00452605" w:rsidTr="00A14AF7">
        <w:trPr>
          <w:gridAfter w:val="1"/>
          <w:wAfter w:w="29" w:type="dxa"/>
          <w:trHeight w:val="315"/>
        </w:trPr>
        <w:tc>
          <w:tcPr>
            <w:tcW w:w="1118" w:type="dxa"/>
            <w:vMerge/>
            <w:tcBorders>
              <w:top w:val="nil"/>
              <w:left w:val="single" w:sz="4" w:space="0" w:color="auto"/>
              <w:bottom w:val="single" w:sz="4" w:space="0" w:color="000000"/>
              <w:right w:val="single" w:sz="4" w:space="0" w:color="auto"/>
            </w:tcBorders>
            <w:shd w:val="clear" w:color="000000" w:fill="EAF1DD"/>
            <w:noWrap/>
            <w:vAlign w:val="center"/>
          </w:tcPr>
          <w:p w:rsidR="00A14AF7" w:rsidRDefault="00A14AF7" w:rsidP="00CC4852">
            <w:pPr>
              <w:spacing w:after="0" w:line="240" w:lineRule="auto"/>
              <w:jc w:val="center"/>
              <w:rPr>
                <w:rFonts w:eastAsia="Times New Roman"/>
                <w:color w:val="000000"/>
                <w:sz w:val="18"/>
                <w:szCs w:val="18"/>
                <w:lang w:eastAsia="en-AU"/>
              </w:rPr>
            </w:pPr>
          </w:p>
        </w:tc>
        <w:tc>
          <w:tcPr>
            <w:tcW w:w="3139" w:type="dxa"/>
            <w:tcBorders>
              <w:top w:val="nil"/>
              <w:left w:val="nil"/>
              <w:bottom w:val="single" w:sz="4" w:space="0" w:color="auto"/>
              <w:right w:val="single" w:sz="4" w:space="0" w:color="auto"/>
            </w:tcBorders>
            <w:shd w:val="clear" w:color="000000" w:fill="D7E4BC"/>
            <w:vAlign w:val="center"/>
          </w:tcPr>
          <w:p w:rsidR="00A14AF7" w:rsidRPr="00452605" w:rsidRDefault="00A14AF7" w:rsidP="00CC4852">
            <w:pPr>
              <w:spacing w:after="0" w:line="240" w:lineRule="auto"/>
              <w:rPr>
                <w:rFonts w:eastAsia="Times New Roman"/>
                <w:color w:val="000000"/>
                <w:sz w:val="18"/>
                <w:szCs w:val="18"/>
                <w:lang w:eastAsia="en-AU"/>
              </w:rPr>
            </w:pPr>
            <w:r>
              <w:rPr>
                <w:rFonts w:eastAsia="Times New Roman"/>
                <w:color w:val="000000"/>
                <w:sz w:val="18"/>
                <w:szCs w:val="18"/>
                <w:lang w:eastAsia="en-AU"/>
              </w:rPr>
              <w:t>Lighting e</w:t>
            </w:r>
            <w:r w:rsidRPr="00452605">
              <w:rPr>
                <w:rFonts w:eastAsia="Times New Roman"/>
                <w:color w:val="000000"/>
                <w:sz w:val="18"/>
                <w:szCs w:val="18"/>
                <w:lang w:eastAsia="en-AU"/>
              </w:rPr>
              <w:t>nergy consumption (kWh p.a.)</w:t>
            </w:r>
          </w:p>
        </w:tc>
        <w:tc>
          <w:tcPr>
            <w:tcW w:w="2693" w:type="dxa"/>
            <w:gridSpan w:val="2"/>
            <w:tcBorders>
              <w:top w:val="nil"/>
              <w:left w:val="nil"/>
              <w:bottom w:val="single" w:sz="4" w:space="0" w:color="auto"/>
              <w:right w:val="single" w:sz="4" w:space="0" w:color="auto"/>
            </w:tcBorders>
            <w:shd w:val="clear" w:color="auto" w:fill="auto"/>
            <w:noWrap/>
            <w:vAlign w:val="center"/>
          </w:tcPr>
          <w:p w:rsidR="00A14AF7" w:rsidRPr="00452605" w:rsidRDefault="00A14AF7" w:rsidP="00CC4852">
            <w:pPr>
              <w:spacing w:after="0" w:line="240" w:lineRule="auto"/>
              <w:rPr>
                <w:rFonts w:eastAsia="Times New Roman"/>
                <w:color w:val="000000"/>
                <w:sz w:val="18"/>
                <w:szCs w:val="18"/>
                <w:lang w:eastAsia="en-AU"/>
              </w:rPr>
            </w:pPr>
            <w:r w:rsidRPr="00452605">
              <w:rPr>
                <w:rFonts w:eastAsia="Times New Roman"/>
                <w:color w:val="000000"/>
                <w:sz w:val="18"/>
                <w:szCs w:val="18"/>
                <w:lang w:eastAsia="en-AU"/>
              </w:rPr>
              <w:t>277</w:t>
            </w:r>
          </w:p>
        </w:tc>
      </w:tr>
      <w:tr w:rsidR="00A14AF7" w:rsidRPr="00452605" w:rsidTr="00A14AF7">
        <w:trPr>
          <w:gridAfter w:val="1"/>
          <w:wAfter w:w="29" w:type="dxa"/>
          <w:trHeight w:val="315"/>
        </w:trPr>
        <w:tc>
          <w:tcPr>
            <w:tcW w:w="1118" w:type="dxa"/>
            <w:vMerge/>
            <w:tcBorders>
              <w:top w:val="nil"/>
              <w:left w:val="single" w:sz="4" w:space="0" w:color="auto"/>
              <w:bottom w:val="single" w:sz="4" w:space="0" w:color="000000"/>
              <w:right w:val="single" w:sz="4" w:space="0" w:color="auto"/>
            </w:tcBorders>
            <w:vAlign w:val="center"/>
            <w:hideMark/>
          </w:tcPr>
          <w:p w:rsidR="00A14AF7" w:rsidRPr="00452605" w:rsidRDefault="00A14AF7" w:rsidP="00CC4852">
            <w:pPr>
              <w:spacing w:after="0" w:line="240" w:lineRule="auto"/>
              <w:rPr>
                <w:rFonts w:eastAsia="Times New Roman"/>
                <w:color w:val="000000"/>
                <w:sz w:val="18"/>
                <w:szCs w:val="18"/>
                <w:lang w:eastAsia="en-AU"/>
              </w:rPr>
            </w:pPr>
          </w:p>
        </w:tc>
        <w:tc>
          <w:tcPr>
            <w:tcW w:w="3139" w:type="dxa"/>
            <w:tcBorders>
              <w:top w:val="single" w:sz="4" w:space="0" w:color="auto"/>
              <w:left w:val="nil"/>
              <w:bottom w:val="single" w:sz="4" w:space="0" w:color="auto"/>
              <w:right w:val="nil"/>
            </w:tcBorders>
            <w:shd w:val="clear" w:color="000000" w:fill="D7E4BC"/>
            <w:noWrap/>
            <w:vAlign w:val="bottom"/>
            <w:hideMark/>
          </w:tcPr>
          <w:p w:rsidR="00A14AF7" w:rsidRPr="00452605" w:rsidRDefault="00A14AF7" w:rsidP="00CC4852">
            <w:pPr>
              <w:spacing w:after="0" w:line="240" w:lineRule="auto"/>
              <w:rPr>
                <w:rFonts w:eastAsia="Times New Roman"/>
                <w:color w:val="000000"/>
                <w:sz w:val="18"/>
                <w:szCs w:val="18"/>
                <w:lang w:eastAsia="en-AU"/>
              </w:rPr>
            </w:pPr>
            <w:r>
              <w:rPr>
                <w:rFonts w:eastAsia="Times New Roman"/>
                <w:color w:val="000000"/>
                <w:sz w:val="18"/>
                <w:szCs w:val="18"/>
                <w:lang w:eastAsia="en-AU"/>
              </w:rPr>
              <w:t>E</w:t>
            </w:r>
            <w:r w:rsidRPr="00452605">
              <w:rPr>
                <w:rFonts w:eastAsia="Times New Roman"/>
                <w:color w:val="000000"/>
                <w:sz w:val="18"/>
                <w:szCs w:val="18"/>
                <w:lang w:eastAsia="en-AU"/>
              </w:rPr>
              <w:t>nergy cost (NZD)</w:t>
            </w:r>
          </w:p>
        </w:tc>
        <w:tc>
          <w:tcPr>
            <w:tcW w:w="2693" w:type="dxa"/>
            <w:gridSpan w:val="2"/>
            <w:tcBorders>
              <w:top w:val="nil"/>
              <w:left w:val="single" w:sz="4" w:space="0" w:color="auto"/>
              <w:bottom w:val="single" w:sz="4" w:space="0" w:color="auto"/>
              <w:right w:val="single" w:sz="4" w:space="0" w:color="auto"/>
            </w:tcBorders>
            <w:shd w:val="clear" w:color="auto" w:fill="auto"/>
            <w:noWrap/>
            <w:vAlign w:val="center"/>
            <w:hideMark/>
          </w:tcPr>
          <w:p w:rsidR="00A14AF7" w:rsidRPr="00452605" w:rsidRDefault="00A14AF7" w:rsidP="00CC4852">
            <w:pPr>
              <w:spacing w:after="0" w:line="240" w:lineRule="auto"/>
              <w:rPr>
                <w:rFonts w:eastAsia="Times New Roman"/>
                <w:color w:val="000000"/>
                <w:sz w:val="18"/>
                <w:szCs w:val="18"/>
                <w:lang w:eastAsia="en-AU"/>
              </w:rPr>
            </w:pPr>
            <w:r w:rsidRPr="00452605">
              <w:rPr>
                <w:rFonts w:eastAsia="Times New Roman"/>
                <w:color w:val="000000"/>
                <w:sz w:val="18"/>
                <w:szCs w:val="18"/>
                <w:lang w:eastAsia="en-AU"/>
              </w:rPr>
              <w:t>$72</w:t>
            </w:r>
          </w:p>
        </w:tc>
      </w:tr>
      <w:tr w:rsidR="00A14AF7" w:rsidRPr="00452605" w:rsidTr="00A14AF7">
        <w:trPr>
          <w:gridAfter w:val="1"/>
          <w:wAfter w:w="29" w:type="dxa"/>
          <w:trHeight w:val="315"/>
        </w:trPr>
        <w:tc>
          <w:tcPr>
            <w:tcW w:w="1118" w:type="dxa"/>
            <w:vMerge/>
            <w:tcBorders>
              <w:top w:val="nil"/>
              <w:left w:val="single" w:sz="4" w:space="0" w:color="auto"/>
              <w:bottom w:val="single" w:sz="4" w:space="0" w:color="000000"/>
              <w:right w:val="single" w:sz="4" w:space="0" w:color="auto"/>
            </w:tcBorders>
            <w:vAlign w:val="center"/>
          </w:tcPr>
          <w:p w:rsidR="00A14AF7" w:rsidRPr="00452605" w:rsidRDefault="00A14AF7" w:rsidP="00CC4852">
            <w:pPr>
              <w:spacing w:after="0" w:line="240" w:lineRule="auto"/>
              <w:rPr>
                <w:rFonts w:eastAsia="Times New Roman"/>
                <w:color w:val="000000"/>
                <w:sz w:val="18"/>
                <w:szCs w:val="18"/>
                <w:lang w:eastAsia="en-AU"/>
              </w:rPr>
            </w:pPr>
          </w:p>
        </w:tc>
        <w:tc>
          <w:tcPr>
            <w:tcW w:w="3139" w:type="dxa"/>
            <w:tcBorders>
              <w:top w:val="single" w:sz="4" w:space="0" w:color="auto"/>
              <w:left w:val="nil"/>
              <w:bottom w:val="single" w:sz="4" w:space="0" w:color="auto"/>
              <w:right w:val="nil"/>
            </w:tcBorders>
            <w:shd w:val="clear" w:color="000000" w:fill="D7E4BC"/>
            <w:noWrap/>
            <w:vAlign w:val="center"/>
          </w:tcPr>
          <w:p w:rsidR="00A14AF7" w:rsidRPr="00452605" w:rsidRDefault="00A14AF7" w:rsidP="00CC4852">
            <w:pPr>
              <w:spacing w:after="0" w:line="240" w:lineRule="auto"/>
              <w:rPr>
                <w:rFonts w:eastAsia="Times New Roman"/>
                <w:color w:val="000000"/>
                <w:sz w:val="18"/>
                <w:szCs w:val="18"/>
                <w:lang w:eastAsia="en-AU"/>
              </w:rPr>
            </w:pPr>
            <w:r w:rsidRPr="006E2698">
              <w:rPr>
                <w:rFonts w:eastAsia="Times New Roman"/>
                <w:b/>
                <w:color w:val="000000"/>
                <w:sz w:val="18"/>
                <w:szCs w:val="18"/>
                <w:lang w:eastAsia="en-AU"/>
              </w:rPr>
              <w:t>Nationally</w:t>
            </w:r>
          </w:p>
        </w:tc>
        <w:tc>
          <w:tcPr>
            <w:tcW w:w="2693" w:type="dxa"/>
            <w:gridSpan w:val="2"/>
            <w:tcBorders>
              <w:top w:val="nil"/>
              <w:left w:val="single" w:sz="4" w:space="0" w:color="auto"/>
              <w:bottom w:val="single" w:sz="4" w:space="0" w:color="auto"/>
              <w:right w:val="single" w:sz="4" w:space="0" w:color="auto"/>
            </w:tcBorders>
            <w:shd w:val="clear" w:color="auto" w:fill="auto"/>
            <w:noWrap/>
            <w:vAlign w:val="center"/>
          </w:tcPr>
          <w:p w:rsidR="00A14AF7" w:rsidRPr="00452605" w:rsidRDefault="00A14AF7" w:rsidP="00CC4852">
            <w:pPr>
              <w:spacing w:after="0" w:line="240" w:lineRule="auto"/>
              <w:rPr>
                <w:rFonts w:eastAsia="Times New Roman"/>
                <w:color w:val="000000"/>
                <w:sz w:val="18"/>
                <w:szCs w:val="18"/>
                <w:lang w:eastAsia="en-AU"/>
              </w:rPr>
            </w:pPr>
          </w:p>
        </w:tc>
      </w:tr>
      <w:tr w:rsidR="00A14AF7" w:rsidRPr="00452605" w:rsidTr="00A14AF7">
        <w:trPr>
          <w:gridAfter w:val="1"/>
          <w:wAfter w:w="29" w:type="dxa"/>
          <w:trHeight w:val="315"/>
        </w:trPr>
        <w:tc>
          <w:tcPr>
            <w:tcW w:w="1118" w:type="dxa"/>
            <w:vMerge/>
            <w:tcBorders>
              <w:top w:val="nil"/>
              <w:left w:val="single" w:sz="4" w:space="0" w:color="auto"/>
              <w:bottom w:val="single" w:sz="4" w:space="0" w:color="000000"/>
              <w:right w:val="single" w:sz="4" w:space="0" w:color="auto"/>
            </w:tcBorders>
            <w:vAlign w:val="center"/>
            <w:hideMark/>
          </w:tcPr>
          <w:p w:rsidR="00A14AF7" w:rsidRPr="00452605" w:rsidRDefault="00A14AF7" w:rsidP="00CC4852">
            <w:pPr>
              <w:spacing w:after="0" w:line="240" w:lineRule="auto"/>
              <w:rPr>
                <w:rFonts w:eastAsia="Times New Roman"/>
                <w:color w:val="000000"/>
                <w:sz w:val="18"/>
                <w:szCs w:val="18"/>
                <w:lang w:eastAsia="en-AU"/>
              </w:rPr>
            </w:pPr>
          </w:p>
        </w:tc>
        <w:tc>
          <w:tcPr>
            <w:tcW w:w="3139" w:type="dxa"/>
            <w:tcBorders>
              <w:top w:val="single" w:sz="4" w:space="0" w:color="auto"/>
              <w:left w:val="nil"/>
              <w:bottom w:val="single" w:sz="4" w:space="0" w:color="auto"/>
              <w:right w:val="single" w:sz="4" w:space="0" w:color="auto"/>
            </w:tcBorders>
            <w:shd w:val="clear" w:color="000000" w:fill="D7E4BC"/>
            <w:vAlign w:val="center"/>
            <w:hideMark/>
          </w:tcPr>
          <w:p w:rsidR="00A14AF7" w:rsidRPr="00452605" w:rsidRDefault="00A14AF7" w:rsidP="00CC4852">
            <w:pPr>
              <w:spacing w:after="0" w:line="240" w:lineRule="auto"/>
              <w:rPr>
                <w:rFonts w:eastAsia="Times New Roman"/>
                <w:color w:val="000000"/>
                <w:sz w:val="18"/>
                <w:szCs w:val="18"/>
                <w:lang w:eastAsia="en-AU"/>
              </w:rPr>
            </w:pPr>
            <w:r w:rsidRPr="00452605">
              <w:rPr>
                <w:rFonts w:eastAsia="Times New Roman"/>
                <w:color w:val="000000"/>
                <w:sz w:val="18"/>
                <w:szCs w:val="18"/>
                <w:lang w:eastAsia="en-AU"/>
              </w:rPr>
              <w:t>Energy consumption (GWh p.a.)</w:t>
            </w:r>
          </w:p>
        </w:tc>
        <w:tc>
          <w:tcPr>
            <w:tcW w:w="2693" w:type="dxa"/>
            <w:gridSpan w:val="2"/>
            <w:tcBorders>
              <w:top w:val="nil"/>
              <w:left w:val="nil"/>
              <w:bottom w:val="single" w:sz="4" w:space="0" w:color="auto"/>
              <w:right w:val="single" w:sz="4" w:space="0" w:color="auto"/>
            </w:tcBorders>
            <w:shd w:val="clear" w:color="auto" w:fill="auto"/>
            <w:noWrap/>
            <w:vAlign w:val="center"/>
            <w:hideMark/>
          </w:tcPr>
          <w:p w:rsidR="00A14AF7" w:rsidRPr="00452605" w:rsidRDefault="00A14AF7" w:rsidP="00CC4852">
            <w:pPr>
              <w:spacing w:after="0" w:line="240" w:lineRule="auto"/>
              <w:rPr>
                <w:rFonts w:eastAsia="Times New Roman"/>
                <w:color w:val="000000"/>
                <w:sz w:val="18"/>
                <w:szCs w:val="18"/>
                <w:lang w:eastAsia="en-AU"/>
              </w:rPr>
            </w:pPr>
            <w:r w:rsidRPr="00452605">
              <w:rPr>
                <w:rFonts w:eastAsia="Times New Roman"/>
                <w:color w:val="000000"/>
                <w:sz w:val="18"/>
                <w:szCs w:val="18"/>
                <w:lang w:eastAsia="en-AU"/>
              </w:rPr>
              <w:t>484</w:t>
            </w:r>
          </w:p>
        </w:tc>
      </w:tr>
      <w:tr w:rsidR="00A14AF7" w:rsidRPr="00452605" w:rsidTr="00CC4852">
        <w:trPr>
          <w:gridAfter w:val="1"/>
          <w:wAfter w:w="29" w:type="dxa"/>
          <w:trHeight w:val="315"/>
        </w:trPr>
        <w:tc>
          <w:tcPr>
            <w:tcW w:w="1118" w:type="dxa"/>
            <w:vMerge/>
            <w:tcBorders>
              <w:top w:val="nil"/>
              <w:left w:val="single" w:sz="4" w:space="0" w:color="auto"/>
              <w:bottom w:val="single" w:sz="4" w:space="0" w:color="000000"/>
              <w:right w:val="single" w:sz="4" w:space="0" w:color="auto"/>
            </w:tcBorders>
            <w:vAlign w:val="center"/>
            <w:hideMark/>
          </w:tcPr>
          <w:p w:rsidR="00A14AF7" w:rsidRPr="00452605" w:rsidRDefault="00A14AF7" w:rsidP="00CC4852">
            <w:pPr>
              <w:spacing w:after="0" w:line="240" w:lineRule="auto"/>
              <w:rPr>
                <w:rFonts w:eastAsia="Times New Roman"/>
                <w:color w:val="000000"/>
                <w:sz w:val="18"/>
                <w:szCs w:val="18"/>
                <w:lang w:eastAsia="en-AU"/>
              </w:rPr>
            </w:pPr>
          </w:p>
        </w:tc>
        <w:tc>
          <w:tcPr>
            <w:tcW w:w="3139" w:type="dxa"/>
            <w:tcBorders>
              <w:top w:val="nil"/>
              <w:left w:val="nil"/>
              <w:bottom w:val="single" w:sz="4" w:space="0" w:color="auto"/>
              <w:right w:val="single" w:sz="4" w:space="0" w:color="auto"/>
            </w:tcBorders>
            <w:shd w:val="clear" w:color="000000" w:fill="D7E4BC"/>
            <w:noWrap/>
            <w:vAlign w:val="bottom"/>
            <w:hideMark/>
          </w:tcPr>
          <w:p w:rsidR="00A14AF7" w:rsidRPr="00452605" w:rsidRDefault="00A14AF7" w:rsidP="00CC4852">
            <w:pPr>
              <w:spacing w:after="0" w:line="240" w:lineRule="auto"/>
              <w:rPr>
                <w:rFonts w:eastAsia="Times New Roman"/>
                <w:color w:val="000000"/>
                <w:sz w:val="18"/>
                <w:szCs w:val="18"/>
                <w:lang w:eastAsia="en-AU"/>
              </w:rPr>
            </w:pPr>
            <w:r>
              <w:rPr>
                <w:rFonts w:eastAsia="Times New Roman"/>
                <w:color w:val="000000"/>
                <w:sz w:val="18"/>
                <w:szCs w:val="18"/>
                <w:lang w:eastAsia="en-AU"/>
              </w:rPr>
              <w:t>Total</w:t>
            </w:r>
            <w:r w:rsidRPr="00452605">
              <w:rPr>
                <w:rFonts w:eastAsia="Times New Roman"/>
                <w:color w:val="000000"/>
                <w:sz w:val="18"/>
                <w:szCs w:val="18"/>
                <w:lang w:eastAsia="en-AU"/>
              </w:rPr>
              <w:t xml:space="preserve"> energy cost (NZD)</w:t>
            </w:r>
          </w:p>
        </w:tc>
        <w:tc>
          <w:tcPr>
            <w:tcW w:w="2693" w:type="dxa"/>
            <w:gridSpan w:val="2"/>
            <w:tcBorders>
              <w:top w:val="nil"/>
              <w:left w:val="nil"/>
              <w:bottom w:val="single" w:sz="4" w:space="0" w:color="auto"/>
              <w:right w:val="single" w:sz="4" w:space="0" w:color="auto"/>
            </w:tcBorders>
            <w:shd w:val="clear" w:color="auto" w:fill="auto"/>
            <w:noWrap/>
            <w:vAlign w:val="center"/>
            <w:hideMark/>
          </w:tcPr>
          <w:p w:rsidR="00A14AF7" w:rsidRPr="00452605" w:rsidRDefault="00A14AF7" w:rsidP="00CC4852">
            <w:pPr>
              <w:spacing w:after="0" w:line="240" w:lineRule="auto"/>
              <w:rPr>
                <w:rFonts w:eastAsia="Times New Roman"/>
                <w:color w:val="000000"/>
                <w:sz w:val="18"/>
                <w:szCs w:val="18"/>
                <w:lang w:eastAsia="en-AU"/>
              </w:rPr>
            </w:pPr>
            <w:r w:rsidRPr="00452605">
              <w:rPr>
                <w:rFonts w:eastAsia="Times New Roman"/>
                <w:color w:val="000000"/>
                <w:sz w:val="18"/>
                <w:szCs w:val="18"/>
                <w:lang w:eastAsia="en-AU"/>
              </w:rPr>
              <w:t>$125,710,646</w:t>
            </w:r>
          </w:p>
        </w:tc>
      </w:tr>
      <w:tr w:rsidR="00A14AF7" w:rsidRPr="00452605" w:rsidTr="00CC4852">
        <w:trPr>
          <w:trHeight w:val="315"/>
        </w:trPr>
        <w:tc>
          <w:tcPr>
            <w:tcW w:w="4257" w:type="dxa"/>
            <w:gridSpan w:val="2"/>
            <w:tcBorders>
              <w:top w:val="nil"/>
              <w:left w:val="single" w:sz="4" w:space="0" w:color="auto"/>
              <w:bottom w:val="single" w:sz="4" w:space="0" w:color="auto"/>
              <w:right w:val="single" w:sz="4" w:space="0" w:color="auto"/>
            </w:tcBorders>
            <w:shd w:val="clear" w:color="000000" w:fill="DBE5F1"/>
            <w:noWrap/>
            <w:vAlign w:val="center"/>
            <w:hideMark/>
          </w:tcPr>
          <w:p w:rsidR="00A14AF7" w:rsidRPr="00452605" w:rsidRDefault="00A14AF7" w:rsidP="00CC4852">
            <w:pPr>
              <w:spacing w:after="0" w:line="240" w:lineRule="auto"/>
              <w:rPr>
                <w:rFonts w:eastAsia="Times New Roman"/>
                <w:color w:val="000000"/>
                <w:sz w:val="18"/>
                <w:szCs w:val="18"/>
                <w:lang w:eastAsia="en-AU"/>
              </w:rPr>
            </w:pPr>
          </w:p>
        </w:tc>
        <w:tc>
          <w:tcPr>
            <w:tcW w:w="1335" w:type="dxa"/>
            <w:tcBorders>
              <w:top w:val="nil"/>
              <w:left w:val="nil"/>
              <w:bottom w:val="single" w:sz="4" w:space="0" w:color="auto"/>
              <w:right w:val="single" w:sz="4" w:space="0" w:color="auto"/>
            </w:tcBorders>
            <w:shd w:val="clear" w:color="auto" w:fill="auto"/>
            <w:noWrap/>
            <w:vAlign w:val="center"/>
            <w:hideMark/>
          </w:tcPr>
          <w:p w:rsidR="00A14AF7" w:rsidRPr="00BC5DF8" w:rsidRDefault="00A14AF7" w:rsidP="00CC4852">
            <w:pPr>
              <w:spacing w:after="0" w:line="240" w:lineRule="auto"/>
              <w:jc w:val="center"/>
              <w:rPr>
                <w:rFonts w:eastAsia="Times New Roman"/>
                <w:b/>
                <w:color w:val="000000"/>
                <w:sz w:val="18"/>
                <w:szCs w:val="18"/>
                <w:lang w:eastAsia="en-AU"/>
              </w:rPr>
            </w:pPr>
            <w:r w:rsidRPr="00BC5DF8">
              <w:rPr>
                <w:rFonts w:eastAsia="Times New Roman"/>
                <w:b/>
                <w:color w:val="000000"/>
                <w:sz w:val="18"/>
                <w:szCs w:val="18"/>
                <w:lang w:eastAsia="en-AU"/>
              </w:rPr>
              <w:t>IEA Tier 1</w:t>
            </w:r>
          </w:p>
        </w:tc>
        <w:tc>
          <w:tcPr>
            <w:tcW w:w="1387" w:type="dxa"/>
            <w:gridSpan w:val="2"/>
            <w:tcBorders>
              <w:top w:val="nil"/>
              <w:left w:val="nil"/>
              <w:bottom w:val="single" w:sz="4" w:space="0" w:color="auto"/>
              <w:right w:val="single" w:sz="4" w:space="0" w:color="auto"/>
            </w:tcBorders>
            <w:shd w:val="clear" w:color="auto" w:fill="auto"/>
            <w:noWrap/>
            <w:vAlign w:val="center"/>
            <w:hideMark/>
          </w:tcPr>
          <w:p w:rsidR="00A14AF7" w:rsidRPr="00BC5DF8" w:rsidRDefault="00A14AF7" w:rsidP="00CC4852">
            <w:pPr>
              <w:spacing w:after="0" w:line="240" w:lineRule="auto"/>
              <w:jc w:val="center"/>
              <w:rPr>
                <w:rFonts w:eastAsia="Times New Roman"/>
                <w:b/>
                <w:color w:val="000000"/>
                <w:sz w:val="18"/>
                <w:szCs w:val="18"/>
                <w:lang w:eastAsia="en-AU"/>
              </w:rPr>
            </w:pPr>
            <w:r w:rsidRPr="00BC5DF8">
              <w:rPr>
                <w:rFonts w:eastAsia="Times New Roman"/>
                <w:b/>
                <w:color w:val="000000"/>
                <w:sz w:val="18"/>
                <w:szCs w:val="18"/>
                <w:lang w:eastAsia="en-AU"/>
              </w:rPr>
              <w:t>IEA Tier 2</w:t>
            </w:r>
          </w:p>
        </w:tc>
      </w:tr>
      <w:tr w:rsidR="00A14AF7" w:rsidRPr="00452605" w:rsidTr="00CC4852">
        <w:trPr>
          <w:trHeight w:val="315"/>
        </w:trPr>
        <w:tc>
          <w:tcPr>
            <w:tcW w:w="1118" w:type="dxa"/>
            <w:vMerge w:val="restart"/>
            <w:tcBorders>
              <w:top w:val="nil"/>
              <w:left w:val="single" w:sz="4" w:space="0" w:color="auto"/>
              <w:bottom w:val="single" w:sz="4" w:space="0" w:color="auto"/>
              <w:right w:val="single" w:sz="4" w:space="0" w:color="auto"/>
            </w:tcBorders>
            <w:shd w:val="clear" w:color="000000" w:fill="DBE5F1"/>
            <w:noWrap/>
            <w:vAlign w:val="center"/>
            <w:hideMark/>
          </w:tcPr>
          <w:p w:rsidR="00A14AF7" w:rsidRPr="00452605" w:rsidRDefault="00A14AF7" w:rsidP="00CC4852">
            <w:pPr>
              <w:spacing w:after="0" w:line="240" w:lineRule="auto"/>
              <w:jc w:val="center"/>
              <w:rPr>
                <w:rFonts w:eastAsia="Times New Roman"/>
                <w:color w:val="000000"/>
                <w:sz w:val="18"/>
                <w:szCs w:val="18"/>
                <w:lang w:eastAsia="en-AU"/>
              </w:rPr>
            </w:pPr>
            <w:r>
              <w:rPr>
                <w:rFonts w:eastAsia="Times New Roman"/>
                <w:color w:val="000000"/>
                <w:sz w:val="18"/>
                <w:szCs w:val="18"/>
                <w:lang w:eastAsia="en-AU"/>
              </w:rPr>
              <w:t>Introduce MEPS</w:t>
            </w:r>
          </w:p>
        </w:tc>
        <w:tc>
          <w:tcPr>
            <w:tcW w:w="3139" w:type="dxa"/>
            <w:tcBorders>
              <w:top w:val="nil"/>
              <w:left w:val="nil"/>
              <w:bottom w:val="single" w:sz="4" w:space="0" w:color="auto"/>
              <w:right w:val="single" w:sz="4" w:space="0" w:color="auto"/>
            </w:tcBorders>
            <w:shd w:val="clear" w:color="000000" w:fill="C5D9F1"/>
            <w:vAlign w:val="center"/>
          </w:tcPr>
          <w:p w:rsidR="00A14AF7" w:rsidRPr="00452605" w:rsidRDefault="00A14AF7" w:rsidP="00CC4852">
            <w:pPr>
              <w:spacing w:after="0" w:line="240" w:lineRule="auto"/>
              <w:rPr>
                <w:rFonts w:eastAsia="Times New Roman"/>
                <w:color w:val="000000"/>
                <w:sz w:val="18"/>
                <w:szCs w:val="18"/>
                <w:lang w:eastAsia="en-AU"/>
              </w:rPr>
            </w:pPr>
            <w:r w:rsidRPr="0005011B">
              <w:rPr>
                <w:rFonts w:eastAsia="Times New Roman"/>
                <w:b/>
                <w:color w:val="000000"/>
                <w:sz w:val="18"/>
                <w:szCs w:val="18"/>
                <w:lang w:eastAsia="en-AU"/>
              </w:rPr>
              <w:t>Per Household</w:t>
            </w:r>
          </w:p>
        </w:tc>
        <w:tc>
          <w:tcPr>
            <w:tcW w:w="1335" w:type="dxa"/>
            <w:tcBorders>
              <w:top w:val="nil"/>
              <w:left w:val="nil"/>
              <w:bottom w:val="single" w:sz="4" w:space="0" w:color="auto"/>
              <w:right w:val="single" w:sz="4" w:space="0" w:color="auto"/>
            </w:tcBorders>
            <w:shd w:val="clear" w:color="auto" w:fill="auto"/>
            <w:noWrap/>
            <w:vAlign w:val="center"/>
          </w:tcPr>
          <w:p w:rsidR="00A14AF7" w:rsidRPr="00452605" w:rsidRDefault="00A14AF7" w:rsidP="00CC4852">
            <w:pPr>
              <w:spacing w:after="0" w:line="240" w:lineRule="auto"/>
              <w:jc w:val="center"/>
              <w:rPr>
                <w:rFonts w:eastAsia="Times New Roman"/>
                <w:color w:val="000000"/>
                <w:sz w:val="18"/>
                <w:szCs w:val="18"/>
                <w:lang w:eastAsia="en-AU"/>
              </w:rPr>
            </w:pPr>
          </w:p>
        </w:tc>
        <w:tc>
          <w:tcPr>
            <w:tcW w:w="1387" w:type="dxa"/>
            <w:gridSpan w:val="2"/>
            <w:tcBorders>
              <w:top w:val="nil"/>
              <w:left w:val="nil"/>
              <w:bottom w:val="single" w:sz="4" w:space="0" w:color="auto"/>
              <w:right w:val="single" w:sz="4" w:space="0" w:color="auto"/>
            </w:tcBorders>
            <w:shd w:val="clear" w:color="auto" w:fill="auto"/>
            <w:noWrap/>
            <w:vAlign w:val="center"/>
          </w:tcPr>
          <w:p w:rsidR="00A14AF7" w:rsidRPr="00452605" w:rsidRDefault="00A14AF7" w:rsidP="00CC4852">
            <w:pPr>
              <w:spacing w:after="0" w:line="240" w:lineRule="auto"/>
              <w:jc w:val="center"/>
              <w:rPr>
                <w:rFonts w:eastAsia="Times New Roman"/>
                <w:color w:val="000000"/>
                <w:sz w:val="18"/>
                <w:szCs w:val="18"/>
                <w:lang w:eastAsia="en-AU"/>
              </w:rPr>
            </w:pPr>
          </w:p>
        </w:tc>
      </w:tr>
      <w:tr w:rsidR="00A14AF7" w:rsidRPr="00452605" w:rsidTr="00CC4852">
        <w:trPr>
          <w:trHeight w:val="315"/>
        </w:trPr>
        <w:tc>
          <w:tcPr>
            <w:tcW w:w="1118" w:type="dxa"/>
            <w:vMerge/>
            <w:tcBorders>
              <w:top w:val="nil"/>
              <w:left w:val="single" w:sz="4" w:space="0" w:color="auto"/>
              <w:bottom w:val="single" w:sz="4" w:space="0" w:color="auto"/>
              <w:right w:val="single" w:sz="4" w:space="0" w:color="auto"/>
            </w:tcBorders>
            <w:shd w:val="clear" w:color="000000" w:fill="DBE5F1"/>
            <w:noWrap/>
            <w:vAlign w:val="center"/>
          </w:tcPr>
          <w:p w:rsidR="00A14AF7" w:rsidRDefault="00A14AF7" w:rsidP="00CC4852">
            <w:pPr>
              <w:spacing w:after="0" w:line="240" w:lineRule="auto"/>
              <w:jc w:val="center"/>
              <w:rPr>
                <w:rFonts w:eastAsia="Times New Roman"/>
                <w:color w:val="000000"/>
                <w:sz w:val="18"/>
                <w:szCs w:val="18"/>
                <w:lang w:eastAsia="en-AU"/>
              </w:rPr>
            </w:pPr>
          </w:p>
        </w:tc>
        <w:tc>
          <w:tcPr>
            <w:tcW w:w="3139" w:type="dxa"/>
            <w:tcBorders>
              <w:top w:val="nil"/>
              <w:left w:val="nil"/>
              <w:bottom w:val="single" w:sz="4" w:space="0" w:color="auto"/>
              <w:right w:val="single" w:sz="4" w:space="0" w:color="auto"/>
            </w:tcBorders>
            <w:shd w:val="clear" w:color="000000" w:fill="C5D9F1"/>
            <w:vAlign w:val="center"/>
          </w:tcPr>
          <w:p w:rsidR="00A14AF7" w:rsidRPr="00452605" w:rsidRDefault="00A14AF7" w:rsidP="00CC4852">
            <w:pPr>
              <w:spacing w:after="0" w:line="240" w:lineRule="auto"/>
              <w:rPr>
                <w:rFonts w:eastAsia="Times New Roman"/>
                <w:color w:val="000000"/>
                <w:sz w:val="18"/>
                <w:szCs w:val="18"/>
                <w:lang w:eastAsia="en-AU"/>
              </w:rPr>
            </w:pPr>
            <w:r>
              <w:rPr>
                <w:rFonts w:eastAsia="Times New Roman"/>
                <w:color w:val="000000"/>
                <w:sz w:val="18"/>
                <w:szCs w:val="18"/>
                <w:lang w:eastAsia="en-AU"/>
              </w:rPr>
              <w:t>Lighting e</w:t>
            </w:r>
            <w:r w:rsidRPr="00452605">
              <w:rPr>
                <w:rFonts w:eastAsia="Times New Roman"/>
                <w:color w:val="000000"/>
                <w:sz w:val="18"/>
                <w:szCs w:val="18"/>
                <w:lang w:eastAsia="en-AU"/>
              </w:rPr>
              <w:t>nergy consumption (kWh p.a.)</w:t>
            </w:r>
          </w:p>
        </w:tc>
        <w:tc>
          <w:tcPr>
            <w:tcW w:w="1335" w:type="dxa"/>
            <w:tcBorders>
              <w:top w:val="nil"/>
              <w:left w:val="nil"/>
              <w:bottom w:val="single" w:sz="4" w:space="0" w:color="auto"/>
              <w:right w:val="single" w:sz="4" w:space="0" w:color="auto"/>
            </w:tcBorders>
            <w:shd w:val="clear" w:color="auto" w:fill="auto"/>
            <w:noWrap/>
            <w:vAlign w:val="center"/>
          </w:tcPr>
          <w:p w:rsidR="00A14AF7" w:rsidRPr="00452605" w:rsidRDefault="00A14AF7" w:rsidP="00CC4852">
            <w:pPr>
              <w:spacing w:after="0" w:line="240" w:lineRule="auto"/>
              <w:jc w:val="center"/>
              <w:rPr>
                <w:rFonts w:eastAsia="Times New Roman"/>
                <w:color w:val="000000"/>
                <w:sz w:val="18"/>
                <w:szCs w:val="18"/>
                <w:lang w:eastAsia="en-AU"/>
              </w:rPr>
            </w:pPr>
            <w:r w:rsidRPr="00452605">
              <w:rPr>
                <w:rFonts w:eastAsia="Times New Roman"/>
                <w:color w:val="000000"/>
                <w:sz w:val="18"/>
                <w:szCs w:val="18"/>
                <w:lang w:eastAsia="en-AU"/>
              </w:rPr>
              <w:t>207</w:t>
            </w:r>
          </w:p>
        </w:tc>
        <w:tc>
          <w:tcPr>
            <w:tcW w:w="1387" w:type="dxa"/>
            <w:gridSpan w:val="2"/>
            <w:tcBorders>
              <w:top w:val="nil"/>
              <w:left w:val="nil"/>
              <w:bottom w:val="single" w:sz="4" w:space="0" w:color="auto"/>
              <w:right w:val="single" w:sz="4" w:space="0" w:color="auto"/>
            </w:tcBorders>
            <w:shd w:val="clear" w:color="auto" w:fill="auto"/>
            <w:noWrap/>
            <w:vAlign w:val="center"/>
          </w:tcPr>
          <w:p w:rsidR="00A14AF7" w:rsidRPr="00452605" w:rsidRDefault="00A14AF7" w:rsidP="00CC4852">
            <w:pPr>
              <w:spacing w:after="0" w:line="240" w:lineRule="auto"/>
              <w:jc w:val="center"/>
              <w:rPr>
                <w:rFonts w:eastAsia="Times New Roman"/>
                <w:color w:val="000000"/>
                <w:sz w:val="18"/>
                <w:szCs w:val="18"/>
                <w:lang w:eastAsia="en-AU"/>
              </w:rPr>
            </w:pPr>
            <w:r w:rsidRPr="00452605">
              <w:rPr>
                <w:rFonts w:eastAsia="Times New Roman"/>
                <w:color w:val="000000"/>
                <w:sz w:val="18"/>
                <w:szCs w:val="18"/>
                <w:lang w:eastAsia="en-AU"/>
              </w:rPr>
              <w:t>195</w:t>
            </w:r>
          </w:p>
        </w:tc>
      </w:tr>
      <w:tr w:rsidR="00A14AF7" w:rsidRPr="00452605" w:rsidTr="00CC4852">
        <w:trPr>
          <w:trHeight w:val="315"/>
        </w:trPr>
        <w:tc>
          <w:tcPr>
            <w:tcW w:w="1118" w:type="dxa"/>
            <w:vMerge/>
            <w:tcBorders>
              <w:top w:val="nil"/>
              <w:left w:val="single" w:sz="4" w:space="0" w:color="auto"/>
              <w:bottom w:val="single" w:sz="4" w:space="0" w:color="auto"/>
              <w:right w:val="single" w:sz="4" w:space="0" w:color="auto"/>
            </w:tcBorders>
            <w:vAlign w:val="center"/>
            <w:hideMark/>
          </w:tcPr>
          <w:p w:rsidR="00A14AF7" w:rsidRPr="00452605" w:rsidRDefault="00A14AF7" w:rsidP="00CC4852">
            <w:pPr>
              <w:spacing w:after="0" w:line="240" w:lineRule="auto"/>
              <w:rPr>
                <w:rFonts w:eastAsia="Times New Roman"/>
                <w:color w:val="000000"/>
                <w:sz w:val="18"/>
                <w:szCs w:val="18"/>
                <w:lang w:eastAsia="en-AU"/>
              </w:rPr>
            </w:pPr>
          </w:p>
        </w:tc>
        <w:tc>
          <w:tcPr>
            <w:tcW w:w="3139" w:type="dxa"/>
            <w:tcBorders>
              <w:top w:val="nil"/>
              <w:left w:val="nil"/>
              <w:bottom w:val="single" w:sz="4" w:space="0" w:color="auto"/>
              <w:right w:val="nil"/>
            </w:tcBorders>
            <w:shd w:val="clear" w:color="000000" w:fill="C5D9F1"/>
            <w:noWrap/>
            <w:vAlign w:val="bottom"/>
            <w:hideMark/>
          </w:tcPr>
          <w:p w:rsidR="00A14AF7" w:rsidRPr="00452605" w:rsidRDefault="00A14AF7" w:rsidP="00CC4852">
            <w:pPr>
              <w:spacing w:after="0" w:line="240" w:lineRule="auto"/>
              <w:rPr>
                <w:rFonts w:eastAsia="Times New Roman"/>
                <w:color w:val="000000"/>
                <w:sz w:val="18"/>
                <w:szCs w:val="18"/>
                <w:lang w:eastAsia="en-AU"/>
              </w:rPr>
            </w:pPr>
            <w:r>
              <w:rPr>
                <w:rFonts w:eastAsia="Times New Roman"/>
                <w:color w:val="000000"/>
                <w:sz w:val="18"/>
                <w:szCs w:val="18"/>
                <w:lang w:eastAsia="en-AU"/>
              </w:rPr>
              <w:t>E</w:t>
            </w:r>
            <w:r w:rsidRPr="00452605">
              <w:rPr>
                <w:rFonts w:eastAsia="Times New Roman"/>
                <w:color w:val="000000"/>
                <w:sz w:val="18"/>
                <w:szCs w:val="18"/>
                <w:lang w:eastAsia="en-AU"/>
              </w:rPr>
              <w:t>nergy cost (NZD)</w:t>
            </w:r>
          </w:p>
        </w:tc>
        <w:tc>
          <w:tcPr>
            <w:tcW w:w="1335" w:type="dxa"/>
            <w:tcBorders>
              <w:top w:val="nil"/>
              <w:left w:val="single" w:sz="4" w:space="0" w:color="auto"/>
              <w:bottom w:val="single" w:sz="4" w:space="0" w:color="auto"/>
              <w:right w:val="single" w:sz="4" w:space="0" w:color="auto"/>
            </w:tcBorders>
            <w:shd w:val="clear" w:color="auto" w:fill="auto"/>
            <w:noWrap/>
            <w:vAlign w:val="center"/>
            <w:hideMark/>
          </w:tcPr>
          <w:p w:rsidR="00A14AF7" w:rsidRPr="00452605" w:rsidRDefault="00A14AF7" w:rsidP="00CC4852">
            <w:pPr>
              <w:spacing w:after="0" w:line="240" w:lineRule="auto"/>
              <w:jc w:val="center"/>
              <w:rPr>
                <w:rFonts w:eastAsia="Times New Roman"/>
                <w:color w:val="000000"/>
                <w:sz w:val="18"/>
                <w:szCs w:val="18"/>
                <w:lang w:eastAsia="en-AU"/>
              </w:rPr>
            </w:pPr>
            <w:r w:rsidRPr="00452605">
              <w:rPr>
                <w:rFonts w:eastAsia="Times New Roman"/>
                <w:color w:val="000000"/>
                <w:sz w:val="18"/>
                <w:szCs w:val="18"/>
                <w:lang w:eastAsia="en-AU"/>
              </w:rPr>
              <w:t>$54</w:t>
            </w:r>
          </w:p>
        </w:tc>
        <w:tc>
          <w:tcPr>
            <w:tcW w:w="1387" w:type="dxa"/>
            <w:gridSpan w:val="2"/>
            <w:tcBorders>
              <w:top w:val="nil"/>
              <w:left w:val="nil"/>
              <w:bottom w:val="single" w:sz="4" w:space="0" w:color="auto"/>
              <w:right w:val="single" w:sz="4" w:space="0" w:color="auto"/>
            </w:tcBorders>
            <w:shd w:val="clear" w:color="auto" w:fill="auto"/>
            <w:noWrap/>
            <w:vAlign w:val="center"/>
            <w:hideMark/>
          </w:tcPr>
          <w:p w:rsidR="00A14AF7" w:rsidRPr="00452605" w:rsidRDefault="00A14AF7" w:rsidP="00CC4852">
            <w:pPr>
              <w:spacing w:after="0" w:line="240" w:lineRule="auto"/>
              <w:jc w:val="center"/>
              <w:rPr>
                <w:rFonts w:eastAsia="Times New Roman"/>
                <w:color w:val="000000"/>
                <w:sz w:val="18"/>
                <w:szCs w:val="18"/>
                <w:lang w:eastAsia="en-AU"/>
              </w:rPr>
            </w:pPr>
            <w:r w:rsidRPr="00452605">
              <w:rPr>
                <w:rFonts w:eastAsia="Times New Roman"/>
                <w:color w:val="000000"/>
                <w:sz w:val="18"/>
                <w:szCs w:val="18"/>
                <w:lang w:eastAsia="en-AU"/>
              </w:rPr>
              <w:t>$51</w:t>
            </w:r>
          </w:p>
        </w:tc>
      </w:tr>
      <w:tr w:rsidR="00A14AF7" w:rsidRPr="00452605" w:rsidTr="00CC4852">
        <w:trPr>
          <w:trHeight w:val="315"/>
        </w:trPr>
        <w:tc>
          <w:tcPr>
            <w:tcW w:w="1118" w:type="dxa"/>
            <w:vMerge/>
            <w:tcBorders>
              <w:top w:val="nil"/>
              <w:left w:val="single" w:sz="4" w:space="0" w:color="auto"/>
              <w:bottom w:val="single" w:sz="4" w:space="0" w:color="auto"/>
              <w:right w:val="single" w:sz="4" w:space="0" w:color="auto"/>
            </w:tcBorders>
            <w:vAlign w:val="center"/>
          </w:tcPr>
          <w:p w:rsidR="00A14AF7" w:rsidRPr="00452605" w:rsidRDefault="00A14AF7" w:rsidP="00CC4852">
            <w:pPr>
              <w:spacing w:after="0" w:line="240" w:lineRule="auto"/>
              <w:rPr>
                <w:rFonts w:eastAsia="Times New Roman"/>
                <w:color w:val="000000"/>
                <w:sz w:val="18"/>
                <w:szCs w:val="18"/>
                <w:lang w:eastAsia="en-AU"/>
              </w:rPr>
            </w:pPr>
          </w:p>
        </w:tc>
        <w:tc>
          <w:tcPr>
            <w:tcW w:w="3139" w:type="dxa"/>
            <w:tcBorders>
              <w:top w:val="single" w:sz="4" w:space="0" w:color="auto"/>
              <w:left w:val="nil"/>
              <w:bottom w:val="nil"/>
              <w:right w:val="nil"/>
            </w:tcBorders>
            <w:shd w:val="clear" w:color="000000" w:fill="C5D9F1"/>
            <w:noWrap/>
            <w:vAlign w:val="center"/>
          </w:tcPr>
          <w:p w:rsidR="00A14AF7" w:rsidRPr="00452605" w:rsidDel="00F26AC4" w:rsidRDefault="00A14AF7" w:rsidP="00CC4852">
            <w:pPr>
              <w:spacing w:after="0" w:line="240" w:lineRule="auto"/>
              <w:rPr>
                <w:rFonts w:eastAsia="Times New Roman"/>
                <w:color w:val="000000"/>
                <w:sz w:val="18"/>
                <w:szCs w:val="18"/>
                <w:lang w:eastAsia="en-AU"/>
              </w:rPr>
            </w:pPr>
            <w:r w:rsidRPr="006E2698">
              <w:rPr>
                <w:rFonts w:eastAsia="Times New Roman"/>
                <w:b/>
                <w:color w:val="000000"/>
                <w:sz w:val="18"/>
                <w:szCs w:val="18"/>
                <w:lang w:eastAsia="en-AU"/>
              </w:rPr>
              <w:t>Nationally</w:t>
            </w:r>
          </w:p>
        </w:tc>
        <w:tc>
          <w:tcPr>
            <w:tcW w:w="1335" w:type="dxa"/>
            <w:tcBorders>
              <w:top w:val="nil"/>
              <w:left w:val="single" w:sz="4" w:space="0" w:color="auto"/>
              <w:bottom w:val="single" w:sz="4" w:space="0" w:color="auto"/>
              <w:right w:val="single" w:sz="4" w:space="0" w:color="auto"/>
            </w:tcBorders>
            <w:shd w:val="clear" w:color="auto" w:fill="auto"/>
            <w:noWrap/>
            <w:vAlign w:val="center"/>
          </w:tcPr>
          <w:p w:rsidR="00A14AF7" w:rsidRPr="00452605" w:rsidRDefault="00A14AF7" w:rsidP="00CC4852">
            <w:pPr>
              <w:spacing w:after="0" w:line="240" w:lineRule="auto"/>
              <w:jc w:val="center"/>
              <w:rPr>
                <w:rFonts w:eastAsia="Times New Roman"/>
                <w:color w:val="000000"/>
                <w:sz w:val="18"/>
                <w:szCs w:val="18"/>
                <w:lang w:eastAsia="en-AU"/>
              </w:rPr>
            </w:pPr>
          </w:p>
        </w:tc>
        <w:tc>
          <w:tcPr>
            <w:tcW w:w="1387" w:type="dxa"/>
            <w:gridSpan w:val="2"/>
            <w:tcBorders>
              <w:top w:val="nil"/>
              <w:left w:val="nil"/>
              <w:bottom w:val="single" w:sz="4" w:space="0" w:color="auto"/>
              <w:right w:val="single" w:sz="4" w:space="0" w:color="auto"/>
            </w:tcBorders>
            <w:shd w:val="clear" w:color="auto" w:fill="auto"/>
            <w:noWrap/>
            <w:vAlign w:val="center"/>
          </w:tcPr>
          <w:p w:rsidR="00A14AF7" w:rsidRPr="00452605" w:rsidRDefault="00A14AF7" w:rsidP="00CC4852">
            <w:pPr>
              <w:spacing w:after="0" w:line="240" w:lineRule="auto"/>
              <w:jc w:val="center"/>
              <w:rPr>
                <w:rFonts w:eastAsia="Times New Roman"/>
                <w:color w:val="000000"/>
                <w:sz w:val="18"/>
                <w:szCs w:val="18"/>
                <w:lang w:eastAsia="en-AU"/>
              </w:rPr>
            </w:pPr>
          </w:p>
        </w:tc>
      </w:tr>
      <w:tr w:rsidR="00A14AF7" w:rsidRPr="00452605" w:rsidTr="00CC4852">
        <w:trPr>
          <w:trHeight w:val="315"/>
        </w:trPr>
        <w:tc>
          <w:tcPr>
            <w:tcW w:w="1118" w:type="dxa"/>
            <w:vMerge/>
            <w:tcBorders>
              <w:top w:val="nil"/>
              <w:left w:val="single" w:sz="4" w:space="0" w:color="auto"/>
              <w:bottom w:val="single" w:sz="4" w:space="0" w:color="auto"/>
              <w:right w:val="single" w:sz="4" w:space="0" w:color="auto"/>
            </w:tcBorders>
            <w:vAlign w:val="center"/>
            <w:hideMark/>
          </w:tcPr>
          <w:p w:rsidR="00A14AF7" w:rsidRPr="00452605" w:rsidRDefault="00A14AF7" w:rsidP="00CC4852">
            <w:pPr>
              <w:spacing w:after="0" w:line="240" w:lineRule="auto"/>
              <w:rPr>
                <w:rFonts w:eastAsia="Times New Roman"/>
                <w:color w:val="000000"/>
                <w:sz w:val="18"/>
                <w:szCs w:val="18"/>
                <w:lang w:eastAsia="en-AU"/>
              </w:rPr>
            </w:pPr>
          </w:p>
        </w:tc>
        <w:tc>
          <w:tcPr>
            <w:tcW w:w="3139" w:type="dxa"/>
            <w:tcBorders>
              <w:top w:val="single" w:sz="4" w:space="0" w:color="auto"/>
              <w:left w:val="nil"/>
              <w:bottom w:val="single" w:sz="4" w:space="0" w:color="auto"/>
              <w:right w:val="single" w:sz="4" w:space="0" w:color="auto"/>
            </w:tcBorders>
            <w:shd w:val="clear" w:color="000000" w:fill="C5D9F1"/>
            <w:vAlign w:val="center"/>
            <w:hideMark/>
          </w:tcPr>
          <w:p w:rsidR="00A14AF7" w:rsidRPr="00452605" w:rsidRDefault="00A14AF7" w:rsidP="00CC4852">
            <w:pPr>
              <w:spacing w:after="0" w:line="240" w:lineRule="auto"/>
              <w:rPr>
                <w:rFonts w:eastAsia="Times New Roman"/>
                <w:color w:val="000000"/>
                <w:sz w:val="18"/>
                <w:szCs w:val="18"/>
                <w:lang w:eastAsia="en-AU"/>
              </w:rPr>
            </w:pPr>
            <w:r w:rsidRPr="00452605">
              <w:rPr>
                <w:rFonts w:eastAsia="Times New Roman"/>
                <w:color w:val="000000"/>
                <w:sz w:val="18"/>
                <w:szCs w:val="18"/>
                <w:lang w:eastAsia="en-AU"/>
              </w:rPr>
              <w:t>Energy consumption (GWh p.a.)</w:t>
            </w:r>
          </w:p>
        </w:tc>
        <w:tc>
          <w:tcPr>
            <w:tcW w:w="1335" w:type="dxa"/>
            <w:tcBorders>
              <w:top w:val="nil"/>
              <w:left w:val="nil"/>
              <w:bottom w:val="single" w:sz="4" w:space="0" w:color="auto"/>
              <w:right w:val="single" w:sz="4" w:space="0" w:color="auto"/>
            </w:tcBorders>
            <w:shd w:val="clear" w:color="auto" w:fill="auto"/>
            <w:noWrap/>
            <w:vAlign w:val="center"/>
            <w:hideMark/>
          </w:tcPr>
          <w:p w:rsidR="00A14AF7" w:rsidRPr="00452605" w:rsidRDefault="00A14AF7" w:rsidP="00CC4852">
            <w:pPr>
              <w:spacing w:after="0" w:line="240" w:lineRule="auto"/>
              <w:jc w:val="center"/>
              <w:rPr>
                <w:rFonts w:eastAsia="Times New Roman"/>
                <w:color w:val="000000"/>
                <w:sz w:val="18"/>
                <w:szCs w:val="18"/>
                <w:lang w:eastAsia="en-AU"/>
              </w:rPr>
            </w:pPr>
            <w:r w:rsidRPr="00452605">
              <w:rPr>
                <w:rFonts w:eastAsia="Times New Roman"/>
                <w:color w:val="000000"/>
                <w:sz w:val="18"/>
                <w:szCs w:val="18"/>
                <w:lang w:eastAsia="en-AU"/>
              </w:rPr>
              <w:t>361</w:t>
            </w:r>
          </w:p>
        </w:tc>
        <w:tc>
          <w:tcPr>
            <w:tcW w:w="1387" w:type="dxa"/>
            <w:gridSpan w:val="2"/>
            <w:tcBorders>
              <w:top w:val="nil"/>
              <w:left w:val="nil"/>
              <w:bottom w:val="single" w:sz="4" w:space="0" w:color="auto"/>
              <w:right w:val="single" w:sz="4" w:space="0" w:color="auto"/>
            </w:tcBorders>
            <w:shd w:val="clear" w:color="auto" w:fill="auto"/>
            <w:noWrap/>
            <w:vAlign w:val="center"/>
            <w:hideMark/>
          </w:tcPr>
          <w:p w:rsidR="00A14AF7" w:rsidRPr="00452605" w:rsidRDefault="00A14AF7" w:rsidP="00CC4852">
            <w:pPr>
              <w:spacing w:after="0" w:line="240" w:lineRule="auto"/>
              <w:jc w:val="center"/>
              <w:rPr>
                <w:rFonts w:eastAsia="Times New Roman"/>
                <w:color w:val="000000"/>
                <w:sz w:val="18"/>
                <w:szCs w:val="18"/>
                <w:lang w:eastAsia="en-AU"/>
              </w:rPr>
            </w:pPr>
            <w:r w:rsidRPr="00452605">
              <w:rPr>
                <w:rFonts w:eastAsia="Times New Roman"/>
                <w:color w:val="000000"/>
                <w:sz w:val="18"/>
                <w:szCs w:val="18"/>
                <w:lang w:eastAsia="en-AU"/>
              </w:rPr>
              <w:t>341</w:t>
            </w:r>
          </w:p>
        </w:tc>
      </w:tr>
      <w:tr w:rsidR="00A14AF7" w:rsidRPr="00452605" w:rsidTr="00CC4852">
        <w:trPr>
          <w:trHeight w:val="315"/>
        </w:trPr>
        <w:tc>
          <w:tcPr>
            <w:tcW w:w="1118" w:type="dxa"/>
            <w:vMerge/>
            <w:tcBorders>
              <w:top w:val="nil"/>
              <w:left w:val="single" w:sz="4" w:space="0" w:color="auto"/>
              <w:bottom w:val="single" w:sz="4" w:space="0" w:color="auto"/>
              <w:right w:val="single" w:sz="4" w:space="0" w:color="auto"/>
            </w:tcBorders>
            <w:vAlign w:val="center"/>
            <w:hideMark/>
          </w:tcPr>
          <w:p w:rsidR="00A14AF7" w:rsidRPr="00452605" w:rsidRDefault="00A14AF7" w:rsidP="00CC4852">
            <w:pPr>
              <w:spacing w:after="0" w:line="240" w:lineRule="auto"/>
              <w:rPr>
                <w:rFonts w:eastAsia="Times New Roman"/>
                <w:color w:val="000000"/>
                <w:sz w:val="18"/>
                <w:szCs w:val="18"/>
                <w:lang w:eastAsia="en-AU"/>
              </w:rPr>
            </w:pPr>
          </w:p>
        </w:tc>
        <w:tc>
          <w:tcPr>
            <w:tcW w:w="3139" w:type="dxa"/>
            <w:tcBorders>
              <w:top w:val="nil"/>
              <w:left w:val="nil"/>
              <w:bottom w:val="single" w:sz="4" w:space="0" w:color="auto"/>
              <w:right w:val="single" w:sz="4" w:space="0" w:color="auto"/>
            </w:tcBorders>
            <w:shd w:val="clear" w:color="000000" w:fill="C5D9F1"/>
            <w:noWrap/>
            <w:vAlign w:val="bottom"/>
            <w:hideMark/>
          </w:tcPr>
          <w:p w:rsidR="00A14AF7" w:rsidRPr="00452605" w:rsidRDefault="00A14AF7" w:rsidP="00CC4852">
            <w:pPr>
              <w:spacing w:after="0" w:line="240" w:lineRule="auto"/>
              <w:rPr>
                <w:rFonts w:eastAsia="Times New Roman"/>
                <w:color w:val="000000"/>
                <w:sz w:val="18"/>
                <w:szCs w:val="18"/>
                <w:lang w:eastAsia="en-AU"/>
              </w:rPr>
            </w:pPr>
            <w:r>
              <w:rPr>
                <w:rFonts w:eastAsia="Times New Roman"/>
                <w:color w:val="000000"/>
                <w:sz w:val="18"/>
                <w:szCs w:val="18"/>
                <w:lang w:eastAsia="en-AU"/>
              </w:rPr>
              <w:t>Total e</w:t>
            </w:r>
            <w:r w:rsidRPr="00452605">
              <w:rPr>
                <w:rFonts w:eastAsia="Times New Roman"/>
                <w:color w:val="000000"/>
                <w:sz w:val="18"/>
                <w:szCs w:val="18"/>
                <w:lang w:eastAsia="en-AU"/>
              </w:rPr>
              <w:t xml:space="preserve">nergy cost </w:t>
            </w:r>
            <w:r>
              <w:rPr>
                <w:rFonts w:eastAsia="Times New Roman"/>
                <w:color w:val="000000"/>
                <w:sz w:val="18"/>
                <w:szCs w:val="18"/>
                <w:lang w:eastAsia="en-AU"/>
              </w:rPr>
              <w:t xml:space="preserve">after transition </w:t>
            </w:r>
            <w:r w:rsidRPr="00452605">
              <w:rPr>
                <w:rFonts w:eastAsia="Times New Roman"/>
                <w:color w:val="000000"/>
                <w:sz w:val="18"/>
                <w:szCs w:val="18"/>
                <w:lang w:eastAsia="en-AU"/>
              </w:rPr>
              <w:t>(NZD)</w:t>
            </w:r>
          </w:p>
        </w:tc>
        <w:tc>
          <w:tcPr>
            <w:tcW w:w="1335" w:type="dxa"/>
            <w:tcBorders>
              <w:top w:val="nil"/>
              <w:left w:val="nil"/>
              <w:bottom w:val="nil"/>
              <w:right w:val="nil"/>
            </w:tcBorders>
            <w:shd w:val="clear" w:color="auto" w:fill="auto"/>
            <w:noWrap/>
            <w:vAlign w:val="center"/>
            <w:hideMark/>
          </w:tcPr>
          <w:p w:rsidR="00A14AF7" w:rsidRPr="00452605" w:rsidRDefault="00A14AF7" w:rsidP="00CC4852">
            <w:pPr>
              <w:spacing w:after="0" w:line="240" w:lineRule="auto"/>
              <w:jc w:val="center"/>
              <w:rPr>
                <w:rFonts w:eastAsia="Times New Roman"/>
                <w:color w:val="000000"/>
                <w:sz w:val="18"/>
                <w:szCs w:val="18"/>
                <w:lang w:eastAsia="en-AU"/>
              </w:rPr>
            </w:pPr>
            <w:r w:rsidRPr="00452605">
              <w:rPr>
                <w:rFonts w:eastAsia="Times New Roman"/>
                <w:color w:val="000000"/>
                <w:sz w:val="18"/>
                <w:szCs w:val="18"/>
                <w:lang w:eastAsia="en-AU"/>
              </w:rPr>
              <w:t>$93,973,720</w:t>
            </w:r>
          </w:p>
        </w:tc>
        <w:tc>
          <w:tcPr>
            <w:tcW w:w="1387" w:type="dxa"/>
            <w:gridSpan w:val="2"/>
            <w:tcBorders>
              <w:top w:val="nil"/>
              <w:left w:val="single" w:sz="4" w:space="0" w:color="auto"/>
              <w:bottom w:val="single" w:sz="4" w:space="0" w:color="auto"/>
              <w:right w:val="single" w:sz="4" w:space="0" w:color="auto"/>
            </w:tcBorders>
            <w:shd w:val="clear" w:color="auto" w:fill="auto"/>
            <w:noWrap/>
            <w:vAlign w:val="center"/>
            <w:hideMark/>
          </w:tcPr>
          <w:p w:rsidR="00A14AF7" w:rsidRPr="00452605" w:rsidRDefault="00A14AF7" w:rsidP="00CC4852">
            <w:pPr>
              <w:spacing w:after="0" w:line="240" w:lineRule="auto"/>
              <w:jc w:val="center"/>
              <w:rPr>
                <w:rFonts w:eastAsia="Times New Roman"/>
                <w:color w:val="000000"/>
                <w:sz w:val="18"/>
                <w:szCs w:val="18"/>
                <w:lang w:eastAsia="en-AU"/>
              </w:rPr>
            </w:pPr>
            <w:r w:rsidRPr="00452605">
              <w:rPr>
                <w:rFonts w:eastAsia="Times New Roman"/>
                <w:color w:val="000000"/>
                <w:sz w:val="18"/>
                <w:szCs w:val="18"/>
                <w:lang w:eastAsia="en-AU"/>
              </w:rPr>
              <w:t>$88,767,688</w:t>
            </w:r>
          </w:p>
        </w:tc>
      </w:tr>
      <w:tr w:rsidR="00A14AF7" w:rsidRPr="00452605" w:rsidTr="00CC4852">
        <w:trPr>
          <w:trHeight w:val="315"/>
        </w:trPr>
        <w:tc>
          <w:tcPr>
            <w:tcW w:w="1118" w:type="dxa"/>
            <w:vMerge w:val="restart"/>
            <w:tcBorders>
              <w:top w:val="nil"/>
              <w:left w:val="single" w:sz="4" w:space="0" w:color="auto"/>
              <w:bottom w:val="single" w:sz="4" w:space="0" w:color="auto"/>
              <w:right w:val="single" w:sz="4" w:space="0" w:color="auto"/>
            </w:tcBorders>
            <w:shd w:val="clear" w:color="000000" w:fill="E5E0EC"/>
            <w:noWrap/>
            <w:vAlign w:val="center"/>
            <w:hideMark/>
          </w:tcPr>
          <w:p w:rsidR="00A14AF7" w:rsidRPr="00452605" w:rsidRDefault="00A14AF7" w:rsidP="00CC4852">
            <w:pPr>
              <w:spacing w:after="0" w:line="240" w:lineRule="auto"/>
              <w:jc w:val="center"/>
              <w:rPr>
                <w:rFonts w:eastAsia="Times New Roman"/>
                <w:color w:val="000000"/>
                <w:sz w:val="18"/>
                <w:szCs w:val="18"/>
                <w:lang w:eastAsia="en-AU"/>
              </w:rPr>
            </w:pPr>
            <w:r w:rsidRPr="00452605">
              <w:rPr>
                <w:rFonts w:eastAsia="Times New Roman"/>
                <w:color w:val="000000"/>
                <w:sz w:val="18"/>
                <w:szCs w:val="18"/>
                <w:lang w:eastAsia="en-AU"/>
              </w:rPr>
              <w:t>Savings</w:t>
            </w:r>
          </w:p>
        </w:tc>
        <w:tc>
          <w:tcPr>
            <w:tcW w:w="3139" w:type="dxa"/>
            <w:tcBorders>
              <w:top w:val="nil"/>
              <w:left w:val="nil"/>
              <w:bottom w:val="single" w:sz="4" w:space="0" w:color="auto"/>
              <w:right w:val="single" w:sz="4" w:space="0" w:color="auto"/>
            </w:tcBorders>
            <w:shd w:val="clear" w:color="000000" w:fill="CCC0DA"/>
            <w:vAlign w:val="center"/>
          </w:tcPr>
          <w:p w:rsidR="00A14AF7" w:rsidRPr="00452605" w:rsidRDefault="00A14AF7" w:rsidP="00CC4852">
            <w:pPr>
              <w:spacing w:after="0" w:line="240" w:lineRule="auto"/>
              <w:rPr>
                <w:rFonts w:eastAsia="Times New Roman"/>
                <w:color w:val="000000"/>
                <w:sz w:val="18"/>
                <w:szCs w:val="18"/>
                <w:lang w:eastAsia="en-AU"/>
              </w:rPr>
            </w:pPr>
            <w:r w:rsidRPr="0005011B">
              <w:rPr>
                <w:rFonts w:eastAsia="Times New Roman"/>
                <w:b/>
                <w:color w:val="000000"/>
                <w:sz w:val="18"/>
                <w:szCs w:val="18"/>
                <w:lang w:eastAsia="en-AU"/>
              </w:rPr>
              <w:t>Per Household</w:t>
            </w:r>
          </w:p>
        </w:tc>
        <w:tc>
          <w:tcPr>
            <w:tcW w:w="1335" w:type="dxa"/>
            <w:tcBorders>
              <w:top w:val="single" w:sz="4" w:space="0" w:color="auto"/>
              <w:left w:val="nil"/>
              <w:bottom w:val="single" w:sz="4" w:space="0" w:color="auto"/>
              <w:right w:val="single" w:sz="4" w:space="0" w:color="auto"/>
            </w:tcBorders>
            <w:shd w:val="clear" w:color="auto" w:fill="auto"/>
            <w:noWrap/>
            <w:vAlign w:val="center"/>
          </w:tcPr>
          <w:p w:rsidR="00A14AF7" w:rsidRPr="00452605" w:rsidRDefault="00A14AF7" w:rsidP="00CC4852">
            <w:pPr>
              <w:spacing w:after="0" w:line="240" w:lineRule="auto"/>
              <w:jc w:val="center"/>
              <w:rPr>
                <w:rFonts w:eastAsia="Times New Roman"/>
                <w:color w:val="000000"/>
                <w:sz w:val="18"/>
                <w:szCs w:val="18"/>
                <w:lang w:eastAsia="en-AU"/>
              </w:rPr>
            </w:pPr>
          </w:p>
        </w:tc>
        <w:tc>
          <w:tcPr>
            <w:tcW w:w="1387" w:type="dxa"/>
            <w:gridSpan w:val="2"/>
            <w:tcBorders>
              <w:top w:val="nil"/>
              <w:left w:val="nil"/>
              <w:bottom w:val="single" w:sz="4" w:space="0" w:color="auto"/>
              <w:right w:val="single" w:sz="4" w:space="0" w:color="auto"/>
            </w:tcBorders>
            <w:shd w:val="clear" w:color="auto" w:fill="auto"/>
            <w:noWrap/>
            <w:vAlign w:val="center"/>
          </w:tcPr>
          <w:p w:rsidR="00A14AF7" w:rsidRPr="00452605" w:rsidRDefault="00A14AF7" w:rsidP="00CC4852">
            <w:pPr>
              <w:spacing w:after="0" w:line="240" w:lineRule="auto"/>
              <w:jc w:val="center"/>
              <w:rPr>
                <w:rFonts w:eastAsia="Times New Roman"/>
                <w:color w:val="000000"/>
                <w:sz w:val="18"/>
                <w:szCs w:val="18"/>
                <w:lang w:eastAsia="en-AU"/>
              </w:rPr>
            </w:pPr>
          </w:p>
        </w:tc>
      </w:tr>
      <w:tr w:rsidR="00A14AF7" w:rsidRPr="00452605" w:rsidTr="00CC4852">
        <w:trPr>
          <w:trHeight w:val="315"/>
        </w:trPr>
        <w:tc>
          <w:tcPr>
            <w:tcW w:w="1118" w:type="dxa"/>
            <w:vMerge/>
            <w:tcBorders>
              <w:top w:val="nil"/>
              <w:left w:val="single" w:sz="4" w:space="0" w:color="auto"/>
              <w:bottom w:val="single" w:sz="4" w:space="0" w:color="auto"/>
              <w:right w:val="single" w:sz="4" w:space="0" w:color="auto"/>
            </w:tcBorders>
            <w:shd w:val="clear" w:color="000000" w:fill="E5E0EC"/>
            <w:noWrap/>
            <w:vAlign w:val="center"/>
          </w:tcPr>
          <w:p w:rsidR="00A14AF7" w:rsidRPr="00452605" w:rsidRDefault="00A14AF7" w:rsidP="00CC4852">
            <w:pPr>
              <w:spacing w:after="0" w:line="240" w:lineRule="auto"/>
              <w:jc w:val="center"/>
              <w:rPr>
                <w:rFonts w:eastAsia="Times New Roman"/>
                <w:color w:val="000000"/>
                <w:sz w:val="18"/>
                <w:szCs w:val="18"/>
                <w:lang w:eastAsia="en-AU"/>
              </w:rPr>
            </w:pPr>
          </w:p>
        </w:tc>
        <w:tc>
          <w:tcPr>
            <w:tcW w:w="3139" w:type="dxa"/>
            <w:tcBorders>
              <w:top w:val="nil"/>
              <w:left w:val="nil"/>
              <w:bottom w:val="single" w:sz="4" w:space="0" w:color="auto"/>
              <w:right w:val="single" w:sz="4" w:space="0" w:color="auto"/>
            </w:tcBorders>
            <w:shd w:val="clear" w:color="000000" w:fill="CCC0DA"/>
            <w:vAlign w:val="center"/>
          </w:tcPr>
          <w:p w:rsidR="00A14AF7" w:rsidRPr="00452605" w:rsidRDefault="00A14AF7" w:rsidP="00CC4852">
            <w:pPr>
              <w:spacing w:after="0" w:line="240" w:lineRule="auto"/>
              <w:rPr>
                <w:rFonts w:eastAsia="Times New Roman"/>
                <w:color w:val="000000"/>
                <w:sz w:val="18"/>
                <w:szCs w:val="18"/>
                <w:lang w:eastAsia="en-AU"/>
              </w:rPr>
            </w:pPr>
            <w:r>
              <w:rPr>
                <w:rFonts w:eastAsia="Times New Roman"/>
                <w:color w:val="000000"/>
                <w:sz w:val="18"/>
                <w:szCs w:val="18"/>
                <w:lang w:eastAsia="en-AU"/>
              </w:rPr>
              <w:t>Lighting e</w:t>
            </w:r>
            <w:r w:rsidRPr="00452605">
              <w:rPr>
                <w:rFonts w:eastAsia="Times New Roman"/>
                <w:color w:val="000000"/>
                <w:sz w:val="18"/>
                <w:szCs w:val="18"/>
                <w:lang w:eastAsia="en-AU"/>
              </w:rPr>
              <w:t>nergy savings (kWh p.a.)</w:t>
            </w:r>
          </w:p>
        </w:tc>
        <w:tc>
          <w:tcPr>
            <w:tcW w:w="1335" w:type="dxa"/>
            <w:tcBorders>
              <w:top w:val="single" w:sz="4" w:space="0" w:color="auto"/>
              <w:left w:val="nil"/>
              <w:bottom w:val="single" w:sz="4" w:space="0" w:color="auto"/>
              <w:right w:val="single" w:sz="4" w:space="0" w:color="auto"/>
            </w:tcBorders>
            <w:shd w:val="clear" w:color="auto" w:fill="auto"/>
            <w:noWrap/>
            <w:vAlign w:val="center"/>
          </w:tcPr>
          <w:p w:rsidR="00A14AF7" w:rsidRPr="00452605" w:rsidRDefault="00A14AF7" w:rsidP="00CC4852">
            <w:pPr>
              <w:spacing w:after="0" w:line="240" w:lineRule="auto"/>
              <w:jc w:val="center"/>
              <w:rPr>
                <w:rFonts w:eastAsia="Times New Roman"/>
                <w:color w:val="000000"/>
                <w:sz w:val="18"/>
                <w:szCs w:val="18"/>
                <w:lang w:eastAsia="en-AU"/>
              </w:rPr>
            </w:pPr>
            <w:r w:rsidRPr="00452605">
              <w:rPr>
                <w:rFonts w:eastAsia="Times New Roman"/>
                <w:color w:val="000000"/>
                <w:sz w:val="18"/>
                <w:szCs w:val="18"/>
                <w:lang w:eastAsia="en-AU"/>
              </w:rPr>
              <w:t>69.8</w:t>
            </w:r>
          </w:p>
        </w:tc>
        <w:tc>
          <w:tcPr>
            <w:tcW w:w="1387" w:type="dxa"/>
            <w:gridSpan w:val="2"/>
            <w:tcBorders>
              <w:top w:val="nil"/>
              <w:left w:val="nil"/>
              <w:bottom w:val="single" w:sz="4" w:space="0" w:color="auto"/>
              <w:right w:val="single" w:sz="4" w:space="0" w:color="auto"/>
            </w:tcBorders>
            <w:shd w:val="clear" w:color="auto" w:fill="auto"/>
            <w:noWrap/>
            <w:vAlign w:val="center"/>
          </w:tcPr>
          <w:p w:rsidR="00A14AF7" w:rsidRPr="00452605" w:rsidRDefault="00A14AF7" w:rsidP="00CC4852">
            <w:pPr>
              <w:spacing w:after="0" w:line="240" w:lineRule="auto"/>
              <w:jc w:val="center"/>
              <w:rPr>
                <w:rFonts w:eastAsia="Times New Roman"/>
                <w:color w:val="000000"/>
                <w:sz w:val="18"/>
                <w:szCs w:val="18"/>
                <w:lang w:eastAsia="en-AU"/>
              </w:rPr>
            </w:pPr>
            <w:r w:rsidRPr="00452605">
              <w:rPr>
                <w:rFonts w:eastAsia="Times New Roman"/>
                <w:color w:val="000000"/>
                <w:sz w:val="18"/>
                <w:szCs w:val="18"/>
                <w:lang w:eastAsia="en-AU"/>
              </w:rPr>
              <w:t>81.3</w:t>
            </w:r>
          </w:p>
        </w:tc>
      </w:tr>
      <w:tr w:rsidR="00A14AF7" w:rsidRPr="00452605" w:rsidTr="00CC4852">
        <w:trPr>
          <w:trHeight w:val="315"/>
        </w:trPr>
        <w:tc>
          <w:tcPr>
            <w:tcW w:w="1118" w:type="dxa"/>
            <w:vMerge/>
            <w:tcBorders>
              <w:top w:val="nil"/>
              <w:left w:val="single" w:sz="4" w:space="0" w:color="auto"/>
              <w:bottom w:val="single" w:sz="4" w:space="0" w:color="auto"/>
              <w:right w:val="single" w:sz="4" w:space="0" w:color="auto"/>
            </w:tcBorders>
            <w:vAlign w:val="center"/>
            <w:hideMark/>
          </w:tcPr>
          <w:p w:rsidR="00A14AF7" w:rsidRPr="00452605" w:rsidRDefault="00A14AF7" w:rsidP="00CC4852">
            <w:pPr>
              <w:spacing w:after="0" w:line="240" w:lineRule="auto"/>
              <w:rPr>
                <w:rFonts w:eastAsia="Times New Roman"/>
                <w:color w:val="000000"/>
                <w:sz w:val="18"/>
                <w:szCs w:val="18"/>
                <w:lang w:eastAsia="en-AU"/>
              </w:rPr>
            </w:pPr>
          </w:p>
        </w:tc>
        <w:tc>
          <w:tcPr>
            <w:tcW w:w="3139" w:type="dxa"/>
            <w:tcBorders>
              <w:top w:val="nil"/>
              <w:left w:val="nil"/>
              <w:bottom w:val="single" w:sz="4" w:space="0" w:color="auto"/>
              <w:right w:val="single" w:sz="4" w:space="0" w:color="auto"/>
            </w:tcBorders>
            <w:shd w:val="clear" w:color="000000" w:fill="CCC0DA"/>
            <w:vAlign w:val="center"/>
            <w:hideMark/>
          </w:tcPr>
          <w:p w:rsidR="00A14AF7" w:rsidRPr="00452605" w:rsidRDefault="00A14AF7" w:rsidP="00CC4852">
            <w:pPr>
              <w:spacing w:after="0" w:line="240" w:lineRule="auto"/>
              <w:rPr>
                <w:rFonts w:eastAsia="Times New Roman"/>
                <w:color w:val="000000"/>
                <w:sz w:val="18"/>
                <w:szCs w:val="18"/>
                <w:lang w:eastAsia="en-AU"/>
              </w:rPr>
            </w:pPr>
            <w:r w:rsidRPr="00452605">
              <w:rPr>
                <w:rFonts w:eastAsia="Times New Roman"/>
                <w:color w:val="000000"/>
                <w:sz w:val="18"/>
                <w:szCs w:val="18"/>
                <w:lang w:eastAsia="en-AU"/>
              </w:rPr>
              <w:t>Energy savings</w:t>
            </w:r>
            <w:r>
              <w:rPr>
                <w:rFonts w:eastAsia="Times New Roman"/>
                <w:color w:val="000000"/>
                <w:sz w:val="18"/>
                <w:szCs w:val="18"/>
                <w:lang w:eastAsia="en-AU"/>
              </w:rPr>
              <w:t xml:space="preserve"> </w:t>
            </w:r>
            <w:r w:rsidRPr="00452605">
              <w:rPr>
                <w:rFonts w:eastAsia="Times New Roman"/>
                <w:color w:val="000000"/>
                <w:sz w:val="18"/>
                <w:szCs w:val="18"/>
                <w:lang w:eastAsia="en-AU"/>
              </w:rPr>
              <w:t>(% p.a.)</w:t>
            </w:r>
          </w:p>
        </w:tc>
        <w:tc>
          <w:tcPr>
            <w:tcW w:w="1335" w:type="dxa"/>
            <w:tcBorders>
              <w:top w:val="nil"/>
              <w:left w:val="nil"/>
              <w:bottom w:val="single" w:sz="4" w:space="0" w:color="auto"/>
              <w:right w:val="single" w:sz="4" w:space="0" w:color="auto"/>
            </w:tcBorders>
            <w:shd w:val="clear" w:color="auto" w:fill="auto"/>
            <w:noWrap/>
            <w:vAlign w:val="center"/>
            <w:hideMark/>
          </w:tcPr>
          <w:p w:rsidR="00A14AF7" w:rsidRPr="00452605" w:rsidRDefault="00A14AF7" w:rsidP="00CC4852">
            <w:pPr>
              <w:spacing w:after="0" w:line="240" w:lineRule="auto"/>
              <w:jc w:val="center"/>
              <w:rPr>
                <w:rFonts w:eastAsia="Times New Roman"/>
                <w:b/>
                <w:bCs/>
                <w:color w:val="000000"/>
                <w:sz w:val="18"/>
                <w:szCs w:val="18"/>
                <w:lang w:eastAsia="en-AU"/>
              </w:rPr>
            </w:pPr>
            <w:r w:rsidRPr="00452605">
              <w:rPr>
                <w:rFonts w:eastAsia="Times New Roman"/>
                <w:b/>
                <w:bCs/>
                <w:color w:val="000000"/>
                <w:sz w:val="18"/>
                <w:szCs w:val="18"/>
                <w:lang w:eastAsia="en-AU"/>
              </w:rPr>
              <w:t>25%</w:t>
            </w:r>
          </w:p>
        </w:tc>
        <w:tc>
          <w:tcPr>
            <w:tcW w:w="1387" w:type="dxa"/>
            <w:gridSpan w:val="2"/>
            <w:tcBorders>
              <w:top w:val="nil"/>
              <w:left w:val="nil"/>
              <w:bottom w:val="single" w:sz="4" w:space="0" w:color="auto"/>
              <w:right w:val="single" w:sz="4" w:space="0" w:color="auto"/>
            </w:tcBorders>
            <w:shd w:val="clear" w:color="auto" w:fill="auto"/>
            <w:noWrap/>
            <w:vAlign w:val="center"/>
            <w:hideMark/>
          </w:tcPr>
          <w:p w:rsidR="00A14AF7" w:rsidRPr="00452605" w:rsidRDefault="00A14AF7" w:rsidP="00CC4852">
            <w:pPr>
              <w:spacing w:after="0" w:line="240" w:lineRule="auto"/>
              <w:jc w:val="center"/>
              <w:rPr>
                <w:rFonts w:eastAsia="Times New Roman"/>
                <w:b/>
                <w:bCs/>
                <w:color w:val="000000"/>
                <w:sz w:val="18"/>
                <w:szCs w:val="18"/>
                <w:lang w:eastAsia="en-AU"/>
              </w:rPr>
            </w:pPr>
            <w:r w:rsidRPr="00452605">
              <w:rPr>
                <w:rFonts w:eastAsia="Times New Roman"/>
                <w:b/>
                <w:bCs/>
                <w:color w:val="000000"/>
                <w:sz w:val="18"/>
                <w:szCs w:val="18"/>
                <w:lang w:eastAsia="en-AU"/>
              </w:rPr>
              <w:t>29%</w:t>
            </w:r>
          </w:p>
        </w:tc>
      </w:tr>
      <w:tr w:rsidR="00A14AF7" w:rsidRPr="00452605" w:rsidTr="00CC4852">
        <w:trPr>
          <w:trHeight w:val="315"/>
        </w:trPr>
        <w:tc>
          <w:tcPr>
            <w:tcW w:w="1118" w:type="dxa"/>
            <w:vMerge/>
            <w:tcBorders>
              <w:top w:val="nil"/>
              <w:left w:val="single" w:sz="4" w:space="0" w:color="auto"/>
              <w:bottom w:val="single" w:sz="4" w:space="0" w:color="auto"/>
              <w:right w:val="single" w:sz="4" w:space="0" w:color="auto"/>
            </w:tcBorders>
            <w:vAlign w:val="center"/>
            <w:hideMark/>
          </w:tcPr>
          <w:p w:rsidR="00A14AF7" w:rsidRPr="00452605" w:rsidRDefault="00A14AF7" w:rsidP="00CC4852">
            <w:pPr>
              <w:spacing w:after="0" w:line="240" w:lineRule="auto"/>
              <w:rPr>
                <w:rFonts w:eastAsia="Times New Roman"/>
                <w:color w:val="000000"/>
                <w:sz w:val="18"/>
                <w:szCs w:val="18"/>
                <w:lang w:eastAsia="en-AU"/>
              </w:rPr>
            </w:pPr>
          </w:p>
        </w:tc>
        <w:tc>
          <w:tcPr>
            <w:tcW w:w="3139" w:type="dxa"/>
            <w:tcBorders>
              <w:top w:val="nil"/>
              <w:left w:val="nil"/>
              <w:bottom w:val="single" w:sz="4" w:space="0" w:color="auto"/>
              <w:right w:val="nil"/>
            </w:tcBorders>
            <w:shd w:val="clear" w:color="000000" w:fill="CCC0DA"/>
            <w:noWrap/>
            <w:vAlign w:val="bottom"/>
            <w:hideMark/>
          </w:tcPr>
          <w:p w:rsidR="00A14AF7" w:rsidRPr="00452605" w:rsidRDefault="00A14AF7" w:rsidP="00CC4852">
            <w:pPr>
              <w:spacing w:after="0" w:line="240" w:lineRule="auto"/>
              <w:rPr>
                <w:rFonts w:eastAsia="Times New Roman"/>
                <w:color w:val="000000"/>
                <w:sz w:val="18"/>
                <w:szCs w:val="18"/>
                <w:lang w:eastAsia="en-AU"/>
              </w:rPr>
            </w:pPr>
            <w:r w:rsidRPr="00452605">
              <w:rPr>
                <w:rFonts w:eastAsia="Times New Roman"/>
                <w:color w:val="000000"/>
                <w:sz w:val="18"/>
                <w:szCs w:val="18"/>
                <w:lang w:eastAsia="en-AU"/>
              </w:rPr>
              <w:t>Cost savings (NZD)</w:t>
            </w:r>
          </w:p>
        </w:tc>
        <w:tc>
          <w:tcPr>
            <w:tcW w:w="1335" w:type="dxa"/>
            <w:tcBorders>
              <w:top w:val="nil"/>
              <w:left w:val="single" w:sz="4" w:space="0" w:color="auto"/>
              <w:bottom w:val="single" w:sz="4" w:space="0" w:color="auto"/>
              <w:right w:val="single" w:sz="4" w:space="0" w:color="auto"/>
            </w:tcBorders>
            <w:shd w:val="clear" w:color="auto" w:fill="auto"/>
            <w:noWrap/>
            <w:vAlign w:val="center"/>
            <w:hideMark/>
          </w:tcPr>
          <w:p w:rsidR="00A14AF7" w:rsidRPr="00452605" w:rsidRDefault="00A14AF7" w:rsidP="00CC4852">
            <w:pPr>
              <w:spacing w:after="0" w:line="240" w:lineRule="auto"/>
              <w:jc w:val="center"/>
              <w:rPr>
                <w:rFonts w:eastAsia="Times New Roman"/>
                <w:color w:val="000000"/>
                <w:sz w:val="18"/>
                <w:szCs w:val="18"/>
                <w:lang w:eastAsia="en-AU"/>
              </w:rPr>
            </w:pPr>
            <w:r w:rsidRPr="00452605">
              <w:rPr>
                <w:rFonts w:eastAsia="Times New Roman"/>
                <w:color w:val="000000"/>
                <w:sz w:val="18"/>
                <w:szCs w:val="18"/>
                <w:lang w:eastAsia="en-AU"/>
              </w:rPr>
              <w:t>$18</w:t>
            </w:r>
          </w:p>
        </w:tc>
        <w:tc>
          <w:tcPr>
            <w:tcW w:w="1387" w:type="dxa"/>
            <w:gridSpan w:val="2"/>
            <w:tcBorders>
              <w:top w:val="nil"/>
              <w:left w:val="nil"/>
              <w:bottom w:val="single" w:sz="4" w:space="0" w:color="auto"/>
              <w:right w:val="single" w:sz="4" w:space="0" w:color="auto"/>
            </w:tcBorders>
            <w:shd w:val="clear" w:color="auto" w:fill="auto"/>
            <w:noWrap/>
            <w:vAlign w:val="center"/>
            <w:hideMark/>
          </w:tcPr>
          <w:p w:rsidR="00A14AF7" w:rsidRPr="00452605" w:rsidRDefault="00A14AF7" w:rsidP="00CC4852">
            <w:pPr>
              <w:spacing w:after="0" w:line="240" w:lineRule="auto"/>
              <w:jc w:val="center"/>
              <w:rPr>
                <w:rFonts w:eastAsia="Times New Roman"/>
                <w:color w:val="000000"/>
                <w:sz w:val="18"/>
                <w:szCs w:val="18"/>
                <w:lang w:eastAsia="en-AU"/>
              </w:rPr>
            </w:pPr>
            <w:r w:rsidRPr="00452605">
              <w:rPr>
                <w:rFonts w:eastAsia="Times New Roman"/>
                <w:color w:val="000000"/>
                <w:sz w:val="18"/>
                <w:szCs w:val="18"/>
                <w:lang w:eastAsia="en-AU"/>
              </w:rPr>
              <w:t>$21</w:t>
            </w:r>
          </w:p>
        </w:tc>
      </w:tr>
      <w:tr w:rsidR="00A14AF7" w:rsidRPr="00452605" w:rsidTr="00CC4852">
        <w:trPr>
          <w:trHeight w:val="315"/>
        </w:trPr>
        <w:tc>
          <w:tcPr>
            <w:tcW w:w="1118" w:type="dxa"/>
            <w:vMerge/>
            <w:tcBorders>
              <w:top w:val="nil"/>
              <w:left w:val="single" w:sz="4" w:space="0" w:color="auto"/>
              <w:bottom w:val="single" w:sz="4" w:space="0" w:color="auto"/>
              <w:right w:val="single" w:sz="4" w:space="0" w:color="auto"/>
            </w:tcBorders>
            <w:vAlign w:val="center"/>
          </w:tcPr>
          <w:p w:rsidR="00A14AF7" w:rsidRPr="00452605" w:rsidRDefault="00A14AF7" w:rsidP="00CC4852">
            <w:pPr>
              <w:spacing w:after="0" w:line="240" w:lineRule="auto"/>
              <w:rPr>
                <w:rFonts w:eastAsia="Times New Roman"/>
                <w:color w:val="000000"/>
                <w:sz w:val="18"/>
                <w:szCs w:val="18"/>
                <w:lang w:eastAsia="en-AU"/>
              </w:rPr>
            </w:pPr>
          </w:p>
        </w:tc>
        <w:tc>
          <w:tcPr>
            <w:tcW w:w="3139" w:type="dxa"/>
            <w:tcBorders>
              <w:top w:val="single" w:sz="4" w:space="0" w:color="auto"/>
              <w:left w:val="nil"/>
              <w:bottom w:val="nil"/>
              <w:right w:val="nil"/>
            </w:tcBorders>
            <w:shd w:val="clear" w:color="000000" w:fill="CCC0DA"/>
            <w:noWrap/>
            <w:vAlign w:val="center"/>
          </w:tcPr>
          <w:p w:rsidR="00A14AF7" w:rsidRPr="00452605" w:rsidRDefault="00A14AF7" w:rsidP="00CC4852">
            <w:pPr>
              <w:spacing w:after="0" w:line="240" w:lineRule="auto"/>
              <w:rPr>
                <w:rFonts w:eastAsia="Times New Roman"/>
                <w:color w:val="000000"/>
                <w:sz w:val="18"/>
                <w:szCs w:val="18"/>
                <w:lang w:eastAsia="en-AU"/>
              </w:rPr>
            </w:pPr>
            <w:r w:rsidRPr="006E2698">
              <w:rPr>
                <w:rFonts w:eastAsia="Times New Roman"/>
                <w:b/>
                <w:color w:val="000000"/>
                <w:sz w:val="18"/>
                <w:szCs w:val="18"/>
                <w:lang w:eastAsia="en-AU"/>
              </w:rPr>
              <w:t>Nationally</w:t>
            </w:r>
          </w:p>
        </w:tc>
        <w:tc>
          <w:tcPr>
            <w:tcW w:w="1335" w:type="dxa"/>
            <w:tcBorders>
              <w:top w:val="nil"/>
              <w:left w:val="single" w:sz="4" w:space="0" w:color="auto"/>
              <w:bottom w:val="single" w:sz="4" w:space="0" w:color="auto"/>
              <w:right w:val="single" w:sz="4" w:space="0" w:color="auto"/>
            </w:tcBorders>
            <w:shd w:val="clear" w:color="auto" w:fill="auto"/>
            <w:noWrap/>
            <w:vAlign w:val="center"/>
          </w:tcPr>
          <w:p w:rsidR="00A14AF7" w:rsidRPr="00452605" w:rsidRDefault="00A14AF7" w:rsidP="00CC4852">
            <w:pPr>
              <w:spacing w:after="0" w:line="240" w:lineRule="auto"/>
              <w:jc w:val="center"/>
              <w:rPr>
                <w:rFonts w:eastAsia="Times New Roman"/>
                <w:color w:val="000000"/>
                <w:sz w:val="18"/>
                <w:szCs w:val="18"/>
                <w:lang w:eastAsia="en-AU"/>
              </w:rPr>
            </w:pPr>
          </w:p>
        </w:tc>
        <w:tc>
          <w:tcPr>
            <w:tcW w:w="1387" w:type="dxa"/>
            <w:gridSpan w:val="2"/>
            <w:tcBorders>
              <w:top w:val="nil"/>
              <w:left w:val="nil"/>
              <w:bottom w:val="single" w:sz="4" w:space="0" w:color="auto"/>
              <w:right w:val="single" w:sz="4" w:space="0" w:color="auto"/>
            </w:tcBorders>
            <w:shd w:val="clear" w:color="auto" w:fill="auto"/>
            <w:noWrap/>
            <w:vAlign w:val="center"/>
          </w:tcPr>
          <w:p w:rsidR="00A14AF7" w:rsidRPr="00452605" w:rsidRDefault="00A14AF7" w:rsidP="00CC4852">
            <w:pPr>
              <w:spacing w:after="0" w:line="240" w:lineRule="auto"/>
              <w:jc w:val="center"/>
              <w:rPr>
                <w:rFonts w:eastAsia="Times New Roman"/>
                <w:color w:val="000000"/>
                <w:sz w:val="18"/>
                <w:szCs w:val="18"/>
                <w:lang w:eastAsia="en-AU"/>
              </w:rPr>
            </w:pPr>
          </w:p>
        </w:tc>
      </w:tr>
      <w:tr w:rsidR="00A14AF7" w:rsidRPr="00452605" w:rsidTr="00CC4852">
        <w:trPr>
          <w:trHeight w:val="315"/>
        </w:trPr>
        <w:tc>
          <w:tcPr>
            <w:tcW w:w="1118" w:type="dxa"/>
            <w:vMerge/>
            <w:tcBorders>
              <w:top w:val="nil"/>
              <w:left w:val="single" w:sz="4" w:space="0" w:color="auto"/>
              <w:bottom w:val="single" w:sz="4" w:space="0" w:color="auto"/>
              <w:right w:val="single" w:sz="4" w:space="0" w:color="auto"/>
            </w:tcBorders>
            <w:vAlign w:val="center"/>
            <w:hideMark/>
          </w:tcPr>
          <w:p w:rsidR="00A14AF7" w:rsidRPr="00452605" w:rsidRDefault="00A14AF7" w:rsidP="00CC4852">
            <w:pPr>
              <w:spacing w:after="0" w:line="240" w:lineRule="auto"/>
              <w:rPr>
                <w:rFonts w:eastAsia="Times New Roman"/>
                <w:color w:val="000000"/>
                <w:sz w:val="18"/>
                <w:szCs w:val="18"/>
                <w:lang w:eastAsia="en-AU"/>
              </w:rPr>
            </w:pPr>
          </w:p>
        </w:tc>
        <w:tc>
          <w:tcPr>
            <w:tcW w:w="3139" w:type="dxa"/>
            <w:tcBorders>
              <w:top w:val="single" w:sz="4" w:space="0" w:color="auto"/>
              <w:left w:val="nil"/>
              <w:bottom w:val="single" w:sz="4" w:space="0" w:color="auto"/>
              <w:right w:val="single" w:sz="4" w:space="0" w:color="auto"/>
            </w:tcBorders>
            <w:shd w:val="clear" w:color="000000" w:fill="CCC0DA"/>
            <w:vAlign w:val="center"/>
            <w:hideMark/>
          </w:tcPr>
          <w:p w:rsidR="00A14AF7" w:rsidRPr="00452605" w:rsidRDefault="00A14AF7" w:rsidP="00CC4852">
            <w:pPr>
              <w:spacing w:after="0" w:line="240" w:lineRule="auto"/>
              <w:rPr>
                <w:rFonts w:eastAsia="Times New Roman"/>
                <w:color w:val="000000"/>
                <w:sz w:val="18"/>
                <w:szCs w:val="18"/>
                <w:lang w:eastAsia="en-AU"/>
              </w:rPr>
            </w:pPr>
            <w:r>
              <w:rPr>
                <w:rFonts w:eastAsia="Times New Roman"/>
                <w:color w:val="000000"/>
                <w:sz w:val="18"/>
                <w:szCs w:val="18"/>
                <w:lang w:eastAsia="en-AU"/>
              </w:rPr>
              <w:t>Total e</w:t>
            </w:r>
            <w:r w:rsidRPr="00452605">
              <w:rPr>
                <w:rFonts w:eastAsia="Times New Roman"/>
                <w:color w:val="000000"/>
                <w:sz w:val="18"/>
                <w:szCs w:val="18"/>
                <w:lang w:eastAsia="en-AU"/>
              </w:rPr>
              <w:t>nergy savings (GWh p.a.)</w:t>
            </w:r>
          </w:p>
        </w:tc>
        <w:tc>
          <w:tcPr>
            <w:tcW w:w="1335" w:type="dxa"/>
            <w:tcBorders>
              <w:top w:val="nil"/>
              <w:left w:val="nil"/>
              <w:bottom w:val="single" w:sz="4" w:space="0" w:color="auto"/>
              <w:right w:val="single" w:sz="4" w:space="0" w:color="auto"/>
            </w:tcBorders>
            <w:shd w:val="clear" w:color="auto" w:fill="auto"/>
            <w:noWrap/>
            <w:vAlign w:val="center"/>
            <w:hideMark/>
          </w:tcPr>
          <w:p w:rsidR="00A14AF7" w:rsidRPr="00452605" w:rsidRDefault="00A14AF7" w:rsidP="00CC4852">
            <w:pPr>
              <w:spacing w:after="0" w:line="240" w:lineRule="auto"/>
              <w:jc w:val="center"/>
              <w:rPr>
                <w:rFonts w:eastAsia="Times New Roman"/>
                <w:color w:val="000000"/>
                <w:sz w:val="18"/>
                <w:szCs w:val="18"/>
                <w:lang w:eastAsia="en-AU"/>
              </w:rPr>
            </w:pPr>
            <w:r w:rsidRPr="00452605">
              <w:rPr>
                <w:rFonts w:eastAsia="Times New Roman"/>
                <w:color w:val="000000"/>
                <w:sz w:val="18"/>
                <w:szCs w:val="18"/>
                <w:lang w:eastAsia="en-AU"/>
              </w:rPr>
              <w:t>122</w:t>
            </w:r>
          </w:p>
        </w:tc>
        <w:tc>
          <w:tcPr>
            <w:tcW w:w="1387" w:type="dxa"/>
            <w:gridSpan w:val="2"/>
            <w:tcBorders>
              <w:top w:val="nil"/>
              <w:left w:val="nil"/>
              <w:bottom w:val="single" w:sz="4" w:space="0" w:color="auto"/>
              <w:right w:val="single" w:sz="4" w:space="0" w:color="auto"/>
            </w:tcBorders>
            <w:shd w:val="clear" w:color="auto" w:fill="auto"/>
            <w:noWrap/>
            <w:vAlign w:val="center"/>
            <w:hideMark/>
          </w:tcPr>
          <w:p w:rsidR="00A14AF7" w:rsidRPr="00452605" w:rsidRDefault="00A14AF7" w:rsidP="00CC4852">
            <w:pPr>
              <w:spacing w:after="0" w:line="240" w:lineRule="auto"/>
              <w:jc w:val="center"/>
              <w:rPr>
                <w:rFonts w:eastAsia="Times New Roman"/>
                <w:color w:val="000000"/>
                <w:sz w:val="18"/>
                <w:szCs w:val="18"/>
                <w:lang w:eastAsia="en-AU"/>
              </w:rPr>
            </w:pPr>
            <w:r w:rsidRPr="00452605">
              <w:rPr>
                <w:rFonts w:eastAsia="Times New Roman"/>
                <w:color w:val="000000"/>
                <w:sz w:val="18"/>
                <w:szCs w:val="18"/>
                <w:lang w:eastAsia="en-AU"/>
              </w:rPr>
              <w:t>142</w:t>
            </w:r>
          </w:p>
        </w:tc>
      </w:tr>
      <w:tr w:rsidR="00A14AF7" w:rsidRPr="00452605" w:rsidTr="00CC4852">
        <w:trPr>
          <w:trHeight w:val="315"/>
        </w:trPr>
        <w:tc>
          <w:tcPr>
            <w:tcW w:w="1118" w:type="dxa"/>
            <w:vMerge/>
            <w:tcBorders>
              <w:top w:val="nil"/>
              <w:left w:val="single" w:sz="4" w:space="0" w:color="auto"/>
              <w:bottom w:val="single" w:sz="4" w:space="0" w:color="auto"/>
              <w:right w:val="single" w:sz="4" w:space="0" w:color="auto"/>
            </w:tcBorders>
            <w:vAlign w:val="center"/>
            <w:hideMark/>
          </w:tcPr>
          <w:p w:rsidR="00A14AF7" w:rsidRPr="00452605" w:rsidRDefault="00A14AF7" w:rsidP="00CC4852">
            <w:pPr>
              <w:spacing w:after="0" w:line="240" w:lineRule="auto"/>
              <w:rPr>
                <w:rFonts w:eastAsia="Times New Roman"/>
                <w:color w:val="000000"/>
                <w:sz w:val="18"/>
                <w:szCs w:val="18"/>
                <w:lang w:eastAsia="en-AU"/>
              </w:rPr>
            </w:pPr>
          </w:p>
        </w:tc>
        <w:tc>
          <w:tcPr>
            <w:tcW w:w="3139" w:type="dxa"/>
            <w:tcBorders>
              <w:top w:val="nil"/>
              <w:left w:val="nil"/>
              <w:bottom w:val="single" w:sz="4" w:space="0" w:color="auto"/>
              <w:right w:val="nil"/>
            </w:tcBorders>
            <w:shd w:val="clear" w:color="000000" w:fill="CCC0DA"/>
            <w:noWrap/>
            <w:vAlign w:val="bottom"/>
            <w:hideMark/>
          </w:tcPr>
          <w:p w:rsidR="00A14AF7" w:rsidRPr="00452605" w:rsidRDefault="00A14AF7" w:rsidP="00CC4852">
            <w:pPr>
              <w:spacing w:after="0" w:line="240" w:lineRule="auto"/>
              <w:rPr>
                <w:rFonts w:eastAsia="Times New Roman"/>
                <w:sz w:val="18"/>
                <w:szCs w:val="18"/>
                <w:lang w:eastAsia="en-AU"/>
              </w:rPr>
            </w:pPr>
            <w:r w:rsidRPr="00452605">
              <w:rPr>
                <w:rFonts w:eastAsia="Times New Roman"/>
                <w:sz w:val="18"/>
                <w:szCs w:val="18"/>
                <w:lang w:eastAsia="en-AU"/>
              </w:rPr>
              <w:t>kt GHG-e (kg CO2-e/kWh)</w:t>
            </w:r>
          </w:p>
        </w:tc>
        <w:tc>
          <w:tcPr>
            <w:tcW w:w="1335" w:type="dxa"/>
            <w:tcBorders>
              <w:top w:val="nil"/>
              <w:left w:val="single" w:sz="4" w:space="0" w:color="auto"/>
              <w:bottom w:val="single" w:sz="4" w:space="0" w:color="auto"/>
              <w:right w:val="single" w:sz="4" w:space="0" w:color="auto"/>
            </w:tcBorders>
            <w:shd w:val="clear" w:color="auto" w:fill="auto"/>
            <w:noWrap/>
            <w:vAlign w:val="center"/>
            <w:hideMark/>
          </w:tcPr>
          <w:p w:rsidR="00A14AF7" w:rsidRPr="00452605" w:rsidRDefault="00A14AF7" w:rsidP="00CC4852">
            <w:pPr>
              <w:spacing w:after="0" w:line="240" w:lineRule="auto"/>
              <w:jc w:val="center"/>
              <w:rPr>
                <w:rFonts w:eastAsia="Times New Roman"/>
                <w:sz w:val="18"/>
                <w:szCs w:val="18"/>
                <w:lang w:eastAsia="en-AU"/>
              </w:rPr>
            </w:pPr>
            <w:r w:rsidRPr="00452605">
              <w:rPr>
                <w:rFonts w:eastAsia="Times New Roman"/>
                <w:sz w:val="18"/>
                <w:szCs w:val="18"/>
                <w:lang w:eastAsia="en-AU"/>
              </w:rPr>
              <w:t>17</w:t>
            </w:r>
          </w:p>
        </w:tc>
        <w:tc>
          <w:tcPr>
            <w:tcW w:w="1387" w:type="dxa"/>
            <w:gridSpan w:val="2"/>
            <w:tcBorders>
              <w:top w:val="nil"/>
              <w:left w:val="nil"/>
              <w:bottom w:val="single" w:sz="4" w:space="0" w:color="auto"/>
              <w:right w:val="single" w:sz="4" w:space="0" w:color="auto"/>
            </w:tcBorders>
            <w:shd w:val="clear" w:color="auto" w:fill="auto"/>
            <w:noWrap/>
            <w:vAlign w:val="center"/>
            <w:hideMark/>
          </w:tcPr>
          <w:p w:rsidR="00A14AF7" w:rsidRPr="00452605" w:rsidRDefault="00A14AF7" w:rsidP="00CC4852">
            <w:pPr>
              <w:spacing w:after="0" w:line="240" w:lineRule="auto"/>
              <w:jc w:val="center"/>
              <w:rPr>
                <w:rFonts w:eastAsia="Times New Roman"/>
                <w:sz w:val="18"/>
                <w:szCs w:val="18"/>
                <w:lang w:eastAsia="en-AU"/>
              </w:rPr>
            </w:pPr>
            <w:r w:rsidRPr="00452605">
              <w:rPr>
                <w:rFonts w:eastAsia="Times New Roman"/>
                <w:sz w:val="18"/>
                <w:szCs w:val="18"/>
                <w:lang w:eastAsia="en-AU"/>
              </w:rPr>
              <w:t>20</w:t>
            </w:r>
          </w:p>
        </w:tc>
      </w:tr>
      <w:tr w:rsidR="00A14AF7" w:rsidRPr="00452605" w:rsidTr="00CC4852">
        <w:trPr>
          <w:trHeight w:val="315"/>
        </w:trPr>
        <w:tc>
          <w:tcPr>
            <w:tcW w:w="1118" w:type="dxa"/>
            <w:vMerge/>
            <w:tcBorders>
              <w:top w:val="nil"/>
              <w:left w:val="single" w:sz="4" w:space="0" w:color="auto"/>
              <w:bottom w:val="single" w:sz="4" w:space="0" w:color="auto"/>
              <w:right w:val="single" w:sz="4" w:space="0" w:color="auto"/>
            </w:tcBorders>
            <w:vAlign w:val="center"/>
            <w:hideMark/>
          </w:tcPr>
          <w:p w:rsidR="00A14AF7" w:rsidRPr="00452605" w:rsidRDefault="00A14AF7" w:rsidP="00CC4852">
            <w:pPr>
              <w:spacing w:after="0" w:line="240" w:lineRule="auto"/>
              <w:rPr>
                <w:rFonts w:eastAsia="Times New Roman"/>
                <w:color w:val="000000"/>
                <w:sz w:val="18"/>
                <w:szCs w:val="18"/>
                <w:lang w:eastAsia="en-AU"/>
              </w:rPr>
            </w:pPr>
          </w:p>
        </w:tc>
        <w:tc>
          <w:tcPr>
            <w:tcW w:w="3139" w:type="dxa"/>
            <w:tcBorders>
              <w:top w:val="nil"/>
              <w:left w:val="nil"/>
              <w:bottom w:val="single" w:sz="4" w:space="0" w:color="auto"/>
              <w:right w:val="single" w:sz="4" w:space="0" w:color="auto"/>
            </w:tcBorders>
            <w:shd w:val="clear" w:color="000000" w:fill="CCC0DA"/>
            <w:noWrap/>
            <w:vAlign w:val="bottom"/>
            <w:hideMark/>
          </w:tcPr>
          <w:p w:rsidR="00A14AF7" w:rsidRPr="00452605" w:rsidRDefault="00A14AF7" w:rsidP="00CC4852">
            <w:pPr>
              <w:spacing w:after="0" w:line="240" w:lineRule="auto"/>
              <w:rPr>
                <w:rFonts w:eastAsia="Times New Roman"/>
                <w:color w:val="000000"/>
                <w:sz w:val="18"/>
                <w:szCs w:val="18"/>
                <w:lang w:eastAsia="en-AU"/>
              </w:rPr>
            </w:pPr>
            <w:r>
              <w:rPr>
                <w:rFonts w:eastAsia="Times New Roman"/>
                <w:color w:val="000000"/>
                <w:sz w:val="18"/>
                <w:szCs w:val="18"/>
                <w:lang w:eastAsia="en-AU"/>
              </w:rPr>
              <w:t>Total c</w:t>
            </w:r>
            <w:r w:rsidRPr="00452605">
              <w:rPr>
                <w:rFonts w:eastAsia="Times New Roman"/>
                <w:color w:val="000000"/>
                <w:sz w:val="18"/>
                <w:szCs w:val="18"/>
                <w:lang w:eastAsia="en-AU"/>
              </w:rPr>
              <w:t>ost savings (NZD)</w:t>
            </w:r>
          </w:p>
        </w:tc>
        <w:tc>
          <w:tcPr>
            <w:tcW w:w="1335" w:type="dxa"/>
            <w:tcBorders>
              <w:top w:val="nil"/>
              <w:left w:val="nil"/>
              <w:bottom w:val="single" w:sz="4" w:space="0" w:color="auto"/>
              <w:right w:val="single" w:sz="4" w:space="0" w:color="auto"/>
            </w:tcBorders>
            <w:shd w:val="clear" w:color="auto" w:fill="auto"/>
            <w:noWrap/>
            <w:vAlign w:val="center"/>
            <w:hideMark/>
          </w:tcPr>
          <w:p w:rsidR="00A14AF7" w:rsidRPr="00452605" w:rsidRDefault="00A14AF7" w:rsidP="00CC4852">
            <w:pPr>
              <w:spacing w:after="0" w:line="240" w:lineRule="auto"/>
              <w:jc w:val="center"/>
              <w:rPr>
                <w:rFonts w:eastAsia="Times New Roman"/>
                <w:sz w:val="18"/>
                <w:szCs w:val="18"/>
                <w:lang w:eastAsia="en-AU"/>
              </w:rPr>
            </w:pPr>
            <w:r w:rsidRPr="00452605">
              <w:rPr>
                <w:rFonts w:eastAsia="Times New Roman"/>
                <w:sz w:val="18"/>
                <w:szCs w:val="18"/>
                <w:lang w:eastAsia="en-AU"/>
              </w:rPr>
              <w:t>$31,736,926</w:t>
            </w:r>
          </w:p>
        </w:tc>
        <w:tc>
          <w:tcPr>
            <w:tcW w:w="1387" w:type="dxa"/>
            <w:gridSpan w:val="2"/>
            <w:tcBorders>
              <w:top w:val="nil"/>
              <w:left w:val="nil"/>
              <w:bottom w:val="single" w:sz="4" w:space="0" w:color="auto"/>
              <w:right w:val="single" w:sz="4" w:space="0" w:color="auto"/>
            </w:tcBorders>
            <w:shd w:val="clear" w:color="auto" w:fill="auto"/>
            <w:noWrap/>
            <w:vAlign w:val="center"/>
            <w:hideMark/>
          </w:tcPr>
          <w:p w:rsidR="00A14AF7" w:rsidRPr="00452605" w:rsidRDefault="00A14AF7" w:rsidP="00CC4852">
            <w:pPr>
              <w:spacing w:after="0" w:line="240" w:lineRule="auto"/>
              <w:jc w:val="center"/>
              <w:rPr>
                <w:rFonts w:eastAsia="Times New Roman"/>
                <w:sz w:val="18"/>
                <w:szCs w:val="18"/>
                <w:lang w:eastAsia="en-AU"/>
              </w:rPr>
            </w:pPr>
            <w:r w:rsidRPr="00452605">
              <w:rPr>
                <w:rFonts w:eastAsia="Times New Roman"/>
                <w:sz w:val="18"/>
                <w:szCs w:val="18"/>
                <w:lang w:eastAsia="en-AU"/>
              </w:rPr>
              <w:t>$36,942,958</w:t>
            </w:r>
          </w:p>
        </w:tc>
      </w:tr>
    </w:tbl>
    <w:p w:rsidR="00411E4D" w:rsidRDefault="00411E4D" w:rsidP="00A60E01">
      <w:pPr>
        <w:pStyle w:val="E3BodyText"/>
      </w:pPr>
    </w:p>
    <w:p w:rsidR="00760673" w:rsidRDefault="004A506A" w:rsidP="00A60E01">
      <w:pPr>
        <w:pStyle w:val="E3BodyText"/>
      </w:pPr>
      <w:r>
        <w:t xml:space="preserve">Through this modelling there is a </w:t>
      </w:r>
      <w:r w:rsidR="00760673">
        <w:t xml:space="preserve">clear </w:t>
      </w:r>
      <w:r>
        <w:t xml:space="preserve">indication </w:t>
      </w:r>
      <w:r w:rsidR="00760673">
        <w:t>that positive energy saving outcomes might be achieved through implementation of regulatory action that would encourage the uptake of energy efficient lighting solutions.</w:t>
      </w:r>
    </w:p>
    <w:p w:rsidR="00A60E01" w:rsidRPr="00836A71" w:rsidRDefault="00A60E01" w:rsidP="00A60E01">
      <w:pPr>
        <w:pStyle w:val="E3BodyText"/>
      </w:pPr>
      <w:r w:rsidRPr="00836A71">
        <w:t>All policy options for further consideration would be subject to thorough analysis of costs and benefits in a consultation RIS.</w:t>
      </w:r>
    </w:p>
    <w:p w:rsidR="00A60E01" w:rsidRPr="00836A71" w:rsidRDefault="00A60E01" w:rsidP="00A60E01">
      <w:pPr>
        <w:pStyle w:val="E3TableTitles"/>
        <w:spacing w:after="0"/>
      </w:pPr>
    </w:p>
    <w:p w:rsidR="00A60E01" w:rsidRDefault="00A60E01" w:rsidP="00A60E01">
      <w:pPr>
        <w:spacing w:after="200" w:line="276" w:lineRule="auto"/>
      </w:pPr>
    </w:p>
    <w:p w:rsidR="00AD3B67" w:rsidRPr="003107D2" w:rsidRDefault="00AD3B67" w:rsidP="00AD3B67">
      <w:pPr>
        <w:sectPr w:rsidR="00AD3B67" w:rsidRPr="003107D2" w:rsidSect="00094976">
          <w:pgSz w:w="11907" w:h="16840" w:code="9"/>
          <w:pgMar w:top="1134" w:right="1134" w:bottom="1418" w:left="1134" w:header="142" w:footer="709" w:gutter="0"/>
          <w:cols w:space="720"/>
          <w:docGrid w:linePitch="360"/>
        </w:sectPr>
      </w:pPr>
    </w:p>
    <w:p w:rsidR="00500411" w:rsidRDefault="00500411" w:rsidP="00500411">
      <w:pPr>
        <w:pStyle w:val="Heading1"/>
      </w:pPr>
      <w:bookmarkStart w:id="288" w:name="_Toc426387804"/>
      <w:r w:rsidRPr="003107D2">
        <w:lastRenderedPageBreak/>
        <w:t>References</w:t>
      </w:r>
      <w:bookmarkEnd w:id="288"/>
    </w:p>
    <w:p w:rsidR="004B2AA0" w:rsidRPr="00836A71" w:rsidRDefault="004B2AA0" w:rsidP="004B2AA0">
      <w:pPr>
        <w:pStyle w:val="E3BodyText"/>
      </w:pPr>
      <w:r w:rsidRPr="00836A71">
        <w:t xml:space="preserve">ABCB (2010) </w:t>
      </w:r>
      <w:r w:rsidRPr="00836A71">
        <w:rPr>
          <w:i/>
        </w:rPr>
        <w:t>Energy Efficiency Provisions for BCA 2010 Volume One: Information Handbook</w:t>
      </w:r>
      <w:r w:rsidRPr="00836A71">
        <w:t>. Australian Building Codes Board.</w:t>
      </w:r>
    </w:p>
    <w:p w:rsidR="001E2229" w:rsidRDefault="001E2229" w:rsidP="001E2229">
      <w:pPr>
        <w:autoSpaceDE w:val="0"/>
        <w:autoSpaceDN w:val="0"/>
        <w:adjustRightInd w:val="0"/>
        <w:spacing w:after="0" w:line="240" w:lineRule="auto"/>
      </w:pPr>
      <w:r w:rsidRPr="001E2229">
        <w:t xml:space="preserve">Bennich P., Soenen B., Scholand M., Borg N., (2015) </w:t>
      </w:r>
      <w:r w:rsidRPr="001E2229">
        <w:rPr>
          <w:i/>
        </w:rPr>
        <w:t xml:space="preserve">Test Report – Clear, Non-Directional LED Lamps Updated to reflect 1000 hours testing and with a detailed discussion on </w:t>
      </w:r>
      <w:r w:rsidR="009B3871" w:rsidRPr="001E2229">
        <w:rPr>
          <w:i/>
        </w:rPr>
        <w:t>Lighting</w:t>
      </w:r>
      <w:r w:rsidR="009B3871">
        <w:rPr>
          <w:i/>
        </w:rPr>
        <w:t xml:space="preserve"> </w:t>
      </w:r>
      <w:r w:rsidR="009B3871" w:rsidRPr="001E2229">
        <w:rPr>
          <w:i/>
        </w:rPr>
        <w:t>Europe’s</w:t>
      </w:r>
      <w:r w:rsidRPr="001E2229">
        <w:rPr>
          <w:i/>
        </w:rPr>
        <w:t xml:space="preserve"> comments on this report</w:t>
      </w:r>
      <w:r w:rsidRPr="001E2229">
        <w:t>. Prepared for Swedish Energy Agency Belgian Federal Ministry for Health, Food Chain Safety and Environment CLASP European Programme European Council for an Energy-Efficient Economy</w:t>
      </w:r>
    </w:p>
    <w:p w:rsidR="000375C7" w:rsidRDefault="000375C7" w:rsidP="001E2229">
      <w:pPr>
        <w:autoSpaceDE w:val="0"/>
        <w:autoSpaceDN w:val="0"/>
        <w:adjustRightInd w:val="0"/>
        <w:spacing w:after="0" w:line="240" w:lineRule="auto"/>
      </w:pPr>
    </w:p>
    <w:p w:rsidR="000375C7" w:rsidRPr="001E2229" w:rsidRDefault="000375C7" w:rsidP="001E2229">
      <w:pPr>
        <w:autoSpaceDE w:val="0"/>
        <w:autoSpaceDN w:val="0"/>
        <w:adjustRightInd w:val="0"/>
        <w:spacing w:after="0" w:line="240" w:lineRule="auto"/>
      </w:pPr>
      <w:r>
        <w:t>CALI - China Association Lighting Industry, Pers Com, May 2015.</w:t>
      </w:r>
    </w:p>
    <w:p w:rsidR="001E2229" w:rsidRDefault="001E2229" w:rsidP="001E2229">
      <w:pPr>
        <w:autoSpaceDE w:val="0"/>
        <w:autoSpaceDN w:val="0"/>
        <w:adjustRightInd w:val="0"/>
        <w:spacing w:after="0" w:line="240" w:lineRule="auto"/>
        <w:rPr>
          <w:highlight w:val="cyan"/>
        </w:rPr>
      </w:pPr>
    </w:p>
    <w:p w:rsidR="00B7109A" w:rsidRDefault="00B7109A" w:rsidP="004B2AA0">
      <w:pPr>
        <w:pStyle w:val="E3BodyText"/>
      </w:pPr>
      <w:r w:rsidRPr="0093605C">
        <w:t>CLASP 2014, Public Comment Document submitted to European Commission, Availability of alternatives to halogen lamps following Stage 6 of Regulation (EC) No 244/2009, 21 March 2014.</w:t>
      </w:r>
    </w:p>
    <w:p w:rsidR="001E082A" w:rsidRDefault="00B3455A" w:rsidP="00B3455A">
      <w:r>
        <w:t xml:space="preserve">E3 2010, </w:t>
      </w:r>
      <w:r w:rsidRPr="00B3455A">
        <w:rPr>
          <w:i/>
        </w:rPr>
        <w:t>2010 Residential Lighting Report</w:t>
      </w:r>
      <w:r>
        <w:t xml:space="preserve">, </w:t>
      </w:r>
      <w:r w:rsidRPr="0093605C">
        <w:t>prepared for E3 by Energy Efficient Strategies</w:t>
      </w:r>
      <w:r>
        <w:t>.</w:t>
      </w:r>
    </w:p>
    <w:p w:rsidR="002748CA" w:rsidRDefault="002748CA" w:rsidP="00B3455A">
      <w:r>
        <w:t xml:space="preserve">E3 2014, </w:t>
      </w:r>
      <w:r w:rsidRPr="002748CA">
        <w:rPr>
          <w:i/>
        </w:rPr>
        <w:t>Product Profile Report – Incandescent, Halogen and Compact Fluorescent Lamps</w:t>
      </w:r>
      <w:r>
        <w:t>. November 2014</w:t>
      </w:r>
    </w:p>
    <w:p w:rsidR="001E082A" w:rsidRPr="00B3455A" w:rsidRDefault="001E082A" w:rsidP="00B3455A">
      <w:r>
        <w:t xml:space="preserve">E3 2014B, </w:t>
      </w:r>
      <w:r w:rsidRPr="001E082A">
        <w:rPr>
          <w:i/>
        </w:rPr>
        <w:t>Residential Lighting Overview Report</w:t>
      </w:r>
      <w:r>
        <w:t>, Beletich Associates.</w:t>
      </w:r>
    </w:p>
    <w:p w:rsidR="004B2AA0" w:rsidRPr="00836A71" w:rsidRDefault="007C2EFC" w:rsidP="004B2AA0">
      <w:pPr>
        <w:pStyle w:val="E3BodyText"/>
      </w:pPr>
      <w:hyperlink r:id="rId121" w:history="1">
        <w:r w:rsidR="004B2AA0" w:rsidRPr="00836A71">
          <w:rPr>
            <w:rStyle w:val="Hyperlink"/>
          </w:rPr>
          <w:t xml:space="preserve">EECA (2012) </w:t>
        </w:r>
        <w:r w:rsidR="004B2AA0" w:rsidRPr="00836A71">
          <w:rPr>
            <w:rStyle w:val="Hyperlink"/>
            <w:i/>
          </w:rPr>
          <w:t>Energy savings from improved product efficiency 2011/2012 – Lighting</w:t>
        </w:r>
      </w:hyperlink>
      <w:r w:rsidR="004B2AA0" w:rsidRPr="00836A71">
        <w:t xml:space="preserve">. Energy Efficiency and Conservation </w:t>
      </w:r>
      <w:r w:rsidR="009B3871" w:rsidRPr="00836A71">
        <w:t>Authority (</w:t>
      </w:r>
      <w:r w:rsidR="004B2AA0" w:rsidRPr="00836A71">
        <w:t>www.eeca.govt.nz/resource/energy-savings-improved-product-efficiency-201112-lighting</w:t>
      </w:r>
      <w:r w:rsidR="004F5F9F" w:rsidRPr="00836A71">
        <w:t>).</w:t>
      </w:r>
    </w:p>
    <w:p w:rsidR="00EE6EB8" w:rsidRDefault="00EE6EB8" w:rsidP="004B2AA0">
      <w:pPr>
        <w:pStyle w:val="E3BodyText"/>
      </w:pPr>
      <w:r>
        <w:t xml:space="preserve">IEA 4E Solid State Lighting Annex (2014) </w:t>
      </w:r>
      <w:r w:rsidRPr="00EE6EB8">
        <w:rPr>
          <w:i/>
        </w:rPr>
        <w:t>Potential Health Issues of SSL – Final Report.</w:t>
      </w:r>
      <w:r w:rsidR="00EA2737">
        <w:rPr>
          <w:i/>
        </w:rPr>
        <w:t xml:space="preserve"> </w:t>
      </w:r>
      <w:r w:rsidRPr="00EE6EB8">
        <w:t>International Energy Agency 4E Solid State Lighting Annex Task 1</w:t>
      </w:r>
    </w:p>
    <w:p w:rsidR="008B0C4B" w:rsidRDefault="009B3871" w:rsidP="008B0C4B">
      <w:pPr>
        <w:pStyle w:val="E3BodyText"/>
      </w:pPr>
      <w:r>
        <w:t>IEA 4E Solid State Lighting Annex (2014), Lifecycle</w:t>
      </w:r>
      <w:r>
        <w:rPr>
          <w:i/>
        </w:rPr>
        <w:t xml:space="preserve"> Assessment of Solid State Lighting</w:t>
      </w:r>
      <w:r w:rsidRPr="00EE6EB8">
        <w:rPr>
          <w:i/>
        </w:rPr>
        <w:t>.</w:t>
      </w:r>
      <w:r>
        <w:rPr>
          <w:i/>
        </w:rPr>
        <w:t xml:space="preserve"> </w:t>
      </w:r>
      <w:r w:rsidR="008B0C4B" w:rsidRPr="00EE6EB8">
        <w:t>International Energy Agency 4E Solid State Lighting Annex Task 1</w:t>
      </w:r>
    </w:p>
    <w:p w:rsidR="00E365E8" w:rsidRDefault="00E365E8" w:rsidP="008B0C4B">
      <w:pPr>
        <w:pStyle w:val="E3BodyText"/>
        <w:rPr>
          <w:lang w:eastAsia="en-AU"/>
        </w:rPr>
      </w:pPr>
      <w:r>
        <w:t xml:space="preserve">IEA 4E Solid State Lighting Annex (2014) </w:t>
      </w:r>
      <w:r w:rsidRPr="00E365E8">
        <w:rPr>
          <w:lang w:eastAsia="en-AU"/>
        </w:rPr>
        <w:t>Solid State Lighting Annex: 2013 Interlaboratory Comparison</w:t>
      </w:r>
      <w:r w:rsidRPr="00EE6EB8">
        <w:rPr>
          <w:i/>
        </w:rPr>
        <w:t>.</w:t>
      </w:r>
      <w:r w:rsidR="00EA2737">
        <w:rPr>
          <w:i/>
        </w:rPr>
        <w:t xml:space="preserve"> </w:t>
      </w:r>
      <w:r w:rsidRPr="00E365E8">
        <w:t xml:space="preserve">International Energy Agency 4E Solid State Lighting Annex Task </w:t>
      </w:r>
      <w:r>
        <w:t>2 and 3.</w:t>
      </w:r>
    </w:p>
    <w:p w:rsidR="008B0C4B" w:rsidRPr="007A56CF" w:rsidRDefault="007A56CF" w:rsidP="007A56CF">
      <w:pPr>
        <w:pStyle w:val="Default"/>
        <w:rPr>
          <w:rFonts w:ascii="Georgia" w:eastAsia="Cambria" w:hAnsi="Georgia" w:cs="Times New Roman"/>
          <w:color w:val="auto"/>
          <w:sz w:val="19"/>
        </w:rPr>
      </w:pPr>
      <w:r w:rsidRPr="007A56CF">
        <w:rPr>
          <w:rFonts w:ascii="Georgia" w:eastAsia="Cambria" w:hAnsi="Georgia" w:cs="Times New Roman"/>
          <w:color w:val="auto"/>
          <w:sz w:val="19"/>
        </w:rPr>
        <w:t>IEA 4E (2015) Updated Benchmarking Report</w:t>
      </w:r>
      <w:r>
        <w:rPr>
          <w:rFonts w:ascii="Georgia" w:eastAsia="Cambria" w:hAnsi="Georgia" w:cs="Times New Roman"/>
          <w:color w:val="auto"/>
          <w:sz w:val="19"/>
        </w:rPr>
        <w:t xml:space="preserve">: </w:t>
      </w:r>
      <w:r w:rsidRPr="007A56CF">
        <w:rPr>
          <w:rFonts w:ascii="Georgia" w:eastAsia="Cambria" w:hAnsi="Georgia" w:cs="Times New Roman"/>
          <w:color w:val="auto"/>
          <w:sz w:val="19"/>
        </w:rPr>
        <w:t xml:space="preserve">Impact of ‘Phase-Out’ Regulations on Lighting Markets. </w:t>
      </w:r>
      <w:r>
        <w:rPr>
          <w:rFonts w:ascii="Georgia" w:eastAsia="Cambria" w:hAnsi="Georgia" w:cs="Times New Roman"/>
          <w:color w:val="auto"/>
          <w:sz w:val="19"/>
        </w:rPr>
        <w:t>March 2015</w:t>
      </w:r>
    </w:p>
    <w:p w:rsidR="007A56CF" w:rsidRPr="007A56CF" w:rsidRDefault="007A56CF" w:rsidP="007A56CF">
      <w:pPr>
        <w:pStyle w:val="Default"/>
        <w:rPr>
          <w:rFonts w:ascii="Georgia" w:eastAsia="Cambria" w:hAnsi="Georgia" w:cs="Times New Roman"/>
          <w:color w:val="auto"/>
          <w:sz w:val="19"/>
        </w:rPr>
      </w:pPr>
    </w:p>
    <w:p w:rsidR="002E7DAB" w:rsidRPr="00836A71" w:rsidRDefault="002E7DAB" w:rsidP="004B2AA0">
      <w:pPr>
        <w:pStyle w:val="E3BodyText"/>
      </w:pPr>
      <w:r w:rsidRPr="00836A71">
        <w:t xml:space="preserve">KEMA (2007) </w:t>
      </w:r>
      <w:r w:rsidRPr="00836A71">
        <w:rPr>
          <w:i/>
        </w:rPr>
        <w:t>New Zealand Electric Energy-Efficiency Potential Study, Volume 1</w:t>
      </w:r>
      <w:r w:rsidRPr="00836A71">
        <w:t>.Electricity Commission of New Zealand.</w:t>
      </w:r>
    </w:p>
    <w:p w:rsidR="00753444" w:rsidRDefault="00753444" w:rsidP="004B2AA0">
      <w:pPr>
        <w:pStyle w:val="E3BodyText"/>
      </w:pPr>
      <w:r>
        <w:t>Kitsinelis S., Arexis</w:t>
      </w:r>
      <w:r>
        <w:rPr>
          <w:rFonts w:ascii="Cambria Math" w:hAnsi="Cambria Math" w:cs="Cambria Math"/>
        </w:rPr>
        <w:t>‐</w:t>
      </w:r>
      <w:r>
        <w:rPr>
          <w:rFonts w:cs="Georgia"/>
        </w:rPr>
        <w:t xml:space="preserve">Boisson L., Zhang Y., Zissis G., </w:t>
      </w:r>
      <w:r w:rsidRPr="009B3871">
        <w:rPr>
          <w:rFonts w:cs="Georgia"/>
          <w:i/>
        </w:rPr>
        <w:t>LED Flicker</w:t>
      </w:r>
      <w:r w:rsidR="009B3871">
        <w:rPr>
          <w:rFonts w:cs="Georgia"/>
          <w:i/>
        </w:rPr>
        <w:t>: A Drawback or an Opportunity?</w:t>
      </w:r>
      <w:r>
        <w:rPr>
          <w:rFonts w:cs="Georgia"/>
        </w:rPr>
        <w:t>,</w:t>
      </w:r>
      <w:r>
        <w:t xml:space="preserve"> Optics and Photonics Journal, 3, 63</w:t>
      </w:r>
      <w:r>
        <w:rPr>
          <w:rFonts w:ascii="Cambria Math" w:hAnsi="Cambria Math" w:cs="Cambria Math"/>
        </w:rPr>
        <w:t>‐</w:t>
      </w:r>
      <w:r>
        <w:rPr>
          <w:rFonts w:cs="Georgia"/>
        </w:rPr>
        <w:t>66,</w:t>
      </w:r>
      <w:r w:rsidR="00836A71">
        <w:t xml:space="preserve"> 2013</w:t>
      </w:r>
    </w:p>
    <w:p w:rsidR="004B2AA0" w:rsidRDefault="004B2AA0" w:rsidP="004B2AA0">
      <w:pPr>
        <w:pStyle w:val="E3BodyText"/>
      </w:pPr>
      <w:r w:rsidRPr="00F12439">
        <w:t xml:space="preserve">Lewis A and Gomer S (2008) </w:t>
      </w:r>
      <w:r w:rsidRPr="00F12439">
        <w:rPr>
          <w:i/>
        </w:rPr>
        <w:t>An Australian Cost Curve for Greenhouse Gas Reduction</w:t>
      </w:r>
      <w:r w:rsidRPr="00F12439">
        <w:t>. McKinsey &amp; Company, Australia.</w:t>
      </w:r>
    </w:p>
    <w:p w:rsidR="00FA1254" w:rsidRPr="00F12439" w:rsidRDefault="00FA1254" w:rsidP="004B2AA0">
      <w:pPr>
        <w:pStyle w:val="E3BodyText"/>
      </w:pPr>
      <w:r>
        <w:t>McKinsey</w:t>
      </w:r>
      <w:r w:rsidR="009B3871">
        <w:t>, Lighting</w:t>
      </w:r>
      <w:r w:rsidRPr="00FA1254">
        <w:rPr>
          <w:i/>
          <w:lang w:val="en-US"/>
        </w:rPr>
        <w:t xml:space="preserve"> the way </w:t>
      </w:r>
      <w:r>
        <w:t>Reports 1</w:t>
      </w:r>
      <w:r w:rsidRPr="002908E5">
        <w:rPr>
          <w:vertAlign w:val="superscript"/>
        </w:rPr>
        <w:t>st</w:t>
      </w:r>
      <w:r>
        <w:t>, 2</w:t>
      </w:r>
      <w:r w:rsidRPr="002908E5">
        <w:rPr>
          <w:vertAlign w:val="superscript"/>
        </w:rPr>
        <w:t>nd</w:t>
      </w:r>
      <w:r>
        <w:t xml:space="preserve"> Editions (2011, 2012).</w:t>
      </w:r>
    </w:p>
    <w:p w:rsidR="004B2AA0" w:rsidRPr="00836A71" w:rsidRDefault="004B2AA0" w:rsidP="004B2AA0">
      <w:pPr>
        <w:pStyle w:val="E3BodyText"/>
      </w:pPr>
      <w:r w:rsidRPr="00836A71">
        <w:t xml:space="preserve">NFEE (2009) </w:t>
      </w:r>
      <w:r w:rsidRPr="00836A71">
        <w:rPr>
          <w:i/>
        </w:rPr>
        <w:t>The Basics of Efficient Lighting: A Reference Manual for Training in Efficient Lighting Principles</w:t>
      </w:r>
      <w:r w:rsidRPr="00836A71">
        <w:t>. National Framework for Energy Efficiency.</w:t>
      </w:r>
    </w:p>
    <w:p w:rsidR="004B2AA0" w:rsidRPr="00836A71" w:rsidRDefault="004B2AA0" w:rsidP="004B2AA0">
      <w:pPr>
        <w:pStyle w:val="E3BodyText"/>
      </w:pPr>
      <w:r w:rsidRPr="00836A71">
        <w:t xml:space="preserve">Unknown (2006) ‘The Stern Review on the Economic Effects of Climate Change’, </w:t>
      </w:r>
      <w:r w:rsidRPr="00836A71">
        <w:rPr>
          <w:i/>
        </w:rPr>
        <w:t>Population and Development Review</w:t>
      </w:r>
      <w:r w:rsidRPr="00836A71">
        <w:t>, 32:793-798.</w:t>
      </w:r>
    </w:p>
    <w:p w:rsidR="00100151" w:rsidRPr="00100151" w:rsidRDefault="00100151" w:rsidP="008B0C4B">
      <w:pPr>
        <w:pStyle w:val="E3BodyText"/>
      </w:pPr>
      <w:r w:rsidRPr="00100151">
        <w:t>US DOE (2012) Life-Cycle Assessment of Energy and Environmental Impacts of LED Lighting</w:t>
      </w:r>
      <w:r w:rsidR="00EA2737">
        <w:t xml:space="preserve"> </w:t>
      </w:r>
      <w:r w:rsidRPr="00100151">
        <w:t>Products, Part 2: LED Manufacturing and Performance. United States Department of Energy.</w:t>
      </w:r>
    </w:p>
    <w:p w:rsidR="008B0C4B" w:rsidRPr="008B0C4B" w:rsidRDefault="008B0C4B" w:rsidP="008B0C4B">
      <w:pPr>
        <w:pStyle w:val="E3BodyText"/>
        <w:rPr>
          <w:szCs w:val="22"/>
        </w:rPr>
      </w:pPr>
      <w:r w:rsidRPr="008B0C4B">
        <w:rPr>
          <w:szCs w:val="22"/>
        </w:rPr>
        <w:lastRenderedPageBreak/>
        <w:t xml:space="preserve">US DOE (2013) </w:t>
      </w:r>
      <w:r w:rsidRPr="008B0C4B">
        <w:rPr>
          <w:i/>
          <w:szCs w:val="22"/>
        </w:rPr>
        <w:t>Life-Cycle Assessment of Energy and Environmental Impacts of LED Lighting Products, Part 3: LED Environmental Testing</w:t>
      </w:r>
      <w:r w:rsidRPr="008B0C4B">
        <w:rPr>
          <w:szCs w:val="22"/>
        </w:rPr>
        <w:t>. United States Department of Energy.</w:t>
      </w:r>
    </w:p>
    <w:p w:rsidR="00EE4E08" w:rsidRDefault="00EE4E08" w:rsidP="00EE4E08">
      <w:pPr>
        <w:pStyle w:val="E3BodyText"/>
      </w:pPr>
      <w:r w:rsidRPr="00EE4E08">
        <w:t>United States Department of Energy (</w:t>
      </w:r>
      <w:r>
        <w:t xml:space="preserve">Feb </w:t>
      </w:r>
      <w:r w:rsidRPr="00EE4E08">
        <w:t xml:space="preserve">2014) </w:t>
      </w:r>
      <w:r w:rsidRPr="00EE4E08">
        <w:rPr>
          <w:i/>
        </w:rPr>
        <w:t>CALIPER Retail Lamps Study 3</w:t>
      </w:r>
      <w:r>
        <w:t xml:space="preserve"> (</w:t>
      </w:r>
      <w:r w:rsidRPr="00EE4E08">
        <w:t>Pacific Northwest National Laboratory</w:t>
      </w:r>
      <w:r>
        <w:t>)</w:t>
      </w:r>
    </w:p>
    <w:p w:rsidR="00761A15" w:rsidRDefault="00761A15" w:rsidP="00761A15">
      <w:pPr>
        <w:pStyle w:val="Default"/>
      </w:pPr>
      <w:r w:rsidRPr="00761A15">
        <w:rPr>
          <w:rFonts w:ascii="Georgia" w:eastAsia="Cambria" w:hAnsi="Georgia" w:cs="Times New Roman"/>
          <w:color w:val="auto"/>
          <w:sz w:val="19"/>
        </w:rPr>
        <w:t xml:space="preserve">United States Department of Energy (Dec 2014) </w:t>
      </w:r>
      <w:r w:rsidRPr="00761A15">
        <w:rPr>
          <w:rFonts w:ascii="Georgia" w:eastAsia="Cambria" w:hAnsi="Georgia" w:cs="Times New Roman"/>
          <w:i/>
          <w:color w:val="auto"/>
          <w:sz w:val="19"/>
        </w:rPr>
        <w:t xml:space="preserve">CALIPER Retail Lamps Study 3.2 </w:t>
      </w:r>
      <w:r w:rsidRPr="00761A15">
        <w:rPr>
          <w:rFonts w:cs="Times New Roman"/>
          <w:i/>
          <w:color w:val="auto"/>
          <w:sz w:val="19"/>
        </w:rPr>
        <w:t>Lumen and Chromaticity Maintenance of LED A Lamps Operated in Steady-State Conditions</w:t>
      </w:r>
      <w:r>
        <w:t xml:space="preserve"> (</w:t>
      </w:r>
      <w:r w:rsidRPr="00EE4E08">
        <w:rPr>
          <w:rFonts w:ascii="Georgia" w:hAnsi="Georgia" w:cs="Times New Roman"/>
          <w:sz w:val="19"/>
        </w:rPr>
        <w:t>Pacific Northwest National Laboratory</w:t>
      </w:r>
      <w:r>
        <w:t>)</w:t>
      </w:r>
    </w:p>
    <w:p w:rsidR="00AD2B83" w:rsidRDefault="00AD2B83" w:rsidP="00761A15">
      <w:pPr>
        <w:pStyle w:val="Default"/>
      </w:pPr>
    </w:p>
    <w:p w:rsidR="00AD2B83" w:rsidRPr="00AD2B83" w:rsidRDefault="00AD2B83" w:rsidP="00761A15">
      <w:pPr>
        <w:pStyle w:val="Default"/>
        <w:rPr>
          <w:rFonts w:ascii="Georgia" w:eastAsia="Cambria" w:hAnsi="Georgia" w:cs="Times New Roman"/>
          <w:color w:val="auto"/>
          <w:sz w:val="19"/>
        </w:rPr>
      </w:pPr>
      <w:r w:rsidRPr="00AD2B83">
        <w:rPr>
          <w:rFonts w:ascii="Georgia" w:eastAsia="Cambria" w:hAnsi="Georgia" w:cs="Times New Roman"/>
          <w:color w:val="auto"/>
          <w:sz w:val="19"/>
        </w:rPr>
        <w:t>United States Department of Energy (Dec 2014), Solid State Lighting R&amp;D Plan, United States Department of Energy</w:t>
      </w:r>
    </w:p>
    <w:p w:rsidR="00761A15" w:rsidRPr="00761A15" w:rsidRDefault="00761A15" w:rsidP="00761A15">
      <w:pPr>
        <w:pStyle w:val="Default"/>
        <w:rPr>
          <w:rFonts w:ascii="Georgia" w:eastAsia="Cambria" w:hAnsi="Georgia" w:cs="Times New Roman"/>
          <w:color w:val="auto"/>
          <w:sz w:val="19"/>
        </w:rPr>
      </w:pPr>
    </w:p>
    <w:p w:rsidR="00804D9F" w:rsidRDefault="00804D9F" w:rsidP="00CB6DAD">
      <w:pPr>
        <w:pStyle w:val="E3BodyText"/>
      </w:pPr>
      <w:r w:rsidRPr="00836A71">
        <w:t xml:space="preserve">Waide P (2011) </w:t>
      </w:r>
      <w:r w:rsidRPr="00836A71">
        <w:rPr>
          <w:i/>
        </w:rPr>
        <w:t>Opportunities for Success and CO</w:t>
      </w:r>
      <w:r w:rsidRPr="00836A71">
        <w:rPr>
          <w:i/>
          <w:vertAlign w:val="subscript"/>
        </w:rPr>
        <w:t>2</w:t>
      </w:r>
      <w:r w:rsidRPr="00836A71">
        <w:rPr>
          <w:i/>
        </w:rPr>
        <w:t xml:space="preserve"> Savings from Appliance Energy Efficiency Harmonisation: Part 2: An Assessment of Test Procedures and Efficiency Metrics</w:t>
      </w:r>
      <w:r w:rsidRPr="00836A71">
        <w:t>. Navigant Consulting in partnership with CLASP, the Collaborative Labeling&amp; Appliance Standards Program, London.</w:t>
      </w:r>
    </w:p>
    <w:p w:rsidR="00104E94" w:rsidRDefault="00104E94" w:rsidP="00753444">
      <w:pPr>
        <w:pStyle w:val="E3BodyText"/>
      </w:pPr>
      <w:r w:rsidRPr="00104E94">
        <w:t>Winton Sustainable Research Strategies 2011, A Research Study Assessing the ‘Change the Globe’ Point-of-Sale (POS) Material Campaign and Guiding Further Communication Supporting the Phase=Out of Inefficient Incandescent Light Bulbs Program, conducted for the Department of Climate Change and Energy Efficiency.</w:t>
      </w:r>
    </w:p>
    <w:p w:rsidR="00753444" w:rsidRPr="00753444" w:rsidRDefault="00753444" w:rsidP="00753444">
      <w:pPr>
        <w:pStyle w:val="E3BodyText"/>
      </w:pPr>
      <w:r w:rsidRPr="00753444">
        <w:t>Zissis G., Kitsinelis S., Arexis</w:t>
      </w:r>
      <w:r w:rsidRPr="00753444">
        <w:rPr>
          <w:rFonts w:ascii="Cambria Math" w:hAnsi="Cambria Math" w:cs="Cambria Math"/>
        </w:rPr>
        <w:t>‐</w:t>
      </w:r>
      <w:r w:rsidRPr="00753444">
        <w:rPr>
          <w:rFonts w:cs="Georgia"/>
        </w:rPr>
        <w:t>Boisson L., Martinsons C., Boulenguez P., Carré S. “LEDs and Solid</w:t>
      </w:r>
      <w:r w:rsidRPr="00753444">
        <w:rPr>
          <w:rFonts w:ascii="Cambria Math" w:hAnsi="Cambria Math" w:cs="Cambria Math"/>
        </w:rPr>
        <w:t>‐</w:t>
      </w:r>
      <w:r w:rsidRPr="00753444">
        <w:t>State Lighting: the potential health issues”, Proc. 7th International Conference on Energy Efficiency in Domestic Appliances and Lighting (EEDAL’13), Coimbra, Portugal,11</w:t>
      </w:r>
      <w:r w:rsidRPr="00753444">
        <w:rPr>
          <w:rFonts w:ascii="Cambria Math" w:hAnsi="Cambria Math" w:cs="Cambria Math"/>
        </w:rPr>
        <w:t>‐</w:t>
      </w:r>
      <w:r w:rsidRPr="00753444">
        <w:rPr>
          <w:rFonts w:cs="Georgia"/>
        </w:rPr>
        <w:t>13 September</w:t>
      </w:r>
      <w:r w:rsidRPr="00753444">
        <w:t xml:space="preserve"> 2013</w:t>
      </w:r>
    </w:p>
    <w:p w:rsidR="00104E94" w:rsidRPr="00804D9F" w:rsidRDefault="00104E94" w:rsidP="00CB6DAD">
      <w:pPr>
        <w:pStyle w:val="E3BodyText"/>
      </w:pPr>
    </w:p>
    <w:p w:rsidR="00AD3B67" w:rsidRPr="003107D2" w:rsidRDefault="00AD3B67" w:rsidP="00AD3B67"/>
    <w:p w:rsidR="00AD3B67" w:rsidRDefault="00AD3B67" w:rsidP="00AD3B67"/>
    <w:p w:rsidR="00537C8E" w:rsidRDefault="00537C8E">
      <w:pPr>
        <w:spacing w:after="200" w:line="276" w:lineRule="auto"/>
      </w:pPr>
      <w:r>
        <w:br w:type="page"/>
      </w:r>
    </w:p>
    <w:p w:rsidR="00500411" w:rsidRDefault="00500411" w:rsidP="00500411">
      <w:pPr>
        <w:pStyle w:val="E3ChapterTitle"/>
        <w:numPr>
          <w:ilvl w:val="0"/>
          <w:numId w:val="0"/>
        </w:numPr>
        <w:ind w:left="851" w:hanging="851"/>
        <w:rPr>
          <w:lang w:val="en-US"/>
        </w:rPr>
      </w:pPr>
      <w:bookmarkStart w:id="289" w:name="_Toc426387805"/>
      <w:r w:rsidRPr="003107D2">
        <w:lastRenderedPageBreak/>
        <w:t>Appendix</w:t>
      </w:r>
      <w:r>
        <w:t xml:space="preserve"> A – </w:t>
      </w:r>
      <w:r>
        <w:rPr>
          <w:lang w:val="en-US"/>
        </w:rPr>
        <w:t>Chromaticity</w:t>
      </w:r>
      <w:bookmarkEnd w:id="289"/>
    </w:p>
    <w:p w:rsidR="00CD2796" w:rsidRDefault="00CD2796" w:rsidP="00CD2796">
      <w:pPr>
        <w:rPr>
          <w:lang w:val="en-US"/>
        </w:rPr>
      </w:pPr>
      <w:r>
        <w:rPr>
          <w:lang w:val="en-US"/>
        </w:rPr>
        <w:t>The CIE 1931 Chromaticity Diagram represents all colours that the human eye can perceive. The curve that forms the periphery of the diagram is called the spectral locus, and this corresponds to the spectral colours in the visible light spectrum. These are the wavelength values of hue. The colours located in other areas are not spectral; the bottom straight line represents a line of pink/purples, while the interior are unsaturated colours composed of a mix of a spectral colours.</w:t>
      </w:r>
    </w:p>
    <w:p w:rsidR="00CD2796" w:rsidRDefault="00CD2796" w:rsidP="00CD2796">
      <w:pPr>
        <w:rPr>
          <w:lang w:val="en-US"/>
        </w:rPr>
      </w:pPr>
      <w:r>
        <w:rPr>
          <w:lang w:val="en-US"/>
        </w:rPr>
        <w:t>For white light sources that correspond somewhat closely to the radiation colour of a black body radiator (such as the Sun) at various temperatures (called the Planckian locus), a correlated colour temperature can be assigned.</w:t>
      </w:r>
    </w:p>
    <w:p w:rsidR="00CD2796" w:rsidRDefault="00CD2796" w:rsidP="00CD2796">
      <w:pPr>
        <w:keepNext/>
      </w:pPr>
      <w:r>
        <w:rPr>
          <w:noProof/>
          <w:lang w:eastAsia="en-AU"/>
        </w:rPr>
        <w:drawing>
          <wp:inline distT="0" distB="0" distL="0" distR="0" wp14:anchorId="720A0987" wp14:editId="061C6234">
            <wp:extent cx="3312000" cy="3726000"/>
            <wp:effectExtent l="0" t="0" r="3175" b="8255"/>
            <wp:docPr id="322" name="Picture 1" descr="Diagram displaying data on a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b/ba/PlanckianLocus.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312000" cy="3726000"/>
                    </a:xfrm>
                    <a:prstGeom prst="rect">
                      <a:avLst/>
                    </a:prstGeom>
                    <a:noFill/>
                    <a:ln>
                      <a:noFill/>
                    </a:ln>
                  </pic:spPr>
                </pic:pic>
              </a:graphicData>
            </a:graphic>
          </wp:inline>
        </w:drawing>
      </w:r>
    </w:p>
    <w:p w:rsidR="00CD2796" w:rsidRDefault="00CD2796" w:rsidP="00CD2796">
      <w:pPr>
        <w:pStyle w:val="Caption"/>
      </w:pPr>
      <w:bookmarkStart w:id="290" w:name="_Ref424119832"/>
      <w:bookmarkStart w:id="291" w:name="_Toc426387888"/>
      <w:r>
        <w:t xml:space="preserve">Figure </w:t>
      </w:r>
      <w:r w:rsidR="00B525E0">
        <w:fldChar w:fldCharType="begin"/>
      </w:r>
      <w:r w:rsidR="00BD26AF">
        <w:instrText xml:space="preserve"> SEQ Figure \* ARABIC </w:instrText>
      </w:r>
      <w:r w:rsidR="00B525E0">
        <w:fldChar w:fldCharType="separate"/>
      </w:r>
      <w:r w:rsidR="002C13E2">
        <w:rPr>
          <w:noProof/>
        </w:rPr>
        <w:t>49</w:t>
      </w:r>
      <w:r w:rsidR="00B525E0">
        <w:rPr>
          <w:noProof/>
        </w:rPr>
        <w:fldChar w:fldCharType="end"/>
      </w:r>
      <w:bookmarkEnd w:id="290"/>
      <w:r>
        <w:t>. CIE 1931 x</w:t>
      </w:r>
      <w:r w:rsidR="009B3871">
        <w:t>, y</w:t>
      </w:r>
      <w:r>
        <w:t xml:space="preserve"> chromaticity space, showing the chromaticities of black-body radiating light sources of various temperatures (called the Planckian locus), and lines of constant correlated colour temperature (Tc).</w:t>
      </w:r>
      <w:bookmarkEnd w:id="291"/>
    </w:p>
    <w:p w:rsidR="00846804" w:rsidRPr="00846804" w:rsidRDefault="00846804" w:rsidP="00846804"/>
    <w:p w:rsidR="00CD2796" w:rsidRDefault="00CD2796" w:rsidP="00CD2796">
      <w:pPr>
        <w:rPr>
          <w:lang w:val="en-US"/>
        </w:rPr>
      </w:pPr>
      <w:r>
        <w:rPr>
          <w:lang w:val="en-US"/>
        </w:rPr>
        <w:t xml:space="preserve">Chromaticity measurement of LED lamps gives an indication of how closely the output corresponds with the Planckian locus. Light sources that have a spectrum that places them above the Planckian locus will appear more green or yellow (not enough blue or red content in their spectrum); those that are below this line will appear pinkish (not enough green wavelength content). ANSI chromaticity specifications as given in standard C78.377-2008 ‘Specifications for the Chromaticity of Solid State Lighting Products’ provide a target </w:t>
      </w:r>
      <w:r w:rsidR="009B3871">
        <w:rPr>
          <w:lang w:val="en-US"/>
        </w:rPr>
        <w:t>center</w:t>
      </w:r>
      <w:r>
        <w:rPr>
          <w:lang w:val="en-US"/>
        </w:rPr>
        <w:t xml:space="preserve"> point and tolerance quadrangle, the latter which approximately correspond to the 7-step MacAdam ellipses used in the compact fluorescent lamp chromaticity specification. These quadrangles define perceptible colour differences.</w:t>
      </w:r>
    </w:p>
    <w:p w:rsidR="00CD2796" w:rsidRPr="00453CA7" w:rsidRDefault="00BF3A17" w:rsidP="00CD2796">
      <w:pPr>
        <w:rPr>
          <w:lang w:val="en-US"/>
        </w:rPr>
      </w:pPr>
      <w:r>
        <w:rPr>
          <w:lang w:val="en-US"/>
        </w:rPr>
        <w:fldChar w:fldCharType="begin"/>
      </w:r>
      <w:r>
        <w:rPr>
          <w:lang w:val="en-US"/>
        </w:rPr>
        <w:instrText xml:space="preserve"> REF _Ref424119832 \h </w:instrText>
      </w:r>
      <w:r>
        <w:rPr>
          <w:lang w:val="en-US"/>
        </w:rPr>
      </w:r>
      <w:r>
        <w:rPr>
          <w:lang w:val="en-US"/>
        </w:rPr>
        <w:fldChar w:fldCharType="separate"/>
      </w:r>
      <w:r w:rsidR="002C13E2">
        <w:t xml:space="preserve">Figure </w:t>
      </w:r>
      <w:r w:rsidR="002C13E2">
        <w:rPr>
          <w:noProof/>
        </w:rPr>
        <w:t>49</w:t>
      </w:r>
      <w:r>
        <w:rPr>
          <w:lang w:val="en-US"/>
        </w:rPr>
        <w:fldChar w:fldCharType="end"/>
      </w:r>
      <w:r>
        <w:rPr>
          <w:lang w:val="en-US"/>
        </w:rPr>
        <w:t xml:space="preserve"> </w:t>
      </w:r>
      <w:r w:rsidR="00CD2796">
        <w:rPr>
          <w:lang w:val="en-US"/>
        </w:rPr>
        <w:t>shows the chromaticity values of LED lighting products purchased between 2009 and 2014, and their relation to the Planckian locus or black body curve.</w:t>
      </w:r>
    </w:p>
    <w:p w:rsidR="00CD2796" w:rsidRDefault="006C72F1" w:rsidP="00CD2796">
      <w:pPr>
        <w:keepNext/>
      </w:pPr>
      <w:r>
        <w:rPr>
          <w:noProof/>
          <w:lang w:eastAsia="en-AU"/>
        </w:rPr>
        <w:lastRenderedPageBreak/>
        <w:drawing>
          <wp:inline distT="0" distB="0" distL="0" distR="0" wp14:anchorId="09F0166C" wp14:editId="5A98E32E">
            <wp:extent cx="6120000" cy="3999600"/>
            <wp:effectExtent l="0" t="0" r="0" b="1270"/>
            <wp:docPr id="60" name="Picture 60" descr="Dot graph displays data on 8 L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120000" cy="3999600"/>
                    </a:xfrm>
                    <a:prstGeom prst="rect">
                      <a:avLst/>
                    </a:prstGeom>
                    <a:noFill/>
                  </pic:spPr>
                </pic:pic>
              </a:graphicData>
            </a:graphic>
          </wp:inline>
        </w:drawing>
      </w:r>
    </w:p>
    <w:p w:rsidR="00CD2796" w:rsidRDefault="009B3871" w:rsidP="00CD2796">
      <w:pPr>
        <w:pStyle w:val="Caption"/>
      </w:pPr>
      <w:bookmarkStart w:id="292" w:name="_Ref424116410"/>
      <w:bookmarkStart w:id="293" w:name="_Toc426387889"/>
      <w:r>
        <w:t xml:space="preserve">Figure </w:t>
      </w:r>
      <w:r>
        <w:fldChar w:fldCharType="begin"/>
      </w:r>
      <w:r>
        <w:instrText xml:space="preserve"> SEQ Figure \* ARABIC </w:instrText>
      </w:r>
      <w:r>
        <w:fldChar w:fldCharType="separate"/>
      </w:r>
      <w:r w:rsidR="002C13E2">
        <w:rPr>
          <w:noProof/>
        </w:rPr>
        <w:t>50</w:t>
      </w:r>
      <w:r>
        <w:rPr>
          <w:noProof/>
        </w:rPr>
        <w:fldChar w:fldCharType="end"/>
      </w:r>
      <w:bookmarkEnd w:id="292"/>
      <w:r>
        <w:t>. Chromaticity of LED lamps tested by Australian Government 2009-2014.</w:t>
      </w:r>
      <w:bookmarkEnd w:id="293"/>
    </w:p>
    <w:p w:rsidR="00846804" w:rsidRPr="00846804" w:rsidRDefault="00846804" w:rsidP="00846804"/>
    <w:p w:rsidR="00CD2796" w:rsidRDefault="00CD2796" w:rsidP="00CD2796">
      <w:r>
        <w:t xml:space="preserve">It is evident in </w:t>
      </w:r>
      <w:r w:rsidR="00B525E0">
        <w:fldChar w:fldCharType="begin"/>
      </w:r>
      <w:r w:rsidR="00B53DE9">
        <w:instrText xml:space="preserve"> REF _Ref424116410 \h </w:instrText>
      </w:r>
      <w:r w:rsidR="00B525E0">
        <w:fldChar w:fldCharType="separate"/>
      </w:r>
      <w:r w:rsidR="002C13E2">
        <w:t xml:space="preserve">Figure </w:t>
      </w:r>
      <w:r w:rsidR="002C13E2">
        <w:rPr>
          <w:noProof/>
        </w:rPr>
        <w:t>50</w:t>
      </w:r>
      <w:r w:rsidR="00B525E0">
        <w:fldChar w:fldCharType="end"/>
      </w:r>
      <w:r w:rsidR="00D20B7F">
        <w:t xml:space="preserve"> </w:t>
      </w:r>
      <w:r>
        <w:t>that in the earlier years, 2009-2010, LED light sources were not satisfactorily recreating white light that resembled that of a black body radiator; the majority of the warmer colour temperature lamps had a greenish yellow appearance, and the cooler colour temperature lamps produced a straight greenish appearance. From 2012-2014, a significant improvement is recorded.</w:t>
      </w:r>
    </w:p>
    <w:p w:rsidR="00CD2796" w:rsidRDefault="00CD2796" w:rsidP="00CD2796">
      <w:r>
        <w:t xml:space="preserve">The following series of (8) charts provides the same data as </w:t>
      </w:r>
      <w:r w:rsidR="009B3871">
        <w:t xml:space="preserve">in </w:t>
      </w:r>
      <w:r w:rsidR="009B3871">
        <w:fldChar w:fldCharType="begin"/>
      </w:r>
      <w:r w:rsidR="009B3871">
        <w:instrText xml:space="preserve"> REF _Ref424116410 \h </w:instrText>
      </w:r>
      <w:r w:rsidR="009B3871">
        <w:fldChar w:fldCharType="separate"/>
      </w:r>
      <w:r w:rsidR="002C13E2">
        <w:t xml:space="preserve">Figure </w:t>
      </w:r>
      <w:r w:rsidR="002C13E2">
        <w:rPr>
          <w:noProof/>
        </w:rPr>
        <w:t>50</w:t>
      </w:r>
      <w:r w:rsidR="009B3871">
        <w:fldChar w:fldCharType="end"/>
      </w:r>
      <w:r>
        <w:t xml:space="preserve">, now with CCT test results displayed on separate charts for each colour temperature category that are based on the rated CCT as provided by the manufacturer. This provides a visual assessment tool for determining whether the lamp tested to have a Tc that corresponds with rated value, which has been rounded to group in with the Nominal CCT values as outlined in ANSI C78.377-2008. For example, where the manufacturer has indicated that the lamp is 2800 K, the tested value for that lamp will appear on the Chromaticity Diagram for 2700 K; if the tested value was 3500K, it will still appear on the 2700 K chart. </w:t>
      </w:r>
    </w:p>
    <w:p w:rsidR="00CD2796" w:rsidRPr="000002C5" w:rsidRDefault="00CD2796" w:rsidP="00CD2796">
      <w:r>
        <w:t xml:space="preserve">This has been done to illustrate the result from the perspective of the home buyer of the lighting product – if purchaser wishes to replace an old compact fluorescent lamp which they know to be a 2700 K lamp, and the LED lamp packaging states that it is a Warm White lamp with colour temperature of 2700 K, if this claim is proven untrue the purchaser is likely to be dissatisfied with their purchase. </w:t>
      </w:r>
    </w:p>
    <w:p w:rsidR="00CD2796" w:rsidRPr="0087627E" w:rsidRDefault="00CD2796" w:rsidP="00CD2796"/>
    <w:p w:rsidR="00CD2796" w:rsidRDefault="00CD2796">
      <w:pPr>
        <w:spacing w:after="200" w:line="276" w:lineRule="auto"/>
        <w:rPr>
          <w:lang w:val="en-US"/>
        </w:rPr>
      </w:pPr>
      <w:r>
        <w:rPr>
          <w:lang w:val="en-US"/>
        </w:rPr>
        <w:br w:type="page"/>
      </w:r>
    </w:p>
    <w:p w:rsidR="00CD2796" w:rsidRDefault="00CD2796" w:rsidP="00CD2796">
      <w:pPr>
        <w:rPr>
          <w:lang w:val="en-US"/>
        </w:rPr>
      </w:pPr>
      <w:r>
        <w:rPr>
          <w:noProof/>
          <w:lang w:eastAsia="en-AU"/>
        </w:rPr>
        <w:lastRenderedPageBreak/>
        <w:drawing>
          <wp:inline distT="0" distB="0" distL="0" distR="0" wp14:anchorId="36505386" wp14:editId="42A1002A">
            <wp:extent cx="2880000" cy="1882800"/>
            <wp:effectExtent l="0" t="0" r="0" b="3175"/>
            <wp:docPr id="326" name="Picture 5" descr="Dot graph displays data on 8 L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gan\Dropbox (Gelami)\Light Naturally\LN Current Clients\Aust DCCEE\LEDs\LED Testing\Charts\Chroma LED 2700.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80000" cy="1882800"/>
                    </a:xfrm>
                    <a:prstGeom prst="rect">
                      <a:avLst/>
                    </a:prstGeom>
                    <a:noFill/>
                    <a:ln>
                      <a:noFill/>
                    </a:ln>
                  </pic:spPr>
                </pic:pic>
              </a:graphicData>
            </a:graphic>
          </wp:inline>
        </w:drawing>
      </w:r>
      <w:r>
        <w:rPr>
          <w:noProof/>
          <w:lang w:eastAsia="en-AU"/>
        </w:rPr>
        <w:drawing>
          <wp:inline distT="0" distB="0" distL="0" distR="0" wp14:anchorId="359025D9" wp14:editId="7608C075">
            <wp:extent cx="2880000" cy="1882309"/>
            <wp:effectExtent l="0" t="0" r="0" b="3810"/>
            <wp:docPr id="327" name="Picture 7" descr="Dot graph displays data on 8 L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gan\Dropbox (Gelami)\Light Naturally\LN Current Clients\Aust DCCEE\LEDs\LED Testing\Charts\Chroma LED 3000.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80000" cy="1882309"/>
                    </a:xfrm>
                    <a:prstGeom prst="rect">
                      <a:avLst/>
                    </a:prstGeom>
                    <a:noFill/>
                    <a:ln>
                      <a:noFill/>
                    </a:ln>
                  </pic:spPr>
                </pic:pic>
              </a:graphicData>
            </a:graphic>
          </wp:inline>
        </w:drawing>
      </w:r>
      <w:r>
        <w:rPr>
          <w:noProof/>
          <w:lang w:eastAsia="en-AU"/>
        </w:rPr>
        <w:drawing>
          <wp:inline distT="0" distB="0" distL="0" distR="0" wp14:anchorId="48CC4569" wp14:editId="5F8F9F30">
            <wp:extent cx="2880000" cy="1881452"/>
            <wp:effectExtent l="0" t="0" r="0" b="5080"/>
            <wp:docPr id="328" name="Picture 8" descr="Dot graph displays data on 8 L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gan\Dropbox (Gelami)\Light Naturally\LN Current Clients\Aust DCCEE\LEDs\LED Testing\Charts\Chroma LED 3500.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80000" cy="1881452"/>
                    </a:xfrm>
                    <a:prstGeom prst="rect">
                      <a:avLst/>
                    </a:prstGeom>
                    <a:noFill/>
                    <a:ln>
                      <a:noFill/>
                    </a:ln>
                  </pic:spPr>
                </pic:pic>
              </a:graphicData>
            </a:graphic>
          </wp:inline>
        </w:drawing>
      </w:r>
      <w:r>
        <w:rPr>
          <w:noProof/>
          <w:lang w:eastAsia="en-AU"/>
        </w:rPr>
        <w:drawing>
          <wp:inline distT="0" distB="0" distL="0" distR="0" wp14:anchorId="23DAF0AC" wp14:editId="214FB01B">
            <wp:extent cx="2880000" cy="1881452"/>
            <wp:effectExtent l="0" t="0" r="0" b="5080"/>
            <wp:docPr id="329" name="Picture 9" descr="Dot graph displays data on 8 L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gan\Dropbox (Gelami)\Light Naturally\LN Current Clients\Aust DCCEE\LEDs\LED Testing\Charts\Chroma LED 4000.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80000" cy="1881452"/>
                    </a:xfrm>
                    <a:prstGeom prst="rect">
                      <a:avLst/>
                    </a:prstGeom>
                    <a:noFill/>
                    <a:ln>
                      <a:noFill/>
                    </a:ln>
                  </pic:spPr>
                </pic:pic>
              </a:graphicData>
            </a:graphic>
          </wp:inline>
        </w:drawing>
      </w:r>
      <w:r>
        <w:rPr>
          <w:noProof/>
          <w:lang w:eastAsia="en-AU"/>
        </w:rPr>
        <w:drawing>
          <wp:inline distT="0" distB="0" distL="0" distR="0" wp14:anchorId="0923C970" wp14:editId="3CF3880F">
            <wp:extent cx="2880000" cy="1882800"/>
            <wp:effectExtent l="0" t="0" r="0" b="3175"/>
            <wp:docPr id="330" name="Picture 10" descr="Dot graph displays data on 8 L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gan\Dropbox (Gelami)\Light Naturally\LN Current Clients\Aust DCCEE\LEDs\LED Testing\Charts\Chroma LED 4500.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80000" cy="1882800"/>
                    </a:xfrm>
                    <a:prstGeom prst="rect">
                      <a:avLst/>
                    </a:prstGeom>
                    <a:noFill/>
                    <a:ln>
                      <a:noFill/>
                    </a:ln>
                  </pic:spPr>
                </pic:pic>
              </a:graphicData>
            </a:graphic>
          </wp:inline>
        </w:drawing>
      </w:r>
      <w:r>
        <w:rPr>
          <w:noProof/>
          <w:lang w:eastAsia="en-AU"/>
        </w:rPr>
        <w:drawing>
          <wp:inline distT="0" distB="0" distL="0" distR="0" wp14:anchorId="65B76E08" wp14:editId="490506CB">
            <wp:extent cx="2880000" cy="1880000"/>
            <wp:effectExtent l="0" t="0" r="0" b="6350"/>
            <wp:docPr id="331" name="Picture 11" descr="Dot graph displays data on 8 L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gan\Dropbox (Gelami)\Light Naturally\LN Current Clients\Aust DCCEE\LEDs\LED Testing\Charts\Chroma LED 5000.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80000" cy="1880000"/>
                    </a:xfrm>
                    <a:prstGeom prst="rect">
                      <a:avLst/>
                    </a:prstGeom>
                    <a:noFill/>
                    <a:ln>
                      <a:noFill/>
                    </a:ln>
                  </pic:spPr>
                </pic:pic>
              </a:graphicData>
            </a:graphic>
          </wp:inline>
        </w:drawing>
      </w:r>
    </w:p>
    <w:p w:rsidR="00CD2796" w:rsidRDefault="00CD2796" w:rsidP="00CD2796">
      <w:pPr>
        <w:rPr>
          <w:lang w:val="en-US"/>
        </w:rPr>
      </w:pPr>
      <w:r>
        <w:rPr>
          <w:noProof/>
          <w:lang w:eastAsia="en-AU"/>
        </w:rPr>
        <w:drawing>
          <wp:inline distT="0" distB="0" distL="0" distR="0" wp14:anchorId="60E26413" wp14:editId="68260DEF">
            <wp:extent cx="2880000" cy="1881452"/>
            <wp:effectExtent l="0" t="0" r="0" b="5080"/>
            <wp:docPr id="332" name="Picture 12" descr="Dot graph displays data on 8 L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gan\Dropbox (Gelami)\Light Naturally\LN Current Clients\Aust DCCEE\LEDs\LED Testing\Charts\Chroma LED 5700.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80000" cy="1881452"/>
                    </a:xfrm>
                    <a:prstGeom prst="rect">
                      <a:avLst/>
                    </a:prstGeom>
                    <a:noFill/>
                    <a:ln>
                      <a:noFill/>
                    </a:ln>
                  </pic:spPr>
                </pic:pic>
              </a:graphicData>
            </a:graphic>
          </wp:inline>
        </w:drawing>
      </w:r>
      <w:r w:rsidR="00846804">
        <w:rPr>
          <w:noProof/>
          <w:lang w:eastAsia="en-AU"/>
        </w:rPr>
        <w:drawing>
          <wp:inline distT="0" distB="0" distL="0" distR="0">
            <wp:extent cx="2934293" cy="1876228"/>
            <wp:effectExtent l="0" t="0" r="0" b="0"/>
            <wp:docPr id="46" name="Picture 46" descr="Dot graph displays data on 8 L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38822" cy="1879124"/>
                    </a:xfrm>
                    <a:prstGeom prst="rect">
                      <a:avLst/>
                    </a:prstGeom>
                    <a:noFill/>
                    <a:ln>
                      <a:noFill/>
                    </a:ln>
                  </pic:spPr>
                </pic:pic>
              </a:graphicData>
            </a:graphic>
          </wp:inline>
        </w:drawing>
      </w:r>
    </w:p>
    <w:p w:rsidR="00502219" w:rsidRPr="003107D2" w:rsidRDefault="00142773" w:rsidP="00142773">
      <w:pPr>
        <w:pStyle w:val="Caption"/>
        <w:rPr>
          <w:noProof/>
        </w:rPr>
        <w:sectPr w:rsidR="00502219" w:rsidRPr="003107D2" w:rsidSect="004B2AA0">
          <w:headerReference w:type="default" r:id="rId132"/>
          <w:pgSz w:w="11907" w:h="16840" w:code="9"/>
          <w:pgMar w:top="1134" w:right="1134" w:bottom="1418" w:left="1134" w:header="142" w:footer="709" w:gutter="0"/>
          <w:cols w:space="720"/>
          <w:titlePg/>
          <w:docGrid w:linePitch="360"/>
        </w:sectPr>
      </w:pPr>
      <w:bookmarkStart w:id="294" w:name="_Toc426387890"/>
      <w:r>
        <w:t xml:space="preserve">Figure </w:t>
      </w:r>
      <w:r>
        <w:fldChar w:fldCharType="begin"/>
      </w:r>
      <w:r>
        <w:instrText xml:space="preserve"> SEQ Figure \* ARABIC </w:instrText>
      </w:r>
      <w:r>
        <w:fldChar w:fldCharType="separate"/>
      </w:r>
      <w:r w:rsidR="002C13E2">
        <w:rPr>
          <w:noProof/>
        </w:rPr>
        <w:t>51</w:t>
      </w:r>
      <w:r>
        <w:fldChar w:fldCharType="end"/>
      </w:r>
      <w:r>
        <w:t xml:space="preserve"> </w:t>
      </w:r>
      <w:r w:rsidR="0086107A">
        <w:rPr>
          <w:noProof/>
        </w:rPr>
        <w:t>ANSI Chromacity Specification of SSL products on the CIE 1931 (x,y) Chromacity Diagram by colour temperature</w:t>
      </w:r>
      <w:bookmarkEnd w:id="294"/>
    </w:p>
    <w:p w:rsidR="00500411" w:rsidRPr="006F672D" w:rsidRDefault="00500411" w:rsidP="006F672D">
      <w:pPr>
        <w:pStyle w:val="Heading1"/>
        <w:numPr>
          <w:ilvl w:val="0"/>
          <w:numId w:val="0"/>
        </w:numPr>
        <w:ind w:left="574"/>
      </w:pPr>
      <w:bookmarkStart w:id="295" w:name="_Toc426387806"/>
      <w:r w:rsidRPr="006F672D">
        <w:lastRenderedPageBreak/>
        <w:t>Appendix B – International Test Methods and Regulatory Regimes</w:t>
      </w:r>
      <w:bookmarkEnd w:id="295"/>
    </w:p>
    <w:p w:rsidR="00544664" w:rsidRDefault="00544664" w:rsidP="00500411">
      <w:pPr>
        <w:pStyle w:val="Heading2"/>
        <w:numPr>
          <w:ilvl w:val="0"/>
          <w:numId w:val="0"/>
        </w:numPr>
        <w:ind w:left="851" w:hanging="851"/>
      </w:pPr>
      <w:bookmarkStart w:id="296" w:name="_Toc426387807"/>
      <w:r>
        <w:t>Introduction</w:t>
      </w:r>
      <w:bookmarkEnd w:id="296"/>
    </w:p>
    <w:p w:rsidR="00544664" w:rsidRDefault="00544664" w:rsidP="00544664">
      <w:pPr>
        <w:pStyle w:val="E3BodyText"/>
      </w:pPr>
      <w:r>
        <w:t>Australia has implemented Minimum Energy Performance Standards (MEPS) for a number of lighting products.</w:t>
      </w:r>
    </w:p>
    <w:p w:rsidR="00544664" w:rsidRDefault="00544664" w:rsidP="00544664">
      <w:pPr>
        <w:pStyle w:val="E3Bullets"/>
      </w:pPr>
      <w:r>
        <w:t>Linear fluorescent lamps (2006)</w:t>
      </w:r>
    </w:p>
    <w:p w:rsidR="00544664" w:rsidRDefault="00544664" w:rsidP="00544664">
      <w:pPr>
        <w:pStyle w:val="E3Bullets"/>
      </w:pPr>
      <w:r>
        <w:t>Ballasts for linear fluorescent lamps (2006)</w:t>
      </w:r>
    </w:p>
    <w:p w:rsidR="00544664" w:rsidRDefault="00544664" w:rsidP="00544664">
      <w:pPr>
        <w:pStyle w:val="E3Bullets"/>
      </w:pPr>
      <w:r>
        <w:t>Incandescent (tungsten filament and halogen) lamps (2008)</w:t>
      </w:r>
    </w:p>
    <w:p w:rsidR="00544664" w:rsidRDefault="00544664" w:rsidP="00544664">
      <w:pPr>
        <w:pStyle w:val="E3Bullets"/>
      </w:pPr>
      <w:r>
        <w:t>Halogen lamp extra-low voltage (ELV) transformers (2008)</w:t>
      </w:r>
    </w:p>
    <w:p w:rsidR="00544664" w:rsidRDefault="00544664" w:rsidP="00544664">
      <w:pPr>
        <w:pStyle w:val="E3Bullets"/>
      </w:pPr>
      <w:r>
        <w:t>Self-ballasted compact fluorescent (CFLi) lamps (2008)</w:t>
      </w:r>
    </w:p>
    <w:p w:rsidR="00544664" w:rsidRDefault="00544664" w:rsidP="00544664">
      <w:pPr>
        <w:pStyle w:val="E3BodyText"/>
      </w:pPr>
      <w:r>
        <w:t>Since the introduction of these standards, LED lamps and luminaires have become available in forms, which claim direct replacement capability for the traditional lighting products. The LED products were originally very expensive and not comparable in light output (and other light quality features) to typical domestic lamps such as 60W, 75W, 100W omnidirectional incandescent lamps and 50W MR16 halogen directional lamps (12V and 240V). Advances in LED lighting product development have now reached a point where some of these products are comparable, cost effective alternatives to the traditional lamps.</w:t>
      </w:r>
    </w:p>
    <w:p w:rsidR="00544664" w:rsidRDefault="00544664" w:rsidP="00544664">
      <w:pPr>
        <w:pStyle w:val="E3BodyText"/>
      </w:pPr>
      <w:r>
        <w:t>Research to date has identified that there is a significant range in the quality and performance and energy efficiency of LED products and consequently some form of action to protect the consumer and to achieve the potential energy savings (and associated greenhouse gas reductions) needs to be considered.</w:t>
      </w:r>
    </w:p>
    <w:p w:rsidR="00544664" w:rsidRDefault="00544664" w:rsidP="00544664">
      <w:pPr>
        <w:pStyle w:val="E3BodyText"/>
      </w:pPr>
      <w:r>
        <w:t>Australia is participating in the International Energy Agency, Energy Efficient End-use Equipment program for Solid State Lighting (IEA 4E SSL) which is working towards agreed performance tiers for particular LED lighting products.</w:t>
      </w:r>
    </w:p>
    <w:p w:rsidR="00544664" w:rsidRDefault="00544664" w:rsidP="00544664">
      <w:pPr>
        <w:pStyle w:val="E3BodyText"/>
      </w:pPr>
      <w:r>
        <w:t>A number of countries have already implemented, or are the process of implementing, regulatory mechanisms for LED lighting products. These can be either mandatory or voluntary include:</w:t>
      </w:r>
    </w:p>
    <w:p w:rsidR="00544664" w:rsidRDefault="00544664" w:rsidP="00544664">
      <w:pPr>
        <w:pStyle w:val="E3Bullets"/>
      </w:pPr>
      <w:r>
        <w:t>Minimum Energy Performance Standards (MEPS)</w:t>
      </w:r>
    </w:p>
    <w:p w:rsidR="00544664" w:rsidRDefault="00544664" w:rsidP="00544664">
      <w:pPr>
        <w:pStyle w:val="E3Bullets"/>
      </w:pPr>
      <w:r>
        <w:t>High Efficiency Performance Standards (HEPS)</w:t>
      </w:r>
    </w:p>
    <w:p w:rsidR="00544664" w:rsidRDefault="00544664" w:rsidP="00544664">
      <w:pPr>
        <w:pStyle w:val="E3Bullets"/>
      </w:pPr>
      <w:r>
        <w:t>Comparative Labelling Schemes</w:t>
      </w:r>
    </w:p>
    <w:p w:rsidR="00544664" w:rsidRDefault="00544664" w:rsidP="00544664">
      <w:pPr>
        <w:pStyle w:val="E3Bullets"/>
      </w:pPr>
      <w:r>
        <w:t>Endorsement Labelling Schemes</w:t>
      </w:r>
    </w:p>
    <w:p w:rsidR="00544664" w:rsidRDefault="00544664" w:rsidP="00544664">
      <w:pPr>
        <w:pStyle w:val="E3BodyText"/>
      </w:pPr>
      <w:r>
        <w:t xml:space="preserve">The base levels of both performance standards, </w:t>
      </w:r>
      <w:r w:rsidR="009B3871">
        <w:t>i.e.</w:t>
      </w:r>
      <w:r>
        <w:t xml:space="preserve"> MEPS and comparative labelling schemes, are typically mandated. Whereas higher levels for performance standards, </w:t>
      </w:r>
      <w:r w:rsidR="009B3871">
        <w:t>i.e. HEPS</w:t>
      </w:r>
      <w:r>
        <w:t xml:space="preserve"> and </w:t>
      </w:r>
      <w:r w:rsidR="005C7F98">
        <w:t xml:space="preserve">endorsement </w:t>
      </w:r>
      <w:r>
        <w:t xml:space="preserve">labelling schemes, are typically voluntary. </w:t>
      </w:r>
    </w:p>
    <w:p w:rsidR="00544664" w:rsidRDefault="00544664" w:rsidP="00544664">
      <w:pPr>
        <w:pStyle w:val="E3BodyText"/>
      </w:pPr>
      <w:r>
        <w:t>Each of these regulatory mechanisms requires test methods for which each nominated parameter shall be measured. The test methods for some or all of the specified parameters may be incorporated within the regulation or be referenced from third party entities, such as</w:t>
      </w:r>
      <w:r w:rsidR="005C7F98">
        <w:t>:</w:t>
      </w:r>
    </w:p>
    <w:p w:rsidR="00544664" w:rsidRDefault="00544664" w:rsidP="005C7F98">
      <w:pPr>
        <w:pStyle w:val="E3Bullets"/>
      </w:pPr>
      <w:r>
        <w:t>International Commission on Illumination (CIE)</w:t>
      </w:r>
    </w:p>
    <w:p w:rsidR="00544664" w:rsidRDefault="00544664" w:rsidP="005C7F98">
      <w:pPr>
        <w:pStyle w:val="E3Bullets"/>
      </w:pPr>
      <w:r>
        <w:t>International Electrotechnical Commission (IEC)</w:t>
      </w:r>
    </w:p>
    <w:p w:rsidR="00544664" w:rsidRDefault="00544664" w:rsidP="005C7F98">
      <w:pPr>
        <w:pStyle w:val="E3Bullets"/>
      </w:pPr>
      <w:r>
        <w:t>Illuminating Engineering Society of North America (IESNA)</w:t>
      </w:r>
    </w:p>
    <w:p w:rsidR="00544664" w:rsidRDefault="00544664" w:rsidP="005C7F98">
      <w:pPr>
        <w:pStyle w:val="E3Bullets"/>
      </w:pPr>
      <w:r>
        <w:t>National Standards organisations (</w:t>
      </w:r>
      <w:r w:rsidR="009B3871">
        <w:t>e.g.</w:t>
      </w:r>
      <w:r>
        <w:t xml:space="preserve"> Standards Australia, Standards New Zealand)</w:t>
      </w:r>
    </w:p>
    <w:p w:rsidR="005C7F98" w:rsidRDefault="00544664" w:rsidP="005C7F98">
      <w:pPr>
        <w:pStyle w:val="E3BodyText"/>
      </w:pPr>
      <w:r>
        <w:t xml:space="preserve">This </w:t>
      </w:r>
      <w:r w:rsidR="00C051C1">
        <w:t>appendix</w:t>
      </w:r>
      <w:r>
        <w:t xml:space="preserve"> summarises the economies which that have voluntary and mandatory regulatory regimes for LED lighting products, the scope of LED products covered and the test methods used, for the purpose of identifying </w:t>
      </w:r>
      <w:r>
        <w:lastRenderedPageBreak/>
        <w:t>which programs are considered appropriate for further investigation by the Australi</w:t>
      </w:r>
      <w:r w:rsidR="005C7F98">
        <w:t>an and New Zealand governments.</w:t>
      </w:r>
    </w:p>
    <w:p w:rsidR="0098647E" w:rsidRDefault="0098647E" w:rsidP="00583637">
      <w:pPr>
        <w:pStyle w:val="Heading2"/>
        <w:numPr>
          <w:ilvl w:val="0"/>
          <w:numId w:val="0"/>
        </w:numPr>
        <w:ind w:left="851" w:hanging="851"/>
      </w:pPr>
      <w:bookmarkStart w:id="297" w:name="_Toc426387808"/>
      <w:r>
        <w:t>Regulatory Regimes</w:t>
      </w:r>
      <w:bookmarkEnd w:id="297"/>
    </w:p>
    <w:p w:rsidR="0098647E" w:rsidRPr="0098647E" w:rsidRDefault="0098647E" w:rsidP="0098647E">
      <w:pPr>
        <w:pStyle w:val="E3BodyText"/>
      </w:pPr>
      <w:r w:rsidRPr="0098647E">
        <w:t>A summary diagram has been adopted in order to co</w:t>
      </w:r>
      <w:r w:rsidR="00A34ACF">
        <w:t xml:space="preserve">nvey the regulatory frameworks </w:t>
      </w:r>
      <w:r w:rsidRPr="0098647E">
        <w:t>being implemented in each economy in which the four regulatory mechanisms discussed above are represented as quadrants of a circle. These are colour coded based on:</w:t>
      </w:r>
    </w:p>
    <w:p w:rsidR="0098647E" w:rsidRDefault="0098647E" w:rsidP="0098647E">
      <w:pPr>
        <w:pStyle w:val="E3Bullets"/>
      </w:pPr>
      <w:r>
        <w:t>Grey indicates No regulation in place</w:t>
      </w:r>
    </w:p>
    <w:p w:rsidR="0098647E" w:rsidRDefault="0098647E" w:rsidP="0098647E">
      <w:pPr>
        <w:pStyle w:val="E3Bullets"/>
      </w:pPr>
      <w:r>
        <w:t>Green indicates Voluntary regulation in place</w:t>
      </w:r>
    </w:p>
    <w:p w:rsidR="0098647E" w:rsidRDefault="0098647E" w:rsidP="0098647E">
      <w:pPr>
        <w:pStyle w:val="E3Bullets"/>
      </w:pPr>
      <w:r>
        <w:t>Orange indicates Mandatory regulation in place</w:t>
      </w:r>
    </w:p>
    <w:p w:rsidR="0098647E" w:rsidRDefault="0098647E" w:rsidP="0098647E">
      <w:pPr>
        <w:pStyle w:val="E3BodyText"/>
      </w:pPr>
      <w:r>
        <w:t>For those with regulation in place the associated text box provides the name of the regulatory program as well as listing four categories of LED lighting product qualities that could be included in the regulation.</w:t>
      </w:r>
    </w:p>
    <w:p w:rsidR="0098647E" w:rsidRDefault="0098647E" w:rsidP="0098647E">
      <w:pPr>
        <w:pStyle w:val="E3Bullets"/>
      </w:pPr>
      <w:r>
        <w:t xml:space="preserve">Energy </w:t>
      </w:r>
      <w:r w:rsidR="00A34ACF">
        <w:t>e</w:t>
      </w:r>
      <w:r>
        <w:t>fficiency</w:t>
      </w:r>
    </w:p>
    <w:p w:rsidR="0098647E" w:rsidRDefault="0098647E" w:rsidP="0098647E">
      <w:pPr>
        <w:pStyle w:val="E3Bullets"/>
      </w:pPr>
      <w:r>
        <w:t>Light quality parameters</w:t>
      </w:r>
    </w:p>
    <w:p w:rsidR="0098647E" w:rsidRDefault="0098647E" w:rsidP="0098647E">
      <w:pPr>
        <w:pStyle w:val="E3Bullets"/>
      </w:pPr>
      <w:r>
        <w:t>Electrical quality parameters</w:t>
      </w:r>
    </w:p>
    <w:p w:rsidR="0098647E" w:rsidRDefault="0098647E" w:rsidP="0098647E">
      <w:pPr>
        <w:pStyle w:val="E3Bullets"/>
      </w:pPr>
      <w:r>
        <w:t>Product quality parameters</w:t>
      </w:r>
    </w:p>
    <w:p w:rsidR="0098647E" w:rsidRDefault="0098647E" w:rsidP="0098647E">
      <w:pPr>
        <w:pStyle w:val="E3BodyText"/>
      </w:pPr>
      <w:r>
        <w:t>If a parameter associated with a category is specified in a regulatory mechanism (</w:t>
      </w:r>
      <w:r w:rsidR="009B3871">
        <w:t>e.g.</w:t>
      </w:r>
      <w:r>
        <w:t xml:space="preserve"> MEPS) then that cat</w:t>
      </w:r>
      <w:r w:rsidR="00A34ACF">
        <w:t>egory marked, with a green tick</w:t>
      </w:r>
      <w:r>
        <w:t>, as being included within that mechanism. If no parameters from a category are included the category is marked accordingly with a red cross.</w:t>
      </w:r>
    </w:p>
    <w:p w:rsidR="0098647E" w:rsidRDefault="0098647E" w:rsidP="0098647E">
      <w:pPr>
        <w:pStyle w:val="E3BodyText"/>
      </w:pPr>
      <w:r>
        <w:t xml:space="preserve">Due to there being many parameters within each category, with the likelihood of only subsets from within each category being regulated by an economy, if any single parameter within a category is included in a regulatory program, then the category is ticked green. </w:t>
      </w:r>
    </w:p>
    <w:p w:rsidR="0098647E" w:rsidRDefault="0098647E" w:rsidP="0098647E">
      <w:pPr>
        <w:pStyle w:val="E3BodyText"/>
      </w:pPr>
      <w:r>
        <w:t xml:space="preserve">The categories with their associated </w:t>
      </w:r>
      <w:r w:rsidR="009B3871">
        <w:t>parameters are</w:t>
      </w:r>
      <w:r>
        <w:t>:</w:t>
      </w:r>
    </w:p>
    <w:p w:rsidR="0098647E" w:rsidRDefault="0098647E" w:rsidP="0098647E">
      <w:pPr>
        <w:pStyle w:val="E3Bullets"/>
      </w:pPr>
      <w:r>
        <w:t xml:space="preserve">Energy </w:t>
      </w:r>
      <w:r w:rsidR="00544664">
        <w:t>e</w:t>
      </w:r>
      <w:r>
        <w:t>fficiency</w:t>
      </w:r>
    </w:p>
    <w:p w:rsidR="0098647E" w:rsidRDefault="0098647E" w:rsidP="00A34ACF">
      <w:pPr>
        <w:pStyle w:val="E3SubBullets"/>
      </w:pPr>
      <w:r>
        <w:t>Efficacy (lumens per Watt)</w:t>
      </w:r>
    </w:p>
    <w:p w:rsidR="0098647E" w:rsidRDefault="00A34ACF" w:rsidP="00A34ACF">
      <w:pPr>
        <w:pStyle w:val="E3SubBullets"/>
      </w:pPr>
      <w:r>
        <w:t>Power limit (Watt)</w:t>
      </w:r>
      <w:r w:rsidR="0098647E">
        <w:t xml:space="preserve"> – maximum for a product type or </w:t>
      </w:r>
    </w:p>
    <w:p w:rsidR="0098647E" w:rsidRDefault="0098647E" w:rsidP="0098647E">
      <w:pPr>
        <w:pStyle w:val="E3Bullets"/>
      </w:pPr>
      <w:r>
        <w:t>Light quality parameters</w:t>
      </w:r>
    </w:p>
    <w:p w:rsidR="0098647E" w:rsidRDefault="00A34ACF" w:rsidP="00A34ACF">
      <w:pPr>
        <w:pStyle w:val="E3SubBullets"/>
      </w:pPr>
      <w:r>
        <w:t>Correlated co</w:t>
      </w:r>
      <w:r w:rsidR="0098647E">
        <w:t>lour temperature</w:t>
      </w:r>
      <w:r w:rsidR="00544664">
        <w:t xml:space="preserve"> (CCT)</w:t>
      </w:r>
    </w:p>
    <w:p w:rsidR="0098647E" w:rsidRDefault="0098647E" w:rsidP="00A34ACF">
      <w:pPr>
        <w:pStyle w:val="E3SubBullets"/>
      </w:pPr>
      <w:r>
        <w:t>Colour rendering index</w:t>
      </w:r>
      <w:r w:rsidR="00544664">
        <w:t xml:space="preserve"> (CRI)</w:t>
      </w:r>
    </w:p>
    <w:p w:rsidR="0098647E" w:rsidRDefault="0098647E" w:rsidP="00A34ACF">
      <w:pPr>
        <w:pStyle w:val="E3SubBullets"/>
      </w:pPr>
      <w:r>
        <w:t>Colour shift – spatial and temporal</w:t>
      </w:r>
    </w:p>
    <w:p w:rsidR="0098647E" w:rsidRDefault="0098647E" w:rsidP="00A34ACF">
      <w:pPr>
        <w:pStyle w:val="E3SubBullets"/>
      </w:pPr>
      <w:r>
        <w:t>Colour difference</w:t>
      </w:r>
    </w:p>
    <w:p w:rsidR="0098647E" w:rsidRDefault="0098647E" w:rsidP="00A34ACF">
      <w:pPr>
        <w:pStyle w:val="E3SubBullets"/>
      </w:pPr>
      <w:r>
        <w:t>Lumen maintenance</w:t>
      </w:r>
    </w:p>
    <w:p w:rsidR="0098647E" w:rsidRDefault="0098647E" w:rsidP="00A34ACF">
      <w:pPr>
        <w:pStyle w:val="E3SubBullets"/>
      </w:pPr>
      <w:r>
        <w:t>Start time</w:t>
      </w:r>
    </w:p>
    <w:p w:rsidR="0098647E" w:rsidRDefault="0098647E" w:rsidP="00A34ACF">
      <w:pPr>
        <w:pStyle w:val="E3SubBullets"/>
      </w:pPr>
      <w:r>
        <w:t>Run-up time</w:t>
      </w:r>
    </w:p>
    <w:p w:rsidR="0098647E" w:rsidRDefault="0098647E" w:rsidP="0098647E">
      <w:pPr>
        <w:pStyle w:val="E3Bullets"/>
      </w:pPr>
      <w:r>
        <w:t>Electrical quality parameters</w:t>
      </w:r>
    </w:p>
    <w:p w:rsidR="0098647E" w:rsidRDefault="0098647E" w:rsidP="00544664">
      <w:pPr>
        <w:pStyle w:val="E3SubBullets"/>
      </w:pPr>
      <w:r>
        <w:t>Power factor</w:t>
      </w:r>
    </w:p>
    <w:p w:rsidR="0098647E" w:rsidRDefault="0098647E" w:rsidP="00544664">
      <w:pPr>
        <w:pStyle w:val="E3SubBullets"/>
      </w:pPr>
      <w:r>
        <w:t>Harmonic distortion</w:t>
      </w:r>
    </w:p>
    <w:p w:rsidR="0098647E" w:rsidRDefault="0098647E" w:rsidP="00544664">
      <w:pPr>
        <w:pStyle w:val="E3SubBullets"/>
      </w:pPr>
      <w:r>
        <w:t>Dimmability</w:t>
      </w:r>
    </w:p>
    <w:p w:rsidR="0098647E" w:rsidRDefault="0098647E" w:rsidP="0098647E">
      <w:pPr>
        <w:pStyle w:val="E3Bullets"/>
      </w:pPr>
      <w:r>
        <w:t>Product quality parameters</w:t>
      </w:r>
    </w:p>
    <w:p w:rsidR="0098647E" w:rsidRDefault="0098647E" w:rsidP="00544664">
      <w:pPr>
        <w:pStyle w:val="E3SubBullets"/>
      </w:pPr>
      <w:r>
        <w:t>Lifetime</w:t>
      </w:r>
    </w:p>
    <w:p w:rsidR="0098647E" w:rsidRDefault="0098647E" w:rsidP="00544664">
      <w:pPr>
        <w:pStyle w:val="E3SubBullets"/>
      </w:pPr>
      <w:r>
        <w:t>Switching withstand</w:t>
      </w:r>
    </w:p>
    <w:p w:rsidR="0098647E" w:rsidRDefault="0098647E" w:rsidP="00544664">
      <w:pPr>
        <w:pStyle w:val="E3SubBullets"/>
      </w:pPr>
      <w:r>
        <w:t>Operating temperatures</w:t>
      </w:r>
    </w:p>
    <w:p w:rsidR="0098647E" w:rsidRDefault="0098647E" w:rsidP="00544664">
      <w:pPr>
        <w:pStyle w:val="E3SubBullets"/>
      </w:pPr>
      <w:r>
        <w:t>UV limit</w:t>
      </w:r>
    </w:p>
    <w:p w:rsidR="0098647E" w:rsidRDefault="0098647E" w:rsidP="00544664">
      <w:pPr>
        <w:pStyle w:val="E3SubBullets"/>
      </w:pPr>
      <w:r>
        <w:t>Blue light hazard</w:t>
      </w:r>
    </w:p>
    <w:p w:rsidR="00334066" w:rsidRPr="00E65B09" w:rsidRDefault="00334066" w:rsidP="00E65B09">
      <w:pPr>
        <w:pStyle w:val="E3Heading3"/>
        <w:numPr>
          <w:ilvl w:val="0"/>
          <w:numId w:val="0"/>
        </w:numPr>
        <w:ind w:left="864" w:hanging="864"/>
      </w:pPr>
      <w:bookmarkStart w:id="298" w:name="_Toc389123355"/>
      <w:r w:rsidRPr="00E65B09">
        <w:lastRenderedPageBreak/>
        <w:t>European Union</w:t>
      </w:r>
      <w:bookmarkEnd w:id="298"/>
    </w:p>
    <w:p w:rsidR="000A0A93" w:rsidRDefault="000A0A93" w:rsidP="00537C8E">
      <w:pPr>
        <w:rPr>
          <w:lang w:eastAsia="en-AU"/>
        </w:rPr>
      </w:pPr>
      <w:bookmarkStart w:id="299" w:name="_Toc389123356"/>
      <w:r>
        <w:rPr>
          <w:noProof/>
          <w:lang w:eastAsia="en-AU"/>
        </w:rPr>
        <w:drawing>
          <wp:inline distT="0" distB="0" distL="0" distR="0" wp14:anchorId="1CD9C35F" wp14:editId="6928D512">
            <wp:extent cx="6109398" cy="5807948"/>
            <wp:effectExtent l="0" t="0" r="0" b="2540"/>
            <wp:docPr id="64" name="Picture 64" descr="Diagram displays Flow between HEPS, Endorsement Label, MEPS and Comparative Label in the European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3">
                      <a:extLst>
                        <a:ext uri="{28A0092B-C50C-407E-A947-70E740481C1C}">
                          <a14:useLocalDpi xmlns:a14="http://schemas.microsoft.com/office/drawing/2010/main" val="0"/>
                        </a:ext>
                      </a:extLst>
                    </a:blip>
                    <a:srcRect b="6690"/>
                    <a:stretch/>
                  </pic:blipFill>
                  <pic:spPr bwMode="auto">
                    <a:xfrm>
                      <a:off x="0" y="0"/>
                      <a:ext cx="6104724" cy="5803505"/>
                    </a:xfrm>
                    <a:prstGeom prst="rect">
                      <a:avLst/>
                    </a:prstGeom>
                    <a:noFill/>
                    <a:ln>
                      <a:noFill/>
                    </a:ln>
                    <a:extLst>
                      <a:ext uri="{53640926-AAD7-44D8-BBD7-CCE9431645EC}">
                        <a14:shadowObscured xmlns:a14="http://schemas.microsoft.com/office/drawing/2010/main"/>
                      </a:ext>
                    </a:extLst>
                  </pic:spPr>
                </pic:pic>
              </a:graphicData>
            </a:graphic>
          </wp:inline>
        </w:drawing>
      </w:r>
    </w:p>
    <w:p w:rsidR="000A0A93" w:rsidRDefault="00632179" w:rsidP="00537C8E">
      <w:pPr>
        <w:rPr>
          <w:lang w:eastAsia="en-AU"/>
        </w:rPr>
      </w:pPr>
      <w:r>
        <w:rPr>
          <w:lang w:eastAsia="en-AU"/>
        </w:rPr>
        <w:t>*</w:t>
      </w:r>
      <w:r>
        <w:t>Note EC244/2009</w:t>
      </w:r>
      <w:r w:rsidRPr="00632FFC">
        <w:t xml:space="preserve"> does have quality/performance requirement</w:t>
      </w:r>
      <w:r>
        <w:t>s</w:t>
      </w:r>
      <w:r w:rsidRPr="00632FFC">
        <w:t xml:space="preserve"> other than efficacy for a range of lamp types but not LEDs. LED quality/performance requirement were subsequently issued as part of 1194/2012</w:t>
      </w:r>
      <w:r>
        <w:t>.</w:t>
      </w:r>
    </w:p>
    <w:p w:rsidR="00334066" w:rsidRDefault="00334066" w:rsidP="00E65B09">
      <w:pPr>
        <w:pStyle w:val="E3Heading4"/>
        <w:numPr>
          <w:ilvl w:val="0"/>
          <w:numId w:val="0"/>
        </w:numPr>
        <w:ind w:left="1008" w:hanging="1008"/>
        <w:rPr>
          <w:lang w:eastAsia="en-AU"/>
        </w:rPr>
      </w:pPr>
      <w:r>
        <w:rPr>
          <w:lang w:eastAsia="en-AU"/>
        </w:rPr>
        <w:t>Commission Regulation No 244/2009</w:t>
      </w:r>
      <w:bookmarkEnd w:id="299"/>
    </w:p>
    <w:p w:rsidR="00334066" w:rsidRPr="00310986" w:rsidRDefault="00334066" w:rsidP="00E65B09">
      <w:pPr>
        <w:pStyle w:val="E3Heading4"/>
        <w:numPr>
          <w:ilvl w:val="0"/>
          <w:numId w:val="0"/>
        </w:numPr>
        <w:ind w:left="1008" w:hanging="1008"/>
        <w:rPr>
          <w:rFonts w:eastAsia="Times New Roman"/>
          <w:lang w:eastAsia="en-AU"/>
        </w:rPr>
      </w:pPr>
      <w:bookmarkStart w:id="300" w:name="_Ref361305923"/>
      <w:r w:rsidRPr="00310986">
        <w:rPr>
          <w:rFonts w:eastAsia="Times New Roman"/>
          <w:lang w:eastAsia="en-AU"/>
        </w:rPr>
        <w:t>Scope</w:t>
      </w:r>
      <w:bookmarkEnd w:id="300"/>
    </w:p>
    <w:p w:rsidR="00334066" w:rsidRDefault="00334066" w:rsidP="00334066">
      <w:pPr>
        <w:pStyle w:val="E3BodyText"/>
        <w:rPr>
          <w:lang w:eastAsia="en-AU"/>
        </w:rPr>
      </w:pPr>
      <w:r>
        <w:rPr>
          <w:lang w:eastAsia="en-AU"/>
        </w:rPr>
        <w:t xml:space="preserve">This Regulation establishes ecodesign requirements for the placing on the market of </w:t>
      </w:r>
      <w:r w:rsidRPr="00900581">
        <w:rPr>
          <w:u w:val="single"/>
          <w:lang w:eastAsia="en-AU"/>
        </w:rPr>
        <w:t>non-directional household lamps</w:t>
      </w:r>
      <w:r>
        <w:rPr>
          <w:lang w:eastAsia="en-AU"/>
        </w:rPr>
        <w:t>, including those marketed for non-household use or when they are integrated into other products. It also establishes product information requirements for special purpose lamps.</w:t>
      </w:r>
    </w:p>
    <w:p w:rsidR="00334066" w:rsidRDefault="00334066" w:rsidP="00334066">
      <w:pPr>
        <w:pStyle w:val="E3BodyText"/>
        <w:rPr>
          <w:lang w:eastAsia="en-AU"/>
        </w:rPr>
      </w:pPr>
      <w:r>
        <w:rPr>
          <w:lang w:eastAsia="en-AU"/>
        </w:rPr>
        <w:t>Exclusions:</w:t>
      </w:r>
    </w:p>
    <w:p w:rsidR="00334066" w:rsidRDefault="00334066" w:rsidP="00334066">
      <w:pPr>
        <w:pStyle w:val="E3Bullets"/>
        <w:rPr>
          <w:lang w:eastAsia="en-AU"/>
        </w:rPr>
      </w:pPr>
      <w:r>
        <w:rPr>
          <w:lang w:eastAsia="en-AU"/>
        </w:rPr>
        <w:t>lamps having the following chromaticity coordinates x and y:</w:t>
      </w:r>
    </w:p>
    <w:p w:rsidR="00334066" w:rsidRDefault="00334066" w:rsidP="00334066">
      <w:pPr>
        <w:pStyle w:val="E3SubBullets"/>
        <w:rPr>
          <w:lang w:eastAsia="en-AU"/>
        </w:rPr>
      </w:pPr>
      <w:r>
        <w:rPr>
          <w:lang w:eastAsia="en-AU"/>
        </w:rPr>
        <w:t>x &lt; 0.200 or x &gt; 0.600</w:t>
      </w:r>
    </w:p>
    <w:p w:rsidR="00334066" w:rsidRDefault="00334066" w:rsidP="00334066">
      <w:pPr>
        <w:pStyle w:val="E3SubBullets"/>
        <w:rPr>
          <w:lang w:eastAsia="en-AU"/>
        </w:rPr>
      </w:pPr>
      <w:r>
        <w:rPr>
          <w:lang w:eastAsia="en-AU"/>
        </w:rPr>
        <w:t>y &lt; – 2.3172 x</w:t>
      </w:r>
      <w:r w:rsidRPr="002A6547">
        <w:rPr>
          <w:vertAlign w:val="superscript"/>
          <w:lang w:eastAsia="en-AU"/>
        </w:rPr>
        <w:t>2</w:t>
      </w:r>
      <w:r>
        <w:rPr>
          <w:lang w:eastAsia="en-AU"/>
        </w:rPr>
        <w:t xml:space="preserve"> + 2.3653 x – 0.2800 or y &gt; – 2.3172 x</w:t>
      </w:r>
      <w:r w:rsidRPr="002A6547">
        <w:rPr>
          <w:vertAlign w:val="superscript"/>
          <w:lang w:eastAsia="en-AU"/>
        </w:rPr>
        <w:t>2</w:t>
      </w:r>
      <w:r>
        <w:rPr>
          <w:lang w:eastAsia="en-AU"/>
        </w:rPr>
        <w:t xml:space="preserve"> + 2.3653 x – 0.1000;</w:t>
      </w:r>
    </w:p>
    <w:p w:rsidR="00334066" w:rsidRDefault="00334066" w:rsidP="00334066">
      <w:pPr>
        <w:pStyle w:val="E3Bullets"/>
        <w:rPr>
          <w:lang w:eastAsia="en-AU"/>
        </w:rPr>
      </w:pPr>
      <w:r>
        <w:rPr>
          <w:lang w:eastAsia="en-AU"/>
        </w:rPr>
        <w:t>directional lamps;</w:t>
      </w:r>
    </w:p>
    <w:p w:rsidR="00334066" w:rsidRDefault="00334066" w:rsidP="00334066">
      <w:pPr>
        <w:pStyle w:val="E3Bullets"/>
        <w:rPr>
          <w:lang w:eastAsia="en-AU"/>
        </w:rPr>
      </w:pPr>
      <w:r>
        <w:rPr>
          <w:lang w:eastAsia="en-AU"/>
        </w:rPr>
        <w:t>lamps having a luminous flux below 60 lumens or above 12,000 lumens;</w:t>
      </w:r>
    </w:p>
    <w:p w:rsidR="00334066" w:rsidRDefault="00334066" w:rsidP="00334066">
      <w:pPr>
        <w:pStyle w:val="E3Bullets"/>
        <w:rPr>
          <w:lang w:eastAsia="en-AU"/>
        </w:rPr>
      </w:pPr>
      <w:r>
        <w:rPr>
          <w:lang w:eastAsia="en-AU"/>
        </w:rPr>
        <w:t>lamps having:</w:t>
      </w:r>
    </w:p>
    <w:p w:rsidR="00334066" w:rsidRDefault="00334066" w:rsidP="00334066">
      <w:pPr>
        <w:pStyle w:val="E3SubBullets"/>
        <w:rPr>
          <w:lang w:eastAsia="en-AU"/>
        </w:rPr>
      </w:pPr>
      <w:r>
        <w:rPr>
          <w:lang w:eastAsia="en-AU"/>
        </w:rPr>
        <w:lastRenderedPageBreak/>
        <w:t>6 % or more of total radiation of the range 250-780 nm in the range of 250-400 nm,</w:t>
      </w:r>
    </w:p>
    <w:p w:rsidR="00334066" w:rsidRDefault="00334066" w:rsidP="00334066">
      <w:pPr>
        <w:pStyle w:val="E3SubBullets"/>
        <w:rPr>
          <w:lang w:eastAsia="en-AU"/>
        </w:rPr>
      </w:pPr>
      <w:r>
        <w:rPr>
          <w:lang w:eastAsia="en-AU"/>
        </w:rPr>
        <w:t>the peak of the radiation between 315-400 nm (UVA) or 280-315 nm (UVB);</w:t>
      </w:r>
    </w:p>
    <w:p w:rsidR="00334066" w:rsidRDefault="00334066" w:rsidP="00334066">
      <w:pPr>
        <w:pStyle w:val="E3Bullets"/>
        <w:rPr>
          <w:lang w:eastAsia="en-AU"/>
        </w:rPr>
      </w:pPr>
      <w:r>
        <w:rPr>
          <w:lang w:eastAsia="en-AU"/>
        </w:rPr>
        <w:t>fluorescent lamps without integrated ballast;</w:t>
      </w:r>
    </w:p>
    <w:p w:rsidR="00334066" w:rsidRDefault="00334066" w:rsidP="00334066">
      <w:pPr>
        <w:pStyle w:val="E3Bullets"/>
        <w:rPr>
          <w:lang w:eastAsia="en-AU"/>
        </w:rPr>
      </w:pPr>
      <w:r>
        <w:rPr>
          <w:lang w:eastAsia="en-AU"/>
        </w:rPr>
        <w:t>high-intensity discharge lamps;</w:t>
      </w:r>
    </w:p>
    <w:p w:rsidR="00334066" w:rsidRDefault="00334066" w:rsidP="00334066">
      <w:pPr>
        <w:pStyle w:val="E3Bullets"/>
        <w:rPr>
          <w:lang w:eastAsia="en-AU"/>
        </w:rPr>
      </w:pPr>
      <w:r>
        <w:rPr>
          <w:lang w:eastAsia="en-AU"/>
        </w:rPr>
        <w:t>incandescent lamps with E14/E27/B22/B15 caps, with a voltage equal to or below 60 volts and without integrated transformer in Stages 1-5 according to Article 3 of the Regulation.</w:t>
      </w:r>
    </w:p>
    <w:p w:rsidR="00334066" w:rsidRPr="00310986" w:rsidRDefault="00334066" w:rsidP="00E65B09">
      <w:pPr>
        <w:pStyle w:val="E3Heading4"/>
        <w:numPr>
          <w:ilvl w:val="0"/>
          <w:numId w:val="0"/>
        </w:numPr>
        <w:ind w:left="1008" w:hanging="1008"/>
        <w:rPr>
          <w:rFonts w:eastAsia="Times New Roman"/>
          <w:lang w:eastAsia="en-AU"/>
        </w:rPr>
      </w:pPr>
      <w:bookmarkStart w:id="301" w:name="_Ref361305995"/>
      <w:r>
        <w:rPr>
          <w:rFonts w:eastAsia="Times New Roman"/>
          <w:lang w:eastAsia="en-AU"/>
        </w:rPr>
        <w:t>Performance requirements</w:t>
      </w:r>
      <w:bookmarkEnd w:id="301"/>
    </w:p>
    <w:p w:rsidR="00334066" w:rsidRDefault="00334066" w:rsidP="00334066">
      <w:pPr>
        <w:pStyle w:val="E3BodyText"/>
        <w:rPr>
          <w:lang w:eastAsia="en-AU"/>
        </w:rPr>
      </w:pPr>
      <w:r>
        <w:rPr>
          <w:lang w:eastAsia="en-AU"/>
        </w:rPr>
        <w:t>There are a number of performance requirements that are only applicable to certain lamp technologies (</w:t>
      </w:r>
      <w:r w:rsidR="009B3871">
        <w:rPr>
          <w:lang w:eastAsia="en-AU"/>
        </w:rPr>
        <w:t>e.g.</w:t>
      </w:r>
      <w:r>
        <w:rPr>
          <w:lang w:eastAsia="en-AU"/>
        </w:rPr>
        <w:t xml:space="preserve"> “for compact fluorescent lamps only” or “for lamps excluding compact fluorescent and LED lamps”). The performance requirements set out below are those that are applicable to LED lamps and have come int</w:t>
      </w:r>
      <w:r w:rsidR="00F0458D">
        <w:rPr>
          <w:lang w:eastAsia="en-AU"/>
        </w:rPr>
        <w:t>o force as at 1 September 2013.</w:t>
      </w:r>
    </w:p>
    <w:p w:rsidR="00334066" w:rsidRDefault="00334066" w:rsidP="00334066">
      <w:pPr>
        <w:pStyle w:val="E3BodyText"/>
        <w:rPr>
          <w:lang w:eastAsia="en-AU"/>
        </w:rPr>
      </w:pPr>
      <w:r>
        <w:rPr>
          <w:lang w:eastAsia="en-AU"/>
        </w:rPr>
        <w:t xml:space="preserve">Unlike other lamp technologies, </w:t>
      </w:r>
      <w:r w:rsidRPr="00DF5826">
        <w:rPr>
          <w:u w:val="single"/>
          <w:lang w:eastAsia="en-AU"/>
        </w:rPr>
        <w:t>there are no functionality requirements for LED lamps</w:t>
      </w:r>
      <w:r w:rsidR="00632FFC">
        <w:rPr>
          <w:u w:val="single"/>
          <w:lang w:eastAsia="en-AU"/>
        </w:rPr>
        <w:t xml:space="preserve"> in this regulation (see EC 1194/2012 below)</w:t>
      </w:r>
      <w:r>
        <w:rPr>
          <w:lang w:eastAsia="en-AU"/>
        </w:rPr>
        <w:t>.</w:t>
      </w:r>
    </w:p>
    <w:tbl>
      <w:tblPr>
        <w:tblStyle w:val="TableGrid"/>
        <w:tblW w:w="0" w:type="auto"/>
        <w:jc w:val="center"/>
        <w:tblLook w:val="04A0" w:firstRow="1" w:lastRow="0" w:firstColumn="1" w:lastColumn="0" w:noHBand="0" w:noVBand="1"/>
      </w:tblPr>
      <w:tblGrid>
        <w:gridCol w:w="1480"/>
        <w:gridCol w:w="2806"/>
        <w:gridCol w:w="2806"/>
        <w:gridCol w:w="2484"/>
      </w:tblGrid>
      <w:tr w:rsidR="00334066" w:rsidTr="008C09F8">
        <w:trPr>
          <w:cantSplit/>
          <w:tblHeader/>
          <w:jc w:val="center"/>
        </w:trPr>
        <w:tc>
          <w:tcPr>
            <w:tcW w:w="1480" w:type="dxa"/>
          </w:tcPr>
          <w:p w:rsidR="00334066" w:rsidRDefault="00334066" w:rsidP="00334066">
            <w:pPr>
              <w:pStyle w:val="E3TableHeading"/>
            </w:pPr>
            <w:r>
              <w:t>Parameter</w:t>
            </w:r>
          </w:p>
        </w:tc>
        <w:tc>
          <w:tcPr>
            <w:tcW w:w="5612" w:type="dxa"/>
            <w:gridSpan w:val="2"/>
            <w:tcBorders>
              <w:bottom w:val="single" w:sz="4" w:space="0" w:color="auto"/>
            </w:tcBorders>
          </w:tcPr>
          <w:p w:rsidR="00334066" w:rsidRDefault="00334066" w:rsidP="00334066">
            <w:pPr>
              <w:pStyle w:val="E3TableHeading"/>
            </w:pPr>
            <w:r>
              <w:t>Requirements</w:t>
            </w:r>
          </w:p>
        </w:tc>
        <w:tc>
          <w:tcPr>
            <w:tcW w:w="2484" w:type="dxa"/>
          </w:tcPr>
          <w:p w:rsidR="00334066" w:rsidRDefault="00334066" w:rsidP="00334066">
            <w:pPr>
              <w:pStyle w:val="E3TableHeading"/>
            </w:pPr>
            <w:r>
              <w:t>Test Method</w:t>
            </w:r>
          </w:p>
        </w:tc>
      </w:tr>
      <w:tr w:rsidR="00B479F7" w:rsidTr="008C09F8">
        <w:trPr>
          <w:cantSplit/>
          <w:jc w:val="center"/>
        </w:trPr>
        <w:tc>
          <w:tcPr>
            <w:tcW w:w="1480" w:type="dxa"/>
            <w:vMerge w:val="restart"/>
          </w:tcPr>
          <w:p w:rsidR="00B479F7" w:rsidRPr="00235234" w:rsidRDefault="00B479F7" w:rsidP="00255AA3">
            <w:pPr>
              <w:pStyle w:val="E3Tabletext"/>
            </w:pPr>
            <w:r w:rsidRPr="00235234">
              <w:t>Efficacy</w:t>
            </w:r>
          </w:p>
        </w:tc>
        <w:tc>
          <w:tcPr>
            <w:tcW w:w="5612" w:type="dxa"/>
            <w:gridSpan w:val="2"/>
          </w:tcPr>
          <w:p w:rsidR="00B479F7" w:rsidRPr="00235234" w:rsidRDefault="00B479F7" w:rsidP="00255AA3">
            <w:pPr>
              <w:pStyle w:val="E3Tabletext"/>
            </w:pPr>
            <w:r w:rsidRPr="00F0458D">
              <w:t>Maximum power</w:t>
            </w:r>
            <w:r w:rsidRPr="00235234">
              <w:t>, P</w:t>
            </w:r>
            <w:r w:rsidRPr="00235234">
              <w:rPr>
                <w:vertAlign w:val="subscript"/>
              </w:rPr>
              <w:t>max</w:t>
            </w:r>
            <w:r w:rsidRPr="00235234">
              <w:t>, for a given luminous flux (</w:t>
            </w:r>
            <m:oMath>
              <m:r>
                <w:rPr>
                  <w:rFonts w:ascii="Cambria Math" w:hAnsi="Cambria Math"/>
                </w:rPr>
                <m:t>∅)</m:t>
              </m:r>
            </m:oMath>
          </w:p>
          <w:p w:rsidR="00B479F7" w:rsidRDefault="00B479F7" w:rsidP="00255AA3">
            <w:pPr>
              <w:pStyle w:val="E3Tabletext"/>
            </w:pPr>
            <w:r w:rsidRPr="00235234">
              <w:t>Clear lamps:</w:t>
            </w:r>
            <w:r>
              <w:tab/>
            </w:r>
            <m:oMath>
              <m:sSub>
                <m:sSubPr>
                  <m:ctrlPr>
                    <w:rPr>
                      <w:rFonts w:ascii="Cambria Math" w:hAnsi="Cambria Math"/>
                    </w:rPr>
                  </m:ctrlPr>
                </m:sSubPr>
                <m:e>
                  <m:r>
                    <w:rPr>
                      <w:rFonts w:ascii="Cambria Math" w:hAnsi="Cambria Math"/>
                    </w:rPr>
                    <m:t>P</m:t>
                  </m:r>
                </m:e>
                <m:sub>
                  <m:r>
                    <w:rPr>
                      <w:rFonts w:ascii="Cambria Math" w:hAnsi="Cambria Math"/>
                    </w:rPr>
                    <m:t>max</m:t>
                  </m:r>
                </m:sub>
              </m:sSub>
              <m:r>
                <w:rPr>
                  <w:rFonts w:ascii="Cambria Math" w:hAnsi="Cambria Math"/>
                </w:rPr>
                <m:t>=0.8*(0.88</m:t>
              </m:r>
              <m:rad>
                <m:radPr>
                  <m:degHide m:val="1"/>
                  <m:ctrlPr>
                    <w:rPr>
                      <w:rFonts w:ascii="Cambria Math" w:hAnsi="Cambria Math"/>
                    </w:rPr>
                  </m:ctrlPr>
                </m:radPr>
                <m:deg/>
                <m:e>
                  <m:r>
                    <w:rPr>
                      <w:rFonts w:ascii="Cambria Math" w:hAnsi="Cambria Math"/>
                    </w:rPr>
                    <m:t>∅</m:t>
                  </m:r>
                </m:e>
              </m:rad>
              <m:r>
                <w:rPr>
                  <w:rFonts w:ascii="Cambria Math" w:hAnsi="Cambria Math"/>
                </w:rPr>
                <m:t>+0.049 ∅)</m:t>
              </m:r>
            </m:oMath>
          </w:p>
          <w:p w:rsidR="00B479F7" w:rsidRDefault="00B479F7" w:rsidP="00255AA3">
            <w:pPr>
              <w:pStyle w:val="E3Tabletext"/>
            </w:pPr>
            <w:r>
              <w:t>Note from 1 Sept 2016:</w:t>
            </w:r>
          </w:p>
          <w:p w:rsidR="00B479F7" w:rsidRPr="002D572B" w:rsidRDefault="00B479F7" w:rsidP="00255AA3">
            <w:pPr>
              <w:pStyle w:val="E3Tabletext"/>
            </w:pPr>
            <w:r>
              <w:tab/>
            </w:r>
            <m:oMath>
              <m:sSub>
                <m:sSubPr>
                  <m:ctrlPr>
                    <w:rPr>
                      <w:rFonts w:ascii="Cambria Math" w:hAnsi="Cambria Math"/>
                    </w:rPr>
                  </m:ctrlPr>
                </m:sSubPr>
                <m:e>
                  <m:r>
                    <w:rPr>
                      <w:rFonts w:ascii="Cambria Math" w:hAnsi="Cambria Math"/>
                    </w:rPr>
                    <m:t>P</m:t>
                  </m:r>
                </m:e>
                <m:sub>
                  <m:r>
                    <w:rPr>
                      <w:rFonts w:ascii="Cambria Math" w:hAnsi="Cambria Math"/>
                    </w:rPr>
                    <m:t>max</m:t>
                  </m:r>
                </m:sub>
              </m:sSub>
              <m:r>
                <w:rPr>
                  <w:rFonts w:ascii="Cambria Math" w:hAnsi="Cambria Math"/>
                </w:rPr>
                <m:t>=0.6*(0.88</m:t>
              </m:r>
              <m:rad>
                <m:radPr>
                  <m:degHide m:val="1"/>
                  <m:ctrlPr>
                    <w:rPr>
                      <w:rFonts w:ascii="Cambria Math" w:hAnsi="Cambria Math"/>
                    </w:rPr>
                  </m:ctrlPr>
                </m:radPr>
                <m:deg/>
                <m:e>
                  <m:r>
                    <w:rPr>
                      <w:rFonts w:ascii="Cambria Math" w:hAnsi="Cambria Math"/>
                    </w:rPr>
                    <m:t>∅</m:t>
                  </m:r>
                </m:e>
              </m:rad>
              <m:r>
                <w:rPr>
                  <w:rFonts w:ascii="Cambria Math" w:hAnsi="Cambria Math"/>
                </w:rPr>
                <m:t>+0.049 ∅)</m:t>
              </m:r>
            </m:oMath>
          </w:p>
          <w:p w:rsidR="00B479F7" w:rsidRDefault="00B479F7" w:rsidP="00255AA3">
            <w:pPr>
              <w:pStyle w:val="E3Tabletext"/>
            </w:pPr>
            <w:r>
              <w:t>Non-clear lamps:</w:t>
            </w:r>
            <w:r>
              <w:tab/>
            </w:r>
            <m:oMath>
              <m:sSub>
                <m:sSubPr>
                  <m:ctrlPr>
                    <w:rPr>
                      <w:rFonts w:ascii="Cambria Math" w:hAnsi="Cambria Math"/>
                    </w:rPr>
                  </m:ctrlPr>
                </m:sSubPr>
                <m:e>
                  <m:r>
                    <w:rPr>
                      <w:rFonts w:ascii="Cambria Math" w:hAnsi="Cambria Math"/>
                    </w:rPr>
                    <m:t>P</m:t>
                  </m:r>
                </m:e>
                <m:sub>
                  <m:r>
                    <w:rPr>
                      <w:rFonts w:ascii="Cambria Math" w:hAnsi="Cambria Math"/>
                    </w:rPr>
                    <m:t>max</m:t>
                  </m:r>
                </m:sub>
              </m:sSub>
              <m:r>
                <w:rPr>
                  <w:rFonts w:ascii="Cambria Math" w:hAnsi="Cambria Math"/>
                </w:rPr>
                <m:t xml:space="preserve">=0.24 </m:t>
              </m:r>
              <m:rad>
                <m:radPr>
                  <m:degHide m:val="1"/>
                  <m:ctrlPr>
                    <w:rPr>
                      <w:rFonts w:ascii="Cambria Math" w:hAnsi="Cambria Math"/>
                    </w:rPr>
                  </m:ctrlPr>
                </m:radPr>
                <m:deg/>
                <m:e>
                  <m:r>
                    <w:rPr>
                      <w:rFonts w:ascii="Cambria Math" w:hAnsi="Cambria Math"/>
                    </w:rPr>
                    <m:t>∅</m:t>
                  </m:r>
                </m:e>
              </m:rad>
              <m:r>
                <w:rPr>
                  <w:rFonts w:ascii="Cambria Math" w:hAnsi="Cambria Math"/>
                </w:rPr>
                <m:t>+0.0103 ∅</m:t>
              </m:r>
            </m:oMath>
          </w:p>
          <w:p w:rsidR="00B479F7" w:rsidRPr="00235234" w:rsidRDefault="00B479F7" w:rsidP="00255AA3">
            <w:pPr>
              <w:pStyle w:val="E3Tabletext"/>
            </w:pPr>
            <w:r>
              <w:t>Applicable correction factors for LED lamps:</w:t>
            </w:r>
          </w:p>
        </w:tc>
        <w:tc>
          <w:tcPr>
            <w:tcW w:w="2484" w:type="dxa"/>
            <w:vMerge w:val="restart"/>
          </w:tcPr>
          <w:p w:rsidR="00B479F7" w:rsidRDefault="00B479F7" w:rsidP="00255AA3">
            <w:pPr>
              <w:pStyle w:val="E3Tabletext"/>
            </w:pPr>
            <w:r>
              <w:t>EN 50285:1999</w:t>
            </w:r>
          </w:p>
          <w:p w:rsidR="00B479F7" w:rsidRDefault="00B479F7" w:rsidP="00255AA3">
            <w:pPr>
              <w:pStyle w:val="E3Tabletext"/>
            </w:pPr>
          </w:p>
        </w:tc>
      </w:tr>
      <w:tr w:rsidR="00235234" w:rsidTr="008C09F8">
        <w:trPr>
          <w:cantSplit/>
          <w:trHeight w:val="55"/>
          <w:jc w:val="center"/>
        </w:trPr>
        <w:tc>
          <w:tcPr>
            <w:tcW w:w="1480" w:type="dxa"/>
            <w:vMerge/>
          </w:tcPr>
          <w:p w:rsidR="00235234" w:rsidRPr="00235234" w:rsidRDefault="00235234" w:rsidP="00255AA3">
            <w:pPr>
              <w:pStyle w:val="E3Tabletext"/>
            </w:pPr>
          </w:p>
        </w:tc>
        <w:tc>
          <w:tcPr>
            <w:tcW w:w="2806" w:type="dxa"/>
          </w:tcPr>
          <w:p w:rsidR="00235234" w:rsidRDefault="00235234" w:rsidP="00255AA3">
            <w:pPr>
              <w:pStyle w:val="E3Tabletext"/>
            </w:pPr>
            <w:r>
              <w:t xml:space="preserve">Non-clear lamp with CRI ≥ 90 and  </w:t>
            </w:r>
            <m:oMath>
              <m:r>
                <w:rPr>
                  <w:rFonts w:ascii="Cambria Math" w:hAnsi="Cambria Math"/>
                </w:rPr>
                <m:t>P≤0.5*(0.88</m:t>
              </m:r>
              <m:rad>
                <m:radPr>
                  <m:degHide m:val="1"/>
                  <m:ctrlPr>
                    <w:rPr>
                      <w:rFonts w:ascii="Cambria Math" w:hAnsi="Cambria Math"/>
                    </w:rPr>
                  </m:ctrlPr>
                </m:radPr>
                <m:deg/>
                <m:e>
                  <m:r>
                    <w:rPr>
                      <w:rFonts w:ascii="Cambria Math" w:hAnsi="Cambria Math"/>
                    </w:rPr>
                    <m:t>∅</m:t>
                  </m:r>
                </m:e>
              </m:rad>
              <m:r>
                <w:rPr>
                  <w:rFonts w:ascii="Cambria Math" w:hAnsi="Cambria Math"/>
                </w:rPr>
                <m:t>+0.049 ∅)</m:t>
              </m:r>
            </m:oMath>
          </w:p>
        </w:tc>
        <w:tc>
          <w:tcPr>
            <w:tcW w:w="2806" w:type="dxa"/>
          </w:tcPr>
          <w:p w:rsidR="00235234" w:rsidRDefault="007C2EFC" w:rsidP="00255AA3">
            <w:pPr>
              <w:pStyle w:val="E3Tabletext"/>
            </w:pPr>
            <m:oMathPara>
              <m:oMath>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max</m:t>
                        </m:r>
                      </m:sub>
                    </m:sSub>
                  </m:num>
                  <m:den>
                    <m:r>
                      <w:rPr>
                        <w:rFonts w:ascii="Cambria Math" w:hAnsi="Cambria Math"/>
                      </w:rPr>
                      <m:t>0.85</m:t>
                    </m:r>
                  </m:den>
                </m:f>
              </m:oMath>
            </m:oMathPara>
          </w:p>
        </w:tc>
        <w:tc>
          <w:tcPr>
            <w:tcW w:w="2484" w:type="dxa"/>
            <w:vMerge/>
          </w:tcPr>
          <w:p w:rsidR="00235234" w:rsidRDefault="00235234" w:rsidP="00255AA3">
            <w:pPr>
              <w:pStyle w:val="E3Tabletext"/>
            </w:pPr>
          </w:p>
        </w:tc>
      </w:tr>
      <w:tr w:rsidR="00235234" w:rsidTr="008C09F8">
        <w:trPr>
          <w:cantSplit/>
          <w:trHeight w:val="55"/>
          <w:jc w:val="center"/>
        </w:trPr>
        <w:tc>
          <w:tcPr>
            <w:tcW w:w="1480" w:type="dxa"/>
            <w:vMerge/>
          </w:tcPr>
          <w:p w:rsidR="00235234" w:rsidRPr="00235234" w:rsidRDefault="00235234" w:rsidP="00255AA3">
            <w:pPr>
              <w:pStyle w:val="E3Tabletext"/>
            </w:pPr>
          </w:p>
        </w:tc>
        <w:tc>
          <w:tcPr>
            <w:tcW w:w="2806" w:type="dxa"/>
          </w:tcPr>
          <w:p w:rsidR="00235234" w:rsidRDefault="00235234" w:rsidP="00255AA3">
            <w:pPr>
              <w:pStyle w:val="E3Tabletext"/>
            </w:pPr>
            <w:r>
              <w:t>Non-</w:t>
            </w:r>
            <w:r w:rsidRPr="00235234">
              <w:t>clear</w:t>
            </w:r>
            <w:r>
              <w:t xml:space="preserve"> lamp with second envelope  and  </w:t>
            </w:r>
            <m:oMath>
              <m:r>
                <w:rPr>
                  <w:rFonts w:ascii="Cambria Math" w:hAnsi="Cambria Math"/>
                </w:rPr>
                <m:t>P≤0.5*(0.88</m:t>
              </m:r>
              <m:rad>
                <m:radPr>
                  <m:degHide m:val="1"/>
                  <m:ctrlPr>
                    <w:rPr>
                      <w:rFonts w:ascii="Cambria Math" w:hAnsi="Cambria Math"/>
                    </w:rPr>
                  </m:ctrlPr>
                </m:radPr>
                <m:deg/>
                <m:e>
                  <m:r>
                    <w:rPr>
                      <w:rFonts w:ascii="Cambria Math" w:hAnsi="Cambria Math"/>
                    </w:rPr>
                    <m:t>∅</m:t>
                  </m:r>
                </m:e>
              </m:rad>
              <m:r>
                <w:rPr>
                  <w:rFonts w:ascii="Cambria Math" w:hAnsi="Cambria Math"/>
                </w:rPr>
                <m:t>+0.049 ∅)</m:t>
              </m:r>
            </m:oMath>
          </w:p>
        </w:tc>
        <w:tc>
          <w:tcPr>
            <w:tcW w:w="2806" w:type="dxa"/>
          </w:tcPr>
          <w:p w:rsidR="00235234" w:rsidRDefault="007C2EFC" w:rsidP="00255AA3">
            <w:pPr>
              <w:pStyle w:val="E3Tabletext"/>
            </w:pPr>
            <m:oMathPara>
              <m:oMath>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max</m:t>
                        </m:r>
                      </m:sub>
                    </m:sSub>
                  </m:num>
                  <m:den>
                    <m:r>
                      <w:rPr>
                        <w:rFonts w:ascii="Cambria Math" w:hAnsi="Cambria Math"/>
                      </w:rPr>
                      <m:t>0.95</m:t>
                    </m:r>
                  </m:den>
                </m:f>
              </m:oMath>
            </m:oMathPara>
          </w:p>
        </w:tc>
        <w:tc>
          <w:tcPr>
            <w:tcW w:w="2484" w:type="dxa"/>
            <w:vMerge/>
          </w:tcPr>
          <w:p w:rsidR="00235234" w:rsidRDefault="00235234" w:rsidP="00255AA3">
            <w:pPr>
              <w:pStyle w:val="E3Tabletext"/>
            </w:pPr>
          </w:p>
        </w:tc>
      </w:tr>
      <w:tr w:rsidR="00235234" w:rsidTr="008C09F8">
        <w:trPr>
          <w:cantSplit/>
          <w:trHeight w:val="55"/>
          <w:jc w:val="center"/>
        </w:trPr>
        <w:tc>
          <w:tcPr>
            <w:tcW w:w="1480" w:type="dxa"/>
            <w:vMerge/>
          </w:tcPr>
          <w:p w:rsidR="00235234" w:rsidRPr="00235234" w:rsidRDefault="00235234" w:rsidP="00255AA3">
            <w:pPr>
              <w:pStyle w:val="E3Tabletext"/>
            </w:pPr>
          </w:p>
        </w:tc>
        <w:tc>
          <w:tcPr>
            <w:tcW w:w="2806" w:type="dxa"/>
          </w:tcPr>
          <w:p w:rsidR="00235234" w:rsidRDefault="00235234" w:rsidP="00255AA3">
            <w:pPr>
              <w:pStyle w:val="E3Tabletext"/>
            </w:pPr>
            <w:r>
              <w:t>LED lamp requiring external power supply</w:t>
            </w:r>
          </w:p>
        </w:tc>
        <w:tc>
          <w:tcPr>
            <w:tcW w:w="2806" w:type="dxa"/>
          </w:tcPr>
          <w:p w:rsidR="00235234" w:rsidRPr="00235234" w:rsidRDefault="007C2EFC" w:rsidP="00255AA3">
            <w:pPr>
              <w:pStyle w:val="E3Tabletext"/>
            </w:pPr>
            <m:oMathPara>
              <m:oMath>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max</m:t>
                        </m:r>
                      </m:sub>
                    </m:sSub>
                  </m:num>
                  <m:den>
                    <m:r>
                      <w:rPr>
                        <w:rFonts w:ascii="Cambria Math" w:hAnsi="Cambria Math"/>
                      </w:rPr>
                      <m:t>1.1</m:t>
                    </m:r>
                  </m:den>
                </m:f>
              </m:oMath>
            </m:oMathPara>
          </w:p>
        </w:tc>
        <w:tc>
          <w:tcPr>
            <w:tcW w:w="2484" w:type="dxa"/>
            <w:vMerge/>
          </w:tcPr>
          <w:p w:rsidR="00235234" w:rsidRDefault="00235234" w:rsidP="00255AA3">
            <w:pPr>
              <w:pStyle w:val="E3Tabletext"/>
            </w:pPr>
          </w:p>
        </w:tc>
      </w:tr>
      <w:tr w:rsidR="00334066" w:rsidTr="008C09F8">
        <w:trPr>
          <w:cantSplit/>
          <w:trHeight w:val="33"/>
          <w:jc w:val="center"/>
        </w:trPr>
        <w:tc>
          <w:tcPr>
            <w:tcW w:w="1480" w:type="dxa"/>
            <w:vMerge w:val="restart"/>
          </w:tcPr>
          <w:p w:rsidR="00334066" w:rsidRPr="00235234" w:rsidRDefault="00334066" w:rsidP="00255AA3">
            <w:pPr>
              <w:pStyle w:val="E3Tabletext"/>
            </w:pPr>
            <w:r w:rsidRPr="00235234">
              <w:t>Equivalence (If making a claim)</w:t>
            </w:r>
          </w:p>
        </w:tc>
        <w:tc>
          <w:tcPr>
            <w:tcW w:w="5612" w:type="dxa"/>
            <w:gridSpan w:val="2"/>
          </w:tcPr>
          <w:p w:rsidR="00334066" w:rsidRDefault="00334066" w:rsidP="00255AA3">
            <w:pPr>
              <w:pStyle w:val="E3Tabletext"/>
            </w:pPr>
            <w:r>
              <w:t>The claimed equivalent incandescent lamp power shall be:</w:t>
            </w:r>
          </w:p>
        </w:tc>
        <w:tc>
          <w:tcPr>
            <w:tcW w:w="2484" w:type="dxa"/>
            <w:vMerge w:val="restart"/>
          </w:tcPr>
          <w:p w:rsidR="00334066" w:rsidRDefault="00334066" w:rsidP="00255AA3">
            <w:pPr>
              <w:pStyle w:val="E3Tabletext"/>
            </w:pPr>
            <w:r>
              <w:t>CIE 84: 1989</w:t>
            </w:r>
          </w:p>
        </w:tc>
      </w:tr>
      <w:tr w:rsidR="00334066" w:rsidTr="008C09F8">
        <w:trPr>
          <w:cantSplit/>
          <w:trHeight w:val="28"/>
          <w:jc w:val="center"/>
        </w:trPr>
        <w:tc>
          <w:tcPr>
            <w:tcW w:w="1480" w:type="dxa"/>
            <w:vMerge/>
          </w:tcPr>
          <w:p w:rsidR="00334066" w:rsidRDefault="00334066" w:rsidP="00255AA3">
            <w:pPr>
              <w:pStyle w:val="E3Tabletext"/>
            </w:pPr>
          </w:p>
        </w:tc>
        <w:tc>
          <w:tcPr>
            <w:tcW w:w="2806" w:type="dxa"/>
          </w:tcPr>
          <w:p w:rsidR="00334066" w:rsidRDefault="00334066" w:rsidP="00255AA3">
            <w:pPr>
              <w:pStyle w:val="E3Tabletext"/>
            </w:pPr>
            <w:r>
              <w:t>LED rated lamp luminous flux (lm)</w:t>
            </w:r>
          </w:p>
        </w:tc>
        <w:tc>
          <w:tcPr>
            <w:tcW w:w="2806" w:type="dxa"/>
          </w:tcPr>
          <w:p w:rsidR="00334066" w:rsidRDefault="00334066" w:rsidP="00255AA3">
            <w:pPr>
              <w:pStyle w:val="E3Tabletext"/>
            </w:pPr>
            <w:r>
              <w:t>Claimed equivalent incandescent lamp power (W)</w:t>
            </w:r>
          </w:p>
        </w:tc>
        <w:tc>
          <w:tcPr>
            <w:tcW w:w="2484" w:type="dxa"/>
            <w:vMerge/>
          </w:tcPr>
          <w:p w:rsidR="00334066" w:rsidRDefault="00334066" w:rsidP="00255AA3">
            <w:pPr>
              <w:pStyle w:val="E3Tabletext"/>
            </w:pPr>
          </w:p>
        </w:tc>
      </w:tr>
      <w:tr w:rsidR="00334066" w:rsidTr="008C09F8">
        <w:trPr>
          <w:cantSplit/>
          <w:trHeight w:val="28"/>
          <w:jc w:val="center"/>
        </w:trPr>
        <w:tc>
          <w:tcPr>
            <w:tcW w:w="1480" w:type="dxa"/>
            <w:vMerge/>
          </w:tcPr>
          <w:p w:rsidR="00334066" w:rsidRDefault="00334066" w:rsidP="00255AA3">
            <w:pPr>
              <w:pStyle w:val="E3Tabletext"/>
            </w:pPr>
          </w:p>
        </w:tc>
        <w:tc>
          <w:tcPr>
            <w:tcW w:w="2806" w:type="dxa"/>
          </w:tcPr>
          <w:p w:rsidR="00334066" w:rsidRDefault="00334066" w:rsidP="00255AA3">
            <w:pPr>
              <w:pStyle w:val="E3Tabletext"/>
            </w:pPr>
            <w:r>
              <w:t>136</w:t>
            </w:r>
          </w:p>
        </w:tc>
        <w:tc>
          <w:tcPr>
            <w:tcW w:w="2806" w:type="dxa"/>
          </w:tcPr>
          <w:p w:rsidR="00334066" w:rsidRDefault="00334066" w:rsidP="00255AA3">
            <w:pPr>
              <w:pStyle w:val="E3Tabletext"/>
            </w:pPr>
            <w:r>
              <w:t>15</w:t>
            </w:r>
          </w:p>
        </w:tc>
        <w:tc>
          <w:tcPr>
            <w:tcW w:w="2484" w:type="dxa"/>
            <w:vMerge/>
          </w:tcPr>
          <w:p w:rsidR="00334066" w:rsidRDefault="00334066" w:rsidP="00255AA3">
            <w:pPr>
              <w:pStyle w:val="E3Tabletext"/>
            </w:pPr>
          </w:p>
        </w:tc>
      </w:tr>
      <w:tr w:rsidR="00334066" w:rsidTr="008C09F8">
        <w:trPr>
          <w:cantSplit/>
          <w:trHeight w:val="28"/>
          <w:jc w:val="center"/>
        </w:trPr>
        <w:tc>
          <w:tcPr>
            <w:tcW w:w="1480" w:type="dxa"/>
            <w:vMerge/>
          </w:tcPr>
          <w:p w:rsidR="00334066" w:rsidRDefault="00334066" w:rsidP="00255AA3">
            <w:pPr>
              <w:pStyle w:val="E3Tabletext"/>
            </w:pPr>
          </w:p>
        </w:tc>
        <w:tc>
          <w:tcPr>
            <w:tcW w:w="2806" w:type="dxa"/>
          </w:tcPr>
          <w:p w:rsidR="00334066" w:rsidRDefault="00334066" w:rsidP="00255AA3">
            <w:pPr>
              <w:pStyle w:val="E3Tabletext"/>
            </w:pPr>
            <w:r>
              <w:t>249</w:t>
            </w:r>
          </w:p>
        </w:tc>
        <w:tc>
          <w:tcPr>
            <w:tcW w:w="2806" w:type="dxa"/>
          </w:tcPr>
          <w:p w:rsidR="00334066" w:rsidRDefault="00334066" w:rsidP="00255AA3">
            <w:pPr>
              <w:pStyle w:val="E3Tabletext"/>
            </w:pPr>
            <w:r>
              <w:t>25</w:t>
            </w:r>
          </w:p>
        </w:tc>
        <w:tc>
          <w:tcPr>
            <w:tcW w:w="2484" w:type="dxa"/>
            <w:vMerge/>
          </w:tcPr>
          <w:p w:rsidR="00334066" w:rsidRDefault="00334066" w:rsidP="00255AA3">
            <w:pPr>
              <w:pStyle w:val="E3Tabletext"/>
            </w:pPr>
          </w:p>
        </w:tc>
      </w:tr>
      <w:tr w:rsidR="00334066" w:rsidTr="008C09F8">
        <w:trPr>
          <w:cantSplit/>
          <w:trHeight w:val="28"/>
          <w:jc w:val="center"/>
        </w:trPr>
        <w:tc>
          <w:tcPr>
            <w:tcW w:w="1480" w:type="dxa"/>
            <w:vMerge/>
          </w:tcPr>
          <w:p w:rsidR="00334066" w:rsidRDefault="00334066" w:rsidP="00255AA3">
            <w:pPr>
              <w:pStyle w:val="E3Tabletext"/>
            </w:pPr>
          </w:p>
        </w:tc>
        <w:tc>
          <w:tcPr>
            <w:tcW w:w="2806" w:type="dxa"/>
          </w:tcPr>
          <w:p w:rsidR="00334066" w:rsidRDefault="00334066" w:rsidP="00255AA3">
            <w:pPr>
              <w:pStyle w:val="E3Tabletext"/>
            </w:pPr>
            <w:r>
              <w:t>470</w:t>
            </w:r>
          </w:p>
        </w:tc>
        <w:tc>
          <w:tcPr>
            <w:tcW w:w="2806" w:type="dxa"/>
          </w:tcPr>
          <w:p w:rsidR="00334066" w:rsidRDefault="00334066" w:rsidP="00255AA3">
            <w:pPr>
              <w:pStyle w:val="E3Tabletext"/>
            </w:pPr>
            <w:r>
              <w:t>40</w:t>
            </w:r>
          </w:p>
        </w:tc>
        <w:tc>
          <w:tcPr>
            <w:tcW w:w="2484" w:type="dxa"/>
            <w:vMerge/>
          </w:tcPr>
          <w:p w:rsidR="00334066" w:rsidRDefault="00334066" w:rsidP="00255AA3">
            <w:pPr>
              <w:pStyle w:val="E3Tabletext"/>
            </w:pPr>
          </w:p>
        </w:tc>
      </w:tr>
      <w:tr w:rsidR="00334066" w:rsidTr="008C09F8">
        <w:trPr>
          <w:cantSplit/>
          <w:trHeight w:val="28"/>
          <w:jc w:val="center"/>
        </w:trPr>
        <w:tc>
          <w:tcPr>
            <w:tcW w:w="1480" w:type="dxa"/>
            <w:vMerge/>
          </w:tcPr>
          <w:p w:rsidR="00334066" w:rsidRDefault="00334066" w:rsidP="00255AA3">
            <w:pPr>
              <w:pStyle w:val="E3Tabletext"/>
            </w:pPr>
          </w:p>
        </w:tc>
        <w:tc>
          <w:tcPr>
            <w:tcW w:w="2806" w:type="dxa"/>
          </w:tcPr>
          <w:p w:rsidR="00334066" w:rsidRDefault="00334066" w:rsidP="00255AA3">
            <w:pPr>
              <w:pStyle w:val="E3Tabletext"/>
            </w:pPr>
            <w:r>
              <w:t>806</w:t>
            </w:r>
          </w:p>
        </w:tc>
        <w:tc>
          <w:tcPr>
            <w:tcW w:w="2806" w:type="dxa"/>
          </w:tcPr>
          <w:p w:rsidR="00334066" w:rsidRDefault="00334066" w:rsidP="00255AA3">
            <w:pPr>
              <w:pStyle w:val="E3Tabletext"/>
            </w:pPr>
            <w:r>
              <w:t>60</w:t>
            </w:r>
          </w:p>
        </w:tc>
        <w:tc>
          <w:tcPr>
            <w:tcW w:w="2484" w:type="dxa"/>
            <w:vMerge/>
          </w:tcPr>
          <w:p w:rsidR="00334066" w:rsidRDefault="00334066" w:rsidP="00255AA3">
            <w:pPr>
              <w:pStyle w:val="E3Tabletext"/>
            </w:pPr>
          </w:p>
        </w:tc>
      </w:tr>
      <w:tr w:rsidR="00334066" w:rsidTr="008C09F8">
        <w:trPr>
          <w:cantSplit/>
          <w:trHeight w:val="28"/>
          <w:jc w:val="center"/>
        </w:trPr>
        <w:tc>
          <w:tcPr>
            <w:tcW w:w="1480" w:type="dxa"/>
            <w:vMerge/>
          </w:tcPr>
          <w:p w:rsidR="00334066" w:rsidRDefault="00334066" w:rsidP="00255AA3">
            <w:pPr>
              <w:pStyle w:val="E3Tabletext"/>
            </w:pPr>
          </w:p>
        </w:tc>
        <w:tc>
          <w:tcPr>
            <w:tcW w:w="2806" w:type="dxa"/>
          </w:tcPr>
          <w:p w:rsidR="00334066" w:rsidRDefault="00334066" w:rsidP="00255AA3">
            <w:pPr>
              <w:pStyle w:val="E3Tabletext"/>
            </w:pPr>
            <w:r>
              <w:t>1055</w:t>
            </w:r>
          </w:p>
        </w:tc>
        <w:tc>
          <w:tcPr>
            <w:tcW w:w="2806" w:type="dxa"/>
          </w:tcPr>
          <w:p w:rsidR="00334066" w:rsidRDefault="00334066" w:rsidP="00255AA3">
            <w:pPr>
              <w:pStyle w:val="E3Tabletext"/>
            </w:pPr>
            <w:r>
              <w:t>75</w:t>
            </w:r>
          </w:p>
        </w:tc>
        <w:tc>
          <w:tcPr>
            <w:tcW w:w="2484" w:type="dxa"/>
            <w:vMerge/>
          </w:tcPr>
          <w:p w:rsidR="00334066" w:rsidRDefault="00334066" w:rsidP="00255AA3">
            <w:pPr>
              <w:pStyle w:val="E3Tabletext"/>
            </w:pPr>
          </w:p>
        </w:tc>
      </w:tr>
      <w:tr w:rsidR="00334066" w:rsidTr="008C09F8">
        <w:trPr>
          <w:cantSplit/>
          <w:trHeight w:val="28"/>
          <w:jc w:val="center"/>
        </w:trPr>
        <w:tc>
          <w:tcPr>
            <w:tcW w:w="1480" w:type="dxa"/>
            <w:vMerge/>
          </w:tcPr>
          <w:p w:rsidR="00334066" w:rsidRDefault="00334066" w:rsidP="00255AA3">
            <w:pPr>
              <w:pStyle w:val="E3Tabletext"/>
            </w:pPr>
          </w:p>
        </w:tc>
        <w:tc>
          <w:tcPr>
            <w:tcW w:w="2806" w:type="dxa"/>
          </w:tcPr>
          <w:p w:rsidR="00334066" w:rsidRDefault="00334066" w:rsidP="00255AA3">
            <w:pPr>
              <w:pStyle w:val="E3Tabletext"/>
            </w:pPr>
            <w:r>
              <w:t>1521</w:t>
            </w:r>
          </w:p>
        </w:tc>
        <w:tc>
          <w:tcPr>
            <w:tcW w:w="2806" w:type="dxa"/>
          </w:tcPr>
          <w:p w:rsidR="00334066" w:rsidRDefault="00334066" w:rsidP="00255AA3">
            <w:pPr>
              <w:pStyle w:val="E3Tabletext"/>
            </w:pPr>
            <w:r>
              <w:t>100</w:t>
            </w:r>
          </w:p>
        </w:tc>
        <w:tc>
          <w:tcPr>
            <w:tcW w:w="2484" w:type="dxa"/>
            <w:vMerge/>
          </w:tcPr>
          <w:p w:rsidR="00334066" w:rsidRDefault="00334066" w:rsidP="00255AA3">
            <w:pPr>
              <w:pStyle w:val="E3Tabletext"/>
            </w:pPr>
          </w:p>
        </w:tc>
      </w:tr>
      <w:tr w:rsidR="00334066" w:rsidTr="008C09F8">
        <w:trPr>
          <w:cantSplit/>
          <w:trHeight w:val="28"/>
          <w:jc w:val="center"/>
        </w:trPr>
        <w:tc>
          <w:tcPr>
            <w:tcW w:w="1480" w:type="dxa"/>
            <w:vMerge/>
          </w:tcPr>
          <w:p w:rsidR="00334066" w:rsidRDefault="00334066" w:rsidP="00255AA3">
            <w:pPr>
              <w:pStyle w:val="E3Tabletext"/>
            </w:pPr>
          </w:p>
        </w:tc>
        <w:tc>
          <w:tcPr>
            <w:tcW w:w="2806" w:type="dxa"/>
          </w:tcPr>
          <w:p w:rsidR="00334066" w:rsidRDefault="00334066" w:rsidP="00255AA3">
            <w:pPr>
              <w:pStyle w:val="E3Tabletext"/>
            </w:pPr>
            <w:r>
              <w:t>2452</w:t>
            </w:r>
          </w:p>
        </w:tc>
        <w:tc>
          <w:tcPr>
            <w:tcW w:w="2806" w:type="dxa"/>
          </w:tcPr>
          <w:p w:rsidR="00334066" w:rsidRDefault="00334066" w:rsidP="00255AA3">
            <w:pPr>
              <w:pStyle w:val="E3Tabletext"/>
            </w:pPr>
            <w:r>
              <w:t>150</w:t>
            </w:r>
          </w:p>
        </w:tc>
        <w:tc>
          <w:tcPr>
            <w:tcW w:w="2484" w:type="dxa"/>
            <w:vMerge/>
          </w:tcPr>
          <w:p w:rsidR="00334066" w:rsidRDefault="00334066" w:rsidP="00255AA3">
            <w:pPr>
              <w:pStyle w:val="E3Tabletext"/>
            </w:pPr>
          </w:p>
        </w:tc>
      </w:tr>
      <w:tr w:rsidR="00334066" w:rsidTr="008C09F8">
        <w:trPr>
          <w:cantSplit/>
          <w:trHeight w:val="28"/>
          <w:jc w:val="center"/>
        </w:trPr>
        <w:tc>
          <w:tcPr>
            <w:tcW w:w="1480" w:type="dxa"/>
            <w:vMerge/>
          </w:tcPr>
          <w:p w:rsidR="00334066" w:rsidRDefault="00334066" w:rsidP="00255AA3">
            <w:pPr>
              <w:pStyle w:val="E3Tabletext"/>
            </w:pPr>
          </w:p>
        </w:tc>
        <w:tc>
          <w:tcPr>
            <w:tcW w:w="2806" w:type="dxa"/>
          </w:tcPr>
          <w:p w:rsidR="00334066" w:rsidRDefault="00334066" w:rsidP="00255AA3">
            <w:pPr>
              <w:pStyle w:val="E3Tabletext"/>
            </w:pPr>
            <w:r>
              <w:t>3452</w:t>
            </w:r>
          </w:p>
        </w:tc>
        <w:tc>
          <w:tcPr>
            <w:tcW w:w="2806" w:type="dxa"/>
          </w:tcPr>
          <w:p w:rsidR="00334066" w:rsidRDefault="00334066" w:rsidP="00255AA3">
            <w:pPr>
              <w:pStyle w:val="E3Tabletext"/>
            </w:pPr>
            <w:r>
              <w:t>200</w:t>
            </w:r>
          </w:p>
        </w:tc>
        <w:tc>
          <w:tcPr>
            <w:tcW w:w="2484" w:type="dxa"/>
            <w:vMerge/>
          </w:tcPr>
          <w:p w:rsidR="00334066" w:rsidRDefault="00334066" w:rsidP="00255AA3">
            <w:pPr>
              <w:pStyle w:val="E3Tabletext"/>
            </w:pPr>
          </w:p>
        </w:tc>
      </w:tr>
    </w:tbl>
    <w:p w:rsidR="00334066" w:rsidRPr="003326BD" w:rsidRDefault="00334066" w:rsidP="00E65B09">
      <w:pPr>
        <w:pStyle w:val="E3Heading4"/>
        <w:numPr>
          <w:ilvl w:val="0"/>
          <w:numId w:val="0"/>
        </w:numPr>
        <w:ind w:left="1008" w:hanging="1008"/>
        <w:rPr>
          <w:lang w:eastAsia="en-AU"/>
        </w:rPr>
      </w:pPr>
      <w:bookmarkStart w:id="302" w:name="_Toc389123357"/>
      <w:r w:rsidRPr="003326BD">
        <w:rPr>
          <w:lang w:eastAsia="en-AU"/>
        </w:rPr>
        <w:t>Commission Regulation (EC) No 1194/2012</w:t>
      </w:r>
      <w:bookmarkEnd w:id="302"/>
    </w:p>
    <w:p w:rsidR="00334066" w:rsidRPr="00310986" w:rsidRDefault="00334066" w:rsidP="00E65B09">
      <w:pPr>
        <w:pStyle w:val="E3Heading4"/>
        <w:numPr>
          <w:ilvl w:val="0"/>
          <w:numId w:val="0"/>
        </w:numPr>
        <w:ind w:left="1008" w:hanging="1008"/>
        <w:rPr>
          <w:lang w:eastAsia="en-AU"/>
        </w:rPr>
      </w:pPr>
      <w:r w:rsidRPr="00310986">
        <w:rPr>
          <w:lang w:eastAsia="en-AU"/>
        </w:rPr>
        <w:t>Scope</w:t>
      </w:r>
    </w:p>
    <w:p w:rsidR="00334066" w:rsidRDefault="00334066" w:rsidP="002D572B">
      <w:pPr>
        <w:pStyle w:val="E3BodyText"/>
        <w:rPr>
          <w:lang w:eastAsia="en-AU"/>
        </w:rPr>
      </w:pPr>
      <w:r w:rsidRPr="003326BD">
        <w:rPr>
          <w:lang w:eastAsia="en-AU"/>
        </w:rPr>
        <w:t xml:space="preserve">Ecodesign requirements and energy labelling for </w:t>
      </w:r>
      <w:r w:rsidRPr="00900581">
        <w:rPr>
          <w:u w:val="single"/>
          <w:lang w:eastAsia="en-AU"/>
        </w:rPr>
        <w:t>directional</w:t>
      </w:r>
      <w:r w:rsidRPr="003326BD">
        <w:rPr>
          <w:lang w:eastAsia="en-AU"/>
        </w:rPr>
        <w:t xml:space="preserve"> lamps, light emitting diode lamps </w:t>
      </w:r>
      <w:r>
        <w:rPr>
          <w:lang w:eastAsia="en-AU"/>
        </w:rPr>
        <w:t xml:space="preserve">(non-directional and directional) </w:t>
      </w:r>
      <w:r w:rsidRPr="003326BD">
        <w:rPr>
          <w:lang w:eastAsia="en-AU"/>
        </w:rPr>
        <w:t xml:space="preserve">and halogen lighting converters </w:t>
      </w:r>
      <w:r>
        <w:rPr>
          <w:lang w:eastAsia="en-AU"/>
        </w:rPr>
        <w:t>was</w:t>
      </w:r>
      <w:r w:rsidRPr="003326BD">
        <w:rPr>
          <w:lang w:eastAsia="en-AU"/>
        </w:rPr>
        <w:t xml:space="preserve"> adopted 13 July 2012. Final regulation was published in the Official Journal 14 December 2012</w:t>
      </w:r>
      <w:r>
        <w:rPr>
          <w:lang w:eastAsia="en-AU"/>
        </w:rPr>
        <w:t xml:space="preserve">, </w:t>
      </w:r>
      <w:r w:rsidRPr="003326BD">
        <w:rPr>
          <w:lang w:eastAsia="en-AU"/>
        </w:rPr>
        <w:t>entered into force 3 January 2013</w:t>
      </w:r>
      <w:r>
        <w:rPr>
          <w:lang w:eastAsia="en-AU"/>
        </w:rPr>
        <w:t xml:space="preserve"> with the following stage dates: </w:t>
      </w:r>
    </w:p>
    <w:p w:rsidR="00334066" w:rsidRDefault="00334066" w:rsidP="002D572B">
      <w:pPr>
        <w:pStyle w:val="E3Bullets"/>
        <w:rPr>
          <w:lang w:eastAsia="en-AU"/>
        </w:rPr>
      </w:pPr>
      <w:r>
        <w:rPr>
          <w:lang w:eastAsia="en-AU"/>
        </w:rPr>
        <w:t>Stage 1: 1 September 2013</w:t>
      </w:r>
    </w:p>
    <w:p w:rsidR="00334066" w:rsidRDefault="00334066" w:rsidP="002D572B">
      <w:pPr>
        <w:pStyle w:val="E3Bullets"/>
        <w:rPr>
          <w:lang w:eastAsia="en-AU"/>
        </w:rPr>
      </w:pPr>
      <w:r>
        <w:rPr>
          <w:lang w:eastAsia="en-AU"/>
        </w:rPr>
        <w:t>Stage 2: 1 September 2014</w:t>
      </w:r>
    </w:p>
    <w:p w:rsidR="00334066" w:rsidRDefault="00334066" w:rsidP="002D572B">
      <w:pPr>
        <w:pStyle w:val="E3Bullets"/>
        <w:rPr>
          <w:lang w:eastAsia="en-AU"/>
        </w:rPr>
      </w:pPr>
      <w:r>
        <w:rPr>
          <w:lang w:eastAsia="en-AU"/>
        </w:rPr>
        <w:t>Stage 3: 1 September 2016.</w:t>
      </w:r>
    </w:p>
    <w:p w:rsidR="00334066" w:rsidRDefault="00334066" w:rsidP="002D572B">
      <w:pPr>
        <w:pStyle w:val="E3BodyText"/>
        <w:rPr>
          <w:lang w:eastAsia="en-AU"/>
        </w:rPr>
      </w:pPr>
      <w:r>
        <w:rPr>
          <w:lang w:eastAsia="en-AU"/>
        </w:rPr>
        <w:t>No test methods are specified within the regulation but it does state, “</w:t>
      </w:r>
      <w:r w:rsidRPr="00226120">
        <w:rPr>
          <w:lang w:eastAsia="en-AU"/>
        </w:rPr>
        <w:t>Member State authorities shall use reliable, accurate and reproducible measurement procedures, which take into account the generally recognised state-of-the-art measurement methods, including methods set out in documents whose reference numbers have been published for that purpose in the Official Journal of the European Union.</w:t>
      </w:r>
      <w:r>
        <w:rPr>
          <w:lang w:eastAsia="en-AU"/>
        </w:rPr>
        <w:t>”</w:t>
      </w:r>
    </w:p>
    <w:p w:rsidR="00334066" w:rsidRPr="00310986" w:rsidRDefault="00334066" w:rsidP="00E65B09">
      <w:pPr>
        <w:pStyle w:val="E3Heading4"/>
        <w:numPr>
          <w:ilvl w:val="0"/>
          <w:numId w:val="0"/>
        </w:numPr>
        <w:ind w:left="1008" w:hanging="1008"/>
        <w:rPr>
          <w:lang w:eastAsia="en-AU"/>
        </w:rPr>
      </w:pPr>
      <w:r>
        <w:rPr>
          <w:lang w:eastAsia="en-AU"/>
        </w:rPr>
        <w:lastRenderedPageBreak/>
        <w:t>Performance requirements</w:t>
      </w:r>
    </w:p>
    <w:tbl>
      <w:tblPr>
        <w:tblStyle w:val="TableGrid"/>
        <w:tblW w:w="0" w:type="auto"/>
        <w:jc w:val="center"/>
        <w:tblLook w:val="04A0" w:firstRow="1" w:lastRow="0" w:firstColumn="1" w:lastColumn="0" w:noHBand="0" w:noVBand="1"/>
      </w:tblPr>
      <w:tblGrid>
        <w:gridCol w:w="1480"/>
        <w:gridCol w:w="2806"/>
        <w:gridCol w:w="2806"/>
        <w:gridCol w:w="2484"/>
      </w:tblGrid>
      <w:tr w:rsidR="00334066" w:rsidTr="008C09F8">
        <w:trPr>
          <w:cantSplit/>
          <w:tblHeader/>
          <w:jc w:val="center"/>
        </w:trPr>
        <w:tc>
          <w:tcPr>
            <w:tcW w:w="1480" w:type="dxa"/>
          </w:tcPr>
          <w:p w:rsidR="00334066" w:rsidRDefault="00334066" w:rsidP="00B479F7">
            <w:pPr>
              <w:pStyle w:val="E3TableHeading"/>
            </w:pPr>
            <w:r>
              <w:t>Parameter</w:t>
            </w:r>
          </w:p>
        </w:tc>
        <w:tc>
          <w:tcPr>
            <w:tcW w:w="5612" w:type="dxa"/>
            <w:gridSpan w:val="2"/>
          </w:tcPr>
          <w:p w:rsidR="00334066" w:rsidRDefault="00334066" w:rsidP="00B479F7">
            <w:pPr>
              <w:pStyle w:val="E3TableHeading"/>
            </w:pPr>
            <w:r>
              <w:t>Requirements</w:t>
            </w:r>
          </w:p>
        </w:tc>
        <w:tc>
          <w:tcPr>
            <w:tcW w:w="2484" w:type="dxa"/>
          </w:tcPr>
          <w:p w:rsidR="00334066" w:rsidRDefault="00334066" w:rsidP="00B479F7">
            <w:pPr>
              <w:pStyle w:val="E3TableHeading"/>
            </w:pPr>
            <w:r>
              <w:t>Test Method</w:t>
            </w:r>
          </w:p>
        </w:tc>
      </w:tr>
      <w:tr w:rsidR="00B479F7" w:rsidTr="008C09F8">
        <w:trPr>
          <w:cantSplit/>
          <w:trHeight w:val="92"/>
          <w:jc w:val="center"/>
        </w:trPr>
        <w:tc>
          <w:tcPr>
            <w:tcW w:w="1480" w:type="dxa"/>
            <w:vMerge w:val="restart"/>
          </w:tcPr>
          <w:p w:rsidR="00B479F7" w:rsidRDefault="00B479F7" w:rsidP="00255AA3">
            <w:pPr>
              <w:pStyle w:val="E3Tabletext"/>
            </w:pPr>
            <w:r>
              <w:t>Efficacy</w:t>
            </w:r>
          </w:p>
        </w:tc>
        <w:tc>
          <w:tcPr>
            <w:tcW w:w="5612" w:type="dxa"/>
            <w:gridSpan w:val="2"/>
          </w:tcPr>
          <w:p w:rsidR="00B479F7" w:rsidRDefault="00B479F7" w:rsidP="00255AA3">
            <w:pPr>
              <w:pStyle w:val="E3Tabletext"/>
            </w:pPr>
            <w:r>
              <w:t xml:space="preserve">Maximum Energy Efficiency Index (EEI) as determined by </w:t>
            </w:r>
          </w:p>
          <w:p w:rsidR="00B479F7" w:rsidRDefault="00B479F7" w:rsidP="00B479F7">
            <m:oMathPara>
              <m:oMath>
                <m:r>
                  <w:rPr>
                    <w:rFonts w:ascii="Cambria Math" w:hAnsi="Cambria Math"/>
                  </w:rPr>
                  <m:t>EEI=</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cor</m:t>
                        </m:r>
                      </m:sub>
                    </m:sSub>
                  </m:num>
                  <m:den>
                    <m:sSub>
                      <m:sSubPr>
                        <m:ctrlPr>
                          <w:rPr>
                            <w:rFonts w:ascii="Cambria Math" w:hAnsi="Cambria Math"/>
                            <w:i/>
                          </w:rPr>
                        </m:ctrlPr>
                      </m:sSubPr>
                      <m:e>
                        <m:r>
                          <w:rPr>
                            <w:rFonts w:ascii="Cambria Math" w:hAnsi="Cambria Math"/>
                          </w:rPr>
                          <m:t>P</m:t>
                        </m:r>
                      </m:e>
                      <m:sub>
                        <m:r>
                          <w:rPr>
                            <w:rFonts w:ascii="Cambria Math" w:hAnsi="Cambria Math"/>
                          </w:rPr>
                          <m:t>ref</m:t>
                        </m:r>
                      </m:sub>
                    </m:sSub>
                  </m:den>
                </m:f>
              </m:oMath>
            </m:oMathPara>
          </w:p>
          <w:p w:rsidR="00B479F7" w:rsidRDefault="00B479F7" w:rsidP="00255AA3">
            <w:pPr>
              <w:pStyle w:val="E3Tabletext"/>
            </w:pPr>
            <w:r>
              <w:t>Where:</w:t>
            </w:r>
          </w:p>
          <w:p w:rsidR="00B479F7" w:rsidRDefault="007C2EFC" w:rsidP="00255AA3">
            <w:pPr>
              <w:pStyle w:val="E3Tabletext"/>
            </w:pPr>
            <m:oMath>
              <m:sSub>
                <m:sSubPr>
                  <m:ctrlPr>
                    <w:rPr>
                      <w:rFonts w:ascii="Cambria Math" w:hAnsi="Cambria Math"/>
                    </w:rPr>
                  </m:ctrlPr>
                </m:sSubPr>
                <m:e>
                  <m:r>
                    <w:rPr>
                      <w:rFonts w:ascii="Cambria Math" w:hAnsi="Cambria Math"/>
                    </w:rPr>
                    <m:t>P</m:t>
                  </m:r>
                </m:e>
                <m:sub>
                  <m:r>
                    <w:rPr>
                      <w:rFonts w:ascii="Cambria Math" w:hAnsi="Cambria Math"/>
                    </w:rPr>
                    <m:t>cor</m:t>
                  </m:r>
                </m:sub>
              </m:sSub>
            </m:oMath>
            <w:r w:rsidR="00B479F7">
              <w:t>is the rated power measured with the following corrections:</w:t>
            </w:r>
          </w:p>
          <w:p w:rsidR="00B479F7" w:rsidRDefault="007C2EFC" w:rsidP="00255AA3">
            <w:pPr>
              <w:pStyle w:val="E3Tabletext"/>
            </w:pPr>
            <m:oMath>
              <m:sSub>
                <m:sSubPr>
                  <m:ctrlPr>
                    <w:rPr>
                      <w:rFonts w:ascii="Cambria Math" w:hAnsi="Cambria Math"/>
                    </w:rPr>
                  </m:ctrlPr>
                </m:sSubPr>
                <m:e>
                  <m:r>
                    <w:rPr>
                      <w:rFonts w:ascii="Cambria Math" w:hAnsi="Cambria Math"/>
                    </w:rPr>
                    <m:t>P</m:t>
                  </m:r>
                </m:e>
                <m:sub>
                  <m:r>
                    <w:rPr>
                      <w:rFonts w:ascii="Cambria Math" w:hAnsi="Cambria Math"/>
                    </w:rPr>
                    <m:t>cor</m:t>
                  </m:r>
                </m:sub>
              </m:sSub>
              <m: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rated</m:t>
                  </m:r>
                </m:sub>
              </m:sSub>
            </m:oMath>
            <w:r w:rsidR="00F0458D">
              <w:tab/>
            </w:r>
            <w:r w:rsidR="00B479F7" w:rsidRPr="00F0458D">
              <w:t>for self-ballasted LED lamps</w:t>
            </w:r>
          </w:p>
          <w:p w:rsidR="00B479F7" w:rsidRPr="00494799" w:rsidRDefault="007C2EFC" w:rsidP="00255AA3">
            <w:pPr>
              <w:pStyle w:val="E3Tabletext"/>
            </w:pPr>
            <m:oMath>
              <m:sSub>
                <m:sSubPr>
                  <m:ctrlPr>
                    <w:rPr>
                      <w:rFonts w:ascii="Cambria Math" w:hAnsi="Cambria Math"/>
                    </w:rPr>
                  </m:ctrlPr>
                </m:sSubPr>
                <m:e>
                  <m:r>
                    <w:rPr>
                      <w:rFonts w:ascii="Cambria Math" w:hAnsi="Cambria Math"/>
                    </w:rPr>
                    <m:t>P</m:t>
                  </m:r>
                </m:e>
                <m:sub>
                  <m:r>
                    <w:rPr>
                      <w:rFonts w:ascii="Cambria Math" w:hAnsi="Cambria Math"/>
                    </w:rPr>
                    <m:t>cor</m:t>
                  </m:r>
                </m:sub>
              </m:sSub>
              <m:r>
                <w:rPr>
                  <w:rFonts w:ascii="Cambria Math" w:hAnsi="Cambria Math"/>
                </w:rPr>
                <m:t xml:space="preserve">= </m:t>
              </m:r>
              <m:sSub>
                <m:sSubPr>
                  <m:ctrlPr>
                    <w:rPr>
                      <w:rFonts w:ascii="Cambria Math" w:hAnsi="Cambria Math"/>
                    </w:rPr>
                  </m:ctrlPr>
                </m:sSubPr>
                <m:e>
                  <m:r>
                    <w:rPr>
                      <w:rFonts w:ascii="Cambria Math" w:hAnsi="Cambria Math"/>
                    </w:rPr>
                    <m:t>1.10*P</m:t>
                  </m:r>
                </m:e>
                <m:sub>
                  <m:r>
                    <w:rPr>
                      <w:rFonts w:ascii="Cambria Math" w:hAnsi="Cambria Math"/>
                    </w:rPr>
                    <m:t>rated</m:t>
                  </m:r>
                </m:sub>
              </m:sSub>
            </m:oMath>
            <w:r w:rsidR="00B479F7">
              <w:tab/>
            </w:r>
            <w:r w:rsidR="00B479F7" w:rsidRPr="007F6750">
              <w:t>for LED lamps operating on external control gear</w:t>
            </w:r>
          </w:p>
          <w:p w:rsidR="00B479F7" w:rsidRDefault="00B479F7" w:rsidP="00B479F7">
            <w:pPr>
              <w:ind w:left="770"/>
            </w:pPr>
          </w:p>
          <w:p w:rsidR="00B479F7" w:rsidRDefault="007C2EFC" w:rsidP="00255AA3">
            <w:pPr>
              <w:pStyle w:val="E3Tabletext"/>
            </w:pPr>
            <m:oMath>
              <m:sSub>
                <m:sSubPr>
                  <m:ctrlPr>
                    <w:rPr>
                      <w:rFonts w:ascii="Cambria Math" w:hAnsi="Cambria Math"/>
                    </w:rPr>
                  </m:ctrlPr>
                </m:sSubPr>
                <m:e>
                  <m:r>
                    <w:rPr>
                      <w:rFonts w:ascii="Cambria Math" w:hAnsi="Cambria Math"/>
                    </w:rPr>
                    <m:t>P</m:t>
                  </m:r>
                </m:e>
                <m:sub>
                  <m:r>
                    <w:rPr>
                      <w:rFonts w:ascii="Cambria Math" w:hAnsi="Cambria Math"/>
                    </w:rPr>
                    <m:t>ref</m:t>
                  </m:r>
                </m:sub>
              </m:sSub>
            </m:oMath>
            <w:r w:rsidR="00B479F7">
              <w:t xml:space="preserve"> is the reference power obtained from the useful luminous flux </w:t>
            </w:r>
            <m:oMath>
              <m:sSub>
                <m:sSubPr>
                  <m:ctrlPr>
                    <w:rPr>
                      <w:rFonts w:ascii="Cambria Math" w:hAnsi="Cambria Math"/>
                    </w:rPr>
                  </m:ctrlPr>
                </m:sSubPr>
                <m:e>
                  <m:r>
                    <w:rPr>
                      <w:rFonts w:ascii="Cambria Math" w:hAnsi="Cambria Math"/>
                    </w:rPr>
                    <m:t>(∅</m:t>
                  </m:r>
                </m:e>
                <m:sub>
                  <m:r>
                    <w:rPr>
                      <w:rFonts w:ascii="Cambria Math" w:hAnsi="Cambria Math"/>
                    </w:rPr>
                    <m:t>use</m:t>
                  </m:r>
                </m:sub>
              </m:sSub>
              <m:r>
                <w:rPr>
                  <w:rFonts w:ascii="Cambria Math" w:hAnsi="Cambria Math"/>
                </w:rPr>
                <m:t>)</m:t>
              </m:r>
            </m:oMath>
            <w:r w:rsidR="00B479F7">
              <w:t xml:space="preserve"> by the following formulae</w:t>
            </w:r>
          </w:p>
          <w:p w:rsidR="00B479F7" w:rsidRPr="007F6750" w:rsidRDefault="007C2EFC" w:rsidP="00255AA3">
            <w:pPr>
              <w:pStyle w:val="E3Tabletext"/>
            </w:pPr>
            <m:oMath>
              <m:sSub>
                <m:sSubPr>
                  <m:ctrlPr>
                    <w:rPr>
                      <w:rFonts w:ascii="Cambria Math" w:hAnsi="Cambria Math"/>
                    </w:rPr>
                  </m:ctrlPr>
                </m:sSubPr>
                <m:e>
                  <m:r>
                    <w:rPr>
                      <w:rFonts w:ascii="Cambria Math" w:hAnsi="Cambria Math"/>
                    </w:rPr>
                    <m:t>∅</m:t>
                  </m:r>
                </m:e>
                <m:sub>
                  <m:r>
                    <w:rPr>
                      <w:rFonts w:ascii="Cambria Math" w:hAnsi="Cambria Math"/>
                    </w:rPr>
                    <m:t>use</m:t>
                  </m:r>
                </m:sub>
              </m:sSub>
              <m:r>
                <w:rPr>
                  <w:rFonts w:ascii="Cambria Math" w:hAnsi="Cambria Math"/>
                </w:rPr>
                <m:t xml:space="preserve">&lt;1300 </m:t>
              </m:r>
            </m:oMath>
            <w:r w:rsidR="00B479F7" w:rsidRPr="007F6750">
              <w:rPr>
                <w:rFonts w:ascii="Calibri" w:hAnsi="Calibri"/>
              </w:rPr>
              <w:t>lumens</w:t>
            </w:r>
            <w:r w:rsidR="00B479F7">
              <w:rPr>
                <w:rFonts w:ascii="Calibri" w:hAnsi="Calibri"/>
              </w:rPr>
              <w:t>:</w:t>
            </w:r>
            <w:r w:rsidR="00B479F7">
              <w:tab/>
            </w:r>
            <m:oMath>
              <m:sSub>
                <m:sSubPr>
                  <m:ctrlPr>
                    <w:rPr>
                      <w:rFonts w:ascii="Cambria Math" w:hAnsi="Cambria Math"/>
                    </w:rPr>
                  </m:ctrlPr>
                </m:sSubPr>
                <m:e>
                  <m:r>
                    <w:rPr>
                      <w:rFonts w:ascii="Cambria Math" w:hAnsi="Cambria Math"/>
                    </w:rPr>
                    <m:t>P</m:t>
                  </m:r>
                </m:e>
                <m:sub>
                  <m:r>
                    <w:rPr>
                      <w:rFonts w:ascii="Cambria Math" w:hAnsi="Cambria Math"/>
                    </w:rPr>
                    <m:t>ref</m:t>
                  </m:r>
                </m:sub>
              </m:sSub>
              <m:r>
                <w:rPr>
                  <w:rFonts w:ascii="Cambria Math" w:hAnsi="Cambria Math"/>
                </w:rPr>
                <m:t>=0.88</m:t>
              </m:r>
              <m:rad>
                <m:radPr>
                  <m:degHide m:val="1"/>
                  <m:ctrlPr>
                    <w:rPr>
                      <w:rFonts w:ascii="Cambria Math" w:hAnsi="Cambria Math"/>
                    </w:rPr>
                  </m:ctrlPr>
                </m:radPr>
                <m:deg/>
                <m:e>
                  <m:sSub>
                    <m:sSubPr>
                      <m:ctrlPr>
                        <w:rPr>
                          <w:rFonts w:ascii="Cambria Math" w:hAnsi="Cambria Math"/>
                        </w:rPr>
                      </m:ctrlPr>
                    </m:sSubPr>
                    <m:e>
                      <m:r>
                        <w:rPr>
                          <w:rFonts w:ascii="Cambria Math" w:hAnsi="Cambria Math"/>
                        </w:rPr>
                        <m:t>∅</m:t>
                      </m:r>
                    </m:e>
                    <m:sub>
                      <m:r>
                        <w:rPr>
                          <w:rFonts w:ascii="Cambria Math" w:hAnsi="Cambria Math"/>
                        </w:rPr>
                        <m:t>use</m:t>
                      </m:r>
                    </m:sub>
                  </m:sSub>
                </m:e>
              </m:rad>
              <m:r>
                <w:rPr>
                  <w:rFonts w:ascii="Cambria Math" w:hAnsi="Cambria Math"/>
                </w:rPr>
                <m:t xml:space="preserve">+0.049 </m:t>
              </m:r>
              <m:sSub>
                <m:sSubPr>
                  <m:ctrlPr>
                    <w:rPr>
                      <w:rFonts w:ascii="Cambria Math" w:hAnsi="Cambria Math"/>
                    </w:rPr>
                  </m:ctrlPr>
                </m:sSubPr>
                <m:e>
                  <m:r>
                    <w:rPr>
                      <w:rFonts w:ascii="Cambria Math" w:hAnsi="Cambria Math"/>
                    </w:rPr>
                    <m:t>∅</m:t>
                  </m:r>
                </m:e>
                <m:sub>
                  <m:r>
                    <w:rPr>
                      <w:rFonts w:ascii="Cambria Math" w:hAnsi="Cambria Math"/>
                    </w:rPr>
                    <m:t>use</m:t>
                  </m:r>
                </m:sub>
              </m:sSub>
            </m:oMath>
          </w:p>
          <w:p w:rsidR="00B479F7" w:rsidRDefault="007C2EFC" w:rsidP="00255AA3">
            <w:pPr>
              <w:pStyle w:val="E3Tabletext"/>
            </w:pPr>
            <m:oMath>
              <m:sSub>
                <m:sSubPr>
                  <m:ctrlPr>
                    <w:rPr>
                      <w:rFonts w:ascii="Cambria Math" w:hAnsi="Cambria Math"/>
                    </w:rPr>
                  </m:ctrlPr>
                </m:sSubPr>
                <m:e>
                  <m:r>
                    <w:rPr>
                      <w:rFonts w:ascii="Cambria Math" w:hAnsi="Cambria Math"/>
                    </w:rPr>
                    <m:t>∅</m:t>
                  </m:r>
                </m:e>
                <m:sub>
                  <m:r>
                    <w:rPr>
                      <w:rFonts w:ascii="Cambria Math" w:hAnsi="Cambria Math"/>
                    </w:rPr>
                    <m:t>use</m:t>
                  </m:r>
                </m:sub>
              </m:sSub>
              <m:r>
                <w:rPr>
                  <w:rFonts w:ascii="Cambria Math" w:hAnsi="Cambria Math"/>
                </w:rPr>
                <m:t xml:space="preserve">≥1300 </m:t>
              </m:r>
            </m:oMath>
            <w:r w:rsidR="00B479F7" w:rsidRPr="007F6750">
              <w:rPr>
                <w:rFonts w:ascii="Calibri" w:hAnsi="Calibri"/>
              </w:rPr>
              <w:t>lumens</w:t>
            </w:r>
            <w:r w:rsidR="00B479F7">
              <w:rPr>
                <w:rFonts w:ascii="Calibri" w:hAnsi="Calibri"/>
              </w:rPr>
              <w:t>:</w:t>
            </w:r>
            <w:r w:rsidR="00B479F7">
              <w:tab/>
            </w:r>
            <m:oMath>
              <m:sSub>
                <m:sSubPr>
                  <m:ctrlPr>
                    <w:rPr>
                      <w:rFonts w:ascii="Cambria Math" w:hAnsi="Cambria Math"/>
                    </w:rPr>
                  </m:ctrlPr>
                </m:sSubPr>
                <m:e>
                  <m:r>
                    <w:rPr>
                      <w:rFonts w:ascii="Cambria Math" w:hAnsi="Cambria Math"/>
                    </w:rPr>
                    <m:t>P</m:t>
                  </m:r>
                </m:e>
                <m:sub>
                  <m:r>
                    <w:rPr>
                      <w:rFonts w:ascii="Cambria Math" w:hAnsi="Cambria Math"/>
                    </w:rPr>
                    <m:t>ref</m:t>
                  </m:r>
                </m:sub>
              </m:sSub>
              <m:r>
                <w:rPr>
                  <w:rFonts w:ascii="Cambria Math" w:hAnsi="Cambria Math"/>
                </w:rPr>
                <m:t xml:space="preserve">=0.07341 </m:t>
              </m:r>
              <m:sSub>
                <m:sSubPr>
                  <m:ctrlPr>
                    <w:rPr>
                      <w:rFonts w:ascii="Cambria Math" w:hAnsi="Cambria Math"/>
                    </w:rPr>
                  </m:ctrlPr>
                </m:sSubPr>
                <m:e>
                  <m:r>
                    <w:rPr>
                      <w:rFonts w:ascii="Cambria Math" w:hAnsi="Cambria Math"/>
                    </w:rPr>
                    <m:t>∅</m:t>
                  </m:r>
                </m:e>
                <m:sub>
                  <m:r>
                    <w:rPr>
                      <w:rFonts w:ascii="Cambria Math" w:hAnsi="Cambria Math"/>
                    </w:rPr>
                    <m:t>use</m:t>
                  </m:r>
                </m:sub>
              </m:sSub>
            </m:oMath>
          </w:p>
          <w:p w:rsidR="00B479F7" w:rsidRPr="007F6750" w:rsidRDefault="00B479F7" w:rsidP="00255AA3">
            <w:pPr>
              <w:pStyle w:val="E3Tabletext"/>
            </w:pPr>
          </w:p>
          <w:p w:rsidR="00B479F7" w:rsidRDefault="00B479F7" w:rsidP="00255AA3">
            <w:pPr>
              <w:pStyle w:val="E3Tabletext"/>
            </w:pPr>
            <w:r>
              <w:t xml:space="preserve">Note: </w:t>
            </w:r>
            <m:oMath>
              <m:sSub>
                <m:sSubPr>
                  <m:ctrlPr>
                    <w:rPr>
                      <w:rFonts w:ascii="Cambria Math" w:hAnsi="Cambria Math"/>
                    </w:rPr>
                  </m:ctrlPr>
                </m:sSubPr>
                <m:e>
                  <m:r>
                    <w:rPr>
                      <w:rFonts w:ascii="Cambria Math" w:hAnsi="Cambria Math"/>
                    </w:rPr>
                    <m:t>∅</m:t>
                  </m:r>
                </m:e>
                <m:sub>
                  <m:r>
                    <w:rPr>
                      <w:rFonts w:ascii="Cambria Math" w:hAnsi="Cambria Math"/>
                    </w:rPr>
                    <m:t>use</m:t>
                  </m:r>
                </m:sub>
              </m:sSub>
            </m:oMath>
            <w:r>
              <w:t>is equal to the rated luminous flux within a:</w:t>
            </w:r>
          </w:p>
          <w:p w:rsidR="00B479F7" w:rsidRPr="007F6750" w:rsidRDefault="00B479F7" w:rsidP="00F1452F">
            <w:pPr>
              <w:pStyle w:val="E3Tabletext"/>
              <w:numPr>
                <w:ilvl w:val="0"/>
                <w:numId w:val="13"/>
              </w:numPr>
            </w:pPr>
            <w:r w:rsidRPr="007F6750">
              <w:t>120</w:t>
            </w:r>
            <w:r>
              <w:sym w:font="Symbol" w:char="F0B0"/>
            </w:r>
            <w:r w:rsidRPr="007F6750">
              <w:t>cone</w:t>
            </w:r>
            <m:oMath>
              <m: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120</m:t>
                  </m:r>
                  <m:r>
                    <w:rPr>
                      <w:rFonts w:ascii="Cambria Math" w:hAnsi="Cambria Math"/>
                    </w:rPr>
                    <w:sym w:font="Symbol" w:char="F0B0"/>
                  </m:r>
                </m:sub>
              </m:sSub>
              <m:r>
                <w:rPr>
                  <w:rFonts w:ascii="Cambria Math" w:hAnsi="Cambria Math"/>
                </w:rPr>
                <m:t>)</m:t>
              </m:r>
            </m:oMath>
            <w:r w:rsidRPr="007F6750">
              <w:t xml:space="preserve">for directional lamps withbeam angle </w:t>
            </w:r>
            <w:r>
              <w:t>≥90</w:t>
            </w:r>
            <w:r>
              <w:sym w:font="Symbol" w:char="F0B0"/>
            </w:r>
          </w:p>
          <w:p w:rsidR="00B479F7" w:rsidRPr="007F6750" w:rsidRDefault="00B479F7" w:rsidP="00F1452F">
            <w:pPr>
              <w:pStyle w:val="E3Tabletext"/>
              <w:numPr>
                <w:ilvl w:val="0"/>
                <w:numId w:val="13"/>
              </w:numPr>
            </w:pPr>
            <w:r w:rsidRPr="007F6750">
              <w:t>90</w:t>
            </w:r>
            <w:r>
              <w:sym w:font="Symbol" w:char="F0B0"/>
            </w:r>
            <w:r w:rsidRPr="007F6750">
              <w:t xml:space="preserve">cone  </w:t>
            </w:r>
            <m:oMath>
              <m: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90</m:t>
                  </m:r>
                  <m:r>
                    <w:rPr>
                      <w:rFonts w:ascii="Cambria Math" w:hAnsi="Cambria Math"/>
                    </w:rPr>
                    <w:sym w:font="Symbol" w:char="F0B0"/>
                  </m:r>
                </m:sub>
              </m:sSub>
              <m:r>
                <w:rPr>
                  <w:rFonts w:ascii="Cambria Math" w:hAnsi="Cambria Math"/>
                </w:rPr>
                <m:t>)</m:t>
              </m:r>
            </m:oMath>
            <w:r>
              <w:t xml:space="preserve"> f</w:t>
            </w:r>
            <w:r w:rsidRPr="007F6750">
              <w:t xml:space="preserve">or all other directional lamps </w:t>
            </w:r>
          </w:p>
          <w:p w:rsidR="00B479F7" w:rsidRDefault="00B479F7" w:rsidP="00255AA3">
            <w:pPr>
              <w:pStyle w:val="E3Tabletext"/>
            </w:pPr>
            <w:r>
              <w:t>The maximum Energy Efficiency Index for LEDS:</w:t>
            </w:r>
          </w:p>
        </w:tc>
        <w:tc>
          <w:tcPr>
            <w:tcW w:w="2484" w:type="dxa"/>
            <w:vMerge w:val="restart"/>
          </w:tcPr>
          <w:p w:rsidR="00B479F7" w:rsidRDefault="00B479F7" w:rsidP="00255AA3">
            <w:pPr>
              <w:pStyle w:val="E3Tabletext"/>
            </w:pPr>
            <w:r>
              <w:t>Conducted by reliable, accurate and reproducible measurement methods</w:t>
            </w:r>
          </w:p>
          <w:p w:rsidR="00B479F7" w:rsidRDefault="00B479F7" w:rsidP="00235234"/>
        </w:tc>
      </w:tr>
      <w:tr w:rsidR="00B479F7" w:rsidTr="008C09F8">
        <w:trPr>
          <w:cantSplit/>
          <w:trHeight w:val="90"/>
          <w:jc w:val="center"/>
        </w:trPr>
        <w:tc>
          <w:tcPr>
            <w:tcW w:w="1480" w:type="dxa"/>
            <w:vMerge/>
          </w:tcPr>
          <w:p w:rsidR="00B479F7" w:rsidRDefault="00B479F7" w:rsidP="00235234"/>
        </w:tc>
        <w:tc>
          <w:tcPr>
            <w:tcW w:w="2806" w:type="dxa"/>
          </w:tcPr>
          <w:p w:rsidR="00B479F7" w:rsidRDefault="00B479F7" w:rsidP="00255AA3">
            <w:pPr>
              <w:pStyle w:val="E3Tabletext"/>
            </w:pPr>
            <w:r>
              <w:t>Stage</w:t>
            </w:r>
          </w:p>
        </w:tc>
        <w:tc>
          <w:tcPr>
            <w:tcW w:w="2806" w:type="dxa"/>
          </w:tcPr>
          <w:p w:rsidR="00B479F7" w:rsidRDefault="00B479F7" w:rsidP="00255AA3">
            <w:pPr>
              <w:pStyle w:val="E3Tabletext"/>
            </w:pPr>
            <w:r>
              <w:t>EEI</w:t>
            </w:r>
          </w:p>
        </w:tc>
        <w:tc>
          <w:tcPr>
            <w:tcW w:w="2484" w:type="dxa"/>
            <w:vMerge/>
          </w:tcPr>
          <w:p w:rsidR="00B479F7" w:rsidRDefault="00B479F7" w:rsidP="00235234"/>
        </w:tc>
      </w:tr>
      <w:tr w:rsidR="00B479F7" w:rsidTr="008C09F8">
        <w:trPr>
          <w:cantSplit/>
          <w:trHeight w:val="90"/>
          <w:jc w:val="center"/>
        </w:trPr>
        <w:tc>
          <w:tcPr>
            <w:tcW w:w="1480" w:type="dxa"/>
            <w:vMerge/>
          </w:tcPr>
          <w:p w:rsidR="00B479F7" w:rsidRDefault="00B479F7" w:rsidP="00235234"/>
        </w:tc>
        <w:tc>
          <w:tcPr>
            <w:tcW w:w="2806" w:type="dxa"/>
          </w:tcPr>
          <w:p w:rsidR="00B479F7" w:rsidRDefault="00B479F7" w:rsidP="00255AA3">
            <w:pPr>
              <w:pStyle w:val="E3Tabletext"/>
            </w:pPr>
            <w:r>
              <w:t>1</w:t>
            </w:r>
          </w:p>
        </w:tc>
        <w:tc>
          <w:tcPr>
            <w:tcW w:w="2806" w:type="dxa"/>
          </w:tcPr>
          <w:p w:rsidR="00B479F7" w:rsidRDefault="00B479F7" w:rsidP="00255AA3">
            <w:pPr>
              <w:pStyle w:val="E3Tabletext"/>
            </w:pPr>
            <w:r>
              <w:t>0.5</w:t>
            </w:r>
          </w:p>
        </w:tc>
        <w:tc>
          <w:tcPr>
            <w:tcW w:w="2484" w:type="dxa"/>
            <w:vMerge/>
          </w:tcPr>
          <w:p w:rsidR="00B479F7" w:rsidRDefault="00B479F7" w:rsidP="00235234"/>
        </w:tc>
      </w:tr>
      <w:tr w:rsidR="00B479F7" w:rsidTr="008C09F8">
        <w:trPr>
          <w:cantSplit/>
          <w:trHeight w:val="90"/>
          <w:jc w:val="center"/>
        </w:trPr>
        <w:tc>
          <w:tcPr>
            <w:tcW w:w="1480" w:type="dxa"/>
            <w:vMerge/>
          </w:tcPr>
          <w:p w:rsidR="00B479F7" w:rsidRDefault="00B479F7" w:rsidP="00235234"/>
        </w:tc>
        <w:tc>
          <w:tcPr>
            <w:tcW w:w="2806" w:type="dxa"/>
          </w:tcPr>
          <w:p w:rsidR="00B479F7" w:rsidRDefault="00B479F7" w:rsidP="00255AA3">
            <w:pPr>
              <w:pStyle w:val="E3Tabletext"/>
            </w:pPr>
            <w:r>
              <w:t>2</w:t>
            </w:r>
          </w:p>
        </w:tc>
        <w:tc>
          <w:tcPr>
            <w:tcW w:w="2806" w:type="dxa"/>
          </w:tcPr>
          <w:p w:rsidR="00B479F7" w:rsidRDefault="00B479F7" w:rsidP="00255AA3">
            <w:pPr>
              <w:pStyle w:val="E3Tabletext"/>
            </w:pPr>
            <w:r>
              <w:t>0.5</w:t>
            </w:r>
          </w:p>
        </w:tc>
        <w:tc>
          <w:tcPr>
            <w:tcW w:w="2484" w:type="dxa"/>
            <w:vMerge/>
          </w:tcPr>
          <w:p w:rsidR="00B479F7" w:rsidRDefault="00B479F7" w:rsidP="00235234"/>
        </w:tc>
      </w:tr>
      <w:tr w:rsidR="00B479F7" w:rsidTr="008C09F8">
        <w:trPr>
          <w:cantSplit/>
          <w:trHeight w:val="90"/>
          <w:jc w:val="center"/>
        </w:trPr>
        <w:tc>
          <w:tcPr>
            <w:tcW w:w="1480" w:type="dxa"/>
            <w:vMerge/>
          </w:tcPr>
          <w:p w:rsidR="00B479F7" w:rsidRDefault="00B479F7" w:rsidP="00235234"/>
        </w:tc>
        <w:tc>
          <w:tcPr>
            <w:tcW w:w="2806" w:type="dxa"/>
          </w:tcPr>
          <w:p w:rsidR="00B479F7" w:rsidRDefault="00B479F7" w:rsidP="00255AA3">
            <w:pPr>
              <w:pStyle w:val="E3Tabletext"/>
            </w:pPr>
            <w:r>
              <w:t>3</w:t>
            </w:r>
          </w:p>
        </w:tc>
        <w:tc>
          <w:tcPr>
            <w:tcW w:w="2806" w:type="dxa"/>
          </w:tcPr>
          <w:p w:rsidR="00B479F7" w:rsidRDefault="00B479F7" w:rsidP="00255AA3">
            <w:pPr>
              <w:pStyle w:val="E3Tabletext"/>
            </w:pPr>
            <w:r>
              <w:t>0.2</w:t>
            </w:r>
          </w:p>
        </w:tc>
        <w:tc>
          <w:tcPr>
            <w:tcW w:w="2484" w:type="dxa"/>
            <w:vMerge/>
          </w:tcPr>
          <w:p w:rsidR="00B479F7" w:rsidRDefault="00B479F7" w:rsidP="00235234"/>
        </w:tc>
      </w:tr>
      <w:tr w:rsidR="00334066" w:rsidTr="008C09F8">
        <w:trPr>
          <w:cantSplit/>
          <w:jc w:val="center"/>
        </w:trPr>
        <w:tc>
          <w:tcPr>
            <w:tcW w:w="1480" w:type="dxa"/>
          </w:tcPr>
          <w:p w:rsidR="00334066" w:rsidRDefault="00334066" w:rsidP="00255AA3">
            <w:pPr>
              <w:pStyle w:val="E3Tabletext"/>
            </w:pPr>
            <w:r>
              <w:t>Lamp survival</w:t>
            </w:r>
          </w:p>
        </w:tc>
        <w:tc>
          <w:tcPr>
            <w:tcW w:w="5612" w:type="dxa"/>
            <w:gridSpan w:val="2"/>
          </w:tcPr>
          <w:p w:rsidR="00334066" w:rsidRDefault="00334066" w:rsidP="00255AA3">
            <w:pPr>
              <w:pStyle w:val="E3Tabletext"/>
            </w:pPr>
            <w:r>
              <w:t>Lamp survival factor at 6,000 h ≥ 0.90 (from stage 2)</w:t>
            </w:r>
          </w:p>
        </w:tc>
        <w:tc>
          <w:tcPr>
            <w:tcW w:w="2484" w:type="dxa"/>
          </w:tcPr>
          <w:p w:rsidR="00334066" w:rsidRDefault="00334066" w:rsidP="00235234"/>
        </w:tc>
      </w:tr>
      <w:tr w:rsidR="00334066" w:rsidTr="008C09F8">
        <w:trPr>
          <w:cantSplit/>
          <w:jc w:val="center"/>
        </w:trPr>
        <w:tc>
          <w:tcPr>
            <w:tcW w:w="1480" w:type="dxa"/>
          </w:tcPr>
          <w:p w:rsidR="00334066" w:rsidRDefault="00334066" w:rsidP="00255AA3">
            <w:pPr>
              <w:pStyle w:val="E3Tabletext"/>
            </w:pPr>
            <w:r>
              <w:t>Lumen maintenance</w:t>
            </w:r>
          </w:p>
        </w:tc>
        <w:tc>
          <w:tcPr>
            <w:tcW w:w="5612" w:type="dxa"/>
            <w:gridSpan w:val="2"/>
          </w:tcPr>
          <w:p w:rsidR="00334066" w:rsidRDefault="00334066" w:rsidP="00255AA3">
            <w:pPr>
              <w:pStyle w:val="E3Tabletext"/>
            </w:pPr>
            <w:r>
              <w:t>Lumen maintenance at 6,000 h ≥ 0.80 (from stage 2)</w:t>
            </w:r>
          </w:p>
        </w:tc>
        <w:tc>
          <w:tcPr>
            <w:tcW w:w="2484" w:type="dxa"/>
          </w:tcPr>
          <w:p w:rsidR="00334066" w:rsidRDefault="00334066" w:rsidP="00235234"/>
        </w:tc>
      </w:tr>
      <w:tr w:rsidR="00334066" w:rsidTr="008C09F8">
        <w:trPr>
          <w:cantSplit/>
          <w:jc w:val="center"/>
        </w:trPr>
        <w:tc>
          <w:tcPr>
            <w:tcW w:w="1480" w:type="dxa"/>
          </w:tcPr>
          <w:p w:rsidR="00334066" w:rsidRPr="00C47C33" w:rsidRDefault="00334066" w:rsidP="00255AA3">
            <w:pPr>
              <w:pStyle w:val="E3Tabletext"/>
            </w:pPr>
            <w:r w:rsidRPr="00C47C33">
              <w:t>Switching withstand</w:t>
            </w:r>
          </w:p>
        </w:tc>
        <w:tc>
          <w:tcPr>
            <w:tcW w:w="5612" w:type="dxa"/>
            <w:gridSpan w:val="2"/>
          </w:tcPr>
          <w:p w:rsidR="00334066" w:rsidRPr="00C47C33" w:rsidRDefault="00334066" w:rsidP="00255AA3">
            <w:pPr>
              <w:pStyle w:val="E3Tabletext"/>
            </w:pPr>
            <w:r w:rsidRPr="00C47C33">
              <w:t xml:space="preserve">Switching cycles before failure </w:t>
            </w:r>
          </w:p>
          <w:p w:rsidR="00334066" w:rsidRPr="00C47C33" w:rsidRDefault="00334066" w:rsidP="00F1452F">
            <w:pPr>
              <w:pStyle w:val="E3Tabletext"/>
              <w:numPr>
                <w:ilvl w:val="0"/>
                <w:numId w:val="14"/>
              </w:numPr>
            </w:pPr>
            <w:r w:rsidRPr="00C47C33">
              <w:t>≥ 15,000 (for rated life ≥ 30,000 h)</w:t>
            </w:r>
          </w:p>
          <w:p w:rsidR="00334066" w:rsidRPr="00C47C33" w:rsidRDefault="00334066" w:rsidP="00F1452F">
            <w:pPr>
              <w:pStyle w:val="E3Tabletext"/>
              <w:numPr>
                <w:ilvl w:val="0"/>
                <w:numId w:val="14"/>
              </w:numPr>
            </w:pPr>
            <w:r w:rsidRPr="00C47C33">
              <w:t>Otherwise ≥ half the rated life in hours</w:t>
            </w:r>
          </w:p>
        </w:tc>
        <w:tc>
          <w:tcPr>
            <w:tcW w:w="2484" w:type="dxa"/>
          </w:tcPr>
          <w:p w:rsidR="00334066" w:rsidRDefault="00334066" w:rsidP="00235234"/>
        </w:tc>
      </w:tr>
      <w:tr w:rsidR="00334066" w:rsidTr="008C09F8">
        <w:trPr>
          <w:cantSplit/>
          <w:jc w:val="center"/>
        </w:trPr>
        <w:tc>
          <w:tcPr>
            <w:tcW w:w="1480" w:type="dxa"/>
          </w:tcPr>
          <w:p w:rsidR="00334066" w:rsidRPr="00C47C33" w:rsidRDefault="00334066" w:rsidP="00255AA3">
            <w:pPr>
              <w:pStyle w:val="E3Tabletext"/>
            </w:pPr>
            <w:r>
              <w:t>Start time</w:t>
            </w:r>
          </w:p>
        </w:tc>
        <w:tc>
          <w:tcPr>
            <w:tcW w:w="5612" w:type="dxa"/>
            <w:gridSpan w:val="2"/>
          </w:tcPr>
          <w:p w:rsidR="00334066" w:rsidRPr="00C47C33" w:rsidRDefault="00334066" w:rsidP="00255AA3">
            <w:pPr>
              <w:pStyle w:val="E3Tabletext"/>
            </w:pPr>
            <w:r>
              <w:t>≤ 0.5 s</w:t>
            </w:r>
          </w:p>
        </w:tc>
        <w:tc>
          <w:tcPr>
            <w:tcW w:w="2484" w:type="dxa"/>
          </w:tcPr>
          <w:p w:rsidR="00334066" w:rsidRDefault="00334066" w:rsidP="00235234"/>
        </w:tc>
      </w:tr>
      <w:tr w:rsidR="00334066" w:rsidTr="008C09F8">
        <w:trPr>
          <w:cantSplit/>
          <w:jc w:val="center"/>
        </w:trPr>
        <w:tc>
          <w:tcPr>
            <w:tcW w:w="1480" w:type="dxa"/>
          </w:tcPr>
          <w:p w:rsidR="00334066" w:rsidRDefault="00334066" w:rsidP="00255AA3">
            <w:pPr>
              <w:pStyle w:val="E3Tabletext"/>
            </w:pPr>
            <w:r>
              <w:t>Run up time</w:t>
            </w:r>
          </w:p>
        </w:tc>
        <w:tc>
          <w:tcPr>
            <w:tcW w:w="5612" w:type="dxa"/>
            <w:gridSpan w:val="2"/>
          </w:tcPr>
          <w:p w:rsidR="00334066" w:rsidRDefault="00334066" w:rsidP="00255AA3">
            <w:pPr>
              <w:pStyle w:val="E3Tabletext"/>
            </w:pPr>
            <w:r>
              <w:t xml:space="preserve">0.95 * </w:t>
            </w:r>
            <w:r>
              <w:sym w:font="Symbol" w:char="F066"/>
            </w:r>
            <w:r>
              <w:t>&lt; 2 s</w:t>
            </w:r>
          </w:p>
        </w:tc>
        <w:tc>
          <w:tcPr>
            <w:tcW w:w="2484" w:type="dxa"/>
          </w:tcPr>
          <w:p w:rsidR="00334066" w:rsidRDefault="00334066" w:rsidP="00235234"/>
        </w:tc>
      </w:tr>
      <w:tr w:rsidR="00334066" w:rsidTr="008C09F8">
        <w:trPr>
          <w:cantSplit/>
          <w:jc w:val="center"/>
        </w:trPr>
        <w:tc>
          <w:tcPr>
            <w:tcW w:w="1480" w:type="dxa"/>
          </w:tcPr>
          <w:p w:rsidR="00334066" w:rsidRDefault="00334066" w:rsidP="00255AA3">
            <w:pPr>
              <w:pStyle w:val="E3Tabletext"/>
            </w:pPr>
            <w:r>
              <w:t>Premature failure rate</w:t>
            </w:r>
          </w:p>
        </w:tc>
        <w:tc>
          <w:tcPr>
            <w:tcW w:w="5612" w:type="dxa"/>
            <w:gridSpan w:val="2"/>
          </w:tcPr>
          <w:p w:rsidR="00334066" w:rsidRDefault="00334066" w:rsidP="00255AA3">
            <w:pPr>
              <w:pStyle w:val="E3Tabletext"/>
            </w:pPr>
            <w:r>
              <w:t>≤ 5% at 100 h</w:t>
            </w:r>
          </w:p>
        </w:tc>
        <w:tc>
          <w:tcPr>
            <w:tcW w:w="2484" w:type="dxa"/>
          </w:tcPr>
          <w:p w:rsidR="00334066" w:rsidRDefault="00334066" w:rsidP="00235234"/>
        </w:tc>
      </w:tr>
      <w:tr w:rsidR="00334066" w:rsidTr="008C09F8">
        <w:trPr>
          <w:cantSplit/>
          <w:jc w:val="center"/>
        </w:trPr>
        <w:tc>
          <w:tcPr>
            <w:tcW w:w="1480" w:type="dxa"/>
          </w:tcPr>
          <w:p w:rsidR="00334066" w:rsidRDefault="00334066" w:rsidP="00255AA3">
            <w:pPr>
              <w:pStyle w:val="E3Tabletext"/>
            </w:pPr>
            <w:r>
              <w:t>Colour rendering</w:t>
            </w:r>
          </w:p>
        </w:tc>
        <w:tc>
          <w:tcPr>
            <w:tcW w:w="5612" w:type="dxa"/>
            <w:gridSpan w:val="2"/>
          </w:tcPr>
          <w:p w:rsidR="00334066" w:rsidRDefault="00334066" w:rsidP="00255AA3">
            <w:pPr>
              <w:pStyle w:val="E3Tabletext"/>
            </w:pPr>
            <w:r>
              <w:t>Ra ≥ 80</w:t>
            </w:r>
          </w:p>
          <w:p w:rsidR="00334066" w:rsidRDefault="00C525A0" w:rsidP="00255AA3">
            <w:pPr>
              <w:pStyle w:val="E3Tabletext"/>
            </w:pPr>
            <w:r>
              <w:t xml:space="preserve">Ra </w:t>
            </w:r>
            <w:r w:rsidR="00334066">
              <w:t>≥ 65 (if lamp intended for outdoor or industrial applications)</w:t>
            </w:r>
          </w:p>
        </w:tc>
        <w:tc>
          <w:tcPr>
            <w:tcW w:w="2484" w:type="dxa"/>
          </w:tcPr>
          <w:p w:rsidR="00334066" w:rsidRDefault="00334066" w:rsidP="00235234"/>
        </w:tc>
      </w:tr>
      <w:tr w:rsidR="00334066" w:rsidTr="008C09F8">
        <w:trPr>
          <w:cantSplit/>
          <w:jc w:val="center"/>
        </w:trPr>
        <w:tc>
          <w:tcPr>
            <w:tcW w:w="1480" w:type="dxa"/>
          </w:tcPr>
          <w:p w:rsidR="00334066" w:rsidRDefault="00334066" w:rsidP="00255AA3">
            <w:pPr>
              <w:pStyle w:val="E3Tabletext"/>
            </w:pPr>
            <w:r>
              <w:t>Colour consistency</w:t>
            </w:r>
          </w:p>
        </w:tc>
        <w:tc>
          <w:tcPr>
            <w:tcW w:w="5612" w:type="dxa"/>
            <w:gridSpan w:val="2"/>
          </w:tcPr>
          <w:p w:rsidR="00334066" w:rsidRDefault="00334066" w:rsidP="00255AA3">
            <w:pPr>
              <w:pStyle w:val="E3Tabletext"/>
            </w:pPr>
            <w:r>
              <w:t>CCT spread within 6-step MacAdam ellipse</w:t>
            </w:r>
          </w:p>
        </w:tc>
        <w:tc>
          <w:tcPr>
            <w:tcW w:w="2484" w:type="dxa"/>
          </w:tcPr>
          <w:p w:rsidR="00334066" w:rsidRDefault="00334066" w:rsidP="00235234"/>
        </w:tc>
      </w:tr>
      <w:tr w:rsidR="00B479F7" w:rsidTr="008C09F8">
        <w:trPr>
          <w:cantSplit/>
          <w:trHeight w:val="97"/>
          <w:jc w:val="center"/>
        </w:trPr>
        <w:tc>
          <w:tcPr>
            <w:tcW w:w="1480" w:type="dxa"/>
            <w:vMerge w:val="restart"/>
          </w:tcPr>
          <w:p w:rsidR="00B479F7" w:rsidRDefault="00B479F7" w:rsidP="00255AA3">
            <w:pPr>
              <w:pStyle w:val="E3Tabletext"/>
            </w:pPr>
            <w:r>
              <w:t>Power factor</w:t>
            </w:r>
          </w:p>
        </w:tc>
        <w:tc>
          <w:tcPr>
            <w:tcW w:w="2806" w:type="dxa"/>
          </w:tcPr>
          <w:p w:rsidR="00B479F7" w:rsidRDefault="00B479F7" w:rsidP="00255AA3">
            <w:pPr>
              <w:pStyle w:val="E3Tabletext"/>
            </w:pPr>
            <w:r>
              <w:t>Power (W)</w:t>
            </w:r>
          </w:p>
        </w:tc>
        <w:tc>
          <w:tcPr>
            <w:tcW w:w="2806" w:type="dxa"/>
          </w:tcPr>
          <w:p w:rsidR="00B479F7" w:rsidRDefault="00B479F7" w:rsidP="00255AA3">
            <w:pPr>
              <w:pStyle w:val="E3Tabletext"/>
            </w:pPr>
            <w:r>
              <w:t>PF</w:t>
            </w:r>
          </w:p>
        </w:tc>
        <w:tc>
          <w:tcPr>
            <w:tcW w:w="2484" w:type="dxa"/>
            <w:vMerge w:val="restart"/>
          </w:tcPr>
          <w:p w:rsidR="00B479F7" w:rsidRDefault="00B479F7" w:rsidP="00235234"/>
        </w:tc>
      </w:tr>
      <w:tr w:rsidR="00B479F7" w:rsidTr="008C09F8">
        <w:trPr>
          <w:cantSplit/>
          <w:trHeight w:val="93"/>
          <w:jc w:val="center"/>
        </w:trPr>
        <w:tc>
          <w:tcPr>
            <w:tcW w:w="1480" w:type="dxa"/>
            <w:vMerge/>
          </w:tcPr>
          <w:p w:rsidR="00B479F7" w:rsidRDefault="00B479F7" w:rsidP="00235234">
            <w:pPr>
              <w:rPr>
                <w:rFonts w:asciiTheme="minorHAnsi" w:hAnsiTheme="minorHAnsi"/>
              </w:rPr>
            </w:pPr>
          </w:p>
        </w:tc>
        <w:tc>
          <w:tcPr>
            <w:tcW w:w="2806" w:type="dxa"/>
          </w:tcPr>
          <w:p w:rsidR="00B479F7" w:rsidRDefault="00B479F7" w:rsidP="00255AA3">
            <w:pPr>
              <w:pStyle w:val="E3Tabletext"/>
            </w:pPr>
            <w:r>
              <w:t>P ≤ 2</w:t>
            </w:r>
          </w:p>
        </w:tc>
        <w:tc>
          <w:tcPr>
            <w:tcW w:w="2806" w:type="dxa"/>
          </w:tcPr>
          <w:p w:rsidR="00B479F7" w:rsidRDefault="00B479F7" w:rsidP="00255AA3">
            <w:pPr>
              <w:pStyle w:val="E3Tabletext"/>
            </w:pPr>
            <w:r>
              <w:t>N/A</w:t>
            </w:r>
          </w:p>
        </w:tc>
        <w:tc>
          <w:tcPr>
            <w:tcW w:w="2484" w:type="dxa"/>
            <w:vMerge/>
          </w:tcPr>
          <w:p w:rsidR="00B479F7" w:rsidRDefault="00B479F7" w:rsidP="00235234"/>
        </w:tc>
      </w:tr>
      <w:tr w:rsidR="00B479F7" w:rsidTr="008C09F8">
        <w:trPr>
          <w:cantSplit/>
          <w:trHeight w:val="93"/>
          <w:jc w:val="center"/>
        </w:trPr>
        <w:tc>
          <w:tcPr>
            <w:tcW w:w="1480" w:type="dxa"/>
            <w:vMerge/>
          </w:tcPr>
          <w:p w:rsidR="00B479F7" w:rsidRDefault="00B479F7" w:rsidP="00235234">
            <w:pPr>
              <w:rPr>
                <w:rFonts w:asciiTheme="minorHAnsi" w:hAnsiTheme="minorHAnsi"/>
              </w:rPr>
            </w:pPr>
          </w:p>
        </w:tc>
        <w:tc>
          <w:tcPr>
            <w:tcW w:w="2806" w:type="dxa"/>
          </w:tcPr>
          <w:p w:rsidR="00B479F7" w:rsidRDefault="00B479F7" w:rsidP="00255AA3">
            <w:pPr>
              <w:pStyle w:val="E3Tabletext"/>
            </w:pPr>
            <w:r>
              <w:t>2 &lt; P ≤ 5</w:t>
            </w:r>
          </w:p>
        </w:tc>
        <w:tc>
          <w:tcPr>
            <w:tcW w:w="2806" w:type="dxa"/>
          </w:tcPr>
          <w:p w:rsidR="00B479F7" w:rsidRDefault="00B479F7" w:rsidP="00255AA3">
            <w:pPr>
              <w:pStyle w:val="E3Tabletext"/>
            </w:pPr>
            <w:r>
              <w:t>&gt; 0.4</w:t>
            </w:r>
          </w:p>
        </w:tc>
        <w:tc>
          <w:tcPr>
            <w:tcW w:w="2484" w:type="dxa"/>
            <w:vMerge/>
          </w:tcPr>
          <w:p w:rsidR="00B479F7" w:rsidRDefault="00B479F7" w:rsidP="00235234"/>
        </w:tc>
      </w:tr>
      <w:tr w:rsidR="00B479F7" w:rsidTr="008C09F8">
        <w:trPr>
          <w:cantSplit/>
          <w:trHeight w:val="93"/>
          <w:jc w:val="center"/>
        </w:trPr>
        <w:tc>
          <w:tcPr>
            <w:tcW w:w="1480" w:type="dxa"/>
            <w:vMerge/>
          </w:tcPr>
          <w:p w:rsidR="00B479F7" w:rsidRDefault="00B479F7" w:rsidP="00235234">
            <w:pPr>
              <w:rPr>
                <w:rFonts w:asciiTheme="minorHAnsi" w:hAnsiTheme="minorHAnsi"/>
              </w:rPr>
            </w:pPr>
          </w:p>
        </w:tc>
        <w:tc>
          <w:tcPr>
            <w:tcW w:w="2806" w:type="dxa"/>
          </w:tcPr>
          <w:p w:rsidR="00B479F7" w:rsidRDefault="00B479F7" w:rsidP="00255AA3">
            <w:pPr>
              <w:pStyle w:val="E3Tabletext"/>
            </w:pPr>
            <w:r>
              <w:t>5 &lt; P ≤ 25</w:t>
            </w:r>
          </w:p>
        </w:tc>
        <w:tc>
          <w:tcPr>
            <w:tcW w:w="2806" w:type="dxa"/>
          </w:tcPr>
          <w:p w:rsidR="00B479F7" w:rsidRDefault="00B479F7" w:rsidP="00255AA3">
            <w:pPr>
              <w:pStyle w:val="E3Tabletext"/>
            </w:pPr>
            <w:r>
              <w:t>&gt; 0.5</w:t>
            </w:r>
          </w:p>
        </w:tc>
        <w:tc>
          <w:tcPr>
            <w:tcW w:w="2484" w:type="dxa"/>
            <w:vMerge/>
          </w:tcPr>
          <w:p w:rsidR="00B479F7" w:rsidRDefault="00B479F7" w:rsidP="00235234"/>
        </w:tc>
      </w:tr>
      <w:tr w:rsidR="00B479F7" w:rsidTr="008C09F8">
        <w:trPr>
          <w:cantSplit/>
          <w:trHeight w:val="93"/>
          <w:jc w:val="center"/>
        </w:trPr>
        <w:tc>
          <w:tcPr>
            <w:tcW w:w="1480" w:type="dxa"/>
            <w:vMerge/>
          </w:tcPr>
          <w:p w:rsidR="00B479F7" w:rsidRDefault="00B479F7" w:rsidP="00235234">
            <w:pPr>
              <w:rPr>
                <w:rFonts w:asciiTheme="minorHAnsi" w:hAnsiTheme="minorHAnsi"/>
              </w:rPr>
            </w:pPr>
          </w:p>
        </w:tc>
        <w:tc>
          <w:tcPr>
            <w:tcW w:w="2806" w:type="dxa"/>
          </w:tcPr>
          <w:p w:rsidR="00B479F7" w:rsidRDefault="008E2F48" w:rsidP="00255AA3">
            <w:pPr>
              <w:pStyle w:val="E3Tabletext"/>
            </w:pPr>
            <w:r>
              <w:t>25 &lt; P</w:t>
            </w:r>
          </w:p>
        </w:tc>
        <w:tc>
          <w:tcPr>
            <w:tcW w:w="2806" w:type="dxa"/>
          </w:tcPr>
          <w:p w:rsidR="00B479F7" w:rsidRDefault="00B479F7" w:rsidP="00255AA3">
            <w:pPr>
              <w:pStyle w:val="E3Tabletext"/>
            </w:pPr>
            <w:r>
              <w:t>&gt; 0.9</w:t>
            </w:r>
          </w:p>
        </w:tc>
        <w:tc>
          <w:tcPr>
            <w:tcW w:w="2484" w:type="dxa"/>
            <w:vMerge/>
          </w:tcPr>
          <w:p w:rsidR="00B479F7" w:rsidRDefault="00B479F7" w:rsidP="00235234"/>
        </w:tc>
      </w:tr>
    </w:tbl>
    <w:p w:rsidR="00334066" w:rsidRPr="00AF0D58" w:rsidRDefault="00334066" w:rsidP="00E65B09">
      <w:pPr>
        <w:pStyle w:val="E3Heading4"/>
        <w:numPr>
          <w:ilvl w:val="0"/>
          <w:numId w:val="0"/>
        </w:numPr>
        <w:ind w:left="1008" w:hanging="1008"/>
        <w:rPr>
          <w:lang w:eastAsia="en-AU"/>
        </w:rPr>
      </w:pPr>
      <w:bookmarkStart w:id="303" w:name="_Toc389123358"/>
      <w:r w:rsidRPr="00AF0D58">
        <w:rPr>
          <w:lang w:eastAsia="en-AU"/>
        </w:rPr>
        <w:t>Energy Label (Commission Directive 98/11/EC)</w:t>
      </w:r>
      <w:bookmarkEnd w:id="303"/>
    </w:p>
    <w:p w:rsidR="00334066" w:rsidRPr="00310986" w:rsidRDefault="00334066" w:rsidP="00E65B09">
      <w:pPr>
        <w:pStyle w:val="E3Heading4"/>
        <w:numPr>
          <w:ilvl w:val="0"/>
          <w:numId w:val="0"/>
        </w:numPr>
        <w:ind w:left="1008" w:hanging="1008"/>
        <w:rPr>
          <w:lang w:eastAsia="en-AU"/>
        </w:rPr>
      </w:pPr>
      <w:bookmarkStart w:id="304" w:name="_Ref361307080"/>
      <w:r w:rsidRPr="00310986">
        <w:rPr>
          <w:lang w:eastAsia="en-AU"/>
        </w:rPr>
        <w:t>Scope</w:t>
      </w:r>
      <w:bookmarkEnd w:id="304"/>
    </w:p>
    <w:p w:rsidR="00334066" w:rsidRDefault="00334066" w:rsidP="00C525A0">
      <w:pPr>
        <w:pStyle w:val="E3BodyText"/>
        <w:rPr>
          <w:lang w:eastAsia="en-AU"/>
        </w:rPr>
      </w:pPr>
      <w:r>
        <w:rPr>
          <w:lang w:eastAsia="en-AU"/>
        </w:rPr>
        <w:t xml:space="preserve">This Regulation establishes requirements for labelling of and providing supplementary product information on electrical lamps such as </w:t>
      </w:r>
    </w:p>
    <w:p w:rsidR="00334066" w:rsidRDefault="00334066" w:rsidP="00C525A0">
      <w:pPr>
        <w:pStyle w:val="E3Bullets"/>
        <w:rPr>
          <w:lang w:eastAsia="en-AU"/>
        </w:rPr>
      </w:pPr>
      <w:r>
        <w:rPr>
          <w:lang w:eastAsia="en-AU"/>
        </w:rPr>
        <w:t xml:space="preserve">filament lamps, </w:t>
      </w:r>
    </w:p>
    <w:p w:rsidR="00334066" w:rsidRDefault="00334066" w:rsidP="00C525A0">
      <w:pPr>
        <w:pStyle w:val="E3Bullets"/>
        <w:rPr>
          <w:lang w:eastAsia="en-AU"/>
        </w:rPr>
      </w:pPr>
      <w:r>
        <w:rPr>
          <w:lang w:eastAsia="en-AU"/>
        </w:rPr>
        <w:t xml:space="preserve">fluorescent lamps, </w:t>
      </w:r>
    </w:p>
    <w:p w:rsidR="00334066" w:rsidRDefault="00334066" w:rsidP="00C525A0">
      <w:pPr>
        <w:pStyle w:val="E3Bullets"/>
        <w:rPr>
          <w:lang w:eastAsia="en-AU"/>
        </w:rPr>
      </w:pPr>
      <w:r>
        <w:rPr>
          <w:lang w:eastAsia="en-AU"/>
        </w:rPr>
        <w:t xml:space="preserve">high-intensity discharge lamps, </w:t>
      </w:r>
    </w:p>
    <w:p w:rsidR="00334066" w:rsidRDefault="00334066" w:rsidP="00C525A0">
      <w:pPr>
        <w:pStyle w:val="E3Bullets"/>
        <w:rPr>
          <w:lang w:eastAsia="en-AU"/>
        </w:rPr>
      </w:pPr>
      <w:r>
        <w:rPr>
          <w:lang w:eastAsia="en-AU"/>
        </w:rPr>
        <w:t xml:space="preserve">LED lamps and LED modules. </w:t>
      </w:r>
    </w:p>
    <w:p w:rsidR="00334066" w:rsidRDefault="00334066" w:rsidP="00C525A0">
      <w:pPr>
        <w:pStyle w:val="E3BodyText"/>
        <w:rPr>
          <w:lang w:eastAsia="en-AU"/>
        </w:rPr>
      </w:pPr>
      <w:r>
        <w:rPr>
          <w:lang w:eastAsia="en-AU"/>
        </w:rPr>
        <w:lastRenderedPageBreak/>
        <w:t xml:space="preserve">This Regulation also establishes requirements for labelling luminaires designed to operate such lamps and marketed to end users, including when they are integrated into other products that are not dependent on energy input in fulfilling their primary purpose during use (such as furniture). </w:t>
      </w:r>
    </w:p>
    <w:p w:rsidR="00334066" w:rsidRDefault="00334066" w:rsidP="00C525A0">
      <w:pPr>
        <w:pStyle w:val="E3BodyText"/>
        <w:rPr>
          <w:lang w:eastAsia="en-AU"/>
        </w:rPr>
      </w:pPr>
      <w:r>
        <w:rPr>
          <w:lang w:eastAsia="en-AU"/>
        </w:rPr>
        <w:t xml:space="preserve">The following products are excluded from the scope of this Regulation: </w:t>
      </w:r>
    </w:p>
    <w:p w:rsidR="00334066" w:rsidRDefault="00334066" w:rsidP="00F1452F">
      <w:pPr>
        <w:pStyle w:val="E3BodyText"/>
        <w:numPr>
          <w:ilvl w:val="0"/>
          <w:numId w:val="9"/>
        </w:numPr>
        <w:rPr>
          <w:lang w:eastAsia="en-AU"/>
        </w:rPr>
      </w:pPr>
      <w:r>
        <w:rPr>
          <w:lang w:eastAsia="en-AU"/>
        </w:rPr>
        <w:t xml:space="preserve">Lamps and LED modules with a luminous flux of less than 30 lumens. </w:t>
      </w:r>
    </w:p>
    <w:p w:rsidR="00334066" w:rsidRDefault="00334066" w:rsidP="00F1452F">
      <w:pPr>
        <w:pStyle w:val="E3BodyText"/>
        <w:numPr>
          <w:ilvl w:val="0"/>
          <w:numId w:val="9"/>
        </w:numPr>
        <w:rPr>
          <w:lang w:eastAsia="en-AU"/>
        </w:rPr>
      </w:pPr>
      <w:r>
        <w:rPr>
          <w:lang w:eastAsia="en-AU"/>
        </w:rPr>
        <w:t xml:space="preserve">Lamps and LED modules marketed for operation with batteries. </w:t>
      </w:r>
    </w:p>
    <w:p w:rsidR="00334066" w:rsidRDefault="00334066" w:rsidP="00F1452F">
      <w:pPr>
        <w:pStyle w:val="E3BodyText"/>
        <w:numPr>
          <w:ilvl w:val="0"/>
          <w:numId w:val="9"/>
        </w:numPr>
        <w:rPr>
          <w:lang w:eastAsia="en-AU"/>
        </w:rPr>
      </w:pPr>
      <w:r>
        <w:rPr>
          <w:lang w:eastAsia="en-AU"/>
        </w:rPr>
        <w:t xml:space="preserve">Lamps and LED modules marketed for applications where their primary purpose is not lighting, such as: </w:t>
      </w:r>
    </w:p>
    <w:p w:rsidR="00334066" w:rsidRDefault="00334066" w:rsidP="00F1452F">
      <w:pPr>
        <w:pStyle w:val="E3BodyText"/>
        <w:numPr>
          <w:ilvl w:val="0"/>
          <w:numId w:val="10"/>
        </w:numPr>
        <w:ind w:left="993"/>
        <w:rPr>
          <w:lang w:eastAsia="en-AU"/>
        </w:rPr>
      </w:pPr>
      <w:r>
        <w:rPr>
          <w:lang w:eastAsia="en-AU"/>
        </w:rPr>
        <w:t xml:space="preserve">emission of light as an agent in chemical or biological processes (such as polymerisation, photodynamic therapy, horticulture, pet care, anti-insect products); </w:t>
      </w:r>
    </w:p>
    <w:p w:rsidR="00334066" w:rsidRDefault="00334066" w:rsidP="00F1452F">
      <w:pPr>
        <w:pStyle w:val="E3BodyText"/>
        <w:numPr>
          <w:ilvl w:val="0"/>
          <w:numId w:val="10"/>
        </w:numPr>
        <w:ind w:left="993"/>
        <w:rPr>
          <w:lang w:eastAsia="en-AU"/>
        </w:rPr>
      </w:pPr>
      <w:r>
        <w:rPr>
          <w:lang w:eastAsia="en-AU"/>
        </w:rPr>
        <w:t xml:space="preserve">image capture and image projection (such as camera flashlights, photocopiers, video projectors); </w:t>
      </w:r>
    </w:p>
    <w:p w:rsidR="00334066" w:rsidRDefault="00334066" w:rsidP="00F1452F">
      <w:pPr>
        <w:pStyle w:val="E3BodyText"/>
        <w:numPr>
          <w:ilvl w:val="0"/>
          <w:numId w:val="10"/>
        </w:numPr>
        <w:ind w:left="993"/>
        <w:rPr>
          <w:lang w:eastAsia="en-AU"/>
        </w:rPr>
      </w:pPr>
      <w:r>
        <w:rPr>
          <w:lang w:eastAsia="en-AU"/>
        </w:rPr>
        <w:t xml:space="preserve">heating (such as infrared lamps); </w:t>
      </w:r>
    </w:p>
    <w:p w:rsidR="00334066" w:rsidRDefault="00334066" w:rsidP="00F1452F">
      <w:pPr>
        <w:pStyle w:val="E3BodyText"/>
        <w:numPr>
          <w:ilvl w:val="0"/>
          <w:numId w:val="10"/>
        </w:numPr>
        <w:ind w:left="993"/>
        <w:rPr>
          <w:lang w:eastAsia="en-AU"/>
        </w:rPr>
      </w:pPr>
      <w:r>
        <w:rPr>
          <w:lang w:eastAsia="en-AU"/>
        </w:rPr>
        <w:t xml:space="preserve">signalling (such as airfield lamps). </w:t>
      </w:r>
    </w:p>
    <w:p w:rsidR="00334066" w:rsidRDefault="00334066" w:rsidP="00C525A0">
      <w:pPr>
        <w:pStyle w:val="E3BodyText"/>
        <w:ind w:left="709"/>
        <w:rPr>
          <w:lang w:eastAsia="en-AU"/>
        </w:rPr>
      </w:pPr>
      <w:r>
        <w:rPr>
          <w:lang w:eastAsia="en-AU"/>
        </w:rPr>
        <w:t xml:space="preserve">These lamps and LED modules are not excluded when they are marketed for lighting. </w:t>
      </w:r>
    </w:p>
    <w:p w:rsidR="00334066" w:rsidRDefault="00334066" w:rsidP="00F1452F">
      <w:pPr>
        <w:pStyle w:val="E3BodyText"/>
        <w:numPr>
          <w:ilvl w:val="0"/>
          <w:numId w:val="9"/>
        </w:numPr>
        <w:rPr>
          <w:lang w:eastAsia="en-AU"/>
        </w:rPr>
      </w:pPr>
      <w:r>
        <w:rPr>
          <w:lang w:eastAsia="en-AU"/>
        </w:rPr>
        <w:t xml:space="preserve">Lamps and LED modules marketed as part of a luminaire and not intended to be removed by the end-user, except when they are offered for sale, hire or hire purchase or displayed separately to the end user, for example as spare parts. </w:t>
      </w:r>
    </w:p>
    <w:p w:rsidR="00334066" w:rsidRDefault="00334066" w:rsidP="00F1452F">
      <w:pPr>
        <w:pStyle w:val="E3BodyText"/>
        <w:numPr>
          <w:ilvl w:val="0"/>
          <w:numId w:val="9"/>
        </w:numPr>
        <w:rPr>
          <w:lang w:eastAsia="en-AU"/>
        </w:rPr>
      </w:pPr>
      <w:r>
        <w:rPr>
          <w:lang w:eastAsia="en-AU"/>
        </w:rPr>
        <w:t xml:space="preserve">Lamps and LED modules marketed as part of a product whose primary purpose is not lighting. However, if they are offered for sale, hire or hire purchase or displayed separately, for example as spare parts, they shall be included within the scope of this Regulation. </w:t>
      </w:r>
    </w:p>
    <w:p w:rsidR="00334066" w:rsidRDefault="00334066" w:rsidP="00F1452F">
      <w:pPr>
        <w:pStyle w:val="E3BodyText"/>
        <w:numPr>
          <w:ilvl w:val="0"/>
          <w:numId w:val="9"/>
        </w:numPr>
        <w:rPr>
          <w:lang w:eastAsia="en-AU"/>
        </w:rPr>
      </w:pPr>
      <w:r>
        <w:rPr>
          <w:lang w:eastAsia="en-AU"/>
        </w:rPr>
        <w:t>Lamps and LED modules that do not comply with requirements becoming applicable in 2013 and 2014 according to Regulations implementing Directive 2009/125/EC.13</w:t>
      </w:r>
    </w:p>
    <w:p w:rsidR="00334066" w:rsidRDefault="00334066" w:rsidP="00F1452F">
      <w:pPr>
        <w:pStyle w:val="E3BodyText"/>
        <w:numPr>
          <w:ilvl w:val="0"/>
          <w:numId w:val="9"/>
        </w:numPr>
        <w:rPr>
          <w:lang w:eastAsia="en-AU"/>
        </w:rPr>
      </w:pPr>
      <w:r>
        <w:rPr>
          <w:lang w:eastAsia="en-AU"/>
        </w:rPr>
        <w:t>Luminaires that are designed to operate exclusively with the lamps and LED modules listed in points (a) to (c).</w:t>
      </w:r>
    </w:p>
    <w:p w:rsidR="00334066" w:rsidRPr="00310986" w:rsidRDefault="00334066" w:rsidP="00E65B09">
      <w:pPr>
        <w:pStyle w:val="E3Heading4"/>
        <w:numPr>
          <w:ilvl w:val="0"/>
          <w:numId w:val="0"/>
        </w:numPr>
        <w:ind w:left="1008" w:hanging="1008"/>
        <w:rPr>
          <w:lang w:eastAsia="en-AU"/>
        </w:rPr>
      </w:pPr>
      <w:bookmarkStart w:id="305" w:name="_Ref361307095"/>
      <w:r>
        <w:rPr>
          <w:lang w:eastAsia="en-AU"/>
        </w:rPr>
        <w:t>Performance requirements</w:t>
      </w:r>
      <w:bookmarkEnd w:id="305"/>
    </w:p>
    <w:tbl>
      <w:tblPr>
        <w:tblStyle w:val="TableGrid"/>
        <w:tblW w:w="0" w:type="auto"/>
        <w:jc w:val="center"/>
        <w:tblLook w:val="04A0" w:firstRow="1" w:lastRow="0" w:firstColumn="1" w:lastColumn="0" w:noHBand="0" w:noVBand="1"/>
      </w:tblPr>
      <w:tblGrid>
        <w:gridCol w:w="1288"/>
        <w:gridCol w:w="4161"/>
        <w:gridCol w:w="4406"/>
      </w:tblGrid>
      <w:tr w:rsidR="00334066" w:rsidTr="008C09F8">
        <w:trPr>
          <w:cantSplit/>
          <w:tblHeader/>
          <w:jc w:val="center"/>
        </w:trPr>
        <w:tc>
          <w:tcPr>
            <w:tcW w:w="0" w:type="auto"/>
            <w:vAlign w:val="center"/>
          </w:tcPr>
          <w:p w:rsidR="00334066" w:rsidRDefault="00334066" w:rsidP="007F1967">
            <w:pPr>
              <w:pStyle w:val="E3TableHeading"/>
            </w:pPr>
            <w:r>
              <w:t>Energy Efficiency Class</w:t>
            </w:r>
          </w:p>
        </w:tc>
        <w:tc>
          <w:tcPr>
            <w:tcW w:w="0" w:type="auto"/>
            <w:vAlign w:val="center"/>
          </w:tcPr>
          <w:p w:rsidR="00334066" w:rsidRDefault="00334066" w:rsidP="007F1967">
            <w:pPr>
              <w:pStyle w:val="E3TableHeading"/>
            </w:pPr>
            <w:r>
              <w:t>Non-directional Lamps</w:t>
            </w:r>
          </w:p>
        </w:tc>
        <w:tc>
          <w:tcPr>
            <w:tcW w:w="0" w:type="auto"/>
            <w:vAlign w:val="center"/>
          </w:tcPr>
          <w:p w:rsidR="00334066" w:rsidRDefault="00334066" w:rsidP="007F1967">
            <w:pPr>
              <w:pStyle w:val="E3TableHeading"/>
            </w:pPr>
            <w:r>
              <w:t>Directional Lamps</w:t>
            </w:r>
          </w:p>
        </w:tc>
      </w:tr>
      <w:tr w:rsidR="00334066" w:rsidTr="008C09F8">
        <w:trPr>
          <w:cantSplit/>
          <w:jc w:val="center"/>
        </w:trPr>
        <w:tc>
          <w:tcPr>
            <w:tcW w:w="0" w:type="auto"/>
            <w:vAlign w:val="center"/>
          </w:tcPr>
          <w:p w:rsidR="00334066" w:rsidRDefault="00334066" w:rsidP="00255AA3">
            <w:pPr>
              <w:pStyle w:val="E3Tabletext"/>
            </w:pPr>
            <w:r>
              <w:t>A++</w:t>
            </w:r>
          </w:p>
        </w:tc>
        <w:tc>
          <w:tcPr>
            <w:tcW w:w="0" w:type="auto"/>
          </w:tcPr>
          <w:p w:rsidR="00334066" w:rsidRPr="00F0458D" w:rsidRDefault="00334066" w:rsidP="00255AA3">
            <w:pPr>
              <w:pStyle w:val="E3Tabletext"/>
            </w:pPr>
            <w:r w:rsidRPr="00F0458D">
              <w:t>EEI ≤ 0.11</w:t>
            </w:r>
          </w:p>
          <w:p w:rsidR="00334066" w:rsidRPr="00F0458D" w:rsidRDefault="00334066" w:rsidP="00255AA3">
            <w:pPr>
              <w:pStyle w:val="E3Tabletext"/>
            </w:pPr>
            <w:r w:rsidRPr="00F0458D">
              <w:t>Class currently empty, apart from some low pressure sodium lamps used in street lighting.</w:t>
            </w:r>
          </w:p>
          <w:p w:rsidR="00334066" w:rsidRPr="00F0458D" w:rsidRDefault="00334066" w:rsidP="00255AA3">
            <w:pPr>
              <w:pStyle w:val="E3Tabletext"/>
            </w:pPr>
            <w:r w:rsidRPr="00F0458D">
              <w:t>Soon to include best LEDs</w:t>
            </w:r>
          </w:p>
        </w:tc>
        <w:tc>
          <w:tcPr>
            <w:tcW w:w="0" w:type="auto"/>
          </w:tcPr>
          <w:p w:rsidR="00334066" w:rsidRDefault="00334066" w:rsidP="00255AA3">
            <w:pPr>
              <w:pStyle w:val="E3Tabletext"/>
            </w:pPr>
            <w:r>
              <w:t>EEI ≤ 0.13</w:t>
            </w:r>
          </w:p>
          <w:p w:rsidR="00334066" w:rsidRDefault="00334066" w:rsidP="00255AA3">
            <w:pPr>
              <w:pStyle w:val="E3Tabletext"/>
            </w:pPr>
            <w:r>
              <w:t>Class currently empty, soon to include best LEDs</w:t>
            </w:r>
          </w:p>
        </w:tc>
      </w:tr>
      <w:tr w:rsidR="00334066" w:rsidTr="008C09F8">
        <w:trPr>
          <w:cantSplit/>
          <w:jc w:val="center"/>
        </w:trPr>
        <w:tc>
          <w:tcPr>
            <w:tcW w:w="0" w:type="auto"/>
            <w:vAlign w:val="center"/>
          </w:tcPr>
          <w:p w:rsidR="00334066" w:rsidRDefault="00334066" w:rsidP="00255AA3">
            <w:pPr>
              <w:pStyle w:val="E3Tabletext"/>
            </w:pPr>
            <w:r>
              <w:t>A+</w:t>
            </w:r>
          </w:p>
        </w:tc>
        <w:tc>
          <w:tcPr>
            <w:tcW w:w="0" w:type="auto"/>
          </w:tcPr>
          <w:p w:rsidR="00334066" w:rsidRDefault="00334066" w:rsidP="00255AA3">
            <w:pPr>
              <w:pStyle w:val="E3Tabletext"/>
            </w:pPr>
            <w:r>
              <w:t>0.11 &lt; EEI ≤ 0.17</w:t>
            </w:r>
          </w:p>
          <w:p w:rsidR="00334066" w:rsidRDefault="00334066" w:rsidP="00255AA3">
            <w:pPr>
              <w:pStyle w:val="E3Tabletext"/>
            </w:pPr>
            <w:r>
              <w:t xml:space="preserve">Best LED lamps in 2012, best linear fluorescent, compact fluorescent and high intensity discharge (HID) lamps.  </w:t>
            </w:r>
          </w:p>
        </w:tc>
        <w:tc>
          <w:tcPr>
            <w:tcW w:w="0" w:type="auto"/>
          </w:tcPr>
          <w:p w:rsidR="00334066" w:rsidRDefault="00334066" w:rsidP="00255AA3">
            <w:pPr>
              <w:pStyle w:val="E3Tabletext"/>
            </w:pPr>
            <w:r>
              <w:t>0.13 &lt; EEI ≤ 0.18</w:t>
            </w:r>
          </w:p>
          <w:p w:rsidR="00334066" w:rsidRDefault="00F0458D" w:rsidP="00255AA3">
            <w:pPr>
              <w:pStyle w:val="E3Tabletext"/>
            </w:pPr>
            <w:r>
              <w:t>Best LED lamps in 2012.</w:t>
            </w:r>
          </w:p>
        </w:tc>
      </w:tr>
      <w:tr w:rsidR="00334066" w:rsidTr="008C09F8">
        <w:trPr>
          <w:cantSplit/>
          <w:jc w:val="center"/>
        </w:trPr>
        <w:tc>
          <w:tcPr>
            <w:tcW w:w="0" w:type="auto"/>
            <w:vAlign w:val="center"/>
          </w:tcPr>
          <w:p w:rsidR="00334066" w:rsidRDefault="00334066" w:rsidP="00255AA3">
            <w:pPr>
              <w:pStyle w:val="E3Tabletext"/>
            </w:pPr>
            <w:r>
              <w:t>A</w:t>
            </w:r>
          </w:p>
        </w:tc>
        <w:tc>
          <w:tcPr>
            <w:tcW w:w="0" w:type="auto"/>
          </w:tcPr>
          <w:p w:rsidR="00334066" w:rsidRDefault="00334066" w:rsidP="00255AA3">
            <w:pPr>
              <w:pStyle w:val="E3Tabletext"/>
            </w:pPr>
            <w:r>
              <w:t>0.17 &lt; EEI ≤ 0.24</w:t>
            </w:r>
          </w:p>
          <w:p w:rsidR="00334066" w:rsidRDefault="00334066" w:rsidP="00255AA3">
            <w:pPr>
              <w:pStyle w:val="E3Tabletext"/>
            </w:pPr>
            <w:r>
              <w:t>Average LEDs in 2012, average compact fluorescent lamps and poor linear fluorescents and poor HIDs (for the latter two, pha</w:t>
            </w:r>
            <w:r w:rsidR="00F0458D">
              <w:t>se-out between 2010 and 2017).</w:t>
            </w:r>
          </w:p>
        </w:tc>
        <w:tc>
          <w:tcPr>
            <w:tcW w:w="0" w:type="auto"/>
          </w:tcPr>
          <w:p w:rsidR="00334066" w:rsidRDefault="00334066" w:rsidP="00255AA3">
            <w:pPr>
              <w:pStyle w:val="E3Tabletext"/>
            </w:pPr>
            <w:r>
              <w:t>0.18 &lt; EEI ≤ 0.40</w:t>
            </w:r>
          </w:p>
          <w:p w:rsidR="00334066" w:rsidRDefault="00334066" w:rsidP="00255AA3">
            <w:pPr>
              <w:pStyle w:val="E3Tabletext"/>
            </w:pPr>
            <w:r>
              <w:t xml:space="preserve">Average LEDs in 2012, average to good compact fluorescents and HIDs (proposed to be phased out in stage 3 in 2016).  </w:t>
            </w:r>
          </w:p>
        </w:tc>
      </w:tr>
      <w:tr w:rsidR="00334066" w:rsidTr="008C09F8">
        <w:trPr>
          <w:cantSplit/>
          <w:jc w:val="center"/>
        </w:trPr>
        <w:tc>
          <w:tcPr>
            <w:tcW w:w="0" w:type="auto"/>
            <w:vAlign w:val="center"/>
          </w:tcPr>
          <w:p w:rsidR="00334066" w:rsidRDefault="00334066" w:rsidP="00255AA3">
            <w:pPr>
              <w:pStyle w:val="E3Tabletext"/>
            </w:pPr>
            <w:r>
              <w:t>B</w:t>
            </w:r>
          </w:p>
        </w:tc>
        <w:tc>
          <w:tcPr>
            <w:tcW w:w="0" w:type="auto"/>
          </w:tcPr>
          <w:p w:rsidR="00334066" w:rsidRDefault="00334066" w:rsidP="00255AA3">
            <w:pPr>
              <w:pStyle w:val="E3Tabletext"/>
            </w:pPr>
            <w:r>
              <w:t>0.24 &lt; EEI ≤ 0.60</w:t>
            </w:r>
          </w:p>
          <w:p w:rsidR="00334066" w:rsidRDefault="00334066" w:rsidP="00255AA3">
            <w:pPr>
              <w:pStyle w:val="E3Tabletext"/>
            </w:pPr>
            <w:r>
              <w:t>Poor compact fluorescent lamps and LEDs (phased out in 2009 with a few exceptions), best (infrared coated) lamps.</w:t>
            </w:r>
          </w:p>
        </w:tc>
        <w:tc>
          <w:tcPr>
            <w:tcW w:w="0" w:type="auto"/>
          </w:tcPr>
          <w:p w:rsidR="00334066" w:rsidRDefault="00334066" w:rsidP="00255AA3">
            <w:pPr>
              <w:pStyle w:val="E3Tabletext"/>
            </w:pPr>
            <w:r>
              <w:t>0.40 &lt; EEI ≤ 0.95</w:t>
            </w:r>
          </w:p>
          <w:p w:rsidR="00334066" w:rsidRDefault="00334066" w:rsidP="00255AA3">
            <w:pPr>
              <w:pStyle w:val="E3Tabletext"/>
            </w:pPr>
            <w:r>
              <w:t>Poor compact fluorescent lamps and LEDs (proposed to be phased out in stage 1 in 2013), best extra low-voltage halogen reflector lamps inf</w:t>
            </w:r>
            <w:r w:rsidR="00F0458D">
              <w:t>rared coated or xenon-filled).</w:t>
            </w:r>
          </w:p>
        </w:tc>
      </w:tr>
    </w:tbl>
    <w:p w:rsidR="00334066" w:rsidRDefault="00334066" w:rsidP="00E65B09">
      <w:pPr>
        <w:pStyle w:val="E3Heading4"/>
        <w:numPr>
          <w:ilvl w:val="0"/>
          <w:numId w:val="0"/>
        </w:numPr>
        <w:ind w:left="1008" w:hanging="1008"/>
        <w:rPr>
          <w:sz w:val="26"/>
          <w:szCs w:val="26"/>
          <w:lang w:eastAsia="en-AU"/>
        </w:rPr>
      </w:pPr>
      <w:bookmarkStart w:id="306" w:name="_Toc389123359"/>
      <w:r>
        <w:rPr>
          <w:lang w:eastAsia="en-AU"/>
        </w:rPr>
        <w:t>EU LED Quality Charter</w:t>
      </w:r>
      <w:bookmarkEnd w:id="306"/>
    </w:p>
    <w:p w:rsidR="00334066" w:rsidRPr="00310986" w:rsidRDefault="00334066" w:rsidP="00E65B09">
      <w:pPr>
        <w:pStyle w:val="E3Heading4"/>
        <w:numPr>
          <w:ilvl w:val="0"/>
          <w:numId w:val="0"/>
        </w:numPr>
        <w:ind w:left="1008" w:hanging="1008"/>
        <w:rPr>
          <w:lang w:eastAsia="en-AU"/>
        </w:rPr>
      </w:pPr>
      <w:r w:rsidRPr="00310986">
        <w:rPr>
          <w:lang w:eastAsia="en-AU"/>
        </w:rPr>
        <w:t>Scope</w:t>
      </w:r>
    </w:p>
    <w:p w:rsidR="00334066" w:rsidRDefault="00334066" w:rsidP="001365AA">
      <w:pPr>
        <w:pStyle w:val="E3BodyText"/>
        <w:rPr>
          <w:lang w:eastAsia="en-AU"/>
        </w:rPr>
      </w:pPr>
      <w:r w:rsidRPr="00AF0D58">
        <w:rPr>
          <w:lang w:eastAsia="en-AU"/>
        </w:rPr>
        <w:t xml:space="preserve">The scope of the present version LED Quality Charter is limited to LED lamps intended primarily for use in the residential sector. At this stage </w:t>
      </w:r>
      <w:r w:rsidR="009B3871" w:rsidRPr="00AF0D58">
        <w:rPr>
          <w:lang w:eastAsia="en-AU"/>
        </w:rPr>
        <w:t>the</w:t>
      </w:r>
      <w:r w:rsidR="009B3871">
        <w:rPr>
          <w:lang w:eastAsia="en-AU"/>
        </w:rPr>
        <w:t xml:space="preserve"> </w:t>
      </w:r>
      <w:r w:rsidR="009B3871" w:rsidRPr="00AF0D58">
        <w:rPr>
          <w:lang w:eastAsia="en-AU"/>
        </w:rPr>
        <w:t>European</w:t>
      </w:r>
      <w:r w:rsidRPr="00AF0D58">
        <w:rPr>
          <w:lang w:eastAsia="en-AU"/>
        </w:rPr>
        <w:t xml:space="preserve"> Quality Charter for LED does not include LED modules, luminaires </w:t>
      </w:r>
      <w:r w:rsidR="009B3871" w:rsidRPr="00AF0D58">
        <w:rPr>
          <w:lang w:eastAsia="en-AU"/>
        </w:rPr>
        <w:t>and</w:t>
      </w:r>
      <w:r w:rsidR="009B3871">
        <w:rPr>
          <w:lang w:eastAsia="en-AU"/>
        </w:rPr>
        <w:t xml:space="preserve"> </w:t>
      </w:r>
      <w:r w:rsidR="009B3871" w:rsidRPr="00AF0D58">
        <w:rPr>
          <w:lang w:eastAsia="en-AU"/>
        </w:rPr>
        <w:t>lamps</w:t>
      </w:r>
      <w:r w:rsidRPr="00AF0D58">
        <w:rPr>
          <w:lang w:eastAsia="en-AU"/>
        </w:rPr>
        <w:t xml:space="preserve"> specific for use in the commercial sectors.</w:t>
      </w:r>
    </w:p>
    <w:p w:rsidR="00334066" w:rsidRPr="00FC6612" w:rsidRDefault="00334066" w:rsidP="00E65B09">
      <w:pPr>
        <w:pStyle w:val="E3Heading4"/>
        <w:numPr>
          <w:ilvl w:val="0"/>
          <w:numId w:val="0"/>
        </w:numPr>
        <w:ind w:left="1008" w:hanging="1008"/>
        <w:rPr>
          <w:lang w:eastAsia="en-AU"/>
        </w:rPr>
      </w:pPr>
      <w:r w:rsidRPr="00FC6612">
        <w:rPr>
          <w:lang w:eastAsia="en-AU"/>
        </w:rPr>
        <w:t>Performance requirements</w:t>
      </w:r>
    </w:p>
    <w:p w:rsidR="00334066" w:rsidRPr="00310986" w:rsidRDefault="00FC6612" w:rsidP="001365AA">
      <w:pPr>
        <w:pStyle w:val="E3BodyText"/>
        <w:rPr>
          <w:b/>
          <w:bCs/>
          <w:color w:val="4F81BD" w:themeColor="accent1"/>
          <w:sz w:val="18"/>
          <w:szCs w:val="18"/>
        </w:rPr>
      </w:pPr>
      <w:r w:rsidRPr="009C36A8">
        <w:rPr>
          <w:lang w:eastAsia="en-AU"/>
        </w:rPr>
        <w:t xml:space="preserve">The following table </w:t>
      </w:r>
      <w:r w:rsidR="00334066" w:rsidRPr="009C36A8">
        <w:rPr>
          <w:lang w:eastAsia="en-AU"/>
        </w:rPr>
        <w:t>provides the m</w:t>
      </w:r>
      <w:r w:rsidR="00334066" w:rsidRPr="00FC6612">
        <w:rPr>
          <w:lang w:eastAsia="en-AU"/>
        </w:rPr>
        <w:t>inimum requirements for directional and non-directional lamps. The test methods specified are in the last column of the table.</w:t>
      </w:r>
    </w:p>
    <w:tbl>
      <w:tblPr>
        <w:tblStyle w:val="TableGrid"/>
        <w:tblW w:w="0" w:type="auto"/>
        <w:jc w:val="center"/>
        <w:tblLook w:val="04A0" w:firstRow="1" w:lastRow="0" w:firstColumn="1" w:lastColumn="0" w:noHBand="0" w:noVBand="1"/>
      </w:tblPr>
      <w:tblGrid>
        <w:gridCol w:w="1480"/>
        <w:gridCol w:w="909"/>
        <w:gridCol w:w="802"/>
        <w:gridCol w:w="802"/>
        <w:gridCol w:w="801"/>
        <w:gridCol w:w="802"/>
        <w:gridCol w:w="802"/>
        <w:gridCol w:w="802"/>
        <w:gridCol w:w="2484"/>
      </w:tblGrid>
      <w:tr w:rsidR="00334066" w:rsidTr="008C09F8">
        <w:trPr>
          <w:cantSplit/>
          <w:tblHeader/>
          <w:jc w:val="center"/>
        </w:trPr>
        <w:tc>
          <w:tcPr>
            <w:tcW w:w="1480" w:type="dxa"/>
          </w:tcPr>
          <w:p w:rsidR="00334066" w:rsidRDefault="00334066" w:rsidP="001365AA">
            <w:pPr>
              <w:pStyle w:val="E3TableHeading"/>
            </w:pPr>
            <w:r>
              <w:lastRenderedPageBreak/>
              <w:t>Parameter</w:t>
            </w:r>
          </w:p>
        </w:tc>
        <w:tc>
          <w:tcPr>
            <w:tcW w:w="5720" w:type="dxa"/>
            <w:gridSpan w:val="7"/>
          </w:tcPr>
          <w:p w:rsidR="00334066" w:rsidRDefault="00334066" w:rsidP="001365AA">
            <w:pPr>
              <w:pStyle w:val="E3TableHeading"/>
            </w:pPr>
            <w:r>
              <w:t>Minimum requirements</w:t>
            </w:r>
          </w:p>
        </w:tc>
        <w:tc>
          <w:tcPr>
            <w:tcW w:w="2484" w:type="dxa"/>
          </w:tcPr>
          <w:p w:rsidR="00334066" w:rsidRDefault="00334066" w:rsidP="001365AA">
            <w:pPr>
              <w:pStyle w:val="E3TableHeading"/>
            </w:pPr>
            <w:r>
              <w:t>Test Method</w:t>
            </w:r>
          </w:p>
        </w:tc>
      </w:tr>
      <w:tr w:rsidR="00EB4DF6" w:rsidTr="008C09F8">
        <w:trPr>
          <w:cantSplit/>
          <w:trHeight w:val="50"/>
          <w:jc w:val="center"/>
        </w:trPr>
        <w:tc>
          <w:tcPr>
            <w:tcW w:w="1480" w:type="dxa"/>
            <w:vMerge w:val="restart"/>
          </w:tcPr>
          <w:p w:rsidR="00EB4DF6" w:rsidRDefault="00EB4DF6" w:rsidP="00255AA3">
            <w:pPr>
              <w:pStyle w:val="E3Tabletext"/>
            </w:pPr>
            <w:r>
              <w:t>Efficacy</w:t>
            </w:r>
          </w:p>
        </w:tc>
        <w:tc>
          <w:tcPr>
            <w:tcW w:w="909" w:type="dxa"/>
            <w:vMerge w:val="restart"/>
          </w:tcPr>
          <w:p w:rsidR="00EB4DF6" w:rsidRPr="008333AD" w:rsidRDefault="00EB4DF6" w:rsidP="00255AA3">
            <w:pPr>
              <w:pStyle w:val="E3Tabletext"/>
            </w:pPr>
            <w:r w:rsidRPr="008333AD">
              <w:t>LED Lamp type</w:t>
            </w:r>
          </w:p>
        </w:tc>
        <w:tc>
          <w:tcPr>
            <w:tcW w:w="802" w:type="dxa"/>
            <w:vMerge w:val="restart"/>
          </w:tcPr>
          <w:p w:rsidR="00EB4DF6" w:rsidRPr="008333AD" w:rsidRDefault="00EB4DF6" w:rsidP="00255AA3">
            <w:pPr>
              <w:pStyle w:val="E3Tabletext"/>
            </w:pPr>
            <w:r w:rsidRPr="008333AD">
              <w:t>CRI</w:t>
            </w:r>
          </w:p>
        </w:tc>
        <w:tc>
          <w:tcPr>
            <w:tcW w:w="4009" w:type="dxa"/>
            <w:gridSpan w:val="5"/>
          </w:tcPr>
          <w:p w:rsidR="00EB4DF6" w:rsidRPr="008333AD" w:rsidRDefault="00EB4DF6" w:rsidP="00255AA3">
            <w:pPr>
              <w:pStyle w:val="E3Tabletext"/>
            </w:pPr>
            <w:r w:rsidRPr="008333AD">
              <w:t>Min efficacy</w:t>
            </w:r>
            <w:r w:rsidRPr="008333AD">
              <w:br/>
              <w:t>( lm/W )</w:t>
            </w:r>
          </w:p>
        </w:tc>
        <w:tc>
          <w:tcPr>
            <w:tcW w:w="2484" w:type="dxa"/>
            <w:vMerge w:val="restart"/>
          </w:tcPr>
          <w:p w:rsidR="00EB4DF6" w:rsidRDefault="00EB4DF6" w:rsidP="00255AA3">
            <w:pPr>
              <w:pStyle w:val="E3Tabletext"/>
            </w:pPr>
            <w:r>
              <w:t>IES LM79-2008</w:t>
            </w:r>
          </w:p>
        </w:tc>
      </w:tr>
      <w:tr w:rsidR="00EB4DF6" w:rsidTr="008C09F8">
        <w:trPr>
          <w:cantSplit/>
          <w:trHeight w:val="47"/>
          <w:jc w:val="center"/>
        </w:trPr>
        <w:tc>
          <w:tcPr>
            <w:tcW w:w="1480" w:type="dxa"/>
            <w:vMerge/>
          </w:tcPr>
          <w:p w:rsidR="00EB4DF6" w:rsidRDefault="00EB4DF6" w:rsidP="00255AA3">
            <w:pPr>
              <w:pStyle w:val="E3Tabletext"/>
            </w:pPr>
          </w:p>
        </w:tc>
        <w:tc>
          <w:tcPr>
            <w:tcW w:w="909" w:type="dxa"/>
            <w:vMerge/>
          </w:tcPr>
          <w:p w:rsidR="00EB4DF6" w:rsidRPr="008333AD" w:rsidRDefault="00EB4DF6" w:rsidP="00255AA3">
            <w:pPr>
              <w:pStyle w:val="E3Tabletext"/>
            </w:pPr>
          </w:p>
        </w:tc>
        <w:tc>
          <w:tcPr>
            <w:tcW w:w="802" w:type="dxa"/>
            <w:vMerge/>
          </w:tcPr>
          <w:p w:rsidR="00EB4DF6" w:rsidRPr="008333AD" w:rsidRDefault="00EB4DF6" w:rsidP="00255AA3">
            <w:pPr>
              <w:pStyle w:val="E3Tabletext"/>
            </w:pPr>
          </w:p>
        </w:tc>
        <w:tc>
          <w:tcPr>
            <w:tcW w:w="802" w:type="dxa"/>
          </w:tcPr>
          <w:p w:rsidR="00EB4DF6" w:rsidRPr="008333AD" w:rsidRDefault="00EB4DF6" w:rsidP="00255AA3">
            <w:pPr>
              <w:pStyle w:val="E3Tabletext"/>
            </w:pPr>
            <w:r w:rsidRPr="008333AD">
              <w:t>2011</w:t>
            </w:r>
          </w:p>
        </w:tc>
        <w:tc>
          <w:tcPr>
            <w:tcW w:w="801" w:type="dxa"/>
          </w:tcPr>
          <w:p w:rsidR="00EB4DF6" w:rsidRPr="008333AD" w:rsidRDefault="00EB4DF6" w:rsidP="00255AA3">
            <w:pPr>
              <w:pStyle w:val="E3Tabletext"/>
            </w:pPr>
            <w:r w:rsidRPr="008333AD">
              <w:t>2012</w:t>
            </w:r>
          </w:p>
        </w:tc>
        <w:tc>
          <w:tcPr>
            <w:tcW w:w="802" w:type="dxa"/>
          </w:tcPr>
          <w:p w:rsidR="00EB4DF6" w:rsidRPr="008333AD" w:rsidRDefault="00EB4DF6" w:rsidP="00255AA3">
            <w:pPr>
              <w:pStyle w:val="E3Tabletext"/>
            </w:pPr>
            <w:r w:rsidRPr="008333AD">
              <w:t>2013</w:t>
            </w:r>
          </w:p>
        </w:tc>
        <w:tc>
          <w:tcPr>
            <w:tcW w:w="802" w:type="dxa"/>
          </w:tcPr>
          <w:p w:rsidR="00EB4DF6" w:rsidRPr="008333AD" w:rsidRDefault="00EB4DF6" w:rsidP="00255AA3">
            <w:pPr>
              <w:pStyle w:val="E3Tabletext"/>
            </w:pPr>
            <w:r w:rsidRPr="008333AD">
              <w:t>2014</w:t>
            </w:r>
          </w:p>
        </w:tc>
        <w:tc>
          <w:tcPr>
            <w:tcW w:w="802" w:type="dxa"/>
          </w:tcPr>
          <w:p w:rsidR="00EB4DF6" w:rsidRPr="008333AD" w:rsidRDefault="00EB4DF6" w:rsidP="00255AA3">
            <w:pPr>
              <w:pStyle w:val="E3Tabletext"/>
            </w:pPr>
            <w:r w:rsidRPr="008333AD">
              <w:t>2015</w:t>
            </w:r>
          </w:p>
        </w:tc>
        <w:tc>
          <w:tcPr>
            <w:tcW w:w="2484" w:type="dxa"/>
            <w:vMerge/>
          </w:tcPr>
          <w:p w:rsidR="00EB4DF6" w:rsidRDefault="00EB4DF6" w:rsidP="00255AA3">
            <w:pPr>
              <w:pStyle w:val="E3Tabletext"/>
            </w:pPr>
          </w:p>
        </w:tc>
      </w:tr>
      <w:tr w:rsidR="00EB4DF6" w:rsidTr="008C09F8">
        <w:trPr>
          <w:cantSplit/>
          <w:trHeight w:val="47"/>
          <w:jc w:val="center"/>
        </w:trPr>
        <w:tc>
          <w:tcPr>
            <w:tcW w:w="1480" w:type="dxa"/>
            <w:vMerge/>
          </w:tcPr>
          <w:p w:rsidR="00EB4DF6" w:rsidRDefault="00EB4DF6" w:rsidP="00255AA3">
            <w:pPr>
              <w:pStyle w:val="E3Tabletext"/>
            </w:pPr>
          </w:p>
        </w:tc>
        <w:tc>
          <w:tcPr>
            <w:tcW w:w="909" w:type="dxa"/>
            <w:vMerge w:val="restart"/>
          </w:tcPr>
          <w:p w:rsidR="00EB4DF6" w:rsidRPr="008333AD" w:rsidRDefault="00EB4DF6" w:rsidP="00255AA3">
            <w:pPr>
              <w:pStyle w:val="E3Tabletext"/>
            </w:pPr>
            <w:r w:rsidRPr="008333AD">
              <w:t>Non Directional Light Source (NDLS)</w:t>
            </w:r>
          </w:p>
        </w:tc>
        <w:tc>
          <w:tcPr>
            <w:tcW w:w="802" w:type="dxa"/>
          </w:tcPr>
          <w:p w:rsidR="00EB4DF6" w:rsidRPr="008333AD" w:rsidRDefault="00EB4DF6" w:rsidP="00255AA3">
            <w:pPr>
              <w:pStyle w:val="E3Tabletext"/>
            </w:pPr>
            <w:r w:rsidRPr="008333AD">
              <w:t>&gt;80</w:t>
            </w:r>
          </w:p>
        </w:tc>
        <w:tc>
          <w:tcPr>
            <w:tcW w:w="802" w:type="dxa"/>
          </w:tcPr>
          <w:p w:rsidR="00EB4DF6" w:rsidRPr="008333AD" w:rsidRDefault="00EB4DF6" w:rsidP="00255AA3">
            <w:pPr>
              <w:pStyle w:val="E3Tabletext"/>
            </w:pPr>
            <w:r>
              <w:t>61</w:t>
            </w:r>
          </w:p>
        </w:tc>
        <w:tc>
          <w:tcPr>
            <w:tcW w:w="801" w:type="dxa"/>
          </w:tcPr>
          <w:p w:rsidR="00EB4DF6" w:rsidRPr="008333AD" w:rsidRDefault="00EB4DF6" w:rsidP="00255AA3">
            <w:pPr>
              <w:pStyle w:val="E3Tabletext"/>
            </w:pPr>
            <w:r>
              <w:t>65</w:t>
            </w:r>
          </w:p>
        </w:tc>
        <w:tc>
          <w:tcPr>
            <w:tcW w:w="802" w:type="dxa"/>
          </w:tcPr>
          <w:p w:rsidR="00EB4DF6" w:rsidRPr="008333AD" w:rsidRDefault="00EB4DF6" w:rsidP="00255AA3">
            <w:pPr>
              <w:pStyle w:val="E3Tabletext"/>
            </w:pPr>
            <w:r>
              <w:t>70</w:t>
            </w:r>
          </w:p>
        </w:tc>
        <w:tc>
          <w:tcPr>
            <w:tcW w:w="802" w:type="dxa"/>
          </w:tcPr>
          <w:p w:rsidR="00EB4DF6" w:rsidRPr="008333AD" w:rsidRDefault="00EB4DF6" w:rsidP="00255AA3">
            <w:pPr>
              <w:pStyle w:val="E3Tabletext"/>
            </w:pPr>
            <w:r>
              <w:t>75</w:t>
            </w:r>
          </w:p>
        </w:tc>
        <w:tc>
          <w:tcPr>
            <w:tcW w:w="802" w:type="dxa"/>
          </w:tcPr>
          <w:p w:rsidR="00EB4DF6" w:rsidRPr="008333AD" w:rsidRDefault="00EB4DF6" w:rsidP="00255AA3">
            <w:pPr>
              <w:pStyle w:val="E3Tabletext"/>
            </w:pPr>
            <w:r>
              <w:t>80</w:t>
            </w:r>
          </w:p>
        </w:tc>
        <w:tc>
          <w:tcPr>
            <w:tcW w:w="2484" w:type="dxa"/>
            <w:vMerge/>
          </w:tcPr>
          <w:p w:rsidR="00EB4DF6" w:rsidRDefault="00EB4DF6" w:rsidP="00255AA3">
            <w:pPr>
              <w:pStyle w:val="E3Tabletext"/>
            </w:pPr>
          </w:p>
        </w:tc>
      </w:tr>
      <w:tr w:rsidR="00EB4DF6" w:rsidTr="008C09F8">
        <w:trPr>
          <w:cantSplit/>
          <w:trHeight w:val="47"/>
          <w:jc w:val="center"/>
        </w:trPr>
        <w:tc>
          <w:tcPr>
            <w:tcW w:w="1480" w:type="dxa"/>
            <w:vMerge/>
          </w:tcPr>
          <w:p w:rsidR="00EB4DF6" w:rsidRDefault="00EB4DF6" w:rsidP="00255AA3">
            <w:pPr>
              <w:pStyle w:val="E3Tabletext"/>
            </w:pPr>
          </w:p>
        </w:tc>
        <w:tc>
          <w:tcPr>
            <w:tcW w:w="909" w:type="dxa"/>
            <w:vMerge/>
          </w:tcPr>
          <w:p w:rsidR="00EB4DF6" w:rsidRPr="008333AD" w:rsidRDefault="00EB4DF6" w:rsidP="00255AA3">
            <w:pPr>
              <w:pStyle w:val="E3Tabletext"/>
            </w:pPr>
          </w:p>
        </w:tc>
        <w:tc>
          <w:tcPr>
            <w:tcW w:w="802" w:type="dxa"/>
          </w:tcPr>
          <w:p w:rsidR="00EB4DF6" w:rsidRPr="008333AD" w:rsidRDefault="00EB4DF6" w:rsidP="00255AA3">
            <w:pPr>
              <w:pStyle w:val="E3Tabletext"/>
            </w:pPr>
            <w:r w:rsidRPr="008333AD">
              <w:t>&gt;90</w:t>
            </w:r>
          </w:p>
        </w:tc>
        <w:tc>
          <w:tcPr>
            <w:tcW w:w="802" w:type="dxa"/>
          </w:tcPr>
          <w:p w:rsidR="00EB4DF6" w:rsidRPr="008333AD" w:rsidRDefault="00EB4DF6" w:rsidP="00255AA3">
            <w:pPr>
              <w:pStyle w:val="E3Tabletext"/>
            </w:pPr>
            <w:r>
              <w:t>52</w:t>
            </w:r>
          </w:p>
        </w:tc>
        <w:tc>
          <w:tcPr>
            <w:tcW w:w="801" w:type="dxa"/>
          </w:tcPr>
          <w:p w:rsidR="00EB4DF6" w:rsidRPr="008333AD" w:rsidRDefault="00EB4DF6" w:rsidP="00255AA3">
            <w:pPr>
              <w:pStyle w:val="E3Tabletext"/>
            </w:pPr>
            <w:r>
              <w:t>55</w:t>
            </w:r>
          </w:p>
        </w:tc>
        <w:tc>
          <w:tcPr>
            <w:tcW w:w="802" w:type="dxa"/>
          </w:tcPr>
          <w:p w:rsidR="00EB4DF6" w:rsidRPr="008333AD" w:rsidRDefault="00EB4DF6" w:rsidP="00255AA3">
            <w:pPr>
              <w:pStyle w:val="E3Tabletext"/>
            </w:pPr>
            <w:r>
              <w:t>60</w:t>
            </w:r>
          </w:p>
        </w:tc>
        <w:tc>
          <w:tcPr>
            <w:tcW w:w="802" w:type="dxa"/>
          </w:tcPr>
          <w:p w:rsidR="00EB4DF6" w:rsidRPr="008333AD" w:rsidRDefault="00EB4DF6" w:rsidP="00255AA3">
            <w:pPr>
              <w:pStyle w:val="E3Tabletext"/>
            </w:pPr>
            <w:r>
              <w:t>65</w:t>
            </w:r>
          </w:p>
        </w:tc>
        <w:tc>
          <w:tcPr>
            <w:tcW w:w="802" w:type="dxa"/>
          </w:tcPr>
          <w:p w:rsidR="00EB4DF6" w:rsidRPr="008333AD" w:rsidRDefault="00EB4DF6" w:rsidP="00255AA3">
            <w:pPr>
              <w:pStyle w:val="E3Tabletext"/>
            </w:pPr>
            <w:r>
              <w:t>70</w:t>
            </w:r>
          </w:p>
        </w:tc>
        <w:tc>
          <w:tcPr>
            <w:tcW w:w="2484" w:type="dxa"/>
            <w:vMerge/>
          </w:tcPr>
          <w:p w:rsidR="00EB4DF6" w:rsidRDefault="00EB4DF6" w:rsidP="00255AA3">
            <w:pPr>
              <w:pStyle w:val="E3Tabletext"/>
            </w:pPr>
          </w:p>
        </w:tc>
      </w:tr>
      <w:tr w:rsidR="00EB4DF6" w:rsidTr="008C09F8">
        <w:trPr>
          <w:cantSplit/>
          <w:trHeight w:val="47"/>
          <w:jc w:val="center"/>
        </w:trPr>
        <w:tc>
          <w:tcPr>
            <w:tcW w:w="1480" w:type="dxa"/>
            <w:vMerge/>
          </w:tcPr>
          <w:p w:rsidR="00EB4DF6" w:rsidRDefault="00EB4DF6" w:rsidP="00255AA3">
            <w:pPr>
              <w:pStyle w:val="E3Tabletext"/>
            </w:pPr>
          </w:p>
        </w:tc>
        <w:tc>
          <w:tcPr>
            <w:tcW w:w="909" w:type="dxa"/>
            <w:vMerge w:val="restart"/>
          </w:tcPr>
          <w:p w:rsidR="00EB4DF6" w:rsidRPr="008333AD" w:rsidRDefault="00EB4DF6" w:rsidP="00255AA3">
            <w:pPr>
              <w:pStyle w:val="E3Tabletext"/>
            </w:pPr>
            <w:r w:rsidRPr="008333AD">
              <w:t>Directional Light Source (DLS)</w:t>
            </w:r>
          </w:p>
        </w:tc>
        <w:tc>
          <w:tcPr>
            <w:tcW w:w="802" w:type="dxa"/>
          </w:tcPr>
          <w:p w:rsidR="00EB4DF6" w:rsidRPr="008333AD" w:rsidRDefault="00EB4DF6" w:rsidP="00255AA3">
            <w:pPr>
              <w:pStyle w:val="E3Tabletext"/>
            </w:pPr>
            <w:r w:rsidRPr="008333AD">
              <w:t>&gt;80</w:t>
            </w:r>
          </w:p>
        </w:tc>
        <w:tc>
          <w:tcPr>
            <w:tcW w:w="802" w:type="dxa"/>
          </w:tcPr>
          <w:p w:rsidR="00EB4DF6" w:rsidRPr="008333AD" w:rsidRDefault="00EB4DF6" w:rsidP="00255AA3">
            <w:pPr>
              <w:pStyle w:val="E3Tabletext"/>
            </w:pPr>
            <w:r>
              <w:t>50</w:t>
            </w:r>
          </w:p>
        </w:tc>
        <w:tc>
          <w:tcPr>
            <w:tcW w:w="801" w:type="dxa"/>
          </w:tcPr>
          <w:p w:rsidR="00EB4DF6" w:rsidRPr="008333AD" w:rsidRDefault="00EB4DF6" w:rsidP="00255AA3">
            <w:pPr>
              <w:pStyle w:val="E3Tabletext"/>
            </w:pPr>
            <w:r>
              <w:t>55</w:t>
            </w:r>
          </w:p>
        </w:tc>
        <w:tc>
          <w:tcPr>
            <w:tcW w:w="802" w:type="dxa"/>
          </w:tcPr>
          <w:p w:rsidR="00EB4DF6" w:rsidRPr="008333AD" w:rsidRDefault="00EB4DF6" w:rsidP="00255AA3">
            <w:pPr>
              <w:pStyle w:val="E3Tabletext"/>
            </w:pPr>
            <w:r>
              <w:t>60</w:t>
            </w:r>
          </w:p>
        </w:tc>
        <w:tc>
          <w:tcPr>
            <w:tcW w:w="802" w:type="dxa"/>
          </w:tcPr>
          <w:p w:rsidR="00EB4DF6" w:rsidRPr="008333AD" w:rsidRDefault="00EB4DF6" w:rsidP="00255AA3">
            <w:pPr>
              <w:pStyle w:val="E3Tabletext"/>
            </w:pPr>
            <w:r>
              <w:t>65</w:t>
            </w:r>
          </w:p>
        </w:tc>
        <w:tc>
          <w:tcPr>
            <w:tcW w:w="802" w:type="dxa"/>
          </w:tcPr>
          <w:p w:rsidR="00EB4DF6" w:rsidRPr="008333AD" w:rsidRDefault="00EB4DF6" w:rsidP="00255AA3">
            <w:pPr>
              <w:pStyle w:val="E3Tabletext"/>
            </w:pPr>
            <w:r>
              <w:t>70</w:t>
            </w:r>
          </w:p>
        </w:tc>
        <w:tc>
          <w:tcPr>
            <w:tcW w:w="2484" w:type="dxa"/>
            <w:vMerge/>
          </w:tcPr>
          <w:p w:rsidR="00EB4DF6" w:rsidRDefault="00EB4DF6" w:rsidP="00255AA3">
            <w:pPr>
              <w:pStyle w:val="E3Tabletext"/>
            </w:pPr>
          </w:p>
        </w:tc>
      </w:tr>
      <w:tr w:rsidR="00EB4DF6" w:rsidTr="008C09F8">
        <w:trPr>
          <w:cantSplit/>
          <w:trHeight w:val="47"/>
          <w:jc w:val="center"/>
        </w:trPr>
        <w:tc>
          <w:tcPr>
            <w:tcW w:w="1480" w:type="dxa"/>
            <w:vMerge/>
          </w:tcPr>
          <w:p w:rsidR="00EB4DF6" w:rsidRDefault="00EB4DF6" w:rsidP="00255AA3">
            <w:pPr>
              <w:pStyle w:val="E3Tabletext"/>
            </w:pPr>
          </w:p>
        </w:tc>
        <w:tc>
          <w:tcPr>
            <w:tcW w:w="909" w:type="dxa"/>
            <w:vMerge/>
          </w:tcPr>
          <w:p w:rsidR="00EB4DF6" w:rsidRPr="008333AD" w:rsidRDefault="00EB4DF6" w:rsidP="00255AA3">
            <w:pPr>
              <w:pStyle w:val="E3Tabletext"/>
            </w:pPr>
          </w:p>
        </w:tc>
        <w:tc>
          <w:tcPr>
            <w:tcW w:w="802" w:type="dxa"/>
          </w:tcPr>
          <w:p w:rsidR="00EB4DF6" w:rsidRPr="008333AD" w:rsidRDefault="00EB4DF6" w:rsidP="00255AA3">
            <w:pPr>
              <w:pStyle w:val="E3Tabletext"/>
            </w:pPr>
            <w:r w:rsidRPr="008333AD">
              <w:t>&gt;90</w:t>
            </w:r>
          </w:p>
        </w:tc>
        <w:tc>
          <w:tcPr>
            <w:tcW w:w="802" w:type="dxa"/>
          </w:tcPr>
          <w:p w:rsidR="00EB4DF6" w:rsidRPr="008333AD" w:rsidRDefault="00EB4DF6" w:rsidP="00255AA3">
            <w:pPr>
              <w:pStyle w:val="E3Tabletext"/>
            </w:pPr>
            <w:r>
              <w:t>40</w:t>
            </w:r>
          </w:p>
        </w:tc>
        <w:tc>
          <w:tcPr>
            <w:tcW w:w="801" w:type="dxa"/>
          </w:tcPr>
          <w:p w:rsidR="00EB4DF6" w:rsidRPr="008333AD" w:rsidRDefault="00EB4DF6" w:rsidP="00255AA3">
            <w:pPr>
              <w:pStyle w:val="E3Tabletext"/>
            </w:pPr>
            <w:r>
              <w:t>45</w:t>
            </w:r>
          </w:p>
        </w:tc>
        <w:tc>
          <w:tcPr>
            <w:tcW w:w="802" w:type="dxa"/>
          </w:tcPr>
          <w:p w:rsidR="00EB4DF6" w:rsidRPr="008333AD" w:rsidRDefault="00EB4DF6" w:rsidP="00255AA3">
            <w:pPr>
              <w:pStyle w:val="E3Tabletext"/>
            </w:pPr>
            <w:r>
              <w:t>50</w:t>
            </w:r>
          </w:p>
        </w:tc>
        <w:tc>
          <w:tcPr>
            <w:tcW w:w="802" w:type="dxa"/>
          </w:tcPr>
          <w:p w:rsidR="00EB4DF6" w:rsidRPr="008333AD" w:rsidRDefault="00EB4DF6" w:rsidP="00255AA3">
            <w:pPr>
              <w:pStyle w:val="E3Tabletext"/>
            </w:pPr>
            <w:r>
              <w:t>55</w:t>
            </w:r>
          </w:p>
        </w:tc>
        <w:tc>
          <w:tcPr>
            <w:tcW w:w="802" w:type="dxa"/>
          </w:tcPr>
          <w:p w:rsidR="00EB4DF6" w:rsidRPr="008333AD" w:rsidRDefault="00EB4DF6" w:rsidP="00255AA3">
            <w:pPr>
              <w:pStyle w:val="E3Tabletext"/>
            </w:pPr>
            <w:r>
              <w:t>60</w:t>
            </w:r>
          </w:p>
        </w:tc>
        <w:tc>
          <w:tcPr>
            <w:tcW w:w="2484" w:type="dxa"/>
            <w:vMerge/>
          </w:tcPr>
          <w:p w:rsidR="00EB4DF6" w:rsidRDefault="00EB4DF6" w:rsidP="00255AA3">
            <w:pPr>
              <w:pStyle w:val="E3Tabletext"/>
            </w:pPr>
          </w:p>
        </w:tc>
      </w:tr>
      <w:tr w:rsidR="00334066" w:rsidTr="008C09F8">
        <w:trPr>
          <w:cantSplit/>
          <w:jc w:val="center"/>
        </w:trPr>
        <w:tc>
          <w:tcPr>
            <w:tcW w:w="1480" w:type="dxa"/>
          </w:tcPr>
          <w:p w:rsidR="00334066" w:rsidRDefault="00334066" w:rsidP="00255AA3">
            <w:pPr>
              <w:pStyle w:val="E3Tabletext"/>
            </w:pPr>
            <w:r>
              <w:t>Lumen maintenance</w:t>
            </w:r>
          </w:p>
        </w:tc>
        <w:tc>
          <w:tcPr>
            <w:tcW w:w="5720" w:type="dxa"/>
            <w:gridSpan w:val="7"/>
          </w:tcPr>
          <w:p w:rsidR="00334066" w:rsidRDefault="00334066" w:rsidP="00F1452F">
            <w:pPr>
              <w:pStyle w:val="E3Tabletext"/>
              <w:numPr>
                <w:ilvl w:val="0"/>
                <w:numId w:val="11"/>
              </w:numPr>
            </w:pPr>
            <w:r>
              <w:t>At 1 000 hours of operation no more than 5% of lamps shall have a lumen maintenance below 85%</w:t>
            </w:r>
          </w:p>
          <w:p w:rsidR="00334066" w:rsidRDefault="00334066" w:rsidP="00F1452F">
            <w:pPr>
              <w:pStyle w:val="E3Tabletext"/>
              <w:numPr>
                <w:ilvl w:val="0"/>
                <w:numId w:val="11"/>
              </w:numPr>
            </w:pPr>
            <w:r>
              <w:t>(L</w:t>
            </w:r>
            <w:r>
              <w:rPr>
                <w:vertAlign w:val="subscript"/>
              </w:rPr>
              <w:t>85</w:t>
            </w:r>
            <w:r>
              <w:t>F0</w:t>
            </w:r>
            <w:r w:rsidRPr="00EB1C3E">
              <w:rPr>
                <w:vertAlign w:val="subscript"/>
              </w:rPr>
              <w:t>5</w:t>
            </w:r>
            <w:r>
              <w:t xml:space="preserve"> ≥  1,000 hours)</w:t>
            </w:r>
          </w:p>
          <w:p w:rsidR="00334066" w:rsidRDefault="00334066" w:rsidP="00F1452F">
            <w:pPr>
              <w:pStyle w:val="E3Tabletext"/>
              <w:numPr>
                <w:ilvl w:val="0"/>
                <w:numId w:val="11"/>
              </w:numPr>
              <w:rPr>
                <w:rFonts w:cstheme="majorBidi"/>
                <w:iCs/>
                <w:color w:val="243F60" w:themeColor="accent1" w:themeShade="7F"/>
              </w:rPr>
            </w:pPr>
            <w:r>
              <w:t>At 15 000 hours of operation no more than 50% of lamps shall have a lumen maintenance below 70%.</w:t>
            </w:r>
          </w:p>
          <w:p w:rsidR="00334066" w:rsidRDefault="00334066" w:rsidP="00F1452F">
            <w:pPr>
              <w:pStyle w:val="E3Tabletext"/>
              <w:numPr>
                <w:ilvl w:val="0"/>
                <w:numId w:val="11"/>
              </w:numPr>
              <w:rPr>
                <w:rFonts w:cstheme="majorBidi"/>
                <w:iCs/>
                <w:color w:val="243F60" w:themeColor="accent1" w:themeShade="7F"/>
              </w:rPr>
            </w:pPr>
            <w:r>
              <w:t>(L</w:t>
            </w:r>
            <w:r w:rsidRPr="00EB1C3E">
              <w:rPr>
                <w:vertAlign w:val="subscript"/>
              </w:rPr>
              <w:t>70</w:t>
            </w:r>
            <w:r>
              <w:t>F</w:t>
            </w:r>
            <w:r w:rsidRPr="00EB1C3E">
              <w:rPr>
                <w:vertAlign w:val="subscript"/>
              </w:rPr>
              <w:t>50</w:t>
            </w:r>
            <w:r>
              <w:t xml:space="preserve"> ≥  15,000 hours)</w:t>
            </w:r>
          </w:p>
        </w:tc>
        <w:tc>
          <w:tcPr>
            <w:tcW w:w="2484" w:type="dxa"/>
          </w:tcPr>
          <w:p w:rsidR="00334066" w:rsidRDefault="00334066" w:rsidP="00255AA3">
            <w:pPr>
              <w:pStyle w:val="E3Tabletext"/>
            </w:pPr>
            <w:r>
              <w:t>IEC/PAS 62612 Ed 1</w:t>
            </w:r>
          </w:p>
        </w:tc>
      </w:tr>
      <w:tr w:rsidR="00334066" w:rsidTr="008C09F8">
        <w:trPr>
          <w:cantSplit/>
          <w:jc w:val="center"/>
        </w:trPr>
        <w:tc>
          <w:tcPr>
            <w:tcW w:w="1480" w:type="dxa"/>
          </w:tcPr>
          <w:p w:rsidR="00334066" w:rsidRDefault="00334066" w:rsidP="00255AA3">
            <w:pPr>
              <w:pStyle w:val="E3Tabletext"/>
            </w:pPr>
            <w:r>
              <w:t>Lamp start time</w:t>
            </w:r>
          </w:p>
        </w:tc>
        <w:tc>
          <w:tcPr>
            <w:tcW w:w="5720" w:type="dxa"/>
            <w:gridSpan w:val="7"/>
          </w:tcPr>
          <w:p w:rsidR="00334066" w:rsidRDefault="00334066" w:rsidP="00255AA3">
            <w:pPr>
              <w:pStyle w:val="E3Tabletext"/>
            </w:pPr>
            <w:r>
              <w:t>&lt; 0.5 second</w:t>
            </w:r>
          </w:p>
        </w:tc>
        <w:tc>
          <w:tcPr>
            <w:tcW w:w="2484" w:type="dxa"/>
          </w:tcPr>
          <w:p w:rsidR="00334066" w:rsidRDefault="00334066" w:rsidP="00255AA3">
            <w:pPr>
              <w:pStyle w:val="E3Tabletext"/>
            </w:pPr>
            <w:r>
              <w:t>IES LM79-2008</w:t>
            </w:r>
          </w:p>
          <w:p w:rsidR="00334066" w:rsidRDefault="00334066" w:rsidP="00255AA3">
            <w:pPr>
              <w:pStyle w:val="E3Tabletext"/>
            </w:pPr>
            <w:r>
              <w:t>IES LM80-2008</w:t>
            </w:r>
          </w:p>
        </w:tc>
      </w:tr>
      <w:tr w:rsidR="00334066" w:rsidTr="008C09F8">
        <w:trPr>
          <w:cantSplit/>
          <w:jc w:val="center"/>
        </w:trPr>
        <w:tc>
          <w:tcPr>
            <w:tcW w:w="1480" w:type="dxa"/>
          </w:tcPr>
          <w:p w:rsidR="00334066" w:rsidRDefault="00334066" w:rsidP="00255AA3">
            <w:pPr>
              <w:pStyle w:val="E3Tabletext"/>
            </w:pPr>
            <w:r>
              <w:t>Lamp Run-up time</w:t>
            </w:r>
          </w:p>
        </w:tc>
        <w:tc>
          <w:tcPr>
            <w:tcW w:w="5720" w:type="dxa"/>
            <w:gridSpan w:val="7"/>
          </w:tcPr>
          <w:p w:rsidR="00334066" w:rsidRDefault="00334066" w:rsidP="00255AA3">
            <w:pPr>
              <w:pStyle w:val="E3Tabletext"/>
            </w:pPr>
            <w:r>
              <w:t>95% of the stabilised light output &lt; 2 seconds</w:t>
            </w:r>
          </w:p>
        </w:tc>
        <w:tc>
          <w:tcPr>
            <w:tcW w:w="2484" w:type="dxa"/>
          </w:tcPr>
          <w:p w:rsidR="00334066" w:rsidRDefault="00334066" w:rsidP="00255AA3">
            <w:pPr>
              <w:pStyle w:val="E3Tabletext"/>
            </w:pPr>
            <w:r>
              <w:t>IES LM79-2008</w:t>
            </w:r>
          </w:p>
          <w:p w:rsidR="00334066" w:rsidRDefault="00334066" w:rsidP="00255AA3">
            <w:pPr>
              <w:pStyle w:val="E3Tabletext"/>
            </w:pPr>
            <w:r>
              <w:t>IES LM80-2008</w:t>
            </w:r>
          </w:p>
        </w:tc>
      </w:tr>
      <w:tr w:rsidR="00334066" w:rsidTr="008C09F8">
        <w:trPr>
          <w:cantSplit/>
          <w:jc w:val="center"/>
        </w:trPr>
        <w:tc>
          <w:tcPr>
            <w:tcW w:w="1480" w:type="dxa"/>
          </w:tcPr>
          <w:p w:rsidR="00334066" w:rsidRDefault="00334066" w:rsidP="00255AA3">
            <w:pPr>
              <w:pStyle w:val="E3Tabletext"/>
            </w:pPr>
            <w:r>
              <w:t>Colour Rendering</w:t>
            </w:r>
          </w:p>
        </w:tc>
        <w:tc>
          <w:tcPr>
            <w:tcW w:w="5720" w:type="dxa"/>
            <w:gridSpan w:val="7"/>
          </w:tcPr>
          <w:p w:rsidR="00334066" w:rsidRDefault="00334066" w:rsidP="00255AA3">
            <w:pPr>
              <w:pStyle w:val="E3Tabletext"/>
            </w:pPr>
            <w:r>
              <w:t>CRI &gt; 80</w:t>
            </w:r>
          </w:p>
        </w:tc>
        <w:tc>
          <w:tcPr>
            <w:tcW w:w="2484" w:type="dxa"/>
          </w:tcPr>
          <w:p w:rsidR="00334066" w:rsidRDefault="00334066" w:rsidP="00255AA3">
            <w:pPr>
              <w:pStyle w:val="E3Tabletext"/>
            </w:pPr>
            <w:r>
              <w:t>CIE No 13.3 - 1995</w:t>
            </w:r>
          </w:p>
        </w:tc>
      </w:tr>
      <w:tr w:rsidR="00334066" w:rsidTr="008C09F8">
        <w:trPr>
          <w:cantSplit/>
          <w:jc w:val="center"/>
        </w:trPr>
        <w:tc>
          <w:tcPr>
            <w:tcW w:w="1480" w:type="dxa"/>
          </w:tcPr>
          <w:p w:rsidR="00334066" w:rsidRDefault="00334066" w:rsidP="00255AA3">
            <w:pPr>
              <w:pStyle w:val="E3Tabletext"/>
            </w:pPr>
            <w:r>
              <w:t>Colour Temperature</w:t>
            </w:r>
          </w:p>
        </w:tc>
        <w:tc>
          <w:tcPr>
            <w:tcW w:w="5720" w:type="dxa"/>
            <w:gridSpan w:val="7"/>
          </w:tcPr>
          <w:p w:rsidR="00334066" w:rsidRDefault="00334066" w:rsidP="00255AA3">
            <w:pPr>
              <w:pStyle w:val="E3Tabletext"/>
            </w:pPr>
            <w:r>
              <w:t>CCT shall be within 2600  -3500 K with a tolerance category of 7-step MacAdam ellipse size</w:t>
            </w:r>
          </w:p>
        </w:tc>
        <w:tc>
          <w:tcPr>
            <w:tcW w:w="2484" w:type="dxa"/>
          </w:tcPr>
          <w:p w:rsidR="00334066" w:rsidRDefault="00334066" w:rsidP="00255AA3">
            <w:pPr>
              <w:pStyle w:val="E3Tabletext"/>
            </w:pPr>
            <w:r>
              <w:t>IEC/PAS 62612 Ed 1</w:t>
            </w:r>
          </w:p>
          <w:p w:rsidR="00334066" w:rsidRDefault="00334066" w:rsidP="00255AA3">
            <w:pPr>
              <w:pStyle w:val="E3Tabletext"/>
            </w:pPr>
            <w:r>
              <w:t>IEC 60081 Annex D2 mod</w:t>
            </w:r>
          </w:p>
        </w:tc>
      </w:tr>
      <w:tr w:rsidR="00334066" w:rsidTr="008C09F8">
        <w:trPr>
          <w:cantSplit/>
          <w:jc w:val="center"/>
        </w:trPr>
        <w:tc>
          <w:tcPr>
            <w:tcW w:w="1480" w:type="dxa"/>
          </w:tcPr>
          <w:p w:rsidR="00334066" w:rsidRDefault="00334066" w:rsidP="00255AA3">
            <w:pPr>
              <w:pStyle w:val="E3Tabletext"/>
            </w:pPr>
            <w:r>
              <w:t>Glare and blue light hazard</w:t>
            </w:r>
          </w:p>
        </w:tc>
        <w:tc>
          <w:tcPr>
            <w:tcW w:w="5720" w:type="dxa"/>
            <w:gridSpan w:val="7"/>
          </w:tcPr>
          <w:p w:rsidR="00334066" w:rsidRDefault="00334066" w:rsidP="00255AA3">
            <w:pPr>
              <w:pStyle w:val="E3Tabletext"/>
            </w:pPr>
            <w:r>
              <w:t>The visible radiation hazard class shall be 0 or 1.</w:t>
            </w:r>
          </w:p>
        </w:tc>
        <w:tc>
          <w:tcPr>
            <w:tcW w:w="2484" w:type="dxa"/>
          </w:tcPr>
          <w:p w:rsidR="00334066" w:rsidRDefault="00334066" w:rsidP="00255AA3">
            <w:pPr>
              <w:pStyle w:val="E3Tabletext"/>
            </w:pPr>
            <w:r>
              <w:t>IEC 62471-2</w:t>
            </w:r>
          </w:p>
        </w:tc>
      </w:tr>
      <w:tr w:rsidR="00334066" w:rsidTr="008C09F8">
        <w:trPr>
          <w:cantSplit/>
          <w:jc w:val="center"/>
        </w:trPr>
        <w:tc>
          <w:tcPr>
            <w:tcW w:w="1480" w:type="dxa"/>
          </w:tcPr>
          <w:p w:rsidR="00334066" w:rsidRDefault="00334066" w:rsidP="00255AA3">
            <w:pPr>
              <w:pStyle w:val="E3Tabletext"/>
            </w:pPr>
            <w:r>
              <w:t>Flicker</w:t>
            </w:r>
          </w:p>
        </w:tc>
        <w:tc>
          <w:tcPr>
            <w:tcW w:w="5720" w:type="dxa"/>
            <w:gridSpan w:val="7"/>
          </w:tcPr>
          <w:p w:rsidR="00334066" w:rsidRDefault="00334066" w:rsidP="00255AA3">
            <w:pPr>
              <w:pStyle w:val="E3Tabletext"/>
            </w:pPr>
            <w:r>
              <w:t>The frequency of light output is to be greater than 100 Hz.</w:t>
            </w:r>
          </w:p>
          <w:p w:rsidR="00334066" w:rsidRDefault="00334066" w:rsidP="00255AA3">
            <w:pPr>
              <w:pStyle w:val="E3Tabletext"/>
            </w:pPr>
            <w:r>
              <w:t>No flicker is to be visible the dimmed to all output levels.</w:t>
            </w:r>
          </w:p>
        </w:tc>
        <w:tc>
          <w:tcPr>
            <w:tcW w:w="2484" w:type="dxa"/>
          </w:tcPr>
          <w:p w:rsidR="00334066" w:rsidRDefault="00334066" w:rsidP="00255AA3">
            <w:pPr>
              <w:pStyle w:val="E3Tabletext"/>
            </w:pPr>
            <w:r>
              <w:t>IEC61000-3-11</w:t>
            </w:r>
          </w:p>
        </w:tc>
      </w:tr>
      <w:tr w:rsidR="00334066" w:rsidTr="008C09F8">
        <w:trPr>
          <w:cantSplit/>
          <w:jc w:val="center"/>
        </w:trPr>
        <w:tc>
          <w:tcPr>
            <w:tcW w:w="1480" w:type="dxa"/>
          </w:tcPr>
          <w:p w:rsidR="00334066" w:rsidRDefault="00334066" w:rsidP="00255AA3">
            <w:pPr>
              <w:pStyle w:val="E3Tabletext"/>
            </w:pPr>
            <w:r>
              <w:t>Power Factor</w:t>
            </w:r>
          </w:p>
        </w:tc>
        <w:tc>
          <w:tcPr>
            <w:tcW w:w="5720" w:type="dxa"/>
            <w:gridSpan w:val="7"/>
          </w:tcPr>
          <w:p w:rsidR="00334066" w:rsidRDefault="00334066" w:rsidP="00255AA3">
            <w:pPr>
              <w:pStyle w:val="E3Tabletext"/>
            </w:pPr>
            <w:r>
              <w:t>PF ≥ 0.5 for lamps of wattage 2 – 25W.</w:t>
            </w:r>
          </w:p>
        </w:tc>
        <w:tc>
          <w:tcPr>
            <w:tcW w:w="2484" w:type="dxa"/>
          </w:tcPr>
          <w:p w:rsidR="00334066" w:rsidRDefault="00334066" w:rsidP="00255AA3">
            <w:pPr>
              <w:pStyle w:val="E3Tabletext"/>
            </w:pPr>
            <w:r>
              <w:t>IEC61000-3-2:2006</w:t>
            </w:r>
          </w:p>
        </w:tc>
      </w:tr>
    </w:tbl>
    <w:p w:rsidR="00334066" w:rsidRDefault="00334066" w:rsidP="00E65B09">
      <w:pPr>
        <w:pStyle w:val="E3Heading4"/>
        <w:numPr>
          <w:ilvl w:val="0"/>
          <w:numId w:val="0"/>
        </w:numPr>
        <w:ind w:left="1008" w:hanging="1008"/>
      </w:pPr>
      <w:bookmarkStart w:id="307" w:name="_Toc389123360"/>
      <w:r w:rsidRPr="00EE30BB">
        <w:t xml:space="preserve">EU </w:t>
      </w:r>
      <w:r w:rsidRPr="00935935">
        <w:t>Ecolabel</w:t>
      </w:r>
      <w:r w:rsidRPr="00EE30BB">
        <w:t xml:space="preserve"> (Commission Decision 6 June 2011</w:t>
      </w:r>
      <w:r>
        <w:t>)</w:t>
      </w:r>
      <w:bookmarkEnd w:id="307"/>
    </w:p>
    <w:p w:rsidR="00334066" w:rsidRPr="00310986" w:rsidRDefault="00334066" w:rsidP="00E65B09">
      <w:pPr>
        <w:pStyle w:val="E3Heading4"/>
        <w:numPr>
          <w:ilvl w:val="0"/>
          <w:numId w:val="0"/>
        </w:numPr>
        <w:ind w:left="1008" w:hanging="1008"/>
        <w:rPr>
          <w:lang w:eastAsia="en-AU"/>
        </w:rPr>
      </w:pPr>
      <w:bookmarkStart w:id="308" w:name="_Ref361324115"/>
      <w:r w:rsidRPr="00310986">
        <w:rPr>
          <w:lang w:eastAsia="en-AU"/>
        </w:rPr>
        <w:t>Scope</w:t>
      </w:r>
      <w:bookmarkEnd w:id="308"/>
    </w:p>
    <w:p w:rsidR="00334066" w:rsidRDefault="00334066" w:rsidP="00935935">
      <w:pPr>
        <w:pStyle w:val="E3BodyText"/>
      </w:pPr>
      <w:r>
        <w:t>The product group ‘light sources’ is comprised of all light sources with luminous flux ≥ 60 lumens and ≤ 12000 lumens for general lighting applications with direct or indirect connection to the public electricity supply equipped with a lamp cap listed in EN 60061 and made in order to produce a visible radiation.</w:t>
      </w:r>
    </w:p>
    <w:p w:rsidR="00334066" w:rsidRDefault="00334066" w:rsidP="00935935">
      <w:pPr>
        <w:pStyle w:val="E3BodyText"/>
      </w:pPr>
      <w:r>
        <w:t>The following types of light sources are not included in the product group: directional lamps, high-intensity discharge lamps, coloured lamps, projector lamps, photographic lighting, solarium tubes, battery driven systems and other light sources that are not intended for general lighting applications. The following types of light sources are not included in the product group if they are not supplied directly from the mains: integral compact fluorescent lamps, filament lamps, LED lamps.</w:t>
      </w:r>
    </w:p>
    <w:p w:rsidR="00334066" w:rsidRPr="00310986" w:rsidRDefault="00334066" w:rsidP="00E65B09">
      <w:pPr>
        <w:pStyle w:val="E3Heading4"/>
        <w:numPr>
          <w:ilvl w:val="0"/>
          <w:numId w:val="0"/>
        </w:numPr>
        <w:ind w:left="1008" w:hanging="1008"/>
        <w:rPr>
          <w:lang w:eastAsia="en-AU"/>
        </w:rPr>
      </w:pPr>
      <w:bookmarkStart w:id="309" w:name="_Ref361324128"/>
      <w:r>
        <w:rPr>
          <w:lang w:eastAsia="en-AU"/>
        </w:rPr>
        <w:t>Performance requirements</w:t>
      </w:r>
      <w:bookmarkEnd w:id="309"/>
    </w:p>
    <w:tbl>
      <w:tblPr>
        <w:tblStyle w:val="TableGrid"/>
        <w:tblW w:w="0" w:type="auto"/>
        <w:jc w:val="center"/>
        <w:tblLook w:val="04A0" w:firstRow="1" w:lastRow="0" w:firstColumn="1" w:lastColumn="0" w:noHBand="0" w:noVBand="1"/>
      </w:tblPr>
      <w:tblGrid>
        <w:gridCol w:w="1480"/>
        <w:gridCol w:w="5612"/>
        <w:gridCol w:w="2484"/>
      </w:tblGrid>
      <w:tr w:rsidR="00334066" w:rsidTr="008C09F8">
        <w:trPr>
          <w:cantSplit/>
          <w:tblHeader/>
          <w:jc w:val="center"/>
        </w:trPr>
        <w:tc>
          <w:tcPr>
            <w:tcW w:w="1480" w:type="dxa"/>
          </w:tcPr>
          <w:p w:rsidR="00334066" w:rsidRDefault="00334066" w:rsidP="00935935">
            <w:pPr>
              <w:pStyle w:val="E3TableHeading"/>
            </w:pPr>
            <w:r>
              <w:t>Parameter</w:t>
            </w:r>
          </w:p>
        </w:tc>
        <w:tc>
          <w:tcPr>
            <w:tcW w:w="5612" w:type="dxa"/>
          </w:tcPr>
          <w:p w:rsidR="00334066" w:rsidRDefault="00334066" w:rsidP="00935935">
            <w:pPr>
              <w:pStyle w:val="E3TableHeading"/>
            </w:pPr>
            <w:r>
              <w:t>Minimum requirements</w:t>
            </w:r>
          </w:p>
        </w:tc>
        <w:tc>
          <w:tcPr>
            <w:tcW w:w="2484" w:type="dxa"/>
          </w:tcPr>
          <w:p w:rsidR="00334066" w:rsidRDefault="00334066" w:rsidP="00935935">
            <w:pPr>
              <w:pStyle w:val="E3TableHeading"/>
            </w:pPr>
            <w:r>
              <w:t>Test Method</w:t>
            </w:r>
          </w:p>
        </w:tc>
      </w:tr>
      <w:tr w:rsidR="00334066" w:rsidTr="008C09F8">
        <w:trPr>
          <w:cantSplit/>
          <w:jc w:val="center"/>
        </w:trPr>
        <w:tc>
          <w:tcPr>
            <w:tcW w:w="1480" w:type="dxa"/>
          </w:tcPr>
          <w:p w:rsidR="00334066" w:rsidRDefault="00334066" w:rsidP="00255AA3">
            <w:pPr>
              <w:pStyle w:val="E3Tabletext"/>
            </w:pPr>
            <w:r>
              <w:t>Efficacy</w:t>
            </w:r>
          </w:p>
        </w:tc>
        <w:tc>
          <w:tcPr>
            <w:tcW w:w="5612" w:type="dxa"/>
          </w:tcPr>
          <w:p w:rsidR="00334066" w:rsidRDefault="00334066" w:rsidP="00255AA3">
            <w:pPr>
              <w:pStyle w:val="E3Tabletext"/>
            </w:pPr>
            <w:r>
              <w:t xml:space="preserve">EEI that is 10% better than the Class A </w:t>
            </w:r>
          </w:p>
        </w:tc>
        <w:tc>
          <w:tcPr>
            <w:tcW w:w="2484" w:type="dxa"/>
          </w:tcPr>
          <w:p w:rsidR="00334066" w:rsidRDefault="00334066" w:rsidP="00255AA3">
            <w:pPr>
              <w:pStyle w:val="E3Tabletext"/>
            </w:pPr>
            <w:r>
              <w:t>Unspecified for LED</w:t>
            </w:r>
          </w:p>
        </w:tc>
      </w:tr>
      <w:tr w:rsidR="00334066" w:rsidTr="008C09F8">
        <w:trPr>
          <w:cantSplit/>
          <w:jc w:val="center"/>
        </w:trPr>
        <w:tc>
          <w:tcPr>
            <w:tcW w:w="1480" w:type="dxa"/>
          </w:tcPr>
          <w:p w:rsidR="00334066" w:rsidRDefault="00334066" w:rsidP="00255AA3">
            <w:pPr>
              <w:pStyle w:val="E3Tabletext"/>
            </w:pPr>
            <w:r>
              <w:t>Life time</w:t>
            </w:r>
          </w:p>
        </w:tc>
        <w:tc>
          <w:tcPr>
            <w:tcW w:w="5612" w:type="dxa"/>
          </w:tcPr>
          <w:p w:rsidR="00334066" w:rsidRDefault="00334066" w:rsidP="00255AA3">
            <w:pPr>
              <w:pStyle w:val="E3Tabletext"/>
            </w:pPr>
            <w:r>
              <w:t xml:space="preserve">Single ended: </w:t>
            </w:r>
            <w:r>
              <w:tab/>
              <w:t>15,000 h</w:t>
            </w:r>
          </w:p>
          <w:p w:rsidR="00334066" w:rsidRDefault="00334066" w:rsidP="00255AA3">
            <w:pPr>
              <w:pStyle w:val="E3Tabletext"/>
            </w:pPr>
            <w:r>
              <w:t>Double ended:</w:t>
            </w:r>
            <w:r>
              <w:tab/>
              <w:t>20,000 h</w:t>
            </w:r>
          </w:p>
        </w:tc>
        <w:tc>
          <w:tcPr>
            <w:tcW w:w="2484" w:type="dxa"/>
          </w:tcPr>
          <w:p w:rsidR="00334066" w:rsidRDefault="00334066" w:rsidP="00255AA3">
            <w:pPr>
              <w:pStyle w:val="E3Tabletext"/>
            </w:pPr>
            <w:r>
              <w:t>Unspecified  for LED</w:t>
            </w:r>
          </w:p>
        </w:tc>
      </w:tr>
      <w:tr w:rsidR="00334066" w:rsidTr="008C09F8">
        <w:trPr>
          <w:cantSplit/>
          <w:jc w:val="center"/>
        </w:trPr>
        <w:tc>
          <w:tcPr>
            <w:tcW w:w="1480" w:type="dxa"/>
          </w:tcPr>
          <w:p w:rsidR="00334066" w:rsidRDefault="00334066" w:rsidP="00255AA3">
            <w:pPr>
              <w:pStyle w:val="E3Tabletext"/>
            </w:pPr>
            <w:r>
              <w:t>Lumen maintenance</w:t>
            </w:r>
          </w:p>
        </w:tc>
        <w:tc>
          <w:tcPr>
            <w:tcW w:w="5612" w:type="dxa"/>
          </w:tcPr>
          <w:p w:rsidR="00334066" w:rsidRDefault="00334066" w:rsidP="00255AA3">
            <w:pPr>
              <w:pStyle w:val="E3Tabletext"/>
            </w:pPr>
            <w:r>
              <w:t xml:space="preserve">Single ended: </w:t>
            </w:r>
            <w:r>
              <w:tab/>
              <w:t>80% at 9,000 h</w:t>
            </w:r>
          </w:p>
          <w:p w:rsidR="00334066" w:rsidRDefault="00334066" w:rsidP="00255AA3">
            <w:pPr>
              <w:pStyle w:val="E3Tabletext"/>
            </w:pPr>
            <w:r>
              <w:t>Double ended:</w:t>
            </w:r>
            <w:r>
              <w:tab/>
              <w:t>90% at 16,000 h</w:t>
            </w:r>
          </w:p>
        </w:tc>
        <w:tc>
          <w:tcPr>
            <w:tcW w:w="2484" w:type="dxa"/>
          </w:tcPr>
          <w:p w:rsidR="00334066" w:rsidRDefault="00334066" w:rsidP="00255AA3">
            <w:pPr>
              <w:pStyle w:val="E3Tabletext"/>
            </w:pPr>
            <w:r>
              <w:t>Unspecified  for LED</w:t>
            </w:r>
          </w:p>
        </w:tc>
      </w:tr>
      <w:tr w:rsidR="00334066" w:rsidTr="008C09F8">
        <w:trPr>
          <w:cantSplit/>
          <w:jc w:val="center"/>
        </w:trPr>
        <w:tc>
          <w:tcPr>
            <w:tcW w:w="1480" w:type="dxa"/>
          </w:tcPr>
          <w:p w:rsidR="00334066" w:rsidRPr="00C47C33" w:rsidRDefault="00334066" w:rsidP="00255AA3">
            <w:pPr>
              <w:pStyle w:val="E3Tabletext"/>
            </w:pPr>
            <w:r w:rsidRPr="00C47C33">
              <w:t>Switching withstand</w:t>
            </w:r>
          </w:p>
        </w:tc>
        <w:tc>
          <w:tcPr>
            <w:tcW w:w="5612" w:type="dxa"/>
          </w:tcPr>
          <w:p w:rsidR="00334066" w:rsidRDefault="00334066" w:rsidP="00255AA3">
            <w:pPr>
              <w:pStyle w:val="E3Tabletext"/>
            </w:pPr>
            <w:r w:rsidRPr="00C47C33">
              <w:t xml:space="preserve">Switching cycles before failure </w:t>
            </w:r>
            <w:r>
              <w:t>&gt;</w:t>
            </w:r>
            <w:r w:rsidRPr="001E4AD1">
              <w:t xml:space="preserve"> rated life in hours</w:t>
            </w:r>
          </w:p>
          <w:p w:rsidR="00334066" w:rsidRDefault="00334066" w:rsidP="00255AA3">
            <w:pPr>
              <w:pStyle w:val="E3Tabletext"/>
            </w:pPr>
            <w:r>
              <w:t>If claiming withstand to frequent switching:</w:t>
            </w:r>
          </w:p>
          <w:p w:rsidR="00334066" w:rsidRPr="001E4AD1" w:rsidRDefault="00334066" w:rsidP="00255AA3">
            <w:pPr>
              <w:pStyle w:val="E3Tabletext"/>
            </w:pPr>
            <w:r w:rsidRPr="00C47C33">
              <w:t xml:space="preserve">Switching cycles before failure </w:t>
            </w:r>
            <w:r>
              <w:t>&gt; 60,000 cycles</w:t>
            </w:r>
          </w:p>
        </w:tc>
        <w:tc>
          <w:tcPr>
            <w:tcW w:w="2484" w:type="dxa"/>
          </w:tcPr>
          <w:p w:rsidR="00334066" w:rsidRDefault="00334066" w:rsidP="00255AA3">
            <w:pPr>
              <w:pStyle w:val="E3Tabletext"/>
            </w:pPr>
            <w:r>
              <w:t>Unspecified  for LED</w:t>
            </w:r>
          </w:p>
        </w:tc>
      </w:tr>
      <w:tr w:rsidR="00334066" w:rsidTr="008C09F8">
        <w:trPr>
          <w:cantSplit/>
          <w:jc w:val="center"/>
        </w:trPr>
        <w:tc>
          <w:tcPr>
            <w:tcW w:w="1480" w:type="dxa"/>
          </w:tcPr>
          <w:p w:rsidR="00334066" w:rsidRDefault="00334066" w:rsidP="00255AA3">
            <w:pPr>
              <w:pStyle w:val="E3Tabletext"/>
            </w:pPr>
            <w:r>
              <w:t>Colour Rendering</w:t>
            </w:r>
          </w:p>
        </w:tc>
        <w:tc>
          <w:tcPr>
            <w:tcW w:w="5612" w:type="dxa"/>
          </w:tcPr>
          <w:p w:rsidR="00334066" w:rsidRDefault="00334066" w:rsidP="00255AA3">
            <w:pPr>
              <w:pStyle w:val="E3Tabletext"/>
            </w:pPr>
            <w:r>
              <w:t>Ra &gt; 85</w:t>
            </w:r>
          </w:p>
        </w:tc>
        <w:tc>
          <w:tcPr>
            <w:tcW w:w="2484" w:type="dxa"/>
          </w:tcPr>
          <w:p w:rsidR="00334066" w:rsidRDefault="00334066" w:rsidP="00255AA3">
            <w:pPr>
              <w:pStyle w:val="E3Tabletext"/>
            </w:pPr>
            <w:r>
              <w:t>CIE No 13.3 - 1995</w:t>
            </w:r>
          </w:p>
        </w:tc>
      </w:tr>
      <w:tr w:rsidR="00334066" w:rsidTr="008C09F8">
        <w:trPr>
          <w:cantSplit/>
          <w:jc w:val="center"/>
        </w:trPr>
        <w:tc>
          <w:tcPr>
            <w:tcW w:w="1480" w:type="dxa"/>
          </w:tcPr>
          <w:p w:rsidR="00334066" w:rsidRDefault="00334066" w:rsidP="00255AA3">
            <w:pPr>
              <w:pStyle w:val="E3Tabletext"/>
            </w:pPr>
            <w:r>
              <w:t>Colour Consistency</w:t>
            </w:r>
          </w:p>
        </w:tc>
        <w:tc>
          <w:tcPr>
            <w:tcW w:w="5612" w:type="dxa"/>
          </w:tcPr>
          <w:p w:rsidR="00334066" w:rsidRDefault="00334066" w:rsidP="00255AA3">
            <w:pPr>
              <w:pStyle w:val="E3Tabletext"/>
            </w:pPr>
            <w:r>
              <w:t>CCT shall be within a tolerance category of 3-step MacAdam ellipse size</w:t>
            </w:r>
          </w:p>
        </w:tc>
        <w:tc>
          <w:tcPr>
            <w:tcW w:w="2484" w:type="dxa"/>
          </w:tcPr>
          <w:p w:rsidR="00334066" w:rsidRDefault="00334066" w:rsidP="00255AA3">
            <w:pPr>
              <w:pStyle w:val="E3Tabletext"/>
            </w:pPr>
            <w:r>
              <w:t>Unspecified  for LED</w:t>
            </w:r>
          </w:p>
        </w:tc>
      </w:tr>
    </w:tbl>
    <w:p w:rsidR="00334066" w:rsidRDefault="00334066" w:rsidP="00334066"/>
    <w:p w:rsidR="00334066" w:rsidRDefault="00334066" w:rsidP="00E65B09">
      <w:pPr>
        <w:pStyle w:val="E3Heading4"/>
        <w:numPr>
          <w:ilvl w:val="0"/>
          <w:numId w:val="0"/>
        </w:numPr>
        <w:ind w:left="1008" w:hanging="1008"/>
      </w:pPr>
      <w:bookmarkStart w:id="310" w:name="_Toc389123361"/>
      <w:r>
        <w:lastRenderedPageBreak/>
        <w:t>Countries following EU standard EC 244/2009</w:t>
      </w:r>
      <w:bookmarkEnd w:id="310"/>
    </w:p>
    <w:tbl>
      <w:tblPr>
        <w:tblStyle w:val="TableGrid"/>
        <w:tblW w:w="5000" w:type="pct"/>
        <w:jc w:val="center"/>
        <w:tblLayout w:type="fixed"/>
        <w:tblLook w:val="04A0" w:firstRow="1" w:lastRow="0" w:firstColumn="1" w:lastColumn="0" w:noHBand="0" w:noVBand="1"/>
      </w:tblPr>
      <w:tblGrid>
        <w:gridCol w:w="1133"/>
        <w:gridCol w:w="3646"/>
        <w:gridCol w:w="1692"/>
        <w:gridCol w:w="1692"/>
        <w:gridCol w:w="1692"/>
      </w:tblGrid>
      <w:tr w:rsidR="00334066" w:rsidTr="008C09F8">
        <w:trPr>
          <w:cantSplit/>
          <w:tblHeader/>
          <w:jc w:val="center"/>
        </w:trPr>
        <w:tc>
          <w:tcPr>
            <w:tcW w:w="1133" w:type="dxa"/>
          </w:tcPr>
          <w:p w:rsidR="00334066" w:rsidRDefault="00334066" w:rsidP="00935935">
            <w:pPr>
              <w:pStyle w:val="E3TableHeading"/>
            </w:pPr>
            <w:r>
              <w:t>Country</w:t>
            </w:r>
          </w:p>
        </w:tc>
        <w:tc>
          <w:tcPr>
            <w:tcW w:w="3646" w:type="dxa"/>
          </w:tcPr>
          <w:p w:rsidR="00334066" w:rsidRDefault="00334066" w:rsidP="00935935">
            <w:pPr>
              <w:pStyle w:val="E3TableHeading"/>
            </w:pPr>
          </w:p>
        </w:tc>
        <w:tc>
          <w:tcPr>
            <w:tcW w:w="5076" w:type="dxa"/>
            <w:gridSpan w:val="3"/>
          </w:tcPr>
          <w:p w:rsidR="00334066" w:rsidRDefault="00334066" w:rsidP="00935935">
            <w:pPr>
              <w:pStyle w:val="E3TableHeading"/>
            </w:pPr>
            <w:r>
              <w:t>Details</w:t>
            </w:r>
          </w:p>
        </w:tc>
      </w:tr>
      <w:tr w:rsidR="00334066" w:rsidTr="008C09F8">
        <w:trPr>
          <w:cantSplit/>
          <w:jc w:val="center"/>
        </w:trPr>
        <w:tc>
          <w:tcPr>
            <w:tcW w:w="1133" w:type="dxa"/>
            <w:vMerge w:val="restart"/>
          </w:tcPr>
          <w:p w:rsidR="00334066" w:rsidRDefault="00334066" w:rsidP="00255AA3">
            <w:pPr>
              <w:pStyle w:val="E3Tabletext"/>
            </w:pPr>
            <w:r>
              <w:t>Jordan</w:t>
            </w:r>
          </w:p>
        </w:tc>
        <w:tc>
          <w:tcPr>
            <w:tcW w:w="3646" w:type="dxa"/>
          </w:tcPr>
          <w:p w:rsidR="00334066" w:rsidRDefault="00334066" w:rsidP="00255AA3">
            <w:pPr>
              <w:pStyle w:val="E3Tabletext"/>
            </w:pPr>
            <w:r w:rsidRPr="000606A3">
              <w:t>Technical Regulation on Ecodesign requirements for Non Directional Household lamps (2012)</w:t>
            </w:r>
          </w:p>
        </w:tc>
        <w:tc>
          <w:tcPr>
            <w:tcW w:w="5076" w:type="dxa"/>
            <w:gridSpan w:val="3"/>
          </w:tcPr>
          <w:p w:rsidR="00334066" w:rsidRDefault="00334066" w:rsidP="00255AA3">
            <w:pPr>
              <w:pStyle w:val="E3Tabletext"/>
            </w:pPr>
            <w:r>
              <w:t>MEPS: The following stages of enforcement apply</w:t>
            </w:r>
            <w:r w:rsidR="008878C6">
              <w:t>:</w:t>
            </w:r>
          </w:p>
          <w:p w:rsidR="008878C6" w:rsidRDefault="008878C6" w:rsidP="00255AA3">
            <w:pPr>
              <w:pStyle w:val="E3Tabletext"/>
            </w:pPr>
            <w:r>
              <w:t>Stage 1 – 1 January 2014</w:t>
            </w:r>
          </w:p>
          <w:p w:rsidR="008878C6" w:rsidRDefault="008878C6" w:rsidP="00255AA3">
            <w:pPr>
              <w:pStyle w:val="E3Tabletext"/>
            </w:pPr>
            <w:r>
              <w:t>Stage 2 – 1 January 2016</w:t>
            </w:r>
          </w:p>
          <w:p w:rsidR="008878C6" w:rsidRDefault="008878C6" w:rsidP="00255AA3">
            <w:pPr>
              <w:pStyle w:val="E3Tabletext"/>
            </w:pPr>
            <w:r>
              <w:t xml:space="preserve">Stage 5 – </w:t>
            </w:r>
          </w:p>
          <w:p w:rsidR="00334066" w:rsidRDefault="008878C6" w:rsidP="00255AA3">
            <w:pPr>
              <w:pStyle w:val="E3Tabletext"/>
            </w:pPr>
            <w:r>
              <w:t xml:space="preserve">Stage 6 – </w:t>
            </w:r>
          </w:p>
        </w:tc>
      </w:tr>
      <w:tr w:rsidR="00334066" w:rsidTr="008C09F8">
        <w:trPr>
          <w:cantSplit/>
          <w:jc w:val="center"/>
        </w:trPr>
        <w:tc>
          <w:tcPr>
            <w:tcW w:w="1133" w:type="dxa"/>
            <w:vMerge/>
          </w:tcPr>
          <w:p w:rsidR="00334066" w:rsidRDefault="00334066" w:rsidP="00255AA3">
            <w:pPr>
              <w:pStyle w:val="E3Tabletext"/>
            </w:pPr>
          </w:p>
        </w:tc>
        <w:tc>
          <w:tcPr>
            <w:tcW w:w="3646" w:type="dxa"/>
          </w:tcPr>
          <w:p w:rsidR="00334066" w:rsidRPr="000606A3" w:rsidRDefault="00334066" w:rsidP="00255AA3">
            <w:pPr>
              <w:pStyle w:val="E3Tabletext"/>
            </w:pPr>
            <w:r w:rsidRPr="000606A3">
              <w:t xml:space="preserve">Energy Label (Commission Directive 98/11/EC) (2012 </w:t>
            </w:r>
            <w:r w:rsidR="00EA2737" w:rsidRPr="000606A3">
              <w:t>Voluntary</w:t>
            </w:r>
            <w:r w:rsidRPr="000606A3">
              <w:t xml:space="preserve"> - 2013 Mandatory)</w:t>
            </w:r>
          </w:p>
        </w:tc>
        <w:tc>
          <w:tcPr>
            <w:tcW w:w="5076" w:type="dxa"/>
            <w:gridSpan w:val="3"/>
          </w:tcPr>
          <w:p w:rsidR="00334066" w:rsidRDefault="00334066" w:rsidP="00255AA3">
            <w:pPr>
              <w:pStyle w:val="E3Tabletext"/>
            </w:pPr>
            <w:r>
              <w:t>Energy Label:</w:t>
            </w:r>
          </w:p>
          <w:p w:rsidR="008878C6" w:rsidRDefault="008878C6" w:rsidP="00255AA3">
            <w:pPr>
              <w:pStyle w:val="E3Tabletext"/>
            </w:pPr>
            <w:r>
              <w:t>2013 – Optional</w:t>
            </w:r>
          </w:p>
          <w:p w:rsidR="00334066" w:rsidRDefault="008878C6" w:rsidP="00255AA3">
            <w:pPr>
              <w:pStyle w:val="E3Tabletext"/>
            </w:pPr>
            <w:r>
              <w:t>2014 - Mandatory</w:t>
            </w:r>
          </w:p>
        </w:tc>
      </w:tr>
      <w:tr w:rsidR="00334066" w:rsidTr="008C09F8">
        <w:trPr>
          <w:cantSplit/>
          <w:jc w:val="center"/>
        </w:trPr>
        <w:tc>
          <w:tcPr>
            <w:tcW w:w="1133" w:type="dxa"/>
            <w:vMerge w:val="restart"/>
          </w:tcPr>
          <w:p w:rsidR="00334066" w:rsidRDefault="00334066" w:rsidP="00255AA3">
            <w:pPr>
              <w:pStyle w:val="E3Tabletext"/>
            </w:pPr>
            <w:r>
              <w:t>Switzerland</w:t>
            </w:r>
          </w:p>
        </w:tc>
        <w:tc>
          <w:tcPr>
            <w:tcW w:w="3646" w:type="dxa"/>
          </w:tcPr>
          <w:p w:rsidR="00334066" w:rsidRDefault="00334066" w:rsidP="00255AA3">
            <w:pPr>
              <w:pStyle w:val="E3Tabletext"/>
            </w:pPr>
            <w:r w:rsidRPr="000606A3">
              <w:t>Commission Regulation (EC) No 244/2009 - Non Directional Light Sources</w:t>
            </w:r>
          </w:p>
        </w:tc>
        <w:tc>
          <w:tcPr>
            <w:tcW w:w="5076" w:type="dxa"/>
            <w:gridSpan w:val="3"/>
          </w:tcPr>
          <w:p w:rsidR="00334066" w:rsidRDefault="00334066" w:rsidP="00255AA3">
            <w:pPr>
              <w:pStyle w:val="E3Tabletext"/>
            </w:pPr>
            <w:r>
              <w:t>MEPS:  As per EC 244/2009</w:t>
            </w:r>
          </w:p>
          <w:p w:rsidR="00334066" w:rsidRDefault="00334066" w:rsidP="00255AA3">
            <w:pPr>
              <w:pStyle w:val="E3Tabletext"/>
            </w:pPr>
          </w:p>
        </w:tc>
      </w:tr>
      <w:tr w:rsidR="00334066" w:rsidTr="008C09F8">
        <w:trPr>
          <w:cantSplit/>
          <w:jc w:val="center"/>
        </w:trPr>
        <w:tc>
          <w:tcPr>
            <w:tcW w:w="1133" w:type="dxa"/>
            <w:vMerge/>
          </w:tcPr>
          <w:p w:rsidR="00334066" w:rsidRDefault="00334066" w:rsidP="00255AA3">
            <w:pPr>
              <w:pStyle w:val="E3Tabletext"/>
            </w:pPr>
          </w:p>
        </w:tc>
        <w:tc>
          <w:tcPr>
            <w:tcW w:w="3646" w:type="dxa"/>
          </w:tcPr>
          <w:p w:rsidR="00334066" w:rsidRPr="000606A3" w:rsidRDefault="00334066" w:rsidP="00255AA3">
            <w:pPr>
              <w:pStyle w:val="E3Tabletext"/>
            </w:pPr>
            <w:r w:rsidRPr="000606A3">
              <w:t>Energy Label (Commission Directive 98/11/EC) (2002)</w:t>
            </w:r>
          </w:p>
        </w:tc>
        <w:tc>
          <w:tcPr>
            <w:tcW w:w="5076" w:type="dxa"/>
            <w:gridSpan w:val="3"/>
          </w:tcPr>
          <w:p w:rsidR="00334066" w:rsidRDefault="00334066" w:rsidP="00255AA3">
            <w:pPr>
              <w:pStyle w:val="E3Tabletext"/>
            </w:pPr>
            <w:r w:rsidRPr="00167A17">
              <w:t>Energy Label</w:t>
            </w:r>
            <w:r>
              <w:t xml:space="preserve">: As per Commission Directive 98/11/EC </w:t>
            </w:r>
            <w:r w:rsidRPr="00167A17">
              <w:t>(2002)</w:t>
            </w:r>
          </w:p>
        </w:tc>
      </w:tr>
      <w:tr w:rsidR="00334066" w:rsidTr="008C09F8">
        <w:trPr>
          <w:cantSplit/>
          <w:jc w:val="center"/>
        </w:trPr>
        <w:tc>
          <w:tcPr>
            <w:tcW w:w="1133" w:type="dxa"/>
            <w:vMerge/>
          </w:tcPr>
          <w:p w:rsidR="00334066" w:rsidRDefault="00334066" w:rsidP="00255AA3">
            <w:pPr>
              <w:pStyle w:val="E3Tabletext"/>
            </w:pPr>
          </w:p>
        </w:tc>
        <w:tc>
          <w:tcPr>
            <w:tcW w:w="3646" w:type="dxa"/>
          </w:tcPr>
          <w:p w:rsidR="00334066" w:rsidRPr="000606A3" w:rsidRDefault="00334066" w:rsidP="00255AA3">
            <w:pPr>
              <w:pStyle w:val="E3Tabletext"/>
            </w:pPr>
            <w:r w:rsidRPr="000606A3">
              <w:t>EU Ecolabel (Commission Decision 6 June 2011)</w:t>
            </w:r>
          </w:p>
        </w:tc>
        <w:tc>
          <w:tcPr>
            <w:tcW w:w="5076" w:type="dxa"/>
            <w:gridSpan w:val="3"/>
          </w:tcPr>
          <w:p w:rsidR="00334066" w:rsidRDefault="00334066" w:rsidP="00255AA3">
            <w:pPr>
              <w:pStyle w:val="E3Tabletext"/>
            </w:pPr>
            <w:r>
              <w:t xml:space="preserve">Ecolabel:  As per </w:t>
            </w:r>
            <w:r w:rsidRPr="002576EC">
              <w:t>EU Ecolabel (Commission Decision 6 June 2011)</w:t>
            </w:r>
          </w:p>
        </w:tc>
      </w:tr>
      <w:tr w:rsidR="00334066" w:rsidTr="008C09F8">
        <w:trPr>
          <w:cantSplit/>
          <w:jc w:val="center"/>
        </w:trPr>
        <w:tc>
          <w:tcPr>
            <w:tcW w:w="1133" w:type="dxa"/>
            <w:vMerge w:val="restart"/>
          </w:tcPr>
          <w:p w:rsidR="00334066" w:rsidRDefault="00334066" w:rsidP="00255AA3">
            <w:pPr>
              <w:pStyle w:val="E3Tabletext"/>
            </w:pPr>
            <w:r>
              <w:t>Turkey</w:t>
            </w:r>
          </w:p>
        </w:tc>
        <w:tc>
          <w:tcPr>
            <w:tcW w:w="3646" w:type="dxa"/>
          </w:tcPr>
          <w:p w:rsidR="00334066" w:rsidRDefault="00334066" w:rsidP="00255AA3">
            <w:pPr>
              <w:pStyle w:val="E3Tabletext"/>
            </w:pPr>
            <w:r w:rsidRPr="009C7BAE">
              <w:t>Turkish Official Gazette No 28038 (Commission Regulation (EC) No 244/2009) - Non Directional Light Sources (2011)</w:t>
            </w:r>
          </w:p>
        </w:tc>
        <w:tc>
          <w:tcPr>
            <w:tcW w:w="5076" w:type="dxa"/>
            <w:gridSpan w:val="3"/>
          </w:tcPr>
          <w:p w:rsidR="00334066" w:rsidRDefault="00334066" w:rsidP="00255AA3">
            <w:pPr>
              <w:pStyle w:val="E3Tabletext"/>
            </w:pPr>
            <w:r>
              <w:t xml:space="preserve">MEPS: </w:t>
            </w:r>
            <w:r w:rsidRPr="00754F83">
              <w:t>Transposition of the EU Commission Regulation (EC) No 244/2009) - Non Directional Light Sources</w:t>
            </w:r>
          </w:p>
          <w:p w:rsidR="00334066" w:rsidRDefault="00334066" w:rsidP="00255AA3">
            <w:pPr>
              <w:pStyle w:val="E3Tabletext"/>
            </w:pPr>
          </w:p>
        </w:tc>
      </w:tr>
      <w:tr w:rsidR="00334066" w:rsidTr="008C09F8">
        <w:trPr>
          <w:cantSplit/>
          <w:jc w:val="center"/>
        </w:trPr>
        <w:tc>
          <w:tcPr>
            <w:tcW w:w="1133" w:type="dxa"/>
            <w:vMerge/>
          </w:tcPr>
          <w:p w:rsidR="00334066" w:rsidRDefault="00334066" w:rsidP="00255AA3">
            <w:pPr>
              <w:pStyle w:val="E3Tabletext"/>
            </w:pPr>
          </w:p>
        </w:tc>
        <w:tc>
          <w:tcPr>
            <w:tcW w:w="3646" w:type="dxa"/>
          </w:tcPr>
          <w:p w:rsidR="00334066" w:rsidRPr="009C7BAE" w:rsidRDefault="00334066" w:rsidP="00255AA3">
            <w:pPr>
              <w:pStyle w:val="E3Tabletext"/>
            </w:pPr>
            <w:r w:rsidRPr="000606A3">
              <w:t>Turkish Official Gazette No 24852 (Transpositon of Commission Directive 98/11/EC) (2002)</w:t>
            </w:r>
          </w:p>
        </w:tc>
        <w:tc>
          <w:tcPr>
            <w:tcW w:w="5076" w:type="dxa"/>
            <w:gridSpan w:val="3"/>
          </w:tcPr>
          <w:p w:rsidR="00334066" w:rsidRDefault="00334066" w:rsidP="00255AA3">
            <w:pPr>
              <w:pStyle w:val="E3Tabletext"/>
            </w:pPr>
            <w:r>
              <w:t xml:space="preserve">Energy Label:  </w:t>
            </w:r>
            <w:r w:rsidRPr="00754F83">
              <w:t>Transposition of EU Energy Label (Commission Directive 98/11/EC) (2002)</w:t>
            </w:r>
          </w:p>
        </w:tc>
      </w:tr>
      <w:tr w:rsidR="00334066" w:rsidRPr="008A65AF" w:rsidTr="008C09F8">
        <w:trPr>
          <w:cantSplit/>
          <w:jc w:val="center"/>
        </w:trPr>
        <w:tc>
          <w:tcPr>
            <w:tcW w:w="1133" w:type="dxa"/>
            <w:vMerge/>
          </w:tcPr>
          <w:p w:rsidR="00334066" w:rsidRDefault="00334066" w:rsidP="00255AA3">
            <w:pPr>
              <w:pStyle w:val="E3Tabletext"/>
            </w:pPr>
          </w:p>
        </w:tc>
        <w:tc>
          <w:tcPr>
            <w:tcW w:w="3646" w:type="dxa"/>
          </w:tcPr>
          <w:p w:rsidR="00334066" w:rsidRPr="000606A3" w:rsidRDefault="00334066" w:rsidP="00255AA3">
            <w:pPr>
              <w:pStyle w:val="E3Tabletext"/>
            </w:pPr>
            <w:r w:rsidRPr="000606A3">
              <w:t>EU Ecolabel (Commission Decision 6 June 2011) - (?) to be transposed</w:t>
            </w:r>
          </w:p>
        </w:tc>
        <w:tc>
          <w:tcPr>
            <w:tcW w:w="5076" w:type="dxa"/>
            <w:gridSpan w:val="3"/>
          </w:tcPr>
          <w:p w:rsidR="00334066" w:rsidRPr="00334066" w:rsidRDefault="00334066" w:rsidP="00255AA3">
            <w:pPr>
              <w:pStyle w:val="E3Tabletext"/>
              <w:rPr>
                <w:lang w:val="es-ES_tradnl"/>
              </w:rPr>
            </w:pPr>
            <w:r w:rsidRPr="00334066">
              <w:rPr>
                <w:lang w:val="es-ES_tradnl"/>
              </w:rPr>
              <w:t>Ecolabel:  As per EU Ecolabel</w:t>
            </w:r>
          </w:p>
        </w:tc>
      </w:tr>
      <w:tr w:rsidR="008878C6" w:rsidTr="008C09F8">
        <w:trPr>
          <w:cantSplit/>
          <w:jc w:val="center"/>
        </w:trPr>
        <w:tc>
          <w:tcPr>
            <w:tcW w:w="1133" w:type="dxa"/>
            <w:vMerge w:val="restart"/>
          </w:tcPr>
          <w:p w:rsidR="008878C6" w:rsidRDefault="008878C6" w:rsidP="00255AA3">
            <w:pPr>
              <w:pStyle w:val="E3Tabletext"/>
            </w:pPr>
            <w:r>
              <w:t>United Arab Emirates</w:t>
            </w:r>
          </w:p>
        </w:tc>
        <w:tc>
          <w:tcPr>
            <w:tcW w:w="3646" w:type="dxa"/>
          </w:tcPr>
          <w:p w:rsidR="008878C6" w:rsidRPr="000606A3" w:rsidRDefault="008878C6" w:rsidP="00255AA3">
            <w:pPr>
              <w:pStyle w:val="E3Tabletext"/>
            </w:pPr>
            <w:r w:rsidRPr="000606A3">
              <w:t>Requirements for Approval and Registration of Lighting Products (NDLS and luminaires) (2013)</w:t>
            </w:r>
          </w:p>
        </w:tc>
        <w:tc>
          <w:tcPr>
            <w:tcW w:w="5076" w:type="dxa"/>
            <w:gridSpan w:val="3"/>
          </w:tcPr>
          <w:p w:rsidR="008878C6" w:rsidRDefault="008878C6" w:rsidP="00255AA3">
            <w:pPr>
              <w:pStyle w:val="E3Tabletext"/>
            </w:pPr>
            <w:r>
              <w:t>MEPS:  As per EC 244/2009</w:t>
            </w:r>
          </w:p>
        </w:tc>
      </w:tr>
      <w:tr w:rsidR="008878C6" w:rsidTr="008C09F8">
        <w:trPr>
          <w:cantSplit/>
          <w:trHeight w:val="60"/>
          <w:jc w:val="center"/>
        </w:trPr>
        <w:tc>
          <w:tcPr>
            <w:tcW w:w="1133" w:type="dxa"/>
            <w:vMerge/>
          </w:tcPr>
          <w:p w:rsidR="008878C6" w:rsidRDefault="008878C6" w:rsidP="00255AA3">
            <w:pPr>
              <w:pStyle w:val="E3Tabletext"/>
            </w:pPr>
          </w:p>
        </w:tc>
        <w:tc>
          <w:tcPr>
            <w:tcW w:w="3646" w:type="dxa"/>
            <w:vMerge w:val="restart"/>
          </w:tcPr>
          <w:p w:rsidR="008878C6" w:rsidRPr="000606A3" w:rsidRDefault="008878C6" w:rsidP="00255AA3">
            <w:pPr>
              <w:pStyle w:val="E3Tabletext"/>
            </w:pPr>
            <w:r w:rsidRPr="000606A3">
              <w:t>Requirements for Approval and Registration of Lighting Products (NDLS and luminaires) (2013)</w:t>
            </w:r>
          </w:p>
        </w:tc>
        <w:tc>
          <w:tcPr>
            <w:tcW w:w="5076" w:type="dxa"/>
            <w:gridSpan w:val="3"/>
          </w:tcPr>
          <w:p w:rsidR="008878C6" w:rsidRDefault="008878C6" w:rsidP="00255AA3">
            <w:pPr>
              <w:pStyle w:val="E3Tabletext"/>
              <w:rPr>
                <w:noProof/>
              </w:rPr>
            </w:pPr>
            <w:r w:rsidRPr="008878C6">
              <w:rPr>
                <w:noProof/>
              </w:rPr>
              <w:drawing>
                <wp:inline distT="0" distB="0" distL="0" distR="0" wp14:anchorId="2F00D1EC" wp14:editId="4D821FA1">
                  <wp:extent cx="638175" cy="1095375"/>
                  <wp:effectExtent l="0" t="0" r="9525" b="9525"/>
                  <wp:docPr id="85" name="Picture 85" descr="Star rat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38175" cy="1095375"/>
                          </a:xfrm>
                          <a:prstGeom prst="rect">
                            <a:avLst/>
                          </a:prstGeom>
                          <a:noFill/>
                        </pic:spPr>
                      </pic:pic>
                    </a:graphicData>
                  </a:graphic>
                </wp:inline>
              </w:drawing>
            </w:r>
            <w:r w:rsidRPr="008878C6">
              <w:t xml:space="preserve"> The comparative label is based on the European Union Commission Directive 98/11/EC (see section </w:t>
            </w:r>
            <w:r w:rsidR="008A65AF">
              <w:fldChar w:fldCharType="begin"/>
            </w:r>
            <w:r w:rsidR="008A65AF">
              <w:instrText xml:space="preserve"> REF _Ref361307095 \r \h  \* MERGEFORMAT </w:instrText>
            </w:r>
            <w:r w:rsidR="008A65AF">
              <w:fldChar w:fldCharType="separate"/>
            </w:r>
            <w:r w:rsidR="002C13E2">
              <w:t>0</w:t>
            </w:r>
            <w:r w:rsidR="008A65AF">
              <w:fldChar w:fldCharType="end"/>
            </w:r>
            <w:r w:rsidR="008A65AF">
              <w:fldChar w:fldCharType="begin"/>
            </w:r>
            <w:r w:rsidR="008A65AF">
              <w:instrText xml:space="preserve"> REF _Ref361307095 \h  \* MERGEFORMAT </w:instrText>
            </w:r>
            <w:r w:rsidR="008A65AF">
              <w:fldChar w:fldCharType="separate"/>
            </w:r>
            <w:r w:rsidR="002C13E2">
              <w:t>Performance requirements</w:t>
            </w:r>
            <w:r w:rsidR="008A65AF">
              <w:fldChar w:fldCharType="end"/>
            </w:r>
            <w:r w:rsidRPr="008878C6">
              <w:t>) but uses star ratings instead of the A++, A+, A, B, C energy classifications of the Energy Efficiency Index (EEI) of the European Union. The translation between the classification systems is provided below.</w:t>
            </w:r>
          </w:p>
        </w:tc>
      </w:tr>
      <w:tr w:rsidR="008878C6" w:rsidTr="008C09F8">
        <w:trPr>
          <w:cantSplit/>
          <w:trHeight w:val="58"/>
          <w:jc w:val="center"/>
        </w:trPr>
        <w:tc>
          <w:tcPr>
            <w:tcW w:w="1133" w:type="dxa"/>
            <w:vMerge/>
          </w:tcPr>
          <w:p w:rsidR="008878C6" w:rsidRDefault="008878C6" w:rsidP="00255AA3">
            <w:pPr>
              <w:pStyle w:val="E3Tabletext"/>
            </w:pPr>
          </w:p>
        </w:tc>
        <w:tc>
          <w:tcPr>
            <w:tcW w:w="3646" w:type="dxa"/>
            <w:vMerge/>
          </w:tcPr>
          <w:p w:rsidR="008878C6" w:rsidRPr="000606A3" w:rsidRDefault="008878C6" w:rsidP="00255AA3">
            <w:pPr>
              <w:pStyle w:val="E3Tabletext"/>
            </w:pPr>
          </w:p>
        </w:tc>
        <w:tc>
          <w:tcPr>
            <w:tcW w:w="1692" w:type="dxa"/>
          </w:tcPr>
          <w:p w:rsidR="008878C6" w:rsidRDefault="008878C6" w:rsidP="00255AA3">
            <w:pPr>
              <w:pStyle w:val="E3Tabletext"/>
              <w:rPr>
                <w:noProof/>
              </w:rPr>
            </w:pPr>
            <w:r>
              <w:t xml:space="preserve">United Arab Emirates </w:t>
            </w:r>
            <w:r>
              <w:br/>
              <w:t>Energy Efficiency Class</w:t>
            </w:r>
          </w:p>
        </w:tc>
        <w:tc>
          <w:tcPr>
            <w:tcW w:w="1692" w:type="dxa"/>
          </w:tcPr>
          <w:p w:rsidR="008878C6" w:rsidRDefault="008878C6" w:rsidP="00255AA3">
            <w:pPr>
              <w:pStyle w:val="E3Tabletext"/>
              <w:rPr>
                <w:noProof/>
              </w:rPr>
            </w:pPr>
            <w:r>
              <w:t>Non-directional Lamps</w:t>
            </w:r>
          </w:p>
        </w:tc>
        <w:tc>
          <w:tcPr>
            <w:tcW w:w="1692" w:type="dxa"/>
          </w:tcPr>
          <w:p w:rsidR="008878C6" w:rsidRDefault="008878C6" w:rsidP="00255AA3">
            <w:pPr>
              <w:pStyle w:val="E3Tabletext"/>
              <w:rPr>
                <w:noProof/>
              </w:rPr>
            </w:pPr>
            <w:r>
              <w:t xml:space="preserve">European Union </w:t>
            </w:r>
            <w:r>
              <w:br/>
              <w:t>Energy Efficiency Class</w:t>
            </w:r>
          </w:p>
        </w:tc>
      </w:tr>
      <w:tr w:rsidR="008878C6" w:rsidTr="008C09F8">
        <w:trPr>
          <w:cantSplit/>
          <w:trHeight w:val="58"/>
          <w:jc w:val="center"/>
        </w:trPr>
        <w:tc>
          <w:tcPr>
            <w:tcW w:w="1133" w:type="dxa"/>
            <w:vMerge/>
          </w:tcPr>
          <w:p w:rsidR="008878C6" w:rsidRDefault="008878C6" w:rsidP="00255AA3">
            <w:pPr>
              <w:pStyle w:val="E3Tabletext"/>
            </w:pPr>
          </w:p>
        </w:tc>
        <w:tc>
          <w:tcPr>
            <w:tcW w:w="3646" w:type="dxa"/>
            <w:vMerge/>
          </w:tcPr>
          <w:p w:rsidR="008878C6" w:rsidRPr="000606A3" w:rsidRDefault="008878C6" w:rsidP="00255AA3">
            <w:pPr>
              <w:pStyle w:val="E3Tabletext"/>
            </w:pPr>
          </w:p>
        </w:tc>
        <w:tc>
          <w:tcPr>
            <w:tcW w:w="1692" w:type="dxa"/>
          </w:tcPr>
          <w:p w:rsidR="008878C6" w:rsidRDefault="008878C6" w:rsidP="00255AA3">
            <w:pPr>
              <w:pStyle w:val="E3Tabletext"/>
            </w:pPr>
            <w:r>
              <w:t>5-Star</w:t>
            </w:r>
          </w:p>
          <w:p w:rsidR="008878C6" w:rsidRDefault="008878C6" w:rsidP="00255AA3">
            <w:pPr>
              <w:pStyle w:val="E3Tabletext"/>
              <w:rPr>
                <w:noProof/>
              </w:rPr>
            </w:pPr>
            <w:r>
              <w:t>(most efficient)</w:t>
            </w:r>
          </w:p>
        </w:tc>
        <w:tc>
          <w:tcPr>
            <w:tcW w:w="1692" w:type="dxa"/>
          </w:tcPr>
          <w:p w:rsidR="008878C6" w:rsidRDefault="008878C6" w:rsidP="00255AA3">
            <w:pPr>
              <w:pStyle w:val="E3Tabletext"/>
            </w:pPr>
            <w:r>
              <w:t>EEI ≤ 0.11</w:t>
            </w:r>
          </w:p>
          <w:p w:rsidR="008878C6" w:rsidRDefault="008878C6" w:rsidP="00255AA3">
            <w:pPr>
              <w:pStyle w:val="E3Tabletext"/>
              <w:rPr>
                <w:noProof/>
              </w:rPr>
            </w:pPr>
          </w:p>
        </w:tc>
        <w:tc>
          <w:tcPr>
            <w:tcW w:w="1692" w:type="dxa"/>
          </w:tcPr>
          <w:p w:rsidR="008878C6" w:rsidRDefault="008878C6" w:rsidP="00255AA3">
            <w:pPr>
              <w:pStyle w:val="E3Tabletext"/>
              <w:rPr>
                <w:noProof/>
              </w:rPr>
            </w:pPr>
            <w:r>
              <w:t>A++</w:t>
            </w:r>
          </w:p>
        </w:tc>
      </w:tr>
      <w:tr w:rsidR="008878C6" w:rsidTr="008C09F8">
        <w:trPr>
          <w:cantSplit/>
          <w:trHeight w:val="58"/>
          <w:jc w:val="center"/>
        </w:trPr>
        <w:tc>
          <w:tcPr>
            <w:tcW w:w="1133" w:type="dxa"/>
            <w:vMerge/>
          </w:tcPr>
          <w:p w:rsidR="008878C6" w:rsidRDefault="008878C6" w:rsidP="00255AA3">
            <w:pPr>
              <w:pStyle w:val="E3Tabletext"/>
            </w:pPr>
          </w:p>
        </w:tc>
        <w:tc>
          <w:tcPr>
            <w:tcW w:w="3646" w:type="dxa"/>
            <w:vMerge/>
          </w:tcPr>
          <w:p w:rsidR="008878C6" w:rsidRPr="000606A3" w:rsidRDefault="008878C6" w:rsidP="00255AA3">
            <w:pPr>
              <w:pStyle w:val="E3Tabletext"/>
            </w:pPr>
          </w:p>
        </w:tc>
        <w:tc>
          <w:tcPr>
            <w:tcW w:w="1692" w:type="dxa"/>
          </w:tcPr>
          <w:p w:rsidR="008878C6" w:rsidRDefault="008878C6" w:rsidP="00255AA3">
            <w:pPr>
              <w:pStyle w:val="E3Tabletext"/>
              <w:rPr>
                <w:noProof/>
              </w:rPr>
            </w:pPr>
            <w:r>
              <w:t>4-Star</w:t>
            </w:r>
          </w:p>
        </w:tc>
        <w:tc>
          <w:tcPr>
            <w:tcW w:w="1692" w:type="dxa"/>
          </w:tcPr>
          <w:p w:rsidR="008878C6" w:rsidRDefault="008878C6" w:rsidP="00255AA3">
            <w:pPr>
              <w:pStyle w:val="E3Tabletext"/>
              <w:rPr>
                <w:noProof/>
              </w:rPr>
            </w:pPr>
            <w:r>
              <w:t>0.11 &lt; EEI ≤ 0.17</w:t>
            </w:r>
          </w:p>
        </w:tc>
        <w:tc>
          <w:tcPr>
            <w:tcW w:w="1692" w:type="dxa"/>
          </w:tcPr>
          <w:p w:rsidR="008878C6" w:rsidRDefault="008878C6" w:rsidP="00255AA3">
            <w:pPr>
              <w:pStyle w:val="E3Tabletext"/>
              <w:rPr>
                <w:noProof/>
              </w:rPr>
            </w:pPr>
            <w:r>
              <w:t>A+</w:t>
            </w:r>
          </w:p>
        </w:tc>
      </w:tr>
      <w:tr w:rsidR="008878C6" w:rsidTr="008C09F8">
        <w:trPr>
          <w:cantSplit/>
          <w:trHeight w:val="58"/>
          <w:jc w:val="center"/>
        </w:trPr>
        <w:tc>
          <w:tcPr>
            <w:tcW w:w="1133" w:type="dxa"/>
            <w:vMerge/>
          </w:tcPr>
          <w:p w:rsidR="008878C6" w:rsidRDefault="008878C6" w:rsidP="00255AA3">
            <w:pPr>
              <w:pStyle w:val="E3Tabletext"/>
            </w:pPr>
          </w:p>
        </w:tc>
        <w:tc>
          <w:tcPr>
            <w:tcW w:w="3646" w:type="dxa"/>
            <w:vMerge/>
          </w:tcPr>
          <w:p w:rsidR="008878C6" w:rsidRPr="000606A3" w:rsidRDefault="008878C6" w:rsidP="00255AA3">
            <w:pPr>
              <w:pStyle w:val="E3Tabletext"/>
            </w:pPr>
          </w:p>
        </w:tc>
        <w:tc>
          <w:tcPr>
            <w:tcW w:w="1692" w:type="dxa"/>
          </w:tcPr>
          <w:p w:rsidR="008878C6" w:rsidRDefault="008878C6" w:rsidP="00255AA3">
            <w:pPr>
              <w:pStyle w:val="E3Tabletext"/>
              <w:rPr>
                <w:noProof/>
              </w:rPr>
            </w:pPr>
            <w:r>
              <w:t>3-Star</w:t>
            </w:r>
          </w:p>
        </w:tc>
        <w:tc>
          <w:tcPr>
            <w:tcW w:w="1692" w:type="dxa"/>
          </w:tcPr>
          <w:p w:rsidR="008878C6" w:rsidRDefault="008878C6" w:rsidP="00255AA3">
            <w:pPr>
              <w:pStyle w:val="E3Tabletext"/>
            </w:pPr>
            <w:r>
              <w:t>0.17 &lt; EEI ≤ 0.24</w:t>
            </w:r>
          </w:p>
          <w:p w:rsidR="008878C6" w:rsidRDefault="008878C6" w:rsidP="00255AA3">
            <w:pPr>
              <w:pStyle w:val="E3Tabletext"/>
              <w:rPr>
                <w:noProof/>
              </w:rPr>
            </w:pPr>
          </w:p>
        </w:tc>
        <w:tc>
          <w:tcPr>
            <w:tcW w:w="1692" w:type="dxa"/>
          </w:tcPr>
          <w:p w:rsidR="008878C6" w:rsidRDefault="008878C6" w:rsidP="00255AA3">
            <w:pPr>
              <w:pStyle w:val="E3Tabletext"/>
              <w:rPr>
                <w:noProof/>
              </w:rPr>
            </w:pPr>
            <w:r>
              <w:t>A</w:t>
            </w:r>
          </w:p>
        </w:tc>
      </w:tr>
      <w:tr w:rsidR="008878C6" w:rsidTr="008C09F8">
        <w:trPr>
          <w:cantSplit/>
          <w:trHeight w:val="58"/>
          <w:jc w:val="center"/>
        </w:trPr>
        <w:tc>
          <w:tcPr>
            <w:tcW w:w="1133" w:type="dxa"/>
            <w:vMerge/>
          </w:tcPr>
          <w:p w:rsidR="008878C6" w:rsidRDefault="008878C6" w:rsidP="00255AA3">
            <w:pPr>
              <w:pStyle w:val="E3Tabletext"/>
            </w:pPr>
          </w:p>
        </w:tc>
        <w:tc>
          <w:tcPr>
            <w:tcW w:w="3646" w:type="dxa"/>
            <w:vMerge/>
          </w:tcPr>
          <w:p w:rsidR="008878C6" w:rsidRPr="000606A3" w:rsidRDefault="008878C6" w:rsidP="00255AA3">
            <w:pPr>
              <w:pStyle w:val="E3Tabletext"/>
            </w:pPr>
          </w:p>
        </w:tc>
        <w:tc>
          <w:tcPr>
            <w:tcW w:w="1692" w:type="dxa"/>
          </w:tcPr>
          <w:p w:rsidR="008878C6" w:rsidRDefault="008878C6" w:rsidP="00255AA3">
            <w:pPr>
              <w:pStyle w:val="E3Tabletext"/>
              <w:rPr>
                <w:noProof/>
              </w:rPr>
            </w:pPr>
            <w:r>
              <w:t>2-Star</w:t>
            </w:r>
          </w:p>
        </w:tc>
        <w:tc>
          <w:tcPr>
            <w:tcW w:w="1692" w:type="dxa"/>
          </w:tcPr>
          <w:p w:rsidR="008878C6" w:rsidRDefault="008878C6" w:rsidP="00255AA3">
            <w:pPr>
              <w:pStyle w:val="E3Tabletext"/>
            </w:pPr>
            <w:r>
              <w:t>0.24 &lt; EEI ≤ 0.60</w:t>
            </w:r>
          </w:p>
          <w:p w:rsidR="008878C6" w:rsidRDefault="008878C6" w:rsidP="00255AA3">
            <w:pPr>
              <w:pStyle w:val="E3Tabletext"/>
              <w:rPr>
                <w:noProof/>
              </w:rPr>
            </w:pPr>
          </w:p>
        </w:tc>
        <w:tc>
          <w:tcPr>
            <w:tcW w:w="1692" w:type="dxa"/>
          </w:tcPr>
          <w:p w:rsidR="008878C6" w:rsidRDefault="008878C6" w:rsidP="00255AA3">
            <w:pPr>
              <w:pStyle w:val="E3Tabletext"/>
              <w:rPr>
                <w:noProof/>
              </w:rPr>
            </w:pPr>
            <w:r>
              <w:t>B</w:t>
            </w:r>
          </w:p>
        </w:tc>
      </w:tr>
      <w:tr w:rsidR="008878C6" w:rsidTr="008C09F8">
        <w:trPr>
          <w:cantSplit/>
          <w:trHeight w:val="58"/>
          <w:jc w:val="center"/>
        </w:trPr>
        <w:tc>
          <w:tcPr>
            <w:tcW w:w="1133" w:type="dxa"/>
            <w:vMerge/>
          </w:tcPr>
          <w:p w:rsidR="008878C6" w:rsidRDefault="008878C6" w:rsidP="00255AA3">
            <w:pPr>
              <w:pStyle w:val="E3Tabletext"/>
            </w:pPr>
          </w:p>
        </w:tc>
        <w:tc>
          <w:tcPr>
            <w:tcW w:w="3646" w:type="dxa"/>
            <w:vMerge/>
          </w:tcPr>
          <w:p w:rsidR="008878C6" w:rsidRPr="000606A3" w:rsidRDefault="008878C6" w:rsidP="00255AA3">
            <w:pPr>
              <w:pStyle w:val="E3Tabletext"/>
            </w:pPr>
          </w:p>
        </w:tc>
        <w:tc>
          <w:tcPr>
            <w:tcW w:w="1692" w:type="dxa"/>
          </w:tcPr>
          <w:p w:rsidR="008878C6" w:rsidRDefault="008878C6" w:rsidP="00255AA3">
            <w:pPr>
              <w:pStyle w:val="E3Tabletext"/>
              <w:rPr>
                <w:noProof/>
              </w:rPr>
            </w:pPr>
            <w:r>
              <w:t>1-Star</w:t>
            </w:r>
            <w:r>
              <w:br/>
              <w:t>(least efficient)</w:t>
            </w:r>
          </w:p>
        </w:tc>
        <w:tc>
          <w:tcPr>
            <w:tcW w:w="1692" w:type="dxa"/>
          </w:tcPr>
          <w:p w:rsidR="008878C6" w:rsidRDefault="008878C6" w:rsidP="00255AA3">
            <w:pPr>
              <w:pStyle w:val="E3Tabletext"/>
            </w:pPr>
            <w:r>
              <w:t>0.60 &lt; EEI ≤ 0.80</w:t>
            </w:r>
          </w:p>
          <w:p w:rsidR="008878C6" w:rsidRDefault="008878C6" w:rsidP="00255AA3">
            <w:pPr>
              <w:pStyle w:val="E3Tabletext"/>
              <w:rPr>
                <w:noProof/>
              </w:rPr>
            </w:pPr>
          </w:p>
        </w:tc>
        <w:tc>
          <w:tcPr>
            <w:tcW w:w="1692" w:type="dxa"/>
          </w:tcPr>
          <w:p w:rsidR="008878C6" w:rsidRDefault="008878C6" w:rsidP="00255AA3">
            <w:pPr>
              <w:pStyle w:val="E3Tabletext"/>
              <w:rPr>
                <w:noProof/>
              </w:rPr>
            </w:pPr>
            <w:r>
              <w:t>C</w:t>
            </w:r>
          </w:p>
        </w:tc>
      </w:tr>
    </w:tbl>
    <w:p w:rsidR="00334066" w:rsidRDefault="00334066" w:rsidP="00337955">
      <w:pPr>
        <w:pStyle w:val="E3Heading3"/>
      </w:pPr>
      <w:bookmarkStart w:id="311" w:name="_Toc389123362"/>
      <w:r>
        <w:lastRenderedPageBreak/>
        <w:t>Germany</w:t>
      </w:r>
      <w:bookmarkEnd w:id="311"/>
    </w:p>
    <w:p w:rsidR="00334066" w:rsidRPr="00402E45" w:rsidRDefault="00225C27" w:rsidP="00225C27">
      <w:pPr>
        <w:jc w:val="center"/>
        <w:rPr>
          <w:lang w:eastAsia="en-AU"/>
        </w:rPr>
      </w:pPr>
      <w:r>
        <w:rPr>
          <w:noProof/>
          <w:lang w:eastAsia="en-AU"/>
        </w:rPr>
        <w:drawing>
          <wp:inline distT="0" distB="0" distL="0" distR="0" wp14:anchorId="1404359D" wp14:editId="00897E83">
            <wp:extent cx="5057775" cy="3466045"/>
            <wp:effectExtent l="0" t="0" r="0" b="0"/>
            <wp:docPr id="32" name="Picture 32" descr="Diagram displaying the Flow of HEPS, Endorsement Label, MEPS, Comparative Label.&#10;&#10;Endorsement Label are broken down into the following:&#10;-Energy Efficiency&#10;-Light quality parameters&#10;-Electrical quality paramaters&#10;-Product Quality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rotWithShape="1">
                    <a:blip r:embed="rId135" cstate="print">
                      <a:extLst>
                        <a:ext uri="{28A0092B-C50C-407E-A947-70E740481C1C}">
                          <a14:useLocalDpi xmlns:a14="http://schemas.microsoft.com/office/drawing/2010/main" val="0"/>
                        </a:ext>
                      </a:extLst>
                    </a:blip>
                    <a:srcRect l="11794" t="4742" b="13092"/>
                    <a:stretch/>
                  </pic:blipFill>
                  <pic:spPr bwMode="auto">
                    <a:xfrm>
                      <a:off x="0" y="0"/>
                      <a:ext cx="5064750" cy="3470825"/>
                    </a:xfrm>
                    <a:prstGeom prst="rect">
                      <a:avLst/>
                    </a:prstGeom>
                    <a:ln>
                      <a:noFill/>
                    </a:ln>
                    <a:extLst>
                      <a:ext uri="{53640926-AAD7-44D8-BBD7-CCE9431645EC}">
                        <a14:shadowObscured xmlns:a14="http://schemas.microsoft.com/office/drawing/2010/main"/>
                      </a:ext>
                    </a:extLst>
                  </pic:spPr>
                </pic:pic>
              </a:graphicData>
            </a:graphic>
          </wp:inline>
        </w:drawing>
      </w:r>
    </w:p>
    <w:p w:rsidR="00334066" w:rsidRPr="00310986" w:rsidRDefault="00334066" w:rsidP="00E65B09">
      <w:pPr>
        <w:pStyle w:val="E3Heading4"/>
        <w:numPr>
          <w:ilvl w:val="0"/>
          <w:numId w:val="0"/>
        </w:numPr>
        <w:ind w:left="1008" w:hanging="1008"/>
        <w:rPr>
          <w:lang w:eastAsia="en-AU"/>
        </w:rPr>
      </w:pPr>
      <w:r w:rsidRPr="00310986">
        <w:rPr>
          <w:lang w:eastAsia="en-AU"/>
        </w:rPr>
        <w:t>Scope</w:t>
      </w:r>
    </w:p>
    <w:p w:rsidR="00334066" w:rsidRDefault="00334066" w:rsidP="00231794">
      <w:pPr>
        <w:pStyle w:val="E3BodyText"/>
      </w:pPr>
      <w:r>
        <w:t>This scope</w:t>
      </w:r>
      <w:r w:rsidRPr="005E459F">
        <w:t xml:space="preserve"> appl</w:t>
      </w:r>
      <w:r>
        <w:t xml:space="preserve">ies </w:t>
      </w:r>
      <w:r w:rsidRPr="005E459F">
        <w:t>to lamps meeting the following requirements</w:t>
      </w:r>
      <w:r>
        <w:t>. They</w:t>
      </w:r>
      <w:r w:rsidRPr="005E459F">
        <w:t xml:space="preserve">: </w:t>
      </w:r>
    </w:p>
    <w:p w:rsidR="00334066" w:rsidRDefault="00334066" w:rsidP="00231794">
      <w:pPr>
        <w:pStyle w:val="E3Bullets"/>
        <w:rPr>
          <w:rFonts w:ascii="Calibri" w:hAnsi="Calibri"/>
        </w:rPr>
      </w:pPr>
      <w:r w:rsidRPr="005E459F">
        <w:t xml:space="preserve">are directly powered from the mains (230 V, 50 Hz) and therefore need no </w:t>
      </w:r>
      <w:r w:rsidRPr="005E459F">
        <w:rPr>
          <w:rFonts w:ascii="Calibri" w:hAnsi="Calibri"/>
        </w:rPr>
        <w:t>external ballast, power supply pack or the like</w:t>
      </w:r>
    </w:p>
    <w:p w:rsidR="00334066" w:rsidRDefault="00334066" w:rsidP="00231794">
      <w:pPr>
        <w:pStyle w:val="E3Bullets"/>
      </w:pPr>
      <w:r w:rsidRPr="005E459F">
        <w:t>are suitable for indoor use;</w:t>
      </w:r>
    </w:p>
    <w:p w:rsidR="00334066" w:rsidRDefault="00334066" w:rsidP="00231794">
      <w:pPr>
        <w:pStyle w:val="E3Bullets"/>
      </w:pPr>
      <w:r w:rsidRPr="005E459F">
        <w:t xml:space="preserve">have a luminous flux Ф of 60 </w:t>
      </w:r>
      <w:r>
        <w:t>≤</w:t>
      </w:r>
      <w:r w:rsidRPr="005E459F">
        <w:t xml:space="preserve"> Ф </w:t>
      </w:r>
      <w:r>
        <w:t>≤</w:t>
      </w:r>
      <w:r w:rsidRPr="005E459F">
        <w:t xml:space="preserve"> 6</w:t>
      </w:r>
      <w:r>
        <w:t>,500 lumens.</w:t>
      </w:r>
    </w:p>
    <w:p w:rsidR="00334066" w:rsidRDefault="00334066" w:rsidP="00E65B09">
      <w:pPr>
        <w:pStyle w:val="E3Heading4"/>
        <w:numPr>
          <w:ilvl w:val="0"/>
          <w:numId w:val="0"/>
        </w:numPr>
        <w:ind w:left="1008" w:hanging="1008"/>
        <w:rPr>
          <w:lang w:eastAsia="en-AU"/>
        </w:rPr>
      </w:pPr>
      <w:r>
        <w:rPr>
          <w:lang w:eastAsia="en-AU"/>
        </w:rPr>
        <w:t>Performance requirements</w:t>
      </w:r>
    </w:p>
    <w:tbl>
      <w:tblPr>
        <w:tblStyle w:val="TableGrid"/>
        <w:tblW w:w="0" w:type="auto"/>
        <w:jc w:val="center"/>
        <w:tblLook w:val="04A0" w:firstRow="1" w:lastRow="0" w:firstColumn="1" w:lastColumn="0" w:noHBand="0" w:noVBand="1"/>
      </w:tblPr>
      <w:tblGrid>
        <w:gridCol w:w="1480"/>
        <w:gridCol w:w="2806"/>
        <w:gridCol w:w="2806"/>
        <w:gridCol w:w="2484"/>
      </w:tblGrid>
      <w:tr w:rsidR="00334066" w:rsidTr="00225C27">
        <w:trPr>
          <w:cantSplit/>
          <w:tblHeader/>
          <w:jc w:val="center"/>
        </w:trPr>
        <w:tc>
          <w:tcPr>
            <w:tcW w:w="1480" w:type="dxa"/>
          </w:tcPr>
          <w:p w:rsidR="00334066" w:rsidRDefault="00334066" w:rsidP="00231794">
            <w:pPr>
              <w:pStyle w:val="E3TableHeading"/>
            </w:pPr>
            <w:r>
              <w:t>Parameter</w:t>
            </w:r>
          </w:p>
        </w:tc>
        <w:tc>
          <w:tcPr>
            <w:tcW w:w="5612" w:type="dxa"/>
            <w:gridSpan w:val="2"/>
          </w:tcPr>
          <w:p w:rsidR="00334066" w:rsidRDefault="00334066" w:rsidP="00231794">
            <w:pPr>
              <w:pStyle w:val="E3TableHeading"/>
            </w:pPr>
            <w:r>
              <w:t>Minimum requirements</w:t>
            </w:r>
          </w:p>
        </w:tc>
        <w:tc>
          <w:tcPr>
            <w:tcW w:w="2484" w:type="dxa"/>
          </w:tcPr>
          <w:p w:rsidR="00334066" w:rsidRDefault="00334066" w:rsidP="00231794">
            <w:pPr>
              <w:pStyle w:val="E3TableHeading"/>
            </w:pPr>
            <w:r>
              <w:t>Test Method</w:t>
            </w:r>
          </w:p>
        </w:tc>
      </w:tr>
      <w:tr w:rsidR="007903A6" w:rsidTr="00225C27">
        <w:trPr>
          <w:cantSplit/>
          <w:jc w:val="center"/>
        </w:trPr>
        <w:tc>
          <w:tcPr>
            <w:tcW w:w="1480" w:type="dxa"/>
          </w:tcPr>
          <w:p w:rsidR="007903A6" w:rsidRPr="00CD2261" w:rsidRDefault="007903A6" w:rsidP="00255AA3">
            <w:pPr>
              <w:pStyle w:val="E3Tabletext"/>
              <w:rPr>
                <w:highlight w:val="red"/>
              </w:rPr>
            </w:pPr>
            <w:r>
              <w:t>Power consumption Index</w:t>
            </w:r>
          </w:p>
        </w:tc>
        <w:tc>
          <w:tcPr>
            <w:tcW w:w="5612" w:type="dxa"/>
            <w:gridSpan w:val="2"/>
          </w:tcPr>
          <w:p w:rsidR="007903A6" w:rsidRDefault="007903A6" w:rsidP="00255AA3">
            <w:pPr>
              <w:pStyle w:val="E3Tabletext"/>
            </w:pPr>
            <w:r>
              <w:t>EGN ≤ 10.16 + 0.291 x Ra</w:t>
            </w:r>
          </w:p>
          <w:p w:rsidR="007903A6" w:rsidRPr="00602580" w:rsidRDefault="007903A6" w:rsidP="00255AA3">
            <w:pPr>
              <w:pStyle w:val="E3Tabletext"/>
            </w:pPr>
            <w:r>
              <w:t>T</w:t>
            </w:r>
            <w:r w:rsidRPr="00602580">
              <w:t>his is a complex calculation based on luminous flux, colour rendering, power consumption (all averaged over life).</w:t>
            </w:r>
          </w:p>
          <w:p w:rsidR="007903A6" w:rsidRDefault="007903A6" w:rsidP="00255AA3">
            <w:pPr>
              <w:pStyle w:val="E3Tabletext"/>
            </w:pPr>
            <w:r w:rsidRPr="00602580">
              <w:t>See “Basic Information and Instructions for Applying for the Blue Angel Eco-label RAL-UZ 151 for Lamps”</w:t>
            </w:r>
          </w:p>
        </w:tc>
        <w:tc>
          <w:tcPr>
            <w:tcW w:w="2484" w:type="dxa"/>
            <w:vMerge w:val="restart"/>
          </w:tcPr>
          <w:p w:rsidR="007903A6" w:rsidRPr="00B11A33" w:rsidRDefault="007903A6" w:rsidP="00255AA3">
            <w:pPr>
              <w:pStyle w:val="E3Tabletext"/>
              <w:rPr>
                <w:lang w:val="es-ES"/>
              </w:rPr>
            </w:pPr>
            <w:r w:rsidRPr="00B11A33">
              <w:rPr>
                <w:lang w:val="es-ES"/>
              </w:rPr>
              <w:t>DIN 5032-1</w:t>
            </w:r>
          </w:p>
          <w:p w:rsidR="007903A6" w:rsidRPr="00B11A33" w:rsidRDefault="007903A6" w:rsidP="00255AA3">
            <w:pPr>
              <w:pStyle w:val="E3Tabletext"/>
              <w:rPr>
                <w:lang w:val="es-ES"/>
              </w:rPr>
            </w:pPr>
            <w:r w:rsidRPr="00B11A33">
              <w:rPr>
                <w:lang w:val="es-ES"/>
              </w:rPr>
              <w:t>DIN EN 61000-3-2:2006</w:t>
            </w:r>
          </w:p>
          <w:p w:rsidR="007903A6" w:rsidRPr="00B11A33" w:rsidRDefault="007903A6" w:rsidP="00255AA3">
            <w:pPr>
              <w:pStyle w:val="E3Tabletext"/>
              <w:rPr>
                <w:lang w:val="es-ES"/>
              </w:rPr>
            </w:pPr>
            <w:r w:rsidRPr="00B11A33">
              <w:rPr>
                <w:lang w:val="es-ES"/>
              </w:rPr>
              <w:t>CIE 13.3:1995</w:t>
            </w:r>
          </w:p>
          <w:p w:rsidR="007903A6" w:rsidRPr="00B11A33" w:rsidRDefault="007903A6" w:rsidP="00255AA3">
            <w:pPr>
              <w:pStyle w:val="E3Tabletext"/>
              <w:rPr>
                <w:lang w:val="es-ES"/>
              </w:rPr>
            </w:pPr>
            <w:r w:rsidRPr="00B11A33">
              <w:rPr>
                <w:lang w:val="es-ES"/>
              </w:rPr>
              <w:t>CIE 15:2004</w:t>
            </w:r>
          </w:p>
          <w:p w:rsidR="007903A6" w:rsidRDefault="007903A6" w:rsidP="00255AA3">
            <w:pPr>
              <w:pStyle w:val="E3Tabletext"/>
            </w:pPr>
            <w:r>
              <w:t>CIE 84:1989</w:t>
            </w:r>
          </w:p>
          <w:p w:rsidR="007903A6" w:rsidRDefault="007903A6" w:rsidP="00255AA3">
            <w:pPr>
              <w:pStyle w:val="E3Tabletext"/>
            </w:pPr>
            <w:r>
              <w:t xml:space="preserve">DIN 6169-2 </w:t>
            </w:r>
          </w:p>
        </w:tc>
      </w:tr>
      <w:tr w:rsidR="007903A6" w:rsidTr="00225C27">
        <w:trPr>
          <w:cantSplit/>
          <w:jc w:val="center"/>
        </w:trPr>
        <w:tc>
          <w:tcPr>
            <w:tcW w:w="1480" w:type="dxa"/>
            <w:vMerge w:val="restart"/>
          </w:tcPr>
          <w:p w:rsidR="007903A6" w:rsidRPr="00CF109C" w:rsidRDefault="007903A6" w:rsidP="00255AA3">
            <w:pPr>
              <w:pStyle w:val="E3Tabletext"/>
            </w:pPr>
            <w:r>
              <w:t>Power factor</w:t>
            </w:r>
          </w:p>
        </w:tc>
        <w:tc>
          <w:tcPr>
            <w:tcW w:w="2806" w:type="dxa"/>
          </w:tcPr>
          <w:p w:rsidR="007903A6" w:rsidRDefault="007903A6" w:rsidP="00255AA3">
            <w:pPr>
              <w:pStyle w:val="E3Tabletext"/>
            </w:pPr>
            <w:r>
              <w:t>Lamp Power P (W)</w:t>
            </w:r>
          </w:p>
        </w:tc>
        <w:tc>
          <w:tcPr>
            <w:tcW w:w="2806" w:type="dxa"/>
          </w:tcPr>
          <w:p w:rsidR="007903A6" w:rsidRPr="00852440" w:rsidRDefault="007903A6" w:rsidP="00255AA3">
            <w:pPr>
              <w:pStyle w:val="E3Tabletext"/>
            </w:pPr>
            <w:r>
              <w:t>Power Factor for LED Lamps</w:t>
            </w:r>
          </w:p>
        </w:tc>
        <w:tc>
          <w:tcPr>
            <w:tcW w:w="2484" w:type="dxa"/>
            <w:vMerge/>
          </w:tcPr>
          <w:p w:rsidR="007903A6" w:rsidRDefault="007903A6" w:rsidP="00235234"/>
        </w:tc>
      </w:tr>
      <w:tr w:rsidR="007903A6" w:rsidTr="00225C27">
        <w:trPr>
          <w:cantSplit/>
          <w:jc w:val="center"/>
        </w:trPr>
        <w:tc>
          <w:tcPr>
            <w:tcW w:w="1480" w:type="dxa"/>
            <w:vMerge/>
          </w:tcPr>
          <w:p w:rsidR="007903A6" w:rsidRDefault="007903A6" w:rsidP="00255AA3">
            <w:pPr>
              <w:pStyle w:val="E3Tabletext"/>
            </w:pPr>
          </w:p>
        </w:tc>
        <w:tc>
          <w:tcPr>
            <w:tcW w:w="2806" w:type="dxa"/>
          </w:tcPr>
          <w:p w:rsidR="007903A6" w:rsidRDefault="007903A6" w:rsidP="00255AA3">
            <w:pPr>
              <w:pStyle w:val="E3Tabletext"/>
            </w:pPr>
            <w:r>
              <w:t>P &lt; 25 W</w:t>
            </w:r>
          </w:p>
        </w:tc>
        <w:tc>
          <w:tcPr>
            <w:tcW w:w="2806" w:type="dxa"/>
          </w:tcPr>
          <w:p w:rsidR="007903A6" w:rsidRDefault="007903A6" w:rsidP="00255AA3">
            <w:pPr>
              <w:pStyle w:val="E3Tabletext"/>
            </w:pPr>
            <w:r>
              <w:t>≥ 0.75</w:t>
            </w:r>
          </w:p>
        </w:tc>
        <w:tc>
          <w:tcPr>
            <w:tcW w:w="2484" w:type="dxa"/>
            <w:vMerge/>
          </w:tcPr>
          <w:p w:rsidR="007903A6" w:rsidRDefault="007903A6" w:rsidP="00235234"/>
        </w:tc>
      </w:tr>
      <w:tr w:rsidR="007903A6" w:rsidTr="00225C27">
        <w:trPr>
          <w:cantSplit/>
          <w:jc w:val="center"/>
        </w:trPr>
        <w:tc>
          <w:tcPr>
            <w:tcW w:w="1480" w:type="dxa"/>
            <w:vMerge/>
          </w:tcPr>
          <w:p w:rsidR="007903A6" w:rsidRDefault="007903A6" w:rsidP="00255AA3">
            <w:pPr>
              <w:pStyle w:val="E3Tabletext"/>
            </w:pPr>
          </w:p>
        </w:tc>
        <w:tc>
          <w:tcPr>
            <w:tcW w:w="2806" w:type="dxa"/>
          </w:tcPr>
          <w:p w:rsidR="007903A6" w:rsidRDefault="007903A6" w:rsidP="00255AA3">
            <w:pPr>
              <w:pStyle w:val="E3Tabletext"/>
            </w:pPr>
            <w:r>
              <w:t>P ≥ 25 W</w:t>
            </w:r>
          </w:p>
        </w:tc>
        <w:tc>
          <w:tcPr>
            <w:tcW w:w="2806" w:type="dxa"/>
          </w:tcPr>
          <w:p w:rsidR="007903A6" w:rsidRDefault="007903A6" w:rsidP="00255AA3">
            <w:pPr>
              <w:pStyle w:val="E3Tabletext"/>
            </w:pPr>
            <w:r>
              <w:t>≥0.90</w:t>
            </w:r>
          </w:p>
        </w:tc>
        <w:tc>
          <w:tcPr>
            <w:tcW w:w="2484" w:type="dxa"/>
            <w:vMerge/>
          </w:tcPr>
          <w:p w:rsidR="007903A6" w:rsidRDefault="007903A6" w:rsidP="00235234"/>
        </w:tc>
      </w:tr>
      <w:tr w:rsidR="007903A6" w:rsidTr="00225C27">
        <w:trPr>
          <w:cantSplit/>
          <w:jc w:val="center"/>
        </w:trPr>
        <w:tc>
          <w:tcPr>
            <w:tcW w:w="1480" w:type="dxa"/>
          </w:tcPr>
          <w:p w:rsidR="007903A6" w:rsidRPr="00303D8F" w:rsidRDefault="007903A6" w:rsidP="00255AA3">
            <w:pPr>
              <w:pStyle w:val="E3Tabletext"/>
            </w:pPr>
            <w:r w:rsidRPr="00303D8F">
              <w:t>Colour Rendering</w:t>
            </w:r>
          </w:p>
        </w:tc>
        <w:tc>
          <w:tcPr>
            <w:tcW w:w="5612" w:type="dxa"/>
            <w:gridSpan w:val="2"/>
          </w:tcPr>
          <w:p w:rsidR="007903A6" w:rsidRDefault="007903A6" w:rsidP="00255AA3">
            <w:pPr>
              <w:pStyle w:val="E3Tabletext"/>
            </w:pPr>
            <w:r>
              <w:t>Ra ≥ 80</w:t>
            </w:r>
          </w:p>
        </w:tc>
        <w:tc>
          <w:tcPr>
            <w:tcW w:w="2484" w:type="dxa"/>
            <w:vMerge/>
          </w:tcPr>
          <w:p w:rsidR="007903A6" w:rsidRDefault="007903A6" w:rsidP="00235234"/>
        </w:tc>
      </w:tr>
      <w:tr w:rsidR="007903A6" w:rsidTr="00225C27">
        <w:trPr>
          <w:cantSplit/>
          <w:jc w:val="center"/>
        </w:trPr>
        <w:tc>
          <w:tcPr>
            <w:tcW w:w="1480" w:type="dxa"/>
          </w:tcPr>
          <w:p w:rsidR="007903A6" w:rsidRDefault="007903A6" w:rsidP="00255AA3">
            <w:pPr>
              <w:pStyle w:val="E3Tabletext"/>
            </w:pPr>
            <w:r>
              <w:t>Colour temperature</w:t>
            </w:r>
          </w:p>
        </w:tc>
        <w:tc>
          <w:tcPr>
            <w:tcW w:w="5612" w:type="dxa"/>
            <w:gridSpan w:val="2"/>
          </w:tcPr>
          <w:p w:rsidR="007903A6" w:rsidRDefault="007903A6" w:rsidP="00255AA3">
            <w:pPr>
              <w:pStyle w:val="E3Tabletext"/>
            </w:pPr>
            <w:r>
              <w:t>Colour difference bet</w:t>
            </w:r>
            <w:r w:rsidRPr="00602580">
              <w:t>w</w:t>
            </w:r>
            <w:r>
              <w:t>een measured and stated lamp ≤ 0.007 units on CIE 1976 u’v’diagram</w:t>
            </w:r>
          </w:p>
        </w:tc>
        <w:tc>
          <w:tcPr>
            <w:tcW w:w="2484" w:type="dxa"/>
            <w:vMerge/>
          </w:tcPr>
          <w:p w:rsidR="007903A6" w:rsidRDefault="007903A6" w:rsidP="00235234"/>
        </w:tc>
      </w:tr>
      <w:tr w:rsidR="007903A6" w:rsidTr="00225C27">
        <w:trPr>
          <w:cantSplit/>
          <w:jc w:val="center"/>
        </w:trPr>
        <w:tc>
          <w:tcPr>
            <w:tcW w:w="1480" w:type="dxa"/>
          </w:tcPr>
          <w:p w:rsidR="007903A6" w:rsidRDefault="007903A6" w:rsidP="00255AA3">
            <w:pPr>
              <w:pStyle w:val="E3Tabletext"/>
            </w:pPr>
            <w:r>
              <w:t>Colour homogeneity</w:t>
            </w:r>
          </w:p>
        </w:tc>
        <w:tc>
          <w:tcPr>
            <w:tcW w:w="5612" w:type="dxa"/>
            <w:gridSpan w:val="2"/>
          </w:tcPr>
          <w:p w:rsidR="007903A6" w:rsidRDefault="007903A6" w:rsidP="00255AA3">
            <w:pPr>
              <w:pStyle w:val="E3Tabletext"/>
            </w:pPr>
            <w:r>
              <w:t>Colour difference measured between any lamp samples ≤ 0.006 units on CIE 1976 u’v’diagram</w:t>
            </w:r>
          </w:p>
        </w:tc>
        <w:tc>
          <w:tcPr>
            <w:tcW w:w="2484" w:type="dxa"/>
            <w:vMerge/>
          </w:tcPr>
          <w:p w:rsidR="007903A6" w:rsidRDefault="007903A6" w:rsidP="00235234"/>
        </w:tc>
      </w:tr>
      <w:tr w:rsidR="007903A6" w:rsidTr="00225C27">
        <w:trPr>
          <w:cantSplit/>
          <w:jc w:val="center"/>
        </w:trPr>
        <w:tc>
          <w:tcPr>
            <w:tcW w:w="1480" w:type="dxa"/>
          </w:tcPr>
          <w:p w:rsidR="007903A6" w:rsidRPr="00CF109C" w:rsidRDefault="007903A6" w:rsidP="00255AA3">
            <w:pPr>
              <w:pStyle w:val="E3Tabletext"/>
            </w:pPr>
            <w:r>
              <w:t>Hue preservation</w:t>
            </w:r>
          </w:p>
        </w:tc>
        <w:tc>
          <w:tcPr>
            <w:tcW w:w="5612" w:type="dxa"/>
            <w:gridSpan w:val="2"/>
          </w:tcPr>
          <w:p w:rsidR="007903A6" w:rsidRDefault="007903A6" w:rsidP="00255AA3">
            <w:pPr>
              <w:pStyle w:val="E3Tabletext"/>
            </w:pPr>
            <w:r>
              <w:t>Colour difference measured between a lamp 3,000 h and 6,000 h ≤ 0.007 units on CIE 1976 u’v’diagram</w:t>
            </w:r>
          </w:p>
        </w:tc>
        <w:tc>
          <w:tcPr>
            <w:tcW w:w="2484" w:type="dxa"/>
            <w:vMerge/>
          </w:tcPr>
          <w:p w:rsidR="007903A6" w:rsidRDefault="007903A6" w:rsidP="00235234"/>
        </w:tc>
      </w:tr>
      <w:tr w:rsidR="00334066" w:rsidTr="00225C27">
        <w:trPr>
          <w:cantSplit/>
          <w:jc w:val="center"/>
        </w:trPr>
        <w:tc>
          <w:tcPr>
            <w:tcW w:w="1480" w:type="dxa"/>
          </w:tcPr>
          <w:p w:rsidR="00334066" w:rsidRPr="00CF109C" w:rsidRDefault="00334066" w:rsidP="00255AA3">
            <w:pPr>
              <w:pStyle w:val="E3Tabletext"/>
            </w:pPr>
            <w:r w:rsidRPr="00CF109C">
              <w:t>Lumen maintenance</w:t>
            </w:r>
          </w:p>
        </w:tc>
        <w:tc>
          <w:tcPr>
            <w:tcW w:w="5612" w:type="dxa"/>
            <w:gridSpan w:val="2"/>
          </w:tcPr>
          <w:p w:rsidR="00334066" w:rsidRDefault="00334066" w:rsidP="00255AA3">
            <w:pPr>
              <w:pStyle w:val="E3Tabletext"/>
            </w:pPr>
            <w:r>
              <w:t>&gt; 90% at 6,000 h operated at a minimum of :</w:t>
            </w:r>
          </w:p>
          <w:p w:rsidR="00334066" w:rsidRDefault="00334066" w:rsidP="00F1452F">
            <w:pPr>
              <w:pStyle w:val="E3Tabletext"/>
              <w:numPr>
                <w:ilvl w:val="0"/>
                <w:numId w:val="12"/>
              </w:numPr>
            </w:pPr>
            <w:r>
              <w:t>25</w:t>
            </w:r>
            <w:r>
              <w:sym w:font="Symbol" w:char="F0B0"/>
            </w:r>
            <w:r>
              <w:t>C for lamp power &lt; 10W</w:t>
            </w:r>
          </w:p>
          <w:p w:rsidR="00334066" w:rsidRDefault="00334066" w:rsidP="00F1452F">
            <w:pPr>
              <w:pStyle w:val="E3Tabletext"/>
              <w:numPr>
                <w:ilvl w:val="0"/>
                <w:numId w:val="12"/>
              </w:numPr>
            </w:pPr>
            <w:r>
              <w:t>45</w:t>
            </w:r>
            <w:r>
              <w:sym w:font="Symbol" w:char="F0B0"/>
            </w:r>
            <w:r>
              <w:t>C for lamp power ≥ 10W</w:t>
            </w:r>
          </w:p>
        </w:tc>
        <w:tc>
          <w:tcPr>
            <w:tcW w:w="2484" w:type="dxa"/>
          </w:tcPr>
          <w:p w:rsidR="00334066" w:rsidRDefault="00334066" w:rsidP="00235234"/>
        </w:tc>
      </w:tr>
      <w:tr w:rsidR="00334066" w:rsidTr="00225C27">
        <w:trPr>
          <w:cantSplit/>
          <w:jc w:val="center"/>
        </w:trPr>
        <w:tc>
          <w:tcPr>
            <w:tcW w:w="1480" w:type="dxa"/>
          </w:tcPr>
          <w:p w:rsidR="00334066" w:rsidRPr="00303D8F" w:rsidRDefault="00334066" w:rsidP="00255AA3">
            <w:pPr>
              <w:pStyle w:val="E3Tabletext"/>
            </w:pPr>
            <w:r>
              <w:t>Life time</w:t>
            </w:r>
          </w:p>
        </w:tc>
        <w:tc>
          <w:tcPr>
            <w:tcW w:w="5612" w:type="dxa"/>
            <w:gridSpan w:val="2"/>
          </w:tcPr>
          <w:p w:rsidR="00334066" w:rsidRDefault="00334066" w:rsidP="00255AA3">
            <w:pPr>
              <w:pStyle w:val="E3Tabletext"/>
            </w:pPr>
            <w:r>
              <w:t>≥ 6,000 h</w:t>
            </w:r>
          </w:p>
        </w:tc>
        <w:tc>
          <w:tcPr>
            <w:tcW w:w="2484" w:type="dxa"/>
          </w:tcPr>
          <w:p w:rsidR="00334066" w:rsidRDefault="00334066" w:rsidP="00255AA3">
            <w:pPr>
              <w:pStyle w:val="E3Tabletext"/>
            </w:pPr>
            <w:r>
              <w:t>EN 60969</w:t>
            </w:r>
          </w:p>
        </w:tc>
      </w:tr>
      <w:tr w:rsidR="00334066" w:rsidTr="00225C27">
        <w:trPr>
          <w:cantSplit/>
          <w:jc w:val="center"/>
        </w:trPr>
        <w:tc>
          <w:tcPr>
            <w:tcW w:w="1480" w:type="dxa"/>
          </w:tcPr>
          <w:p w:rsidR="00334066" w:rsidRPr="00CF109C" w:rsidRDefault="00334066" w:rsidP="00255AA3">
            <w:pPr>
              <w:pStyle w:val="E3Tabletext"/>
            </w:pPr>
            <w:r>
              <w:t>Switching withstand</w:t>
            </w:r>
          </w:p>
        </w:tc>
        <w:tc>
          <w:tcPr>
            <w:tcW w:w="5612" w:type="dxa"/>
            <w:gridSpan w:val="2"/>
          </w:tcPr>
          <w:p w:rsidR="00334066" w:rsidRPr="006E3190" w:rsidRDefault="00334066" w:rsidP="00255AA3">
            <w:pPr>
              <w:pStyle w:val="E3Tabletext"/>
            </w:pPr>
            <w:r w:rsidRPr="006E3190">
              <w:t>Switching cycles before failure ≥ the greater of 20,000 cycles</w:t>
            </w:r>
          </w:p>
        </w:tc>
        <w:tc>
          <w:tcPr>
            <w:tcW w:w="2484" w:type="dxa"/>
          </w:tcPr>
          <w:p w:rsidR="00334066" w:rsidRDefault="00334066" w:rsidP="00255AA3">
            <w:pPr>
              <w:pStyle w:val="E3Tabletext"/>
            </w:pPr>
          </w:p>
        </w:tc>
      </w:tr>
      <w:tr w:rsidR="00334066" w:rsidTr="00225C27">
        <w:trPr>
          <w:cantSplit/>
          <w:jc w:val="center"/>
        </w:trPr>
        <w:tc>
          <w:tcPr>
            <w:tcW w:w="1480" w:type="dxa"/>
          </w:tcPr>
          <w:p w:rsidR="00334066" w:rsidRPr="00CF109C" w:rsidRDefault="00334066" w:rsidP="00255AA3">
            <w:pPr>
              <w:pStyle w:val="E3Tabletext"/>
            </w:pPr>
            <w:r>
              <w:t>Premature failure</w:t>
            </w:r>
          </w:p>
        </w:tc>
        <w:tc>
          <w:tcPr>
            <w:tcW w:w="5612" w:type="dxa"/>
            <w:gridSpan w:val="2"/>
          </w:tcPr>
          <w:p w:rsidR="00334066" w:rsidRPr="006E3190" w:rsidRDefault="00334066" w:rsidP="00255AA3">
            <w:pPr>
              <w:pStyle w:val="E3Tabletext"/>
            </w:pPr>
            <w:r w:rsidRPr="006E3190">
              <w:t xml:space="preserve">≤ 2% </w:t>
            </w:r>
          </w:p>
        </w:tc>
        <w:tc>
          <w:tcPr>
            <w:tcW w:w="2484" w:type="dxa"/>
          </w:tcPr>
          <w:p w:rsidR="00334066" w:rsidRDefault="00334066" w:rsidP="00255AA3">
            <w:pPr>
              <w:pStyle w:val="E3Tabletext"/>
            </w:pPr>
            <w:r>
              <w:t>CIE 97:2005</w:t>
            </w:r>
          </w:p>
        </w:tc>
      </w:tr>
      <w:tr w:rsidR="00334066" w:rsidTr="00225C27">
        <w:trPr>
          <w:cantSplit/>
          <w:jc w:val="center"/>
        </w:trPr>
        <w:tc>
          <w:tcPr>
            <w:tcW w:w="1480" w:type="dxa"/>
          </w:tcPr>
          <w:p w:rsidR="00334066" w:rsidRPr="00CF109C" w:rsidRDefault="00334066" w:rsidP="00255AA3">
            <w:pPr>
              <w:pStyle w:val="E3Tabletext"/>
            </w:pPr>
            <w:r>
              <w:t>Run-up time</w:t>
            </w:r>
          </w:p>
        </w:tc>
        <w:tc>
          <w:tcPr>
            <w:tcW w:w="5612" w:type="dxa"/>
            <w:gridSpan w:val="2"/>
          </w:tcPr>
          <w:p w:rsidR="00334066" w:rsidRPr="001E4AD1" w:rsidRDefault="00334066" w:rsidP="00255AA3">
            <w:pPr>
              <w:pStyle w:val="E3Tabletext"/>
            </w:pPr>
            <w:r>
              <w:t>80% of initial stabilised luminous flux ≤ 30 s</w:t>
            </w:r>
          </w:p>
        </w:tc>
        <w:tc>
          <w:tcPr>
            <w:tcW w:w="2484" w:type="dxa"/>
          </w:tcPr>
          <w:p w:rsidR="00334066" w:rsidRDefault="00334066" w:rsidP="00255AA3">
            <w:pPr>
              <w:pStyle w:val="E3Tabletext"/>
            </w:pPr>
            <w:r>
              <w:t>EN 60969</w:t>
            </w:r>
          </w:p>
        </w:tc>
      </w:tr>
      <w:tr w:rsidR="00334066" w:rsidTr="00225C27">
        <w:trPr>
          <w:cantSplit/>
          <w:jc w:val="center"/>
        </w:trPr>
        <w:tc>
          <w:tcPr>
            <w:tcW w:w="1480" w:type="dxa"/>
          </w:tcPr>
          <w:p w:rsidR="00334066" w:rsidRDefault="00334066" w:rsidP="00255AA3">
            <w:pPr>
              <w:pStyle w:val="E3Tabletext"/>
            </w:pPr>
            <w:r>
              <w:lastRenderedPageBreak/>
              <w:t>UV radiation</w:t>
            </w:r>
          </w:p>
        </w:tc>
        <w:tc>
          <w:tcPr>
            <w:tcW w:w="5612" w:type="dxa"/>
            <w:gridSpan w:val="2"/>
          </w:tcPr>
          <w:p w:rsidR="00334066" w:rsidRDefault="00334066" w:rsidP="00255AA3">
            <w:pPr>
              <w:pStyle w:val="E3Tabletext"/>
            </w:pPr>
            <w:r>
              <w:t>At 20 cm from light centre:</w:t>
            </w:r>
          </w:p>
          <w:p w:rsidR="00334066" w:rsidRDefault="00334066" w:rsidP="00F1452F">
            <w:pPr>
              <w:pStyle w:val="E3Tabletext"/>
              <w:numPr>
                <w:ilvl w:val="0"/>
                <w:numId w:val="15"/>
              </w:numPr>
            </w:pPr>
            <w:r>
              <w:t>Actinic UV radiation ≤ 0.01 mW/m</w:t>
            </w:r>
            <w:r>
              <w:rPr>
                <w:vertAlign w:val="superscript"/>
              </w:rPr>
              <w:t>2</w:t>
            </w:r>
          </w:p>
          <w:p w:rsidR="00334066" w:rsidRPr="00C47C33" w:rsidRDefault="00334066" w:rsidP="00F1452F">
            <w:pPr>
              <w:pStyle w:val="E3Tabletext"/>
              <w:numPr>
                <w:ilvl w:val="0"/>
                <w:numId w:val="15"/>
              </w:numPr>
            </w:pPr>
            <w:r>
              <w:t>UVA ≤ 100 mW/m</w:t>
            </w:r>
            <w:r>
              <w:rPr>
                <w:vertAlign w:val="superscript"/>
              </w:rPr>
              <w:t xml:space="preserve">2 </w:t>
            </w:r>
            <w:r>
              <w:t xml:space="preserve"> based on 1,000 lux</w:t>
            </w:r>
          </w:p>
        </w:tc>
        <w:tc>
          <w:tcPr>
            <w:tcW w:w="2484" w:type="dxa"/>
          </w:tcPr>
          <w:p w:rsidR="00334066" w:rsidRDefault="00334066" w:rsidP="00255AA3">
            <w:pPr>
              <w:pStyle w:val="E3Tabletext"/>
            </w:pPr>
            <w:r>
              <w:t>DIN EN 62471</w:t>
            </w:r>
          </w:p>
        </w:tc>
      </w:tr>
      <w:tr w:rsidR="00334066" w:rsidTr="00225C27">
        <w:trPr>
          <w:cantSplit/>
          <w:jc w:val="center"/>
        </w:trPr>
        <w:tc>
          <w:tcPr>
            <w:tcW w:w="1480" w:type="dxa"/>
          </w:tcPr>
          <w:p w:rsidR="00334066" w:rsidRDefault="00334066" w:rsidP="00255AA3">
            <w:pPr>
              <w:pStyle w:val="E3Tabletext"/>
            </w:pPr>
            <w:r>
              <w:t>Electromagnetic fields</w:t>
            </w:r>
          </w:p>
        </w:tc>
        <w:tc>
          <w:tcPr>
            <w:tcW w:w="5612" w:type="dxa"/>
            <w:gridSpan w:val="2"/>
          </w:tcPr>
          <w:p w:rsidR="00334066" w:rsidRDefault="00334066" w:rsidP="00255AA3">
            <w:pPr>
              <w:pStyle w:val="E3Tabletext"/>
            </w:pPr>
            <w:r>
              <w:t xml:space="preserve">At 30 cm from the lamp </w:t>
            </w:r>
          </w:p>
          <w:p w:rsidR="00334066" w:rsidRDefault="00334066" w:rsidP="00F1452F">
            <w:pPr>
              <w:pStyle w:val="E3Tabletext"/>
              <w:numPr>
                <w:ilvl w:val="0"/>
                <w:numId w:val="16"/>
              </w:numPr>
            </w:pPr>
            <w:r>
              <w:t>F  ≤ 0.3%</w:t>
            </w:r>
          </w:p>
          <w:p w:rsidR="00334066" w:rsidRDefault="00334066" w:rsidP="00255AA3">
            <w:pPr>
              <w:pStyle w:val="E3Tabletext"/>
            </w:pPr>
            <w:r>
              <w:t>(Note: F is defined in the referenced standard)</w:t>
            </w:r>
          </w:p>
        </w:tc>
        <w:tc>
          <w:tcPr>
            <w:tcW w:w="2484" w:type="dxa"/>
          </w:tcPr>
          <w:p w:rsidR="00334066" w:rsidRDefault="00334066" w:rsidP="00255AA3">
            <w:pPr>
              <w:pStyle w:val="E3Tabletext"/>
            </w:pPr>
            <w:r>
              <w:t>DIN IEC 62493</w:t>
            </w:r>
          </w:p>
        </w:tc>
      </w:tr>
    </w:tbl>
    <w:p w:rsidR="00334066" w:rsidRDefault="00334066" w:rsidP="00334066">
      <w:pPr>
        <w:autoSpaceDE w:val="0"/>
        <w:autoSpaceDN w:val="0"/>
        <w:adjustRightInd w:val="0"/>
        <w:spacing w:after="0" w:line="240" w:lineRule="auto"/>
        <w:rPr>
          <w:rFonts w:ascii="NimbusSanL" w:eastAsia="Times New Roman" w:hAnsi="NimbusSanL" w:cs="NimbusSanL"/>
          <w:color w:val="000000"/>
          <w:lang w:eastAsia="en-AU"/>
        </w:rPr>
      </w:pPr>
    </w:p>
    <w:p w:rsidR="00334066" w:rsidRDefault="00334066" w:rsidP="007903A6">
      <w:pPr>
        <w:pStyle w:val="E3BodyText"/>
        <w:rPr>
          <w:color w:val="0070C0"/>
        </w:rPr>
      </w:pPr>
      <w:r w:rsidRPr="007903A6">
        <w:t xml:space="preserve">There are currently no registered products. </w:t>
      </w:r>
    </w:p>
    <w:p w:rsidR="00334066" w:rsidRDefault="00334066" w:rsidP="00E65B09">
      <w:pPr>
        <w:pStyle w:val="E3Heading3"/>
        <w:numPr>
          <w:ilvl w:val="0"/>
          <w:numId w:val="0"/>
        </w:numPr>
        <w:ind w:left="864" w:hanging="864"/>
      </w:pPr>
      <w:bookmarkStart w:id="312" w:name="_Toc389123363"/>
      <w:r>
        <w:t>Hong Kong</w:t>
      </w:r>
      <w:bookmarkEnd w:id="312"/>
    </w:p>
    <w:p w:rsidR="00334066" w:rsidRPr="00402E45" w:rsidRDefault="00225C27" w:rsidP="00225C27">
      <w:pPr>
        <w:pStyle w:val="E3BodyText"/>
        <w:jc w:val="center"/>
        <w:rPr>
          <w:lang w:eastAsia="en-AU"/>
        </w:rPr>
      </w:pPr>
      <w:r>
        <w:rPr>
          <w:noProof/>
          <w:lang w:eastAsia="en-AU"/>
        </w:rPr>
        <w:drawing>
          <wp:inline distT="0" distB="0" distL="0" distR="0" wp14:anchorId="35C71D17" wp14:editId="32B3C95C">
            <wp:extent cx="4772025" cy="3083847"/>
            <wp:effectExtent l="0" t="0" r="0" b="0"/>
            <wp:docPr id="35" name="Picture 35" descr="Diagram displaying the Flow of HEPS, Endorsement Label, MEPS, Comparative Label.&#10;&#10;Endorsement Label are broken down into the following:&#10;-Energy Efficiency&#10;-Light quality parameters&#10;-Electrical quality paramaters&#10;-Product Quality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rotWithShape="1">
                    <a:blip r:embed="rId136" cstate="print">
                      <a:extLst>
                        <a:ext uri="{28A0092B-C50C-407E-A947-70E740481C1C}">
                          <a14:useLocalDpi xmlns:a14="http://schemas.microsoft.com/office/drawing/2010/main" val="0"/>
                        </a:ext>
                      </a:extLst>
                    </a:blip>
                    <a:srcRect l="16778" t="2596" b="20991"/>
                    <a:stretch/>
                  </pic:blipFill>
                  <pic:spPr bwMode="auto">
                    <a:xfrm>
                      <a:off x="0" y="0"/>
                      <a:ext cx="4778606" cy="3088100"/>
                    </a:xfrm>
                    <a:prstGeom prst="rect">
                      <a:avLst/>
                    </a:prstGeom>
                    <a:ln>
                      <a:noFill/>
                    </a:ln>
                    <a:extLst>
                      <a:ext uri="{53640926-AAD7-44D8-BBD7-CCE9431645EC}">
                        <a14:shadowObscured xmlns:a14="http://schemas.microsoft.com/office/drawing/2010/main"/>
                      </a:ext>
                    </a:extLst>
                  </pic:spPr>
                </pic:pic>
              </a:graphicData>
            </a:graphic>
          </wp:inline>
        </w:drawing>
      </w:r>
    </w:p>
    <w:p w:rsidR="00334066" w:rsidRDefault="00334066" w:rsidP="00E65B09">
      <w:pPr>
        <w:pStyle w:val="E3Heading4"/>
        <w:numPr>
          <w:ilvl w:val="0"/>
          <w:numId w:val="0"/>
        </w:numPr>
        <w:ind w:left="1008" w:hanging="1008"/>
        <w:rPr>
          <w:lang w:eastAsia="en-AU"/>
        </w:rPr>
      </w:pPr>
      <w:r>
        <w:rPr>
          <w:lang w:eastAsia="en-AU"/>
        </w:rPr>
        <w:t>Scope</w:t>
      </w:r>
    </w:p>
    <w:p w:rsidR="00334066" w:rsidRPr="001B14E7" w:rsidRDefault="00334066" w:rsidP="007903A6">
      <w:pPr>
        <w:pStyle w:val="E3BodyText"/>
        <w:rPr>
          <w:lang w:eastAsia="en-AU"/>
        </w:rPr>
      </w:pPr>
      <w:r>
        <w:rPr>
          <w:lang w:eastAsia="en-AU"/>
        </w:rPr>
        <w:t>T</w:t>
      </w:r>
      <w:r w:rsidRPr="001B14E7">
        <w:rPr>
          <w:lang w:eastAsia="en-AU"/>
        </w:rPr>
        <w:t xml:space="preserve">his scheme </w:t>
      </w:r>
      <w:r>
        <w:rPr>
          <w:lang w:eastAsia="en-AU"/>
        </w:rPr>
        <w:t>applies</w:t>
      </w:r>
      <w:r w:rsidRPr="001B14E7">
        <w:rPr>
          <w:lang w:eastAsia="en-AU"/>
        </w:rPr>
        <w:t xml:space="preserve"> to directional and non-directional LED lamps</w:t>
      </w:r>
      <w:r>
        <w:rPr>
          <w:lang w:eastAsia="en-AU"/>
        </w:rPr>
        <w:t xml:space="preserve"> that are</w:t>
      </w:r>
      <w:r w:rsidRPr="001B14E7">
        <w:rPr>
          <w:lang w:eastAsia="en-AU"/>
        </w:rPr>
        <w:t xml:space="preserve"> intended for general lighting purposes </w:t>
      </w:r>
      <w:r>
        <w:rPr>
          <w:lang w:eastAsia="en-AU"/>
        </w:rPr>
        <w:t xml:space="preserve">and </w:t>
      </w:r>
      <w:r w:rsidRPr="001B14E7">
        <w:rPr>
          <w:lang w:eastAsia="en-AU"/>
        </w:rPr>
        <w:t xml:space="preserve">having </w:t>
      </w:r>
      <w:r w:rsidR="00D01D3A">
        <w:rPr>
          <w:lang w:eastAsia="en-AU"/>
        </w:rPr>
        <w:t>the following characteristics:</w:t>
      </w:r>
    </w:p>
    <w:p w:rsidR="00334066" w:rsidRPr="001B14E7" w:rsidRDefault="00334066" w:rsidP="00F1452F">
      <w:pPr>
        <w:pStyle w:val="E3BodyText"/>
        <w:numPr>
          <w:ilvl w:val="0"/>
          <w:numId w:val="29"/>
        </w:numPr>
        <w:rPr>
          <w:lang w:eastAsia="en-AU"/>
        </w:rPr>
      </w:pPr>
      <w:r w:rsidRPr="001B14E7">
        <w:rPr>
          <w:lang w:eastAsia="en-AU"/>
        </w:rPr>
        <w:t>those with a rated voltage up to 240 volts AC or DC;</w:t>
      </w:r>
    </w:p>
    <w:p w:rsidR="00334066" w:rsidRPr="001B14E7" w:rsidRDefault="00334066" w:rsidP="00F1452F">
      <w:pPr>
        <w:pStyle w:val="E3BodyText"/>
        <w:numPr>
          <w:ilvl w:val="0"/>
          <w:numId w:val="29"/>
        </w:numPr>
        <w:rPr>
          <w:lang w:eastAsia="en-AU"/>
        </w:rPr>
      </w:pPr>
      <w:r w:rsidRPr="001B14E7">
        <w:rPr>
          <w:lang w:eastAsia="en-AU"/>
        </w:rPr>
        <w:t>those with a rated frequency of 50 Hz for AC;</w:t>
      </w:r>
    </w:p>
    <w:p w:rsidR="00334066" w:rsidRPr="001B14E7" w:rsidRDefault="00334066" w:rsidP="00F1452F">
      <w:pPr>
        <w:pStyle w:val="E3BodyText"/>
        <w:numPr>
          <w:ilvl w:val="0"/>
          <w:numId w:val="29"/>
        </w:numPr>
        <w:rPr>
          <w:lang w:eastAsia="en-AU"/>
        </w:rPr>
      </w:pPr>
      <w:r w:rsidRPr="001B14E7">
        <w:rPr>
          <w:lang w:eastAsia="en-AU"/>
        </w:rPr>
        <w:t>those with a rated lamp wattage up to 60 Watts; and</w:t>
      </w:r>
    </w:p>
    <w:p w:rsidR="00334066" w:rsidRPr="001B14E7" w:rsidRDefault="00334066" w:rsidP="00F1452F">
      <w:pPr>
        <w:pStyle w:val="E3BodyText"/>
        <w:numPr>
          <w:ilvl w:val="0"/>
          <w:numId w:val="29"/>
        </w:numPr>
        <w:rPr>
          <w:lang w:eastAsia="en-AU"/>
        </w:rPr>
      </w:pPr>
      <w:r w:rsidRPr="001B14E7">
        <w:rPr>
          <w:lang w:eastAsia="en-AU"/>
        </w:rPr>
        <w:t xml:space="preserve">those with a rated CCT value from 2700K to 6500K. </w:t>
      </w:r>
    </w:p>
    <w:p w:rsidR="00334066" w:rsidRPr="001B14E7" w:rsidRDefault="00334066" w:rsidP="007903A6">
      <w:pPr>
        <w:pStyle w:val="E3BodyText"/>
        <w:rPr>
          <w:lang w:eastAsia="en-AU"/>
        </w:rPr>
      </w:pPr>
      <w:r w:rsidRPr="001B14E7">
        <w:rPr>
          <w:lang w:eastAsia="en-AU"/>
        </w:rPr>
        <w:t xml:space="preserve"> The scheme shall apply to LED lamps designed with dimming or non-dimming</w:t>
      </w:r>
      <w:r w:rsidR="00EA2737">
        <w:rPr>
          <w:lang w:eastAsia="en-AU"/>
        </w:rPr>
        <w:t xml:space="preserve"> </w:t>
      </w:r>
      <w:r w:rsidRPr="001B14E7">
        <w:rPr>
          <w:lang w:eastAsia="en-AU"/>
        </w:rPr>
        <w:t xml:space="preserve">operations. </w:t>
      </w:r>
    </w:p>
    <w:p w:rsidR="00334066" w:rsidRDefault="00334066" w:rsidP="007903A6">
      <w:pPr>
        <w:pStyle w:val="E3BodyText"/>
        <w:rPr>
          <w:lang w:eastAsia="en-AU"/>
        </w:rPr>
      </w:pPr>
      <w:r w:rsidRPr="001B14E7">
        <w:rPr>
          <w:lang w:eastAsia="en-AU"/>
        </w:rPr>
        <w:t xml:space="preserve"> The scheme does not cover</w:t>
      </w:r>
      <w:r>
        <w:rPr>
          <w:lang w:eastAsia="en-AU"/>
        </w:rPr>
        <w:t>:</w:t>
      </w:r>
    </w:p>
    <w:p w:rsidR="00334066" w:rsidRDefault="00337955" w:rsidP="00F1452F">
      <w:pPr>
        <w:pStyle w:val="E3BodyText"/>
        <w:numPr>
          <w:ilvl w:val="0"/>
          <w:numId w:val="28"/>
        </w:numPr>
        <w:rPr>
          <w:lang w:eastAsia="en-AU"/>
        </w:rPr>
      </w:pPr>
      <w:r>
        <w:rPr>
          <w:lang w:eastAsia="en-AU"/>
        </w:rPr>
        <w:t>L</w:t>
      </w:r>
      <w:r w:rsidR="00334066" w:rsidRPr="001B14E7">
        <w:rPr>
          <w:lang w:eastAsia="en-AU"/>
        </w:rPr>
        <w:t xml:space="preserve">ED tubes, and </w:t>
      </w:r>
    </w:p>
    <w:p w:rsidR="00334066" w:rsidRDefault="00334066" w:rsidP="00F1452F">
      <w:pPr>
        <w:pStyle w:val="E3BodyText"/>
        <w:numPr>
          <w:ilvl w:val="0"/>
          <w:numId w:val="28"/>
        </w:numPr>
        <w:rPr>
          <w:lang w:eastAsia="en-AU"/>
        </w:rPr>
      </w:pPr>
      <w:r w:rsidRPr="001B14E7">
        <w:rPr>
          <w:lang w:eastAsia="en-AU"/>
        </w:rPr>
        <w:t>LED lamps that intentionally produce</w:t>
      </w:r>
      <w:r w:rsidR="00EA2737">
        <w:rPr>
          <w:lang w:eastAsia="en-AU"/>
        </w:rPr>
        <w:t xml:space="preserve"> </w:t>
      </w:r>
      <w:r w:rsidRPr="001B14E7">
        <w:rPr>
          <w:lang w:eastAsia="en-AU"/>
        </w:rPr>
        <w:t xml:space="preserve">tinted or coloured light </w:t>
      </w:r>
    </w:p>
    <w:p w:rsidR="00334066" w:rsidRDefault="00334066" w:rsidP="00F1452F">
      <w:pPr>
        <w:pStyle w:val="E3BodyText"/>
        <w:numPr>
          <w:ilvl w:val="0"/>
          <w:numId w:val="28"/>
        </w:numPr>
        <w:rPr>
          <w:lang w:eastAsia="en-AU"/>
        </w:rPr>
      </w:pPr>
      <w:r>
        <w:rPr>
          <w:lang w:eastAsia="en-AU"/>
        </w:rPr>
        <w:t>O</w:t>
      </w:r>
      <w:r w:rsidRPr="001B14E7">
        <w:rPr>
          <w:lang w:eastAsia="en-AU"/>
        </w:rPr>
        <w:t xml:space="preserve">rganic LED (OLED) lamps. </w:t>
      </w:r>
    </w:p>
    <w:p w:rsidR="00334066" w:rsidRDefault="00334066" w:rsidP="00E65B09">
      <w:pPr>
        <w:pStyle w:val="E3Heading4"/>
        <w:numPr>
          <w:ilvl w:val="0"/>
          <w:numId w:val="0"/>
        </w:numPr>
        <w:ind w:left="1008" w:hanging="1008"/>
        <w:rPr>
          <w:lang w:eastAsia="en-AU"/>
        </w:rPr>
      </w:pPr>
      <w:r>
        <w:rPr>
          <w:lang w:eastAsia="en-AU"/>
        </w:rPr>
        <w:t>Performance requirements</w:t>
      </w:r>
    </w:p>
    <w:tbl>
      <w:tblPr>
        <w:tblStyle w:val="TableGrid"/>
        <w:tblW w:w="0" w:type="auto"/>
        <w:jc w:val="center"/>
        <w:tblLook w:val="04A0" w:firstRow="1" w:lastRow="0" w:firstColumn="1" w:lastColumn="0" w:noHBand="0" w:noVBand="1"/>
      </w:tblPr>
      <w:tblGrid>
        <w:gridCol w:w="1358"/>
        <w:gridCol w:w="506"/>
        <w:gridCol w:w="388"/>
        <w:gridCol w:w="461"/>
        <w:gridCol w:w="248"/>
        <w:gridCol w:w="223"/>
        <w:gridCol w:w="511"/>
        <w:gridCol w:w="14"/>
        <w:gridCol w:w="504"/>
        <w:gridCol w:w="516"/>
        <w:gridCol w:w="155"/>
        <w:gridCol w:w="387"/>
        <w:gridCol w:w="527"/>
        <w:gridCol w:w="262"/>
        <w:gridCol w:w="252"/>
        <w:gridCol w:w="266"/>
        <w:gridCol w:w="243"/>
        <w:gridCol w:w="532"/>
        <w:gridCol w:w="528"/>
        <w:gridCol w:w="530"/>
        <w:gridCol w:w="1444"/>
      </w:tblGrid>
      <w:tr w:rsidR="00334066" w:rsidTr="00225C27">
        <w:trPr>
          <w:cantSplit/>
          <w:tblHeader/>
          <w:jc w:val="center"/>
        </w:trPr>
        <w:tc>
          <w:tcPr>
            <w:tcW w:w="1358" w:type="dxa"/>
          </w:tcPr>
          <w:p w:rsidR="00334066" w:rsidRDefault="00334066" w:rsidP="00B75374">
            <w:pPr>
              <w:pStyle w:val="E3TableHeading"/>
            </w:pPr>
            <w:r>
              <w:t>Parameter</w:t>
            </w:r>
          </w:p>
        </w:tc>
        <w:tc>
          <w:tcPr>
            <w:tcW w:w="7053" w:type="dxa"/>
            <w:gridSpan w:val="19"/>
          </w:tcPr>
          <w:p w:rsidR="00334066" w:rsidRDefault="00334066" w:rsidP="00B75374">
            <w:pPr>
              <w:pStyle w:val="E3TableHeading"/>
            </w:pPr>
            <w:r>
              <w:t>Minimum requirements</w:t>
            </w:r>
          </w:p>
        </w:tc>
        <w:tc>
          <w:tcPr>
            <w:tcW w:w="1444" w:type="dxa"/>
          </w:tcPr>
          <w:p w:rsidR="00334066" w:rsidRDefault="00334066" w:rsidP="00B75374">
            <w:pPr>
              <w:pStyle w:val="E3TableHeading"/>
            </w:pPr>
            <w:r>
              <w:t>Test Method</w:t>
            </w:r>
          </w:p>
        </w:tc>
      </w:tr>
      <w:tr w:rsidR="00F94F31" w:rsidTr="00225C27">
        <w:trPr>
          <w:cantSplit/>
          <w:trHeight w:val="102"/>
          <w:jc w:val="center"/>
        </w:trPr>
        <w:tc>
          <w:tcPr>
            <w:tcW w:w="1358" w:type="dxa"/>
            <w:vMerge w:val="restart"/>
          </w:tcPr>
          <w:p w:rsidR="00554ABA" w:rsidRPr="00CD2261" w:rsidRDefault="00554ABA" w:rsidP="00255AA3">
            <w:pPr>
              <w:pStyle w:val="E3Tabletext"/>
            </w:pPr>
            <w:r w:rsidRPr="00CD2261">
              <w:t>Efficacy</w:t>
            </w:r>
          </w:p>
        </w:tc>
        <w:tc>
          <w:tcPr>
            <w:tcW w:w="3371" w:type="dxa"/>
            <w:gridSpan w:val="9"/>
          </w:tcPr>
          <w:p w:rsidR="00554ABA" w:rsidRDefault="00554ABA" w:rsidP="00255AA3">
            <w:pPr>
              <w:pStyle w:val="E3Tabletext"/>
            </w:pPr>
            <w:r>
              <w:t>Non-directional Lamps</w:t>
            </w:r>
          </w:p>
        </w:tc>
        <w:tc>
          <w:tcPr>
            <w:tcW w:w="3682" w:type="dxa"/>
            <w:gridSpan w:val="10"/>
          </w:tcPr>
          <w:p w:rsidR="00554ABA" w:rsidRDefault="00554ABA" w:rsidP="00255AA3">
            <w:pPr>
              <w:pStyle w:val="E3Tabletext"/>
            </w:pPr>
            <w:r>
              <w:t>Directional Lamps</w:t>
            </w:r>
          </w:p>
        </w:tc>
        <w:tc>
          <w:tcPr>
            <w:tcW w:w="1444" w:type="dxa"/>
            <w:vMerge w:val="restart"/>
          </w:tcPr>
          <w:p w:rsidR="00554ABA" w:rsidRDefault="00554ABA" w:rsidP="00235234"/>
        </w:tc>
      </w:tr>
      <w:tr w:rsidR="00F94F31" w:rsidTr="00225C27">
        <w:trPr>
          <w:cantSplit/>
          <w:trHeight w:val="101"/>
          <w:jc w:val="center"/>
        </w:trPr>
        <w:tc>
          <w:tcPr>
            <w:tcW w:w="1358" w:type="dxa"/>
            <w:vMerge/>
          </w:tcPr>
          <w:p w:rsidR="00554ABA" w:rsidRPr="00CD2261" w:rsidRDefault="00554ABA" w:rsidP="00255AA3">
            <w:pPr>
              <w:pStyle w:val="E3Tabletext"/>
            </w:pPr>
          </w:p>
        </w:tc>
        <w:tc>
          <w:tcPr>
            <w:tcW w:w="1603" w:type="dxa"/>
            <w:gridSpan w:val="4"/>
          </w:tcPr>
          <w:p w:rsidR="00554ABA" w:rsidRDefault="00554ABA" w:rsidP="00255AA3">
            <w:pPr>
              <w:pStyle w:val="E3Tabletext"/>
            </w:pPr>
            <w:r>
              <w:t>Rated Lamp Wattage (Lw)</w:t>
            </w:r>
          </w:p>
        </w:tc>
        <w:tc>
          <w:tcPr>
            <w:tcW w:w="1768" w:type="dxa"/>
            <w:gridSpan w:val="5"/>
          </w:tcPr>
          <w:p w:rsidR="00554ABA" w:rsidRDefault="00554ABA" w:rsidP="00255AA3">
            <w:pPr>
              <w:pStyle w:val="E3Tabletext"/>
            </w:pPr>
            <w:r>
              <w:t>Efficacy (lm/W)</w:t>
            </w:r>
          </w:p>
        </w:tc>
        <w:tc>
          <w:tcPr>
            <w:tcW w:w="1849" w:type="dxa"/>
            <w:gridSpan w:val="6"/>
          </w:tcPr>
          <w:p w:rsidR="00554ABA" w:rsidRDefault="00554ABA" w:rsidP="00255AA3">
            <w:pPr>
              <w:pStyle w:val="E3Tabletext"/>
            </w:pPr>
            <w:r>
              <w:t>Lamp Diameter (Ld mm)</w:t>
            </w:r>
          </w:p>
        </w:tc>
        <w:tc>
          <w:tcPr>
            <w:tcW w:w="1833" w:type="dxa"/>
            <w:gridSpan w:val="4"/>
          </w:tcPr>
          <w:p w:rsidR="00554ABA" w:rsidRDefault="00554ABA" w:rsidP="00255AA3">
            <w:pPr>
              <w:pStyle w:val="E3Tabletext"/>
            </w:pPr>
            <w:r>
              <w:t>Efficacy (lm/W)</w:t>
            </w:r>
          </w:p>
        </w:tc>
        <w:tc>
          <w:tcPr>
            <w:tcW w:w="1444" w:type="dxa"/>
            <w:vMerge/>
          </w:tcPr>
          <w:p w:rsidR="00554ABA" w:rsidRDefault="00554ABA" w:rsidP="00235234"/>
        </w:tc>
      </w:tr>
      <w:tr w:rsidR="00F94F31" w:rsidTr="00225C27">
        <w:trPr>
          <w:cantSplit/>
          <w:trHeight w:val="101"/>
          <w:jc w:val="center"/>
        </w:trPr>
        <w:tc>
          <w:tcPr>
            <w:tcW w:w="1358" w:type="dxa"/>
            <w:vMerge/>
          </w:tcPr>
          <w:p w:rsidR="00554ABA" w:rsidRPr="00CD2261" w:rsidRDefault="00554ABA" w:rsidP="00255AA3">
            <w:pPr>
              <w:pStyle w:val="E3Tabletext"/>
            </w:pPr>
          </w:p>
        </w:tc>
        <w:tc>
          <w:tcPr>
            <w:tcW w:w="1603" w:type="dxa"/>
            <w:gridSpan w:val="4"/>
          </w:tcPr>
          <w:p w:rsidR="00554ABA" w:rsidRDefault="00554ABA" w:rsidP="00255AA3">
            <w:pPr>
              <w:pStyle w:val="E3Tabletext"/>
            </w:pPr>
            <w:r>
              <w:t>Lw&lt; 10W</w:t>
            </w:r>
          </w:p>
        </w:tc>
        <w:tc>
          <w:tcPr>
            <w:tcW w:w="1768" w:type="dxa"/>
            <w:gridSpan w:val="5"/>
          </w:tcPr>
          <w:p w:rsidR="00554ABA" w:rsidRDefault="00554ABA" w:rsidP="00255AA3">
            <w:pPr>
              <w:pStyle w:val="E3Tabletext"/>
            </w:pPr>
            <w:r>
              <w:t>50</w:t>
            </w:r>
          </w:p>
        </w:tc>
        <w:tc>
          <w:tcPr>
            <w:tcW w:w="1849" w:type="dxa"/>
            <w:gridSpan w:val="6"/>
          </w:tcPr>
          <w:p w:rsidR="00554ABA" w:rsidRDefault="00554ABA" w:rsidP="00255AA3">
            <w:pPr>
              <w:pStyle w:val="E3Tabletext"/>
            </w:pPr>
            <w:r>
              <w:t>Ld ≤ 65</w:t>
            </w:r>
          </w:p>
        </w:tc>
        <w:tc>
          <w:tcPr>
            <w:tcW w:w="1833" w:type="dxa"/>
            <w:gridSpan w:val="4"/>
          </w:tcPr>
          <w:p w:rsidR="00554ABA" w:rsidRDefault="00554ABA" w:rsidP="00255AA3">
            <w:pPr>
              <w:pStyle w:val="E3Tabletext"/>
            </w:pPr>
            <w:r>
              <w:t>40</w:t>
            </w:r>
          </w:p>
        </w:tc>
        <w:tc>
          <w:tcPr>
            <w:tcW w:w="1444" w:type="dxa"/>
            <w:vMerge/>
          </w:tcPr>
          <w:p w:rsidR="00554ABA" w:rsidRDefault="00554ABA" w:rsidP="00235234"/>
        </w:tc>
      </w:tr>
      <w:tr w:rsidR="00F94F31" w:rsidTr="00225C27">
        <w:trPr>
          <w:cantSplit/>
          <w:trHeight w:val="101"/>
          <w:jc w:val="center"/>
        </w:trPr>
        <w:tc>
          <w:tcPr>
            <w:tcW w:w="1358" w:type="dxa"/>
            <w:vMerge/>
          </w:tcPr>
          <w:p w:rsidR="00554ABA" w:rsidRPr="00CD2261" w:rsidRDefault="00554ABA" w:rsidP="00255AA3">
            <w:pPr>
              <w:pStyle w:val="E3Tabletext"/>
            </w:pPr>
          </w:p>
        </w:tc>
        <w:tc>
          <w:tcPr>
            <w:tcW w:w="1603" w:type="dxa"/>
            <w:gridSpan w:val="4"/>
          </w:tcPr>
          <w:p w:rsidR="00554ABA" w:rsidRDefault="00554ABA" w:rsidP="00255AA3">
            <w:pPr>
              <w:pStyle w:val="E3Tabletext"/>
            </w:pPr>
            <w:r>
              <w:t>10W ≤ Lw</w:t>
            </w:r>
          </w:p>
        </w:tc>
        <w:tc>
          <w:tcPr>
            <w:tcW w:w="1768" w:type="dxa"/>
            <w:gridSpan w:val="5"/>
          </w:tcPr>
          <w:p w:rsidR="00554ABA" w:rsidRDefault="00554ABA" w:rsidP="00255AA3">
            <w:pPr>
              <w:pStyle w:val="E3Tabletext"/>
            </w:pPr>
            <w:r>
              <w:t>55</w:t>
            </w:r>
          </w:p>
        </w:tc>
        <w:tc>
          <w:tcPr>
            <w:tcW w:w="1849" w:type="dxa"/>
            <w:gridSpan w:val="6"/>
          </w:tcPr>
          <w:p w:rsidR="00554ABA" w:rsidRDefault="00554ABA" w:rsidP="00255AA3">
            <w:pPr>
              <w:pStyle w:val="E3Tabletext"/>
            </w:pPr>
            <w:r>
              <w:t>Ld&gt; 65</w:t>
            </w:r>
          </w:p>
        </w:tc>
        <w:tc>
          <w:tcPr>
            <w:tcW w:w="1833" w:type="dxa"/>
            <w:gridSpan w:val="4"/>
          </w:tcPr>
          <w:p w:rsidR="00554ABA" w:rsidRDefault="00554ABA" w:rsidP="00255AA3">
            <w:pPr>
              <w:pStyle w:val="E3Tabletext"/>
            </w:pPr>
            <w:r>
              <w:t>45</w:t>
            </w:r>
          </w:p>
        </w:tc>
        <w:tc>
          <w:tcPr>
            <w:tcW w:w="1444" w:type="dxa"/>
            <w:vMerge/>
          </w:tcPr>
          <w:p w:rsidR="00554ABA" w:rsidRDefault="00554ABA" w:rsidP="00235234"/>
        </w:tc>
      </w:tr>
      <w:tr w:rsidR="00644CF1" w:rsidTr="00225C27">
        <w:trPr>
          <w:cantSplit/>
          <w:trHeight w:val="75"/>
          <w:jc w:val="center"/>
        </w:trPr>
        <w:tc>
          <w:tcPr>
            <w:tcW w:w="1358" w:type="dxa"/>
            <w:vMerge w:val="restart"/>
          </w:tcPr>
          <w:p w:rsidR="00644CF1" w:rsidRPr="00CD2261" w:rsidRDefault="00644CF1" w:rsidP="00255AA3">
            <w:pPr>
              <w:pStyle w:val="E3Tabletext"/>
              <w:rPr>
                <w:highlight w:val="red"/>
              </w:rPr>
            </w:pPr>
            <w:r>
              <w:lastRenderedPageBreak/>
              <w:t>Luminous flux</w:t>
            </w:r>
          </w:p>
        </w:tc>
        <w:tc>
          <w:tcPr>
            <w:tcW w:w="7053" w:type="dxa"/>
            <w:gridSpan w:val="19"/>
          </w:tcPr>
          <w:p w:rsidR="00644CF1" w:rsidRDefault="00644CF1" w:rsidP="00255AA3">
            <w:pPr>
              <w:pStyle w:val="E3Tabletext"/>
            </w:pPr>
            <w:r>
              <w:t xml:space="preserve">All lamps: </w:t>
            </w:r>
          </w:p>
          <w:p w:rsidR="00644CF1" w:rsidRDefault="00644CF1" w:rsidP="00F1452F">
            <w:pPr>
              <w:pStyle w:val="E3Tabletext"/>
              <w:numPr>
                <w:ilvl w:val="0"/>
                <w:numId w:val="16"/>
              </w:numPr>
            </w:pPr>
            <w:r w:rsidRPr="00E21937">
              <w:t>Initial luminous flux ≥ 90% of rated luminous flux</w:t>
            </w:r>
          </w:p>
          <w:p w:rsidR="00644CF1" w:rsidRDefault="00644CF1" w:rsidP="00255AA3">
            <w:pPr>
              <w:pStyle w:val="E3Tabletext"/>
            </w:pPr>
            <w:r>
              <w:t>For non-directional lamps:</w:t>
            </w:r>
          </w:p>
          <w:p w:rsidR="00644CF1" w:rsidRDefault="00644CF1" w:rsidP="00F1452F">
            <w:pPr>
              <w:pStyle w:val="E3Tabletext"/>
              <w:numPr>
                <w:ilvl w:val="0"/>
                <w:numId w:val="16"/>
              </w:numPr>
            </w:pPr>
            <w:r w:rsidRPr="00852440">
              <w:t>If claiming equivalence</w:t>
            </w:r>
            <w:r>
              <w:t xml:space="preserve"> luminous flux must exceed</w:t>
            </w:r>
          </w:p>
        </w:tc>
        <w:tc>
          <w:tcPr>
            <w:tcW w:w="1444" w:type="dxa"/>
            <w:vMerge w:val="restart"/>
          </w:tcPr>
          <w:p w:rsidR="00644CF1" w:rsidRDefault="00644CF1" w:rsidP="00235234"/>
          <w:p w:rsidR="00644CF1" w:rsidRDefault="00644CF1" w:rsidP="00255AA3">
            <w:pPr>
              <w:pStyle w:val="E3Tabletext"/>
            </w:pPr>
            <w:r>
              <w:t>IES LM-79</w:t>
            </w:r>
          </w:p>
          <w:p w:rsidR="00644CF1" w:rsidRDefault="00644CF1" w:rsidP="00255AA3">
            <w:pPr>
              <w:pStyle w:val="E3Tabletext"/>
            </w:pPr>
            <w:r>
              <w:t>or</w:t>
            </w:r>
          </w:p>
          <w:p w:rsidR="00644CF1" w:rsidRDefault="00644CF1" w:rsidP="00255AA3">
            <w:pPr>
              <w:pStyle w:val="E3Tabletext"/>
            </w:pPr>
            <w:r>
              <w:t>IEC/PAS 62612</w:t>
            </w:r>
          </w:p>
        </w:tc>
      </w:tr>
      <w:tr w:rsidR="00644CF1" w:rsidTr="00225C27">
        <w:trPr>
          <w:cantSplit/>
          <w:trHeight w:val="69"/>
          <w:jc w:val="center"/>
        </w:trPr>
        <w:tc>
          <w:tcPr>
            <w:tcW w:w="1358" w:type="dxa"/>
            <w:vMerge/>
          </w:tcPr>
          <w:p w:rsidR="00644CF1" w:rsidRDefault="00644CF1" w:rsidP="00235234"/>
        </w:tc>
        <w:tc>
          <w:tcPr>
            <w:tcW w:w="3371" w:type="dxa"/>
            <w:gridSpan w:val="9"/>
          </w:tcPr>
          <w:p w:rsidR="00644CF1" w:rsidRDefault="00644CF1" w:rsidP="00255AA3">
            <w:pPr>
              <w:pStyle w:val="E3Tabletext"/>
            </w:pPr>
            <w:r>
              <w:t>Claimed equivalent wattage incandescent lamp (W)</w:t>
            </w:r>
          </w:p>
        </w:tc>
        <w:tc>
          <w:tcPr>
            <w:tcW w:w="3682" w:type="dxa"/>
            <w:gridSpan w:val="10"/>
          </w:tcPr>
          <w:p w:rsidR="00644CF1" w:rsidRDefault="00644CF1" w:rsidP="00255AA3">
            <w:pPr>
              <w:pStyle w:val="E3Tabletext"/>
            </w:pPr>
            <w:r>
              <w:t>Minimum luminous flux of LED lamp (lm)</w:t>
            </w:r>
          </w:p>
        </w:tc>
        <w:tc>
          <w:tcPr>
            <w:tcW w:w="1444" w:type="dxa"/>
            <w:vMerge/>
          </w:tcPr>
          <w:p w:rsidR="00644CF1" w:rsidRDefault="00644CF1" w:rsidP="00235234"/>
        </w:tc>
      </w:tr>
      <w:tr w:rsidR="00644CF1" w:rsidTr="00225C27">
        <w:trPr>
          <w:cantSplit/>
          <w:trHeight w:val="69"/>
          <w:jc w:val="center"/>
        </w:trPr>
        <w:tc>
          <w:tcPr>
            <w:tcW w:w="1358" w:type="dxa"/>
            <w:vMerge/>
          </w:tcPr>
          <w:p w:rsidR="00644CF1" w:rsidRDefault="00644CF1" w:rsidP="00235234"/>
        </w:tc>
        <w:tc>
          <w:tcPr>
            <w:tcW w:w="3371" w:type="dxa"/>
            <w:gridSpan w:val="9"/>
          </w:tcPr>
          <w:p w:rsidR="00644CF1" w:rsidRDefault="00644CF1" w:rsidP="00255AA3">
            <w:pPr>
              <w:pStyle w:val="E3Tabletext"/>
            </w:pPr>
            <w:r>
              <w:t>15</w:t>
            </w:r>
          </w:p>
        </w:tc>
        <w:tc>
          <w:tcPr>
            <w:tcW w:w="3682" w:type="dxa"/>
            <w:gridSpan w:val="10"/>
          </w:tcPr>
          <w:p w:rsidR="00644CF1" w:rsidRDefault="00644CF1" w:rsidP="00255AA3">
            <w:pPr>
              <w:pStyle w:val="E3Tabletext"/>
            </w:pPr>
            <w:r>
              <w:t>117</w:t>
            </w:r>
          </w:p>
        </w:tc>
        <w:tc>
          <w:tcPr>
            <w:tcW w:w="1444" w:type="dxa"/>
            <w:vMerge/>
          </w:tcPr>
          <w:p w:rsidR="00644CF1" w:rsidRDefault="00644CF1" w:rsidP="00235234"/>
        </w:tc>
      </w:tr>
      <w:tr w:rsidR="00644CF1" w:rsidTr="00225C27">
        <w:trPr>
          <w:cantSplit/>
          <w:trHeight w:val="69"/>
          <w:jc w:val="center"/>
        </w:trPr>
        <w:tc>
          <w:tcPr>
            <w:tcW w:w="1358" w:type="dxa"/>
            <w:vMerge/>
          </w:tcPr>
          <w:p w:rsidR="00644CF1" w:rsidRDefault="00644CF1" w:rsidP="00235234"/>
        </w:tc>
        <w:tc>
          <w:tcPr>
            <w:tcW w:w="3371" w:type="dxa"/>
            <w:gridSpan w:val="9"/>
          </w:tcPr>
          <w:p w:rsidR="00644CF1" w:rsidRDefault="00644CF1" w:rsidP="00255AA3">
            <w:pPr>
              <w:pStyle w:val="E3Tabletext"/>
            </w:pPr>
            <w:r>
              <w:t>25</w:t>
            </w:r>
          </w:p>
        </w:tc>
        <w:tc>
          <w:tcPr>
            <w:tcW w:w="3682" w:type="dxa"/>
            <w:gridSpan w:val="10"/>
          </w:tcPr>
          <w:p w:rsidR="00644CF1" w:rsidRDefault="00644CF1" w:rsidP="00255AA3">
            <w:pPr>
              <w:pStyle w:val="E3Tabletext"/>
            </w:pPr>
            <w:r>
              <w:t>214</w:t>
            </w:r>
          </w:p>
        </w:tc>
        <w:tc>
          <w:tcPr>
            <w:tcW w:w="1444" w:type="dxa"/>
            <w:vMerge/>
          </w:tcPr>
          <w:p w:rsidR="00644CF1" w:rsidRDefault="00644CF1" w:rsidP="00235234"/>
        </w:tc>
      </w:tr>
      <w:tr w:rsidR="00644CF1" w:rsidTr="00225C27">
        <w:trPr>
          <w:cantSplit/>
          <w:trHeight w:val="69"/>
          <w:jc w:val="center"/>
        </w:trPr>
        <w:tc>
          <w:tcPr>
            <w:tcW w:w="1358" w:type="dxa"/>
            <w:vMerge/>
          </w:tcPr>
          <w:p w:rsidR="00644CF1" w:rsidRDefault="00644CF1" w:rsidP="00235234"/>
        </w:tc>
        <w:tc>
          <w:tcPr>
            <w:tcW w:w="3371" w:type="dxa"/>
            <w:gridSpan w:val="9"/>
          </w:tcPr>
          <w:p w:rsidR="00644CF1" w:rsidRDefault="00644CF1" w:rsidP="00255AA3">
            <w:pPr>
              <w:pStyle w:val="E3Tabletext"/>
            </w:pPr>
            <w:r>
              <w:t>40</w:t>
            </w:r>
          </w:p>
        </w:tc>
        <w:tc>
          <w:tcPr>
            <w:tcW w:w="3682" w:type="dxa"/>
            <w:gridSpan w:val="10"/>
          </w:tcPr>
          <w:p w:rsidR="00644CF1" w:rsidRDefault="00644CF1" w:rsidP="00255AA3">
            <w:pPr>
              <w:pStyle w:val="E3Tabletext"/>
            </w:pPr>
            <w:r>
              <w:t>404</w:t>
            </w:r>
          </w:p>
        </w:tc>
        <w:tc>
          <w:tcPr>
            <w:tcW w:w="1444" w:type="dxa"/>
            <w:vMerge/>
          </w:tcPr>
          <w:p w:rsidR="00644CF1" w:rsidRDefault="00644CF1" w:rsidP="00235234"/>
        </w:tc>
      </w:tr>
      <w:tr w:rsidR="00644CF1" w:rsidTr="00225C27">
        <w:trPr>
          <w:cantSplit/>
          <w:trHeight w:val="69"/>
          <w:jc w:val="center"/>
        </w:trPr>
        <w:tc>
          <w:tcPr>
            <w:tcW w:w="1358" w:type="dxa"/>
            <w:vMerge/>
          </w:tcPr>
          <w:p w:rsidR="00644CF1" w:rsidRDefault="00644CF1" w:rsidP="00235234"/>
        </w:tc>
        <w:tc>
          <w:tcPr>
            <w:tcW w:w="3371" w:type="dxa"/>
            <w:gridSpan w:val="9"/>
          </w:tcPr>
          <w:p w:rsidR="00644CF1" w:rsidRDefault="00644CF1" w:rsidP="00255AA3">
            <w:pPr>
              <w:pStyle w:val="E3Tabletext"/>
            </w:pPr>
            <w:r>
              <w:t>60</w:t>
            </w:r>
          </w:p>
        </w:tc>
        <w:tc>
          <w:tcPr>
            <w:tcW w:w="3682" w:type="dxa"/>
            <w:gridSpan w:val="10"/>
          </w:tcPr>
          <w:p w:rsidR="00644CF1" w:rsidRDefault="00644CF1" w:rsidP="00255AA3">
            <w:pPr>
              <w:pStyle w:val="E3Tabletext"/>
            </w:pPr>
            <w:r>
              <w:t>693</w:t>
            </w:r>
          </w:p>
        </w:tc>
        <w:tc>
          <w:tcPr>
            <w:tcW w:w="1444" w:type="dxa"/>
            <w:vMerge/>
          </w:tcPr>
          <w:p w:rsidR="00644CF1" w:rsidRDefault="00644CF1" w:rsidP="00235234"/>
        </w:tc>
      </w:tr>
      <w:tr w:rsidR="00644CF1" w:rsidTr="00225C27">
        <w:trPr>
          <w:cantSplit/>
          <w:trHeight w:val="69"/>
          <w:jc w:val="center"/>
        </w:trPr>
        <w:tc>
          <w:tcPr>
            <w:tcW w:w="1358" w:type="dxa"/>
            <w:vMerge/>
          </w:tcPr>
          <w:p w:rsidR="00644CF1" w:rsidRDefault="00644CF1" w:rsidP="00235234"/>
        </w:tc>
        <w:tc>
          <w:tcPr>
            <w:tcW w:w="3371" w:type="dxa"/>
            <w:gridSpan w:val="9"/>
          </w:tcPr>
          <w:p w:rsidR="00644CF1" w:rsidRDefault="00644CF1" w:rsidP="00255AA3">
            <w:pPr>
              <w:pStyle w:val="E3Tabletext"/>
            </w:pPr>
            <w:r>
              <w:t>75</w:t>
            </w:r>
          </w:p>
        </w:tc>
        <w:tc>
          <w:tcPr>
            <w:tcW w:w="3682" w:type="dxa"/>
            <w:gridSpan w:val="10"/>
          </w:tcPr>
          <w:p w:rsidR="00644CF1" w:rsidRDefault="00644CF1" w:rsidP="00255AA3">
            <w:pPr>
              <w:pStyle w:val="E3Tabletext"/>
            </w:pPr>
            <w:r>
              <w:t>907</w:t>
            </w:r>
          </w:p>
        </w:tc>
        <w:tc>
          <w:tcPr>
            <w:tcW w:w="1444" w:type="dxa"/>
            <w:vMerge/>
          </w:tcPr>
          <w:p w:rsidR="00644CF1" w:rsidRDefault="00644CF1" w:rsidP="00235234"/>
        </w:tc>
      </w:tr>
      <w:tr w:rsidR="00644CF1" w:rsidTr="00225C27">
        <w:trPr>
          <w:cantSplit/>
          <w:trHeight w:val="69"/>
          <w:jc w:val="center"/>
        </w:trPr>
        <w:tc>
          <w:tcPr>
            <w:tcW w:w="1358" w:type="dxa"/>
            <w:vMerge/>
          </w:tcPr>
          <w:p w:rsidR="00644CF1" w:rsidRDefault="00644CF1" w:rsidP="00235234"/>
        </w:tc>
        <w:tc>
          <w:tcPr>
            <w:tcW w:w="3371" w:type="dxa"/>
            <w:gridSpan w:val="9"/>
          </w:tcPr>
          <w:p w:rsidR="00644CF1" w:rsidRDefault="00644CF1" w:rsidP="00255AA3">
            <w:pPr>
              <w:pStyle w:val="E3Tabletext"/>
            </w:pPr>
            <w:r>
              <w:t>100</w:t>
            </w:r>
          </w:p>
        </w:tc>
        <w:tc>
          <w:tcPr>
            <w:tcW w:w="3682" w:type="dxa"/>
            <w:gridSpan w:val="10"/>
          </w:tcPr>
          <w:p w:rsidR="00644CF1" w:rsidRDefault="00644CF1" w:rsidP="00255AA3">
            <w:pPr>
              <w:pStyle w:val="E3Tabletext"/>
            </w:pPr>
            <w:r>
              <w:t>1308</w:t>
            </w:r>
          </w:p>
        </w:tc>
        <w:tc>
          <w:tcPr>
            <w:tcW w:w="1444" w:type="dxa"/>
            <w:vMerge/>
          </w:tcPr>
          <w:p w:rsidR="00644CF1" w:rsidRDefault="00644CF1" w:rsidP="00235234"/>
        </w:tc>
      </w:tr>
      <w:tr w:rsidR="00644CF1" w:rsidTr="00225C27">
        <w:trPr>
          <w:cantSplit/>
          <w:trHeight w:val="69"/>
          <w:jc w:val="center"/>
        </w:trPr>
        <w:tc>
          <w:tcPr>
            <w:tcW w:w="1358" w:type="dxa"/>
            <w:vMerge/>
          </w:tcPr>
          <w:p w:rsidR="00644CF1" w:rsidRDefault="00644CF1" w:rsidP="00235234"/>
        </w:tc>
        <w:tc>
          <w:tcPr>
            <w:tcW w:w="3371" w:type="dxa"/>
            <w:gridSpan w:val="9"/>
          </w:tcPr>
          <w:p w:rsidR="00644CF1" w:rsidRDefault="00644CF1" w:rsidP="00255AA3">
            <w:pPr>
              <w:pStyle w:val="E3Tabletext"/>
            </w:pPr>
            <w:r>
              <w:t>150</w:t>
            </w:r>
          </w:p>
        </w:tc>
        <w:tc>
          <w:tcPr>
            <w:tcW w:w="3682" w:type="dxa"/>
            <w:gridSpan w:val="10"/>
          </w:tcPr>
          <w:p w:rsidR="00644CF1" w:rsidRDefault="00644CF1" w:rsidP="00255AA3">
            <w:pPr>
              <w:pStyle w:val="E3Tabletext"/>
            </w:pPr>
            <w:r>
              <w:t>2108</w:t>
            </w:r>
          </w:p>
        </w:tc>
        <w:tc>
          <w:tcPr>
            <w:tcW w:w="1444" w:type="dxa"/>
            <w:vMerge/>
          </w:tcPr>
          <w:p w:rsidR="00644CF1" w:rsidRDefault="00644CF1" w:rsidP="00235234"/>
        </w:tc>
      </w:tr>
      <w:tr w:rsidR="00644CF1" w:rsidTr="00225C27">
        <w:trPr>
          <w:cantSplit/>
          <w:trHeight w:val="69"/>
          <w:jc w:val="center"/>
        </w:trPr>
        <w:tc>
          <w:tcPr>
            <w:tcW w:w="1358" w:type="dxa"/>
            <w:vMerge/>
          </w:tcPr>
          <w:p w:rsidR="00644CF1" w:rsidRDefault="00644CF1" w:rsidP="00235234"/>
        </w:tc>
        <w:tc>
          <w:tcPr>
            <w:tcW w:w="3371" w:type="dxa"/>
            <w:gridSpan w:val="9"/>
          </w:tcPr>
          <w:p w:rsidR="00644CF1" w:rsidRDefault="00644CF1" w:rsidP="00255AA3">
            <w:pPr>
              <w:pStyle w:val="E3Tabletext"/>
            </w:pPr>
            <w:r>
              <w:t>200</w:t>
            </w:r>
          </w:p>
        </w:tc>
        <w:tc>
          <w:tcPr>
            <w:tcW w:w="3682" w:type="dxa"/>
            <w:gridSpan w:val="10"/>
          </w:tcPr>
          <w:p w:rsidR="00644CF1" w:rsidRDefault="00644CF1" w:rsidP="00255AA3">
            <w:pPr>
              <w:pStyle w:val="E3Tabletext"/>
            </w:pPr>
            <w:r>
              <w:t>2968</w:t>
            </w:r>
          </w:p>
        </w:tc>
        <w:tc>
          <w:tcPr>
            <w:tcW w:w="1444" w:type="dxa"/>
            <w:vMerge/>
          </w:tcPr>
          <w:p w:rsidR="00644CF1" w:rsidRDefault="00644CF1" w:rsidP="00235234"/>
        </w:tc>
      </w:tr>
      <w:tr w:rsidR="00644CF1" w:rsidTr="00225C27">
        <w:trPr>
          <w:cantSplit/>
          <w:trHeight w:val="69"/>
          <w:jc w:val="center"/>
        </w:trPr>
        <w:tc>
          <w:tcPr>
            <w:tcW w:w="1358" w:type="dxa"/>
            <w:vMerge/>
          </w:tcPr>
          <w:p w:rsidR="00644CF1" w:rsidRDefault="00644CF1" w:rsidP="00235234"/>
        </w:tc>
        <w:tc>
          <w:tcPr>
            <w:tcW w:w="7053" w:type="dxa"/>
            <w:gridSpan w:val="19"/>
          </w:tcPr>
          <w:p w:rsidR="00644CF1" w:rsidRPr="00852440" w:rsidRDefault="00644CF1" w:rsidP="00255AA3">
            <w:pPr>
              <w:pStyle w:val="E3Tabletext"/>
            </w:pPr>
            <w:r>
              <w:t>F</w:t>
            </w:r>
            <w:r w:rsidRPr="00852440">
              <w:t xml:space="preserve">or directional lamps: </w:t>
            </w:r>
          </w:p>
          <w:p w:rsidR="00644CF1" w:rsidRPr="00852440" w:rsidRDefault="00644CF1" w:rsidP="00F1452F">
            <w:pPr>
              <w:pStyle w:val="E3Tabletext"/>
              <w:numPr>
                <w:ilvl w:val="0"/>
                <w:numId w:val="16"/>
              </w:numPr>
            </w:pPr>
            <w:r w:rsidRPr="00852440">
              <w:t>≥ 80% of measured light output is within a 120</w:t>
            </w:r>
            <w:r w:rsidRPr="00852440">
              <w:sym w:font="Symbol" w:char="F0B0"/>
            </w:r>
            <w:r w:rsidRPr="00852440">
              <w:t xml:space="preserve"> cone (</w:t>
            </w:r>
            <w:r w:rsidR="009B3871" w:rsidRPr="00852440">
              <w:t>i.e.</w:t>
            </w:r>
            <w:r w:rsidRPr="00852440">
              <w:t xml:space="preserve"> solid angle of π sr)</w:t>
            </w:r>
          </w:p>
          <w:p w:rsidR="00644CF1" w:rsidRDefault="00644CF1" w:rsidP="00F1452F">
            <w:pPr>
              <w:pStyle w:val="E3Tabletext"/>
              <w:numPr>
                <w:ilvl w:val="0"/>
                <w:numId w:val="16"/>
              </w:numPr>
            </w:pPr>
            <w:r w:rsidRPr="00852440">
              <w:t>If claiming equivalence</w:t>
            </w:r>
            <w:r>
              <w:t xml:space="preserve"> for:</w:t>
            </w:r>
          </w:p>
          <w:p w:rsidR="00644CF1" w:rsidRDefault="00644CF1" w:rsidP="00F1452F">
            <w:pPr>
              <w:pStyle w:val="E3Tabletext"/>
              <w:numPr>
                <w:ilvl w:val="1"/>
                <w:numId w:val="16"/>
              </w:numPr>
              <w:rPr>
                <w:rFonts w:cstheme="majorBidi"/>
                <w:iCs/>
                <w:color w:val="243F60" w:themeColor="accent1" w:themeShade="7F"/>
              </w:rPr>
            </w:pPr>
            <w:r>
              <w:t xml:space="preserve">lamp with integrated driver, excluding PAR or </w:t>
            </w:r>
          </w:p>
          <w:p w:rsidR="00644CF1" w:rsidRDefault="00644CF1" w:rsidP="00F1452F">
            <w:pPr>
              <w:pStyle w:val="E3Tabletext"/>
              <w:numPr>
                <w:ilvl w:val="1"/>
                <w:numId w:val="16"/>
              </w:numPr>
            </w:pPr>
            <w:r>
              <w:t>lamp with non-integrated driver, excluding MR16</w:t>
            </w:r>
          </w:p>
          <w:p w:rsidR="00644CF1" w:rsidRDefault="00644CF1" w:rsidP="00255AA3">
            <w:pPr>
              <w:pStyle w:val="E3Tabletext"/>
            </w:pPr>
            <w:r>
              <w:t>measured initial LED lamp luminous flux ≥ 10 times the rated wattage of the target lamp</w:t>
            </w:r>
          </w:p>
        </w:tc>
        <w:tc>
          <w:tcPr>
            <w:tcW w:w="1444" w:type="dxa"/>
            <w:vMerge/>
          </w:tcPr>
          <w:p w:rsidR="00644CF1" w:rsidRDefault="00644CF1" w:rsidP="00235234"/>
        </w:tc>
      </w:tr>
      <w:tr w:rsidR="00644CF1" w:rsidTr="0086107A">
        <w:trPr>
          <w:cantSplit/>
          <w:trHeight w:val="20"/>
          <w:jc w:val="center"/>
        </w:trPr>
        <w:tc>
          <w:tcPr>
            <w:tcW w:w="1358" w:type="dxa"/>
            <w:vMerge w:val="restart"/>
          </w:tcPr>
          <w:p w:rsidR="00644CF1" w:rsidRPr="00CF109C" w:rsidRDefault="00644CF1" w:rsidP="0086107A">
            <w:pPr>
              <w:pStyle w:val="E3Tabletext"/>
              <w:jc w:val="left"/>
            </w:pPr>
            <w:r>
              <w:t>Centre Beam Intensity</w:t>
            </w:r>
          </w:p>
        </w:tc>
        <w:tc>
          <w:tcPr>
            <w:tcW w:w="7053" w:type="dxa"/>
            <w:gridSpan w:val="19"/>
          </w:tcPr>
          <w:p w:rsidR="00644CF1" w:rsidRDefault="00644CF1" w:rsidP="00255AA3">
            <w:pPr>
              <w:pStyle w:val="E3Tabletext"/>
            </w:pPr>
            <w:r>
              <w:t>For PAR and MR16 LED lamps to claim equivalence with directional lamps, the minimum centre beam intensity (cd) is:</w:t>
            </w:r>
          </w:p>
          <w:p w:rsidR="00644CF1" w:rsidRPr="00852440" w:rsidRDefault="00644CF1" w:rsidP="00255AA3">
            <w:pPr>
              <w:pStyle w:val="E3Tabletext"/>
            </w:pPr>
            <w:r>
              <w:t>PAR16</w:t>
            </w:r>
          </w:p>
        </w:tc>
        <w:tc>
          <w:tcPr>
            <w:tcW w:w="1444" w:type="dxa"/>
            <w:vMerge/>
          </w:tcPr>
          <w:p w:rsidR="00644CF1" w:rsidRDefault="00644CF1" w:rsidP="00235234"/>
        </w:tc>
      </w:tr>
      <w:tr w:rsidR="00644CF1" w:rsidTr="00225C27">
        <w:trPr>
          <w:trHeight w:val="20"/>
          <w:jc w:val="center"/>
        </w:trPr>
        <w:tc>
          <w:tcPr>
            <w:tcW w:w="1358" w:type="dxa"/>
            <w:vMerge/>
          </w:tcPr>
          <w:p w:rsidR="00644CF1" w:rsidRDefault="00644CF1" w:rsidP="00235234"/>
        </w:tc>
        <w:tc>
          <w:tcPr>
            <w:tcW w:w="506" w:type="dxa"/>
          </w:tcPr>
          <w:p w:rsidR="00644CF1" w:rsidRPr="00852440" w:rsidRDefault="00644CF1" w:rsidP="00255AA3">
            <w:pPr>
              <w:pStyle w:val="E3Tabletext"/>
            </w:pPr>
          </w:p>
        </w:tc>
        <w:tc>
          <w:tcPr>
            <w:tcW w:w="388" w:type="dxa"/>
          </w:tcPr>
          <w:p w:rsidR="00644CF1" w:rsidRPr="00852440" w:rsidRDefault="00644CF1" w:rsidP="00255AA3">
            <w:pPr>
              <w:pStyle w:val="E3Tabletext"/>
            </w:pPr>
          </w:p>
        </w:tc>
        <w:tc>
          <w:tcPr>
            <w:tcW w:w="6159" w:type="dxa"/>
            <w:gridSpan w:val="17"/>
          </w:tcPr>
          <w:p w:rsidR="00644CF1" w:rsidRPr="00852440" w:rsidRDefault="00644CF1" w:rsidP="00255AA3">
            <w:pPr>
              <w:pStyle w:val="E3Tabletext"/>
            </w:pPr>
            <w:r>
              <w:t>Rated Wattage of Target Lamp (W)</w:t>
            </w:r>
          </w:p>
        </w:tc>
        <w:tc>
          <w:tcPr>
            <w:tcW w:w="1444" w:type="dxa"/>
            <w:vMerge/>
          </w:tcPr>
          <w:p w:rsidR="00644CF1" w:rsidRDefault="00644CF1" w:rsidP="00235234"/>
        </w:tc>
      </w:tr>
      <w:tr w:rsidR="00644CF1" w:rsidTr="00225C27">
        <w:trPr>
          <w:trHeight w:val="20"/>
          <w:jc w:val="center"/>
        </w:trPr>
        <w:tc>
          <w:tcPr>
            <w:tcW w:w="1358" w:type="dxa"/>
            <w:vMerge/>
          </w:tcPr>
          <w:p w:rsidR="00644CF1" w:rsidRDefault="00644CF1" w:rsidP="00235234"/>
        </w:tc>
        <w:tc>
          <w:tcPr>
            <w:tcW w:w="506" w:type="dxa"/>
          </w:tcPr>
          <w:p w:rsidR="00644CF1" w:rsidRPr="00852440" w:rsidRDefault="00644CF1" w:rsidP="00255AA3">
            <w:pPr>
              <w:pStyle w:val="E3Tabletext"/>
            </w:pPr>
          </w:p>
        </w:tc>
        <w:tc>
          <w:tcPr>
            <w:tcW w:w="388" w:type="dxa"/>
          </w:tcPr>
          <w:p w:rsidR="00644CF1" w:rsidRPr="00852440" w:rsidRDefault="00644CF1" w:rsidP="00255AA3">
            <w:pPr>
              <w:pStyle w:val="E3Tabletext"/>
            </w:pPr>
          </w:p>
        </w:tc>
        <w:tc>
          <w:tcPr>
            <w:tcW w:w="461" w:type="dxa"/>
          </w:tcPr>
          <w:p w:rsidR="00644CF1" w:rsidRPr="00852440" w:rsidRDefault="00644CF1" w:rsidP="00255AA3">
            <w:pPr>
              <w:pStyle w:val="E3Tabletext"/>
            </w:pPr>
            <w:r>
              <w:t>5</w:t>
            </w:r>
          </w:p>
        </w:tc>
        <w:tc>
          <w:tcPr>
            <w:tcW w:w="471" w:type="dxa"/>
            <w:gridSpan w:val="2"/>
          </w:tcPr>
          <w:p w:rsidR="00644CF1" w:rsidRPr="00852440" w:rsidRDefault="00644CF1" w:rsidP="00255AA3">
            <w:pPr>
              <w:pStyle w:val="E3Tabletext"/>
            </w:pPr>
            <w:r>
              <w:t>10</w:t>
            </w:r>
          </w:p>
        </w:tc>
        <w:tc>
          <w:tcPr>
            <w:tcW w:w="511" w:type="dxa"/>
          </w:tcPr>
          <w:p w:rsidR="00644CF1" w:rsidRPr="00852440" w:rsidRDefault="00644CF1" w:rsidP="00255AA3">
            <w:pPr>
              <w:pStyle w:val="E3Tabletext"/>
            </w:pPr>
            <w:r>
              <w:t>15</w:t>
            </w:r>
          </w:p>
        </w:tc>
        <w:tc>
          <w:tcPr>
            <w:tcW w:w="518" w:type="dxa"/>
            <w:gridSpan w:val="2"/>
          </w:tcPr>
          <w:p w:rsidR="00644CF1" w:rsidRPr="00852440" w:rsidRDefault="00644CF1" w:rsidP="00255AA3">
            <w:pPr>
              <w:pStyle w:val="E3Tabletext"/>
            </w:pPr>
            <w:r>
              <w:t>20</w:t>
            </w:r>
          </w:p>
        </w:tc>
        <w:tc>
          <w:tcPr>
            <w:tcW w:w="516" w:type="dxa"/>
          </w:tcPr>
          <w:p w:rsidR="00644CF1" w:rsidRPr="00852440" w:rsidRDefault="00644CF1" w:rsidP="00255AA3">
            <w:pPr>
              <w:pStyle w:val="E3Tabletext"/>
            </w:pPr>
            <w:r>
              <w:t>25</w:t>
            </w:r>
          </w:p>
        </w:tc>
        <w:tc>
          <w:tcPr>
            <w:tcW w:w="542" w:type="dxa"/>
            <w:gridSpan w:val="2"/>
          </w:tcPr>
          <w:p w:rsidR="00644CF1" w:rsidRPr="00852440" w:rsidRDefault="00644CF1" w:rsidP="00255AA3">
            <w:pPr>
              <w:pStyle w:val="E3Tabletext"/>
            </w:pPr>
            <w:r>
              <w:t>30</w:t>
            </w:r>
          </w:p>
        </w:tc>
        <w:tc>
          <w:tcPr>
            <w:tcW w:w="527" w:type="dxa"/>
          </w:tcPr>
          <w:p w:rsidR="00644CF1" w:rsidRPr="00852440" w:rsidRDefault="00644CF1" w:rsidP="00255AA3">
            <w:pPr>
              <w:pStyle w:val="E3Tabletext"/>
            </w:pPr>
            <w:r>
              <w:t>35</w:t>
            </w:r>
          </w:p>
        </w:tc>
        <w:tc>
          <w:tcPr>
            <w:tcW w:w="514" w:type="dxa"/>
            <w:gridSpan w:val="2"/>
          </w:tcPr>
          <w:p w:rsidR="00644CF1" w:rsidRPr="00852440" w:rsidRDefault="00644CF1" w:rsidP="00255AA3">
            <w:pPr>
              <w:pStyle w:val="E3Tabletext"/>
            </w:pPr>
            <w:r>
              <w:t>40</w:t>
            </w:r>
          </w:p>
        </w:tc>
        <w:tc>
          <w:tcPr>
            <w:tcW w:w="509" w:type="dxa"/>
            <w:gridSpan w:val="2"/>
          </w:tcPr>
          <w:p w:rsidR="00644CF1" w:rsidRPr="00852440" w:rsidRDefault="00644CF1" w:rsidP="00255AA3">
            <w:pPr>
              <w:pStyle w:val="E3Tabletext"/>
            </w:pPr>
            <w:r>
              <w:t>45</w:t>
            </w:r>
          </w:p>
        </w:tc>
        <w:tc>
          <w:tcPr>
            <w:tcW w:w="532" w:type="dxa"/>
          </w:tcPr>
          <w:p w:rsidR="00644CF1" w:rsidRPr="00852440" w:rsidRDefault="00644CF1" w:rsidP="00255AA3">
            <w:pPr>
              <w:pStyle w:val="E3Tabletext"/>
            </w:pPr>
            <w:r>
              <w:t>50</w:t>
            </w:r>
          </w:p>
        </w:tc>
        <w:tc>
          <w:tcPr>
            <w:tcW w:w="528" w:type="dxa"/>
          </w:tcPr>
          <w:p w:rsidR="00644CF1" w:rsidRPr="00852440" w:rsidRDefault="00644CF1" w:rsidP="00255AA3">
            <w:pPr>
              <w:pStyle w:val="E3Tabletext"/>
            </w:pPr>
            <w:r>
              <w:t>55</w:t>
            </w:r>
          </w:p>
        </w:tc>
        <w:tc>
          <w:tcPr>
            <w:tcW w:w="530" w:type="dxa"/>
          </w:tcPr>
          <w:p w:rsidR="00644CF1" w:rsidRPr="00852440" w:rsidRDefault="00644CF1" w:rsidP="00255AA3">
            <w:pPr>
              <w:pStyle w:val="E3Tabletext"/>
            </w:pPr>
            <w:r>
              <w:t>60</w:t>
            </w:r>
          </w:p>
        </w:tc>
        <w:tc>
          <w:tcPr>
            <w:tcW w:w="1444" w:type="dxa"/>
            <w:vMerge/>
          </w:tcPr>
          <w:p w:rsidR="00644CF1" w:rsidRDefault="00644CF1" w:rsidP="00235234"/>
        </w:tc>
      </w:tr>
      <w:tr w:rsidR="00644CF1" w:rsidTr="00225C27">
        <w:trPr>
          <w:trHeight w:val="20"/>
          <w:jc w:val="center"/>
        </w:trPr>
        <w:tc>
          <w:tcPr>
            <w:tcW w:w="1358" w:type="dxa"/>
            <w:vMerge/>
          </w:tcPr>
          <w:p w:rsidR="00644CF1" w:rsidRDefault="00644CF1" w:rsidP="00235234"/>
        </w:tc>
        <w:tc>
          <w:tcPr>
            <w:tcW w:w="506" w:type="dxa"/>
            <w:vMerge w:val="restart"/>
            <w:textDirection w:val="btLr"/>
          </w:tcPr>
          <w:p w:rsidR="00644CF1" w:rsidRPr="00852440" w:rsidRDefault="00644CF1" w:rsidP="00255AA3">
            <w:pPr>
              <w:pStyle w:val="E3Tabletext"/>
            </w:pPr>
            <w:r>
              <w:t>Beam Angle of Target Lamp (degree)</w:t>
            </w:r>
          </w:p>
        </w:tc>
        <w:tc>
          <w:tcPr>
            <w:tcW w:w="388" w:type="dxa"/>
          </w:tcPr>
          <w:p w:rsidR="00644CF1" w:rsidRPr="00852440" w:rsidRDefault="00644CF1" w:rsidP="00255AA3">
            <w:pPr>
              <w:pStyle w:val="E3Tabletext"/>
            </w:pPr>
            <w:r>
              <w:t>5</w:t>
            </w:r>
          </w:p>
        </w:tc>
        <w:tc>
          <w:tcPr>
            <w:tcW w:w="461" w:type="dxa"/>
          </w:tcPr>
          <w:p w:rsidR="00644CF1" w:rsidRPr="00852440" w:rsidRDefault="00644CF1" w:rsidP="00255AA3">
            <w:pPr>
              <w:pStyle w:val="E3Tabletext"/>
            </w:pPr>
            <w:r>
              <w:t>933</w:t>
            </w:r>
          </w:p>
        </w:tc>
        <w:tc>
          <w:tcPr>
            <w:tcW w:w="471" w:type="dxa"/>
            <w:gridSpan w:val="2"/>
          </w:tcPr>
          <w:p w:rsidR="00644CF1" w:rsidRPr="00852440" w:rsidRDefault="00644CF1" w:rsidP="00255AA3">
            <w:pPr>
              <w:pStyle w:val="E3Tabletext"/>
            </w:pPr>
            <w:r>
              <w:t>1115</w:t>
            </w:r>
          </w:p>
        </w:tc>
        <w:tc>
          <w:tcPr>
            <w:tcW w:w="511" w:type="dxa"/>
          </w:tcPr>
          <w:p w:rsidR="00644CF1" w:rsidRPr="00852440" w:rsidRDefault="00644CF1" w:rsidP="00255AA3">
            <w:pPr>
              <w:pStyle w:val="E3Tabletext"/>
            </w:pPr>
            <w:r>
              <w:t>1329</w:t>
            </w:r>
          </w:p>
        </w:tc>
        <w:tc>
          <w:tcPr>
            <w:tcW w:w="518" w:type="dxa"/>
            <w:gridSpan w:val="2"/>
          </w:tcPr>
          <w:p w:rsidR="00644CF1" w:rsidRPr="00852440" w:rsidRDefault="00644CF1" w:rsidP="00255AA3">
            <w:pPr>
              <w:pStyle w:val="E3Tabletext"/>
            </w:pPr>
            <w:r>
              <w:t>1579</w:t>
            </w:r>
          </w:p>
        </w:tc>
        <w:tc>
          <w:tcPr>
            <w:tcW w:w="516" w:type="dxa"/>
          </w:tcPr>
          <w:p w:rsidR="00644CF1" w:rsidRPr="00852440" w:rsidRDefault="00644CF1" w:rsidP="00255AA3">
            <w:pPr>
              <w:pStyle w:val="E3Tabletext"/>
            </w:pPr>
            <w:r>
              <w:t>1870</w:t>
            </w:r>
          </w:p>
        </w:tc>
        <w:tc>
          <w:tcPr>
            <w:tcW w:w="542" w:type="dxa"/>
            <w:gridSpan w:val="2"/>
          </w:tcPr>
          <w:p w:rsidR="00644CF1" w:rsidRPr="00852440" w:rsidRDefault="00644CF1" w:rsidP="00255AA3">
            <w:pPr>
              <w:pStyle w:val="E3Tabletext"/>
            </w:pPr>
            <w:r>
              <w:t>2208</w:t>
            </w:r>
          </w:p>
        </w:tc>
        <w:tc>
          <w:tcPr>
            <w:tcW w:w="527" w:type="dxa"/>
          </w:tcPr>
          <w:p w:rsidR="00644CF1" w:rsidRPr="00852440" w:rsidRDefault="00644CF1" w:rsidP="00255AA3">
            <w:pPr>
              <w:pStyle w:val="E3Tabletext"/>
            </w:pPr>
            <w:r>
              <w:t>2599</w:t>
            </w:r>
          </w:p>
        </w:tc>
        <w:tc>
          <w:tcPr>
            <w:tcW w:w="514" w:type="dxa"/>
            <w:gridSpan w:val="2"/>
          </w:tcPr>
          <w:p w:rsidR="00644CF1" w:rsidRPr="00852440" w:rsidRDefault="00644CF1" w:rsidP="00255AA3">
            <w:pPr>
              <w:pStyle w:val="E3Tabletext"/>
            </w:pPr>
            <w:r>
              <w:t>3051</w:t>
            </w:r>
          </w:p>
        </w:tc>
        <w:tc>
          <w:tcPr>
            <w:tcW w:w="509" w:type="dxa"/>
            <w:gridSpan w:val="2"/>
          </w:tcPr>
          <w:p w:rsidR="00644CF1" w:rsidRPr="00852440" w:rsidRDefault="00644CF1" w:rsidP="00255AA3">
            <w:pPr>
              <w:pStyle w:val="E3Tabletext"/>
            </w:pPr>
            <w:r>
              <w:t>3571</w:t>
            </w:r>
          </w:p>
        </w:tc>
        <w:tc>
          <w:tcPr>
            <w:tcW w:w="532" w:type="dxa"/>
          </w:tcPr>
          <w:p w:rsidR="00644CF1" w:rsidRPr="00852440" w:rsidRDefault="00644CF1" w:rsidP="00255AA3">
            <w:pPr>
              <w:pStyle w:val="E3Tabletext"/>
            </w:pPr>
            <w:r>
              <w:t>4160</w:t>
            </w:r>
          </w:p>
        </w:tc>
        <w:tc>
          <w:tcPr>
            <w:tcW w:w="528" w:type="dxa"/>
          </w:tcPr>
          <w:p w:rsidR="00644CF1" w:rsidRPr="00852440" w:rsidRDefault="00644CF1" w:rsidP="00255AA3">
            <w:pPr>
              <w:pStyle w:val="E3Tabletext"/>
            </w:pPr>
            <w:r>
              <w:t>4847</w:t>
            </w:r>
          </w:p>
        </w:tc>
        <w:tc>
          <w:tcPr>
            <w:tcW w:w="530" w:type="dxa"/>
          </w:tcPr>
          <w:p w:rsidR="00644CF1" w:rsidRPr="00852440" w:rsidRDefault="00644CF1" w:rsidP="00255AA3">
            <w:pPr>
              <w:pStyle w:val="E3Tabletext"/>
            </w:pPr>
            <w:r>
              <w:t>5622</w:t>
            </w:r>
          </w:p>
        </w:tc>
        <w:tc>
          <w:tcPr>
            <w:tcW w:w="1444" w:type="dxa"/>
            <w:vMerge/>
          </w:tcPr>
          <w:p w:rsidR="00644CF1" w:rsidRDefault="00644CF1" w:rsidP="00235234"/>
        </w:tc>
      </w:tr>
      <w:tr w:rsidR="00644CF1" w:rsidTr="00225C27">
        <w:trPr>
          <w:trHeight w:val="20"/>
          <w:jc w:val="center"/>
        </w:trPr>
        <w:tc>
          <w:tcPr>
            <w:tcW w:w="1358" w:type="dxa"/>
            <w:vMerge/>
          </w:tcPr>
          <w:p w:rsidR="00644CF1" w:rsidRDefault="00644CF1" w:rsidP="00235234"/>
        </w:tc>
        <w:tc>
          <w:tcPr>
            <w:tcW w:w="506" w:type="dxa"/>
            <w:vMerge/>
          </w:tcPr>
          <w:p w:rsidR="00644CF1" w:rsidRPr="00852440" w:rsidRDefault="00644CF1" w:rsidP="00255AA3">
            <w:pPr>
              <w:pStyle w:val="E3Tabletext"/>
            </w:pPr>
          </w:p>
        </w:tc>
        <w:tc>
          <w:tcPr>
            <w:tcW w:w="388" w:type="dxa"/>
          </w:tcPr>
          <w:p w:rsidR="00644CF1" w:rsidRPr="00852440" w:rsidRDefault="00644CF1" w:rsidP="00255AA3">
            <w:pPr>
              <w:pStyle w:val="E3Tabletext"/>
            </w:pPr>
            <w:r>
              <w:t>10</w:t>
            </w:r>
          </w:p>
        </w:tc>
        <w:tc>
          <w:tcPr>
            <w:tcW w:w="461" w:type="dxa"/>
          </w:tcPr>
          <w:p w:rsidR="00644CF1" w:rsidRPr="00852440" w:rsidRDefault="00644CF1" w:rsidP="00255AA3">
            <w:pPr>
              <w:pStyle w:val="E3Tabletext"/>
            </w:pPr>
            <w:r>
              <w:t>605</w:t>
            </w:r>
          </w:p>
        </w:tc>
        <w:tc>
          <w:tcPr>
            <w:tcW w:w="471" w:type="dxa"/>
            <w:gridSpan w:val="2"/>
          </w:tcPr>
          <w:p w:rsidR="00644CF1" w:rsidRPr="00852440" w:rsidRDefault="00644CF1" w:rsidP="00255AA3">
            <w:pPr>
              <w:pStyle w:val="E3Tabletext"/>
            </w:pPr>
            <w:r>
              <w:t>723</w:t>
            </w:r>
          </w:p>
        </w:tc>
        <w:tc>
          <w:tcPr>
            <w:tcW w:w="511" w:type="dxa"/>
          </w:tcPr>
          <w:p w:rsidR="00644CF1" w:rsidRPr="00852440" w:rsidRDefault="00644CF1" w:rsidP="00255AA3">
            <w:pPr>
              <w:pStyle w:val="E3Tabletext"/>
            </w:pPr>
            <w:r>
              <w:t>861</w:t>
            </w:r>
          </w:p>
        </w:tc>
        <w:tc>
          <w:tcPr>
            <w:tcW w:w="518" w:type="dxa"/>
            <w:gridSpan w:val="2"/>
          </w:tcPr>
          <w:p w:rsidR="00644CF1" w:rsidRPr="00852440" w:rsidRDefault="00644CF1" w:rsidP="00255AA3">
            <w:pPr>
              <w:pStyle w:val="E3Tabletext"/>
            </w:pPr>
            <w:r>
              <w:t>1023</w:t>
            </w:r>
          </w:p>
        </w:tc>
        <w:tc>
          <w:tcPr>
            <w:tcW w:w="516" w:type="dxa"/>
          </w:tcPr>
          <w:p w:rsidR="00644CF1" w:rsidRPr="00852440" w:rsidRDefault="00644CF1" w:rsidP="00255AA3">
            <w:pPr>
              <w:pStyle w:val="E3Tabletext"/>
            </w:pPr>
            <w:r>
              <w:t>1211</w:t>
            </w:r>
          </w:p>
        </w:tc>
        <w:tc>
          <w:tcPr>
            <w:tcW w:w="542" w:type="dxa"/>
            <w:gridSpan w:val="2"/>
          </w:tcPr>
          <w:p w:rsidR="00644CF1" w:rsidRPr="00852440" w:rsidRDefault="00644CF1" w:rsidP="00255AA3">
            <w:pPr>
              <w:pStyle w:val="E3Tabletext"/>
            </w:pPr>
            <w:r>
              <w:t>1430</w:t>
            </w:r>
          </w:p>
        </w:tc>
        <w:tc>
          <w:tcPr>
            <w:tcW w:w="527" w:type="dxa"/>
          </w:tcPr>
          <w:p w:rsidR="00644CF1" w:rsidRPr="00852440" w:rsidRDefault="00644CF1" w:rsidP="00255AA3">
            <w:pPr>
              <w:pStyle w:val="E3Tabletext"/>
            </w:pPr>
            <w:r>
              <w:t>1684</w:t>
            </w:r>
          </w:p>
        </w:tc>
        <w:tc>
          <w:tcPr>
            <w:tcW w:w="514" w:type="dxa"/>
            <w:gridSpan w:val="2"/>
          </w:tcPr>
          <w:p w:rsidR="00644CF1" w:rsidRPr="00852440" w:rsidRDefault="00644CF1" w:rsidP="00255AA3">
            <w:pPr>
              <w:pStyle w:val="E3Tabletext"/>
            </w:pPr>
            <w:r>
              <w:t>1977</w:t>
            </w:r>
          </w:p>
        </w:tc>
        <w:tc>
          <w:tcPr>
            <w:tcW w:w="509" w:type="dxa"/>
            <w:gridSpan w:val="2"/>
          </w:tcPr>
          <w:p w:rsidR="00644CF1" w:rsidRPr="00852440" w:rsidRDefault="00644CF1" w:rsidP="00255AA3">
            <w:pPr>
              <w:pStyle w:val="E3Tabletext"/>
            </w:pPr>
            <w:r>
              <w:t>2313</w:t>
            </w:r>
          </w:p>
        </w:tc>
        <w:tc>
          <w:tcPr>
            <w:tcW w:w="532" w:type="dxa"/>
          </w:tcPr>
          <w:p w:rsidR="00644CF1" w:rsidRPr="00852440" w:rsidRDefault="00644CF1" w:rsidP="00255AA3">
            <w:pPr>
              <w:pStyle w:val="E3Tabletext"/>
            </w:pPr>
            <w:r>
              <w:t>2699</w:t>
            </w:r>
          </w:p>
        </w:tc>
        <w:tc>
          <w:tcPr>
            <w:tcW w:w="528" w:type="dxa"/>
          </w:tcPr>
          <w:p w:rsidR="00644CF1" w:rsidRPr="00852440" w:rsidRDefault="00644CF1" w:rsidP="00255AA3">
            <w:pPr>
              <w:pStyle w:val="E3Tabletext"/>
            </w:pPr>
            <w:r>
              <w:t>3140</w:t>
            </w:r>
          </w:p>
        </w:tc>
        <w:tc>
          <w:tcPr>
            <w:tcW w:w="530" w:type="dxa"/>
          </w:tcPr>
          <w:p w:rsidR="00644CF1" w:rsidRPr="00852440" w:rsidRDefault="00644CF1" w:rsidP="00255AA3">
            <w:pPr>
              <w:pStyle w:val="E3Tabletext"/>
            </w:pPr>
            <w:r>
              <w:t>3642</w:t>
            </w:r>
          </w:p>
        </w:tc>
        <w:tc>
          <w:tcPr>
            <w:tcW w:w="1444" w:type="dxa"/>
            <w:vMerge/>
          </w:tcPr>
          <w:p w:rsidR="00644CF1" w:rsidRDefault="00644CF1" w:rsidP="00235234"/>
        </w:tc>
      </w:tr>
      <w:tr w:rsidR="00644CF1" w:rsidTr="00225C27">
        <w:trPr>
          <w:trHeight w:val="20"/>
          <w:jc w:val="center"/>
        </w:trPr>
        <w:tc>
          <w:tcPr>
            <w:tcW w:w="1358" w:type="dxa"/>
            <w:vMerge/>
          </w:tcPr>
          <w:p w:rsidR="00644CF1" w:rsidRDefault="00644CF1" w:rsidP="00235234"/>
        </w:tc>
        <w:tc>
          <w:tcPr>
            <w:tcW w:w="506" w:type="dxa"/>
            <w:vMerge/>
          </w:tcPr>
          <w:p w:rsidR="00644CF1" w:rsidRPr="00852440" w:rsidRDefault="00644CF1" w:rsidP="00255AA3">
            <w:pPr>
              <w:pStyle w:val="E3Tabletext"/>
            </w:pPr>
          </w:p>
        </w:tc>
        <w:tc>
          <w:tcPr>
            <w:tcW w:w="388" w:type="dxa"/>
          </w:tcPr>
          <w:p w:rsidR="00644CF1" w:rsidRPr="00852440" w:rsidRDefault="00644CF1" w:rsidP="00255AA3">
            <w:pPr>
              <w:pStyle w:val="E3Tabletext"/>
            </w:pPr>
            <w:r>
              <w:t>15</w:t>
            </w:r>
          </w:p>
        </w:tc>
        <w:tc>
          <w:tcPr>
            <w:tcW w:w="461" w:type="dxa"/>
          </w:tcPr>
          <w:p w:rsidR="00644CF1" w:rsidRPr="00852440" w:rsidRDefault="00644CF1" w:rsidP="00255AA3">
            <w:pPr>
              <w:pStyle w:val="E3Tabletext"/>
            </w:pPr>
            <w:r>
              <w:t>409</w:t>
            </w:r>
          </w:p>
        </w:tc>
        <w:tc>
          <w:tcPr>
            <w:tcW w:w="471" w:type="dxa"/>
            <w:gridSpan w:val="2"/>
          </w:tcPr>
          <w:p w:rsidR="00644CF1" w:rsidRPr="00852440" w:rsidRDefault="00644CF1" w:rsidP="00255AA3">
            <w:pPr>
              <w:pStyle w:val="E3Tabletext"/>
            </w:pPr>
            <w:r>
              <w:t>489</w:t>
            </w:r>
          </w:p>
        </w:tc>
        <w:tc>
          <w:tcPr>
            <w:tcW w:w="511" w:type="dxa"/>
          </w:tcPr>
          <w:p w:rsidR="00644CF1" w:rsidRPr="00852440" w:rsidRDefault="00644CF1" w:rsidP="00255AA3">
            <w:pPr>
              <w:pStyle w:val="E3Tabletext"/>
            </w:pPr>
            <w:r>
              <w:t>583</w:t>
            </w:r>
          </w:p>
        </w:tc>
        <w:tc>
          <w:tcPr>
            <w:tcW w:w="518" w:type="dxa"/>
            <w:gridSpan w:val="2"/>
          </w:tcPr>
          <w:p w:rsidR="00644CF1" w:rsidRPr="00852440" w:rsidRDefault="00644CF1" w:rsidP="00255AA3">
            <w:pPr>
              <w:pStyle w:val="E3Tabletext"/>
            </w:pPr>
            <w:r>
              <w:t>692</w:t>
            </w:r>
          </w:p>
        </w:tc>
        <w:tc>
          <w:tcPr>
            <w:tcW w:w="516" w:type="dxa"/>
          </w:tcPr>
          <w:p w:rsidR="00644CF1" w:rsidRPr="00852440" w:rsidRDefault="00644CF1" w:rsidP="00255AA3">
            <w:pPr>
              <w:pStyle w:val="E3Tabletext"/>
            </w:pPr>
          </w:p>
        </w:tc>
        <w:tc>
          <w:tcPr>
            <w:tcW w:w="542" w:type="dxa"/>
            <w:gridSpan w:val="2"/>
          </w:tcPr>
          <w:p w:rsidR="00644CF1" w:rsidRPr="00852440" w:rsidRDefault="00644CF1" w:rsidP="00255AA3">
            <w:pPr>
              <w:pStyle w:val="E3Tabletext"/>
            </w:pPr>
          </w:p>
        </w:tc>
        <w:tc>
          <w:tcPr>
            <w:tcW w:w="527" w:type="dxa"/>
          </w:tcPr>
          <w:p w:rsidR="00644CF1" w:rsidRPr="00852440" w:rsidRDefault="00644CF1" w:rsidP="00255AA3">
            <w:pPr>
              <w:pStyle w:val="E3Tabletext"/>
            </w:pPr>
          </w:p>
        </w:tc>
        <w:tc>
          <w:tcPr>
            <w:tcW w:w="514" w:type="dxa"/>
            <w:gridSpan w:val="2"/>
          </w:tcPr>
          <w:p w:rsidR="00644CF1" w:rsidRPr="00852440" w:rsidRDefault="00644CF1" w:rsidP="00255AA3">
            <w:pPr>
              <w:pStyle w:val="E3Tabletext"/>
            </w:pPr>
          </w:p>
        </w:tc>
        <w:tc>
          <w:tcPr>
            <w:tcW w:w="509" w:type="dxa"/>
            <w:gridSpan w:val="2"/>
          </w:tcPr>
          <w:p w:rsidR="00644CF1" w:rsidRPr="00852440" w:rsidRDefault="00644CF1" w:rsidP="00255AA3">
            <w:pPr>
              <w:pStyle w:val="E3Tabletext"/>
            </w:pPr>
          </w:p>
        </w:tc>
        <w:tc>
          <w:tcPr>
            <w:tcW w:w="532" w:type="dxa"/>
          </w:tcPr>
          <w:p w:rsidR="00644CF1" w:rsidRPr="00852440" w:rsidRDefault="00644CF1" w:rsidP="00255AA3">
            <w:pPr>
              <w:pStyle w:val="E3Tabletext"/>
            </w:pPr>
          </w:p>
        </w:tc>
        <w:tc>
          <w:tcPr>
            <w:tcW w:w="528" w:type="dxa"/>
          </w:tcPr>
          <w:p w:rsidR="00644CF1" w:rsidRPr="00852440" w:rsidRDefault="00644CF1" w:rsidP="00255AA3">
            <w:pPr>
              <w:pStyle w:val="E3Tabletext"/>
            </w:pPr>
          </w:p>
        </w:tc>
        <w:tc>
          <w:tcPr>
            <w:tcW w:w="530" w:type="dxa"/>
          </w:tcPr>
          <w:p w:rsidR="00644CF1" w:rsidRPr="00852440" w:rsidRDefault="00644CF1" w:rsidP="00255AA3">
            <w:pPr>
              <w:pStyle w:val="E3Tabletext"/>
            </w:pPr>
          </w:p>
        </w:tc>
        <w:tc>
          <w:tcPr>
            <w:tcW w:w="1444" w:type="dxa"/>
            <w:vMerge/>
          </w:tcPr>
          <w:p w:rsidR="00644CF1" w:rsidRDefault="00644CF1" w:rsidP="00235234"/>
        </w:tc>
      </w:tr>
      <w:tr w:rsidR="00644CF1" w:rsidTr="00225C27">
        <w:trPr>
          <w:trHeight w:val="20"/>
          <w:jc w:val="center"/>
        </w:trPr>
        <w:tc>
          <w:tcPr>
            <w:tcW w:w="1358" w:type="dxa"/>
            <w:vMerge/>
          </w:tcPr>
          <w:p w:rsidR="00644CF1" w:rsidRDefault="00644CF1" w:rsidP="00235234"/>
        </w:tc>
        <w:tc>
          <w:tcPr>
            <w:tcW w:w="506" w:type="dxa"/>
            <w:vMerge/>
          </w:tcPr>
          <w:p w:rsidR="00644CF1" w:rsidRPr="00852440" w:rsidRDefault="00644CF1" w:rsidP="00255AA3">
            <w:pPr>
              <w:pStyle w:val="E3Tabletext"/>
            </w:pPr>
          </w:p>
        </w:tc>
        <w:tc>
          <w:tcPr>
            <w:tcW w:w="388" w:type="dxa"/>
          </w:tcPr>
          <w:p w:rsidR="00644CF1" w:rsidRPr="00852440" w:rsidRDefault="00644CF1" w:rsidP="00255AA3">
            <w:pPr>
              <w:pStyle w:val="E3Tabletext"/>
            </w:pPr>
            <w:r>
              <w:t>20</w:t>
            </w:r>
          </w:p>
        </w:tc>
        <w:tc>
          <w:tcPr>
            <w:tcW w:w="461" w:type="dxa"/>
          </w:tcPr>
          <w:p w:rsidR="00644CF1" w:rsidRPr="00852440" w:rsidRDefault="00644CF1" w:rsidP="00255AA3">
            <w:pPr>
              <w:pStyle w:val="E3Tabletext"/>
            </w:pPr>
          </w:p>
        </w:tc>
        <w:tc>
          <w:tcPr>
            <w:tcW w:w="471" w:type="dxa"/>
            <w:gridSpan w:val="2"/>
          </w:tcPr>
          <w:p w:rsidR="00644CF1" w:rsidRPr="00852440" w:rsidRDefault="00644CF1" w:rsidP="00255AA3">
            <w:pPr>
              <w:pStyle w:val="E3Tabletext"/>
            </w:pPr>
          </w:p>
        </w:tc>
        <w:tc>
          <w:tcPr>
            <w:tcW w:w="511" w:type="dxa"/>
          </w:tcPr>
          <w:p w:rsidR="00644CF1" w:rsidRPr="00852440" w:rsidRDefault="00644CF1" w:rsidP="00255AA3">
            <w:pPr>
              <w:pStyle w:val="E3Tabletext"/>
            </w:pPr>
          </w:p>
        </w:tc>
        <w:tc>
          <w:tcPr>
            <w:tcW w:w="518" w:type="dxa"/>
            <w:gridSpan w:val="2"/>
          </w:tcPr>
          <w:p w:rsidR="00644CF1" w:rsidRPr="00852440" w:rsidRDefault="00644CF1" w:rsidP="00255AA3">
            <w:pPr>
              <w:pStyle w:val="E3Tabletext"/>
            </w:pPr>
          </w:p>
        </w:tc>
        <w:tc>
          <w:tcPr>
            <w:tcW w:w="516" w:type="dxa"/>
          </w:tcPr>
          <w:p w:rsidR="00644CF1" w:rsidRPr="00852440" w:rsidRDefault="00644CF1" w:rsidP="00255AA3">
            <w:pPr>
              <w:pStyle w:val="E3Tabletext"/>
            </w:pPr>
          </w:p>
        </w:tc>
        <w:tc>
          <w:tcPr>
            <w:tcW w:w="542" w:type="dxa"/>
            <w:gridSpan w:val="2"/>
          </w:tcPr>
          <w:p w:rsidR="00644CF1" w:rsidRPr="00852440" w:rsidRDefault="00644CF1" w:rsidP="00255AA3">
            <w:pPr>
              <w:pStyle w:val="E3Tabletext"/>
            </w:pPr>
          </w:p>
        </w:tc>
        <w:tc>
          <w:tcPr>
            <w:tcW w:w="527" w:type="dxa"/>
          </w:tcPr>
          <w:p w:rsidR="00644CF1" w:rsidRPr="00852440" w:rsidRDefault="00644CF1" w:rsidP="00255AA3">
            <w:pPr>
              <w:pStyle w:val="E3Tabletext"/>
            </w:pPr>
          </w:p>
        </w:tc>
        <w:tc>
          <w:tcPr>
            <w:tcW w:w="514" w:type="dxa"/>
            <w:gridSpan w:val="2"/>
          </w:tcPr>
          <w:p w:rsidR="00644CF1" w:rsidRPr="00852440" w:rsidRDefault="00644CF1" w:rsidP="00255AA3">
            <w:pPr>
              <w:pStyle w:val="E3Tabletext"/>
            </w:pPr>
          </w:p>
        </w:tc>
        <w:tc>
          <w:tcPr>
            <w:tcW w:w="509" w:type="dxa"/>
            <w:gridSpan w:val="2"/>
          </w:tcPr>
          <w:p w:rsidR="00644CF1" w:rsidRPr="00852440" w:rsidRDefault="00644CF1" w:rsidP="00255AA3">
            <w:pPr>
              <w:pStyle w:val="E3Tabletext"/>
            </w:pPr>
          </w:p>
        </w:tc>
        <w:tc>
          <w:tcPr>
            <w:tcW w:w="532" w:type="dxa"/>
          </w:tcPr>
          <w:p w:rsidR="00644CF1" w:rsidRPr="00852440" w:rsidRDefault="00644CF1" w:rsidP="00255AA3">
            <w:pPr>
              <w:pStyle w:val="E3Tabletext"/>
            </w:pPr>
          </w:p>
        </w:tc>
        <w:tc>
          <w:tcPr>
            <w:tcW w:w="528" w:type="dxa"/>
          </w:tcPr>
          <w:p w:rsidR="00644CF1" w:rsidRPr="00852440" w:rsidRDefault="00644CF1" w:rsidP="00255AA3">
            <w:pPr>
              <w:pStyle w:val="E3Tabletext"/>
            </w:pPr>
          </w:p>
        </w:tc>
        <w:tc>
          <w:tcPr>
            <w:tcW w:w="530" w:type="dxa"/>
          </w:tcPr>
          <w:p w:rsidR="00644CF1" w:rsidRPr="00852440" w:rsidRDefault="00644CF1" w:rsidP="00255AA3">
            <w:pPr>
              <w:pStyle w:val="E3Tabletext"/>
            </w:pPr>
          </w:p>
        </w:tc>
        <w:tc>
          <w:tcPr>
            <w:tcW w:w="1444" w:type="dxa"/>
            <w:vMerge/>
          </w:tcPr>
          <w:p w:rsidR="00644CF1" w:rsidRDefault="00644CF1" w:rsidP="00235234"/>
        </w:tc>
      </w:tr>
      <w:tr w:rsidR="00255AA3" w:rsidTr="00225C27">
        <w:trPr>
          <w:trHeight w:val="20"/>
          <w:jc w:val="center"/>
        </w:trPr>
        <w:tc>
          <w:tcPr>
            <w:tcW w:w="1358" w:type="dxa"/>
            <w:vMerge/>
          </w:tcPr>
          <w:p w:rsidR="00255AA3" w:rsidRDefault="00255AA3" w:rsidP="00235234"/>
        </w:tc>
        <w:tc>
          <w:tcPr>
            <w:tcW w:w="506" w:type="dxa"/>
            <w:vMerge/>
          </w:tcPr>
          <w:p w:rsidR="00255AA3" w:rsidRPr="00852440" w:rsidRDefault="00255AA3" w:rsidP="00255AA3">
            <w:pPr>
              <w:pStyle w:val="E3Tabletext"/>
            </w:pPr>
          </w:p>
        </w:tc>
        <w:tc>
          <w:tcPr>
            <w:tcW w:w="388" w:type="dxa"/>
          </w:tcPr>
          <w:p w:rsidR="00255AA3" w:rsidRDefault="00255AA3" w:rsidP="00255AA3">
            <w:pPr>
              <w:pStyle w:val="E3Tabletext"/>
            </w:pPr>
            <w:r>
              <w:t>25</w:t>
            </w:r>
          </w:p>
        </w:tc>
        <w:tc>
          <w:tcPr>
            <w:tcW w:w="461" w:type="dxa"/>
          </w:tcPr>
          <w:p w:rsidR="00255AA3" w:rsidRPr="00852440" w:rsidRDefault="00255AA3" w:rsidP="00255AA3">
            <w:pPr>
              <w:pStyle w:val="E3Tabletext"/>
            </w:pPr>
          </w:p>
        </w:tc>
        <w:tc>
          <w:tcPr>
            <w:tcW w:w="471" w:type="dxa"/>
            <w:gridSpan w:val="2"/>
          </w:tcPr>
          <w:p w:rsidR="00255AA3" w:rsidRPr="00852440" w:rsidRDefault="00255AA3" w:rsidP="00255AA3">
            <w:pPr>
              <w:pStyle w:val="E3Tabletext"/>
            </w:pPr>
          </w:p>
        </w:tc>
        <w:tc>
          <w:tcPr>
            <w:tcW w:w="511" w:type="dxa"/>
          </w:tcPr>
          <w:p w:rsidR="00255AA3" w:rsidRPr="00852440" w:rsidRDefault="00255AA3" w:rsidP="00255AA3">
            <w:pPr>
              <w:pStyle w:val="E3Tabletext"/>
            </w:pPr>
          </w:p>
        </w:tc>
        <w:tc>
          <w:tcPr>
            <w:tcW w:w="518" w:type="dxa"/>
            <w:gridSpan w:val="2"/>
          </w:tcPr>
          <w:p w:rsidR="00255AA3" w:rsidRPr="00852440" w:rsidRDefault="00255AA3" w:rsidP="00255AA3">
            <w:pPr>
              <w:pStyle w:val="E3Tabletext"/>
            </w:pPr>
          </w:p>
        </w:tc>
        <w:tc>
          <w:tcPr>
            <w:tcW w:w="516" w:type="dxa"/>
          </w:tcPr>
          <w:p w:rsidR="00255AA3" w:rsidRPr="00852440" w:rsidRDefault="00255AA3" w:rsidP="00255AA3">
            <w:pPr>
              <w:pStyle w:val="E3Tabletext"/>
            </w:pPr>
          </w:p>
        </w:tc>
        <w:tc>
          <w:tcPr>
            <w:tcW w:w="542" w:type="dxa"/>
            <w:gridSpan w:val="2"/>
          </w:tcPr>
          <w:p w:rsidR="00255AA3" w:rsidRPr="00852440" w:rsidRDefault="00255AA3" w:rsidP="00255AA3">
            <w:pPr>
              <w:pStyle w:val="E3Tabletext"/>
            </w:pPr>
          </w:p>
        </w:tc>
        <w:tc>
          <w:tcPr>
            <w:tcW w:w="527" w:type="dxa"/>
          </w:tcPr>
          <w:p w:rsidR="00255AA3" w:rsidRPr="00852440" w:rsidRDefault="00255AA3" w:rsidP="00255AA3">
            <w:pPr>
              <w:pStyle w:val="E3Tabletext"/>
            </w:pPr>
          </w:p>
        </w:tc>
        <w:tc>
          <w:tcPr>
            <w:tcW w:w="514" w:type="dxa"/>
            <w:gridSpan w:val="2"/>
          </w:tcPr>
          <w:p w:rsidR="00255AA3" w:rsidRPr="00852440" w:rsidRDefault="00255AA3" w:rsidP="00255AA3">
            <w:pPr>
              <w:pStyle w:val="E3Tabletext"/>
            </w:pPr>
          </w:p>
        </w:tc>
        <w:tc>
          <w:tcPr>
            <w:tcW w:w="509" w:type="dxa"/>
            <w:gridSpan w:val="2"/>
          </w:tcPr>
          <w:p w:rsidR="00255AA3" w:rsidRPr="00852440" w:rsidRDefault="00255AA3" w:rsidP="00255AA3">
            <w:pPr>
              <w:pStyle w:val="E3Tabletext"/>
            </w:pPr>
          </w:p>
        </w:tc>
        <w:tc>
          <w:tcPr>
            <w:tcW w:w="532" w:type="dxa"/>
          </w:tcPr>
          <w:p w:rsidR="00255AA3" w:rsidRPr="00852440" w:rsidRDefault="00255AA3" w:rsidP="00255AA3">
            <w:pPr>
              <w:pStyle w:val="E3Tabletext"/>
            </w:pPr>
          </w:p>
        </w:tc>
        <w:tc>
          <w:tcPr>
            <w:tcW w:w="528" w:type="dxa"/>
          </w:tcPr>
          <w:p w:rsidR="00255AA3" w:rsidRPr="00852440" w:rsidRDefault="00255AA3" w:rsidP="00255AA3">
            <w:pPr>
              <w:pStyle w:val="E3Tabletext"/>
            </w:pPr>
          </w:p>
        </w:tc>
        <w:tc>
          <w:tcPr>
            <w:tcW w:w="530" w:type="dxa"/>
          </w:tcPr>
          <w:p w:rsidR="00255AA3" w:rsidRPr="00852440" w:rsidRDefault="00255AA3" w:rsidP="00255AA3">
            <w:pPr>
              <w:pStyle w:val="E3Tabletext"/>
            </w:pPr>
          </w:p>
        </w:tc>
        <w:tc>
          <w:tcPr>
            <w:tcW w:w="1444" w:type="dxa"/>
            <w:vMerge/>
          </w:tcPr>
          <w:p w:rsidR="00255AA3" w:rsidRDefault="00255AA3" w:rsidP="00235234"/>
        </w:tc>
      </w:tr>
      <w:tr w:rsidR="00255AA3" w:rsidTr="00225C27">
        <w:trPr>
          <w:trHeight w:val="20"/>
          <w:jc w:val="center"/>
        </w:trPr>
        <w:tc>
          <w:tcPr>
            <w:tcW w:w="1358" w:type="dxa"/>
            <w:vMerge/>
          </w:tcPr>
          <w:p w:rsidR="00255AA3" w:rsidRDefault="00255AA3" w:rsidP="00235234"/>
        </w:tc>
        <w:tc>
          <w:tcPr>
            <w:tcW w:w="506" w:type="dxa"/>
            <w:vMerge/>
          </w:tcPr>
          <w:p w:rsidR="00255AA3" w:rsidRPr="00852440" w:rsidRDefault="00255AA3" w:rsidP="00255AA3">
            <w:pPr>
              <w:pStyle w:val="E3Tabletext"/>
            </w:pPr>
          </w:p>
        </w:tc>
        <w:tc>
          <w:tcPr>
            <w:tcW w:w="388" w:type="dxa"/>
          </w:tcPr>
          <w:p w:rsidR="00255AA3" w:rsidRDefault="00255AA3" w:rsidP="00255AA3">
            <w:pPr>
              <w:pStyle w:val="E3Tabletext"/>
            </w:pPr>
          </w:p>
        </w:tc>
        <w:tc>
          <w:tcPr>
            <w:tcW w:w="461" w:type="dxa"/>
          </w:tcPr>
          <w:p w:rsidR="00255AA3" w:rsidRPr="00852440" w:rsidRDefault="00255AA3" w:rsidP="00255AA3">
            <w:pPr>
              <w:pStyle w:val="E3Tabletext"/>
            </w:pPr>
          </w:p>
        </w:tc>
        <w:tc>
          <w:tcPr>
            <w:tcW w:w="471" w:type="dxa"/>
            <w:gridSpan w:val="2"/>
          </w:tcPr>
          <w:p w:rsidR="00255AA3" w:rsidRPr="00852440" w:rsidRDefault="00255AA3" w:rsidP="00255AA3">
            <w:pPr>
              <w:pStyle w:val="E3Tabletext"/>
            </w:pPr>
          </w:p>
        </w:tc>
        <w:tc>
          <w:tcPr>
            <w:tcW w:w="511" w:type="dxa"/>
          </w:tcPr>
          <w:p w:rsidR="00255AA3" w:rsidRPr="00852440" w:rsidRDefault="00255AA3" w:rsidP="00255AA3">
            <w:pPr>
              <w:pStyle w:val="E3Tabletext"/>
            </w:pPr>
          </w:p>
        </w:tc>
        <w:tc>
          <w:tcPr>
            <w:tcW w:w="518" w:type="dxa"/>
            <w:gridSpan w:val="2"/>
          </w:tcPr>
          <w:p w:rsidR="00255AA3" w:rsidRPr="00852440" w:rsidRDefault="00255AA3" w:rsidP="00255AA3">
            <w:pPr>
              <w:pStyle w:val="E3Tabletext"/>
            </w:pPr>
          </w:p>
        </w:tc>
        <w:tc>
          <w:tcPr>
            <w:tcW w:w="516" w:type="dxa"/>
          </w:tcPr>
          <w:p w:rsidR="00255AA3" w:rsidRPr="00852440" w:rsidRDefault="00255AA3" w:rsidP="00255AA3">
            <w:pPr>
              <w:pStyle w:val="E3Tabletext"/>
            </w:pPr>
          </w:p>
        </w:tc>
        <w:tc>
          <w:tcPr>
            <w:tcW w:w="542" w:type="dxa"/>
            <w:gridSpan w:val="2"/>
          </w:tcPr>
          <w:p w:rsidR="00255AA3" w:rsidRPr="00852440" w:rsidRDefault="00255AA3" w:rsidP="00255AA3">
            <w:pPr>
              <w:pStyle w:val="E3Tabletext"/>
            </w:pPr>
          </w:p>
        </w:tc>
        <w:tc>
          <w:tcPr>
            <w:tcW w:w="527" w:type="dxa"/>
          </w:tcPr>
          <w:p w:rsidR="00255AA3" w:rsidRPr="00852440" w:rsidRDefault="00255AA3" w:rsidP="00255AA3">
            <w:pPr>
              <w:pStyle w:val="E3Tabletext"/>
            </w:pPr>
          </w:p>
        </w:tc>
        <w:tc>
          <w:tcPr>
            <w:tcW w:w="514" w:type="dxa"/>
            <w:gridSpan w:val="2"/>
          </w:tcPr>
          <w:p w:rsidR="00255AA3" w:rsidRPr="00852440" w:rsidRDefault="00255AA3" w:rsidP="00255AA3">
            <w:pPr>
              <w:pStyle w:val="E3Tabletext"/>
            </w:pPr>
          </w:p>
        </w:tc>
        <w:tc>
          <w:tcPr>
            <w:tcW w:w="509" w:type="dxa"/>
            <w:gridSpan w:val="2"/>
          </w:tcPr>
          <w:p w:rsidR="00255AA3" w:rsidRPr="00852440" w:rsidRDefault="00255AA3" w:rsidP="00255AA3">
            <w:pPr>
              <w:pStyle w:val="E3Tabletext"/>
            </w:pPr>
          </w:p>
        </w:tc>
        <w:tc>
          <w:tcPr>
            <w:tcW w:w="532" w:type="dxa"/>
          </w:tcPr>
          <w:p w:rsidR="00255AA3" w:rsidRPr="00852440" w:rsidRDefault="00255AA3" w:rsidP="00255AA3">
            <w:pPr>
              <w:pStyle w:val="E3Tabletext"/>
            </w:pPr>
          </w:p>
        </w:tc>
        <w:tc>
          <w:tcPr>
            <w:tcW w:w="528" w:type="dxa"/>
          </w:tcPr>
          <w:p w:rsidR="00255AA3" w:rsidRPr="00852440" w:rsidRDefault="00255AA3" w:rsidP="00255AA3">
            <w:pPr>
              <w:pStyle w:val="E3Tabletext"/>
            </w:pPr>
          </w:p>
        </w:tc>
        <w:tc>
          <w:tcPr>
            <w:tcW w:w="530" w:type="dxa"/>
          </w:tcPr>
          <w:p w:rsidR="00255AA3" w:rsidRPr="00852440" w:rsidRDefault="00255AA3" w:rsidP="00255AA3">
            <w:pPr>
              <w:pStyle w:val="E3Tabletext"/>
            </w:pPr>
          </w:p>
        </w:tc>
        <w:tc>
          <w:tcPr>
            <w:tcW w:w="1444" w:type="dxa"/>
            <w:vMerge/>
          </w:tcPr>
          <w:p w:rsidR="00255AA3" w:rsidRDefault="00255AA3" w:rsidP="00235234"/>
        </w:tc>
      </w:tr>
      <w:tr w:rsidR="00255AA3" w:rsidTr="00225C27">
        <w:trPr>
          <w:trHeight w:val="20"/>
          <w:jc w:val="center"/>
        </w:trPr>
        <w:tc>
          <w:tcPr>
            <w:tcW w:w="1358" w:type="dxa"/>
            <w:vMerge/>
          </w:tcPr>
          <w:p w:rsidR="00255AA3" w:rsidRDefault="00255AA3" w:rsidP="00235234"/>
        </w:tc>
        <w:tc>
          <w:tcPr>
            <w:tcW w:w="506" w:type="dxa"/>
            <w:vMerge/>
          </w:tcPr>
          <w:p w:rsidR="00255AA3" w:rsidRPr="00852440" w:rsidRDefault="00255AA3" w:rsidP="00255AA3">
            <w:pPr>
              <w:pStyle w:val="E3Tabletext"/>
            </w:pPr>
          </w:p>
        </w:tc>
        <w:tc>
          <w:tcPr>
            <w:tcW w:w="388" w:type="dxa"/>
          </w:tcPr>
          <w:p w:rsidR="00255AA3" w:rsidRDefault="00255AA3" w:rsidP="00255AA3">
            <w:pPr>
              <w:pStyle w:val="E3Tabletext"/>
            </w:pPr>
          </w:p>
        </w:tc>
        <w:tc>
          <w:tcPr>
            <w:tcW w:w="461" w:type="dxa"/>
          </w:tcPr>
          <w:p w:rsidR="00255AA3" w:rsidRPr="00852440" w:rsidRDefault="00255AA3" w:rsidP="00255AA3">
            <w:pPr>
              <w:pStyle w:val="E3Tabletext"/>
            </w:pPr>
          </w:p>
        </w:tc>
        <w:tc>
          <w:tcPr>
            <w:tcW w:w="471" w:type="dxa"/>
            <w:gridSpan w:val="2"/>
          </w:tcPr>
          <w:p w:rsidR="00255AA3" w:rsidRPr="00852440" w:rsidRDefault="00255AA3" w:rsidP="00255AA3">
            <w:pPr>
              <w:pStyle w:val="E3Tabletext"/>
            </w:pPr>
          </w:p>
        </w:tc>
        <w:tc>
          <w:tcPr>
            <w:tcW w:w="511" w:type="dxa"/>
          </w:tcPr>
          <w:p w:rsidR="00255AA3" w:rsidRPr="00852440" w:rsidRDefault="00255AA3" w:rsidP="00255AA3">
            <w:pPr>
              <w:pStyle w:val="E3Tabletext"/>
            </w:pPr>
          </w:p>
        </w:tc>
        <w:tc>
          <w:tcPr>
            <w:tcW w:w="518" w:type="dxa"/>
            <w:gridSpan w:val="2"/>
          </w:tcPr>
          <w:p w:rsidR="00255AA3" w:rsidRPr="00852440" w:rsidRDefault="00255AA3" w:rsidP="00255AA3">
            <w:pPr>
              <w:pStyle w:val="E3Tabletext"/>
            </w:pPr>
          </w:p>
        </w:tc>
        <w:tc>
          <w:tcPr>
            <w:tcW w:w="516" w:type="dxa"/>
          </w:tcPr>
          <w:p w:rsidR="00255AA3" w:rsidRPr="00852440" w:rsidRDefault="00255AA3" w:rsidP="00255AA3">
            <w:pPr>
              <w:pStyle w:val="E3Tabletext"/>
            </w:pPr>
          </w:p>
        </w:tc>
        <w:tc>
          <w:tcPr>
            <w:tcW w:w="542" w:type="dxa"/>
            <w:gridSpan w:val="2"/>
          </w:tcPr>
          <w:p w:rsidR="00255AA3" w:rsidRPr="00852440" w:rsidRDefault="00255AA3" w:rsidP="00255AA3">
            <w:pPr>
              <w:pStyle w:val="E3Tabletext"/>
            </w:pPr>
          </w:p>
        </w:tc>
        <w:tc>
          <w:tcPr>
            <w:tcW w:w="527" w:type="dxa"/>
          </w:tcPr>
          <w:p w:rsidR="00255AA3" w:rsidRPr="00852440" w:rsidRDefault="00255AA3" w:rsidP="00255AA3">
            <w:pPr>
              <w:pStyle w:val="E3Tabletext"/>
            </w:pPr>
          </w:p>
        </w:tc>
        <w:tc>
          <w:tcPr>
            <w:tcW w:w="514" w:type="dxa"/>
            <w:gridSpan w:val="2"/>
          </w:tcPr>
          <w:p w:rsidR="00255AA3" w:rsidRPr="00852440" w:rsidRDefault="00255AA3" w:rsidP="00255AA3">
            <w:pPr>
              <w:pStyle w:val="E3Tabletext"/>
            </w:pPr>
          </w:p>
        </w:tc>
        <w:tc>
          <w:tcPr>
            <w:tcW w:w="509" w:type="dxa"/>
            <w:gridSpan w:val="2"/>
          </w:tcPr>
          <w:p w:rsidR="00255AA3" w:rsidRPr="00852440" w:rsidRDefault="00255AA3" w:rsidP="00255AA3">
            <w:pPr>
              <w:pStyle w:val="E3Tabletext"/>
            </w:pPr>
          </w:p>
        </w:tc>
        <w:tc>
          <w:tcPr>
            <w:tcW w:w="532" w:type="dxa"/>
          </w:tcPr>
          <w:p w:rsidR="00255AA3" w:rsidRPr="00852440" w:rsidRDefault="00255AA3" w:rsidP="00255AA3">
            <w:pPr>
              <w:pStyle w:val="E3Tabletext"/>
            </w:pPr>
          </w:p>
        </w:tc>
        <w:tc>
          <w:tcPr>
            <w:tcW w:w="528" w:type="dxa"/>
          </w:tcPr>
          <w:p w:rsidR="00255AA3" w:rsidRPr="00852440" w:rsidRDefault="00255AA3" w:rsidP="00255AA3">
            <w:pPr>
              <w:pStyle w:val="E3Tabletext"/>
            </w:pPr>
          </w:p>
        </w:tc>
        <w:tc>
          <w:tcPr>
            <w:tcW w:w="530" w:type="dxa"/>
          </w:tcPr>
          <w:p w:rsidR="00255AA3" w:rsidRPr="00852440" w:rsidRDefault="00255AA3" w:rsidP="00255AA3">
            <w:pPr>
              <w:pStyle w:val="E3Tabletext"/>
            </w:pPr>
          </w:p>
        </w:tc>
        <w:tc>
          <w:tcPr>
            <w:tcW w:w="1444" w:type="dxa"/>
            <w:vMerge/>
          </w:tcPr>
          <w:p w:rsidR="00255AA3" w:rsidRDefault="00255AA3" w:rsidP="00235234"/>
        </w:tc>
      </w:tr>
      <w:tr w:rsidR="00255AA3" w:rsidTr="00225C27">
        <w:trPr>
          <w:trHeight w:val="20"/>
          <w:jc w:val="center"/>
        </w:trPr>
        <w:tc>
          <w:tcPr>
            <w:tcW w:w="1358" w:type="dxa"/>
            <w:vMerge/>
          </w:tcPr>
          <w:p w:rsidR="00255AA3" w:rsidRDefault="00255AA3" w:rsidP="00235234"/>
        </w:tc>
        <w:tc>
          <w:tcPr>
            <w:tcW w:w="506" w:type="dxa"/>
            <w:vMerge/>
          </w:tcPr>
          <w:p w:rsidR="00255AA3" w:rsidRPr="00852440" w:rsidRDefault="00255AA3" w:rsidP="00255AA3">
            <w:pPr>
              <w:pStyle w:val="E3Tabletext"/>
            </w:pPr>
          </w:p>
        </w:tc>
        <w:tc>
          <w:tcPr>
            <w:tcW w:w="388" w:type="dxa"/>
          </w:tcPr>
          <w:p w:rsidR="00255AA3" w:rsidRDefault="00255AA3" w:rsidP="00255AA3">
            <w:pPr>
              <w:pStyle w:val="E3Tabletext"/>
            </w:pPr>
          </w:p>
        </w:tc>
        <w:tc>
          <w:tcPr>
            <w:tcW w:w="461" w:type="dxa"/>
          </w:tcPr>
          <w:p w:rsidR="00255AA3" w:rsidRPr="00852440" w:rsidRDefault="00255AA3" w:rsidP="00255AA3">
            <w:pPr>
              <w:pStyle w:val="E3Tabletext"/>
            </w:pPr>
          </w:p>
        </w:tc>
        <w:tc>
          <w:tcPr>
            <w:tcW w:w="471" w:type="dxa"/>
            <w:gridSpan w:val="2"/>
          </w:tcPr>
          <w:p w:rsidR="00255AA3" w:rsidRPr="00852440" w:rsidRDefault="00255AA3" w:rsidP="00255AA3">
            <w:pPr>
              <w:pStyle w:val="E3Tabletext"/>
            </w:pPr>
          </w:p>
        </w:tc>
        <w:tc>
          <w:tcPr>
            <w:tcW w:w="511" w:type="dxa"/>
          </w:tcPr>
          <w:p w:rsidR="00255AA3" w:rsidRPr="00852440" w:rsidRDefault="00255AA3" w:rsidP="00255AA3">
            <w:pPr>
              <w:pStyle w:val="E3Tabletext"/>
            </w:pPr>
          </w:p>
        </w:tc>
        <w:tc>
          <w:tcPr>
            <w:tcW w:w="518" w:type="dxa"/>
            <w:gridSpan w:val="2"/>
          </w:tcPr>
          <w:p w:rsidR="00255AA3" w:rsidRPr="00852440" w:rsidRDefault="00255AA3" w:rsidP="00255AA3">
            <w:pPr>
              <w:pStyle w:val="E3Tabletext"/>
            </w:pPr>
          </w:p>
        </w:tc>
        <w:tc>
          <w:tcPr>
            <w:tcW w:w="516" w:type="dxa"/>
          </w:tcPr>
          <w:p w:rsidR="00255AA3" w:rsidRPr="00852440" w:rsidRDefault="00255AA3" w:rsidP="00255AA3">
            <w:pPr>
              <w:pStyle w:val="E3Tabletext"/>
            </w:pPr>
          </w:p>
        </w:tc>
        <w:tc>
          <w:tcPr>
            <w:tcW w:w="542" w:type="dxa"/>
            <w:gridSpan w:val="2"/>
          </w:tcPr>
          <w:p w:rsidR="00255AA3" w:rsidRPr="00852440" w:rsidRDefault="00255AA3" w:rsidP="00255AA3">
            <w:pPr>
              <w:pStyle w:val="E3Tabletext"/>
            </w:pPr>
          </w:p>
        </w:tc>
        <w:tc>
          <w:tcPr>
            <w:tcW w:w="527" w:type="dxa"/>
          </w:tcPr>
          <w:p w:rsidR="00255AA3" w:rsidRPr="00852440" w:rsidRDefault="00255AA3" w:rsidP="00255AA3">
            <w:pPr>
              <w:pStyle w:val="E3Tabletext"/>
            </w:pPr>
          </w:p>
        </w:tc>
        <w:tc>
          <w:tcPr>
            <w:tcW w:w="514" w:type="dxa"/>
            <w:gridSpan w:val="2"/>
          </w:tcPr>
          <w:p w:rsidR="00255AA3" w:rsidRPr="00852440" w:rsidRDefault="00255AA3" w:rsidP="00255AA3">
            <w:pPr>
              <w:pStyle w:val="E3Tabletext"/>
            </w:pPr>
          </w:p>
        </w:tc>
        <w:tc>
          <w:tcPr>
            <w:tcW w:w="509" w:type="dxa"/>
            <w:gridSpan w:val="2"/>
          </w:tcPr>
          <w:p w:rsidR="00255AA3" w:rsidRPr="00852440" w:rsidRDefault="00255AA3" w:rsidP="00255AA3">
            <w:pPr>
              <w:pStyle w:val="E3Tabletext"/>
            </w:pPr>
          </w:p>
        </w:tc>
        <w:tc>
          <w:tcPr>
            <w:tcW w:w="532" w:type="dxa"/>
          </w:tcPr>
          <w:p w:rsidR="00255AA3" w:rsidRPr="00852440" w:rsidRDefault="00255AA3" w:rsidP="00255AA3">
            <w:pPr>
              <w:pStyle w:val="E3Tabletext"/>
            </w:pPr>
          </w:p>
        </w:tc>
        <w:tc>
          <w:tcPr>
            <w:tcW w:w="528" w:type="dxa"/>
          </w:tcPr>
          <w:p w:rsidR="00255AA3" w:rsidRPr="00852440" w:rsidRDefault="00255AA3" w:rsidP="00255AA3">
            <w:pPr>
              <w:pStyle w:val="E3Tabletext"/>
            </w:pPr>
          </w:p>
        </w:tc>
        <w:tc>
          <w:tcPr>
            <w:tcW w:w="530" w:type="dxa"/>
          </w:tcPr>
          <w:p w:rsidR="00255AA3" w:rsidRPr="00852440" w:rsidRDefault="00255AA3" w:rsidP="00255AA3">
            <w:pPr>
              <w:pStyle w:val="E3Tabletext"/>
            </w:pPr>
          </w:p>
        </w:tc>
        <w:tc>
          <w:tcPr>
            <w:tcW w:w="1444" w:type="dxa"/>
            <w:vMerge/>
          </w:tcPr>
          <w:p w:rsidR="00255AA3" w:rsidRDefault="00255AA3" w:rsidP="00235234"/>
        </w:tc>
      </w:tr>
      <w:tr w:rsidR="004502B7" w:rsidTr="0086107A">
        <w:trPr>
          <w:trHeight w:val="511"/>
          <w:jc w:val="center"/>
        </w:trPr>
        <w:tc>
          <w:tcPr>
            <w:tcW w:w="1358" w:type="dxa"/>
            <w:vMerge/>
          </w:tcPr>
          <w:p w:rsidR="004502B7" w:rsidRDefault="004502B7" w:rsidP="00235234"/>
        </w:tc>
        <w:tc>
          <w:tcPr>
            <w:tcW w:w="506" w:type="dxa"/>
            <w:vMerge/>
          </w:tcPr>
          <w:p w:rsidR="004502B7" w:rsidRPr="00852440" w:rsidRDefault="004502B7" w:rsidP="00255AA3">
            <w:pPr>
              <w:pStyle w:val="E3Tabletext"/>
            </w:pPr>
          </w:p>
        </w:tc>
        <w:tc>
          <w:tcPr>
            <w:tcW w:w="388" w:type="dxa"/>
          </w:tcPr>
          <w:p w:rsidR="004502B7" w:rsidRPr="00852440" w:rsidRDefault="004502B7" w:rsidP="00255AA3">
            <w:pPr>
              <w:pStyle w:val="E3Tabletext"/>
            </w:pPr>
          </w:p>
        </w:tc>
        <w:tc>
          <w:tcPr>
            <w:tcW w:w="5629" w:type="dxa"/>
            <w:gridSpan w:val="16"/>
          </w:tcPr>
          <w:p w:rsidR="004502B7" w:rsidRPr="004502B7" w:rsidRDefault="004502B7" w:rsidP="00255AA3">
            <w:pPr>
              <w:pStyle w:val="E3Tabletext"/>
            </w:pPr>
            <w:r w:rsidRPr="004502B7">
              <w:t>Tables included for PAR 20, 30, 38 and MR16 are not shown here.</w:t>
            </w:r>
          </w:p>
        </w:tc>
        <w:tc>
          <w:tcPr>
            <w:tcW w:w="530" w:type="dxa"/>
          </w:tcPr>
          <w:p w:rsidR="004502B7" w:rsidRPr="00852440" w:rsidRDefault="004502B7" w:rsidP="00255AA3">
            <w:pPr>
              <w:pStyle w:val="E3Tabletext"/>
            </w:pPr>
          </w:p>
        </w:tc>
        <w:tc>
          <w:tcPr>
            <w:tcW w:w="1444" w:type="dxa"/>
            <w:vMerge/>
          </w:tcPr>
          <w:p w:rsidR="004502B7" w:rsidRDefault="004502B7" w:rsidP="00235234"/>
        </w:tc>
      </w:tr>
      <w:tr w:rsidR="004502B7" w:rsidTr="00225C27">
        <w:trPr>
          <w:gridAfter w:val="19"/>
          <w:wAfter w:w="7991" w:type="dxa"/>
          <w:trHeight w:val="403"/>
          <w:jc w:val="center"/>
        </w:trPr>
        <w:tc>
          <w:tcPr>
            <w:tcW w:w="1358" w:type="dxa"/>
            <w:vMerge/>
          </w:tcPr>
          <w:p w:rsidR="004502B7" w:rsidRDefault="004502B7" w:rsidP="00235234"/>
        </w:tc>
        <w:tc>
          <w:tcPr>
            <w:tcW w:w="506" w:type="dxa"/>
            <w:vMerge/>
          </w:tcPr>
          <w:p w:rsidR="004502B7" w:rsidRPr="00852440" w:rsidRDefault="004502B7" w:rsidP="00255AA3">
            <w:pPr>
              <w:pStyle w:val="E3Tabletext"/>
            </w:pPr>
          </w:p>
        </w:tc>
      </w:tr>
      <w:tr w:rsidR="004502B7" w:rsidTr="00225C27">
        <w:trPr>
          <w:gridAfter w:val="19"/>
          <w:wAfter w:w="7991" w:type="dxa"/>
          <w:trHeight w:val="403"/>
          <w:jc w:val="center"/>
        </w:trPr>
        <w:tc>
          <w:tcPr>
            <w:tcW w:w="1358" w:type="dxa"/>
            <w:vMerge/>
          </w:tcPr>
          <w:p w:rsidR="004502B7" w:rsidRDefault="004502B7" w:rsidP="00235234"/>
        </w:tc>
        <w:tc>
          <w:tcPr>
            <w:tcW w:w="506" w:type="dxa"/>
            <w:vMerge/>
          </w:tcPr>
          <w:p w:rsidR="004502B7" w:rsidRPr="00852440" w:rsidRDefault="004502B7" w:rsidP="00255AA3">
            <w:pPr>
              <w:pStyle w:val="E3Tabletext"/>
            </w:pPr>
          </w:p>
        </w:tc>
      </w:tr>
      <w:tr w:rsidR="004502B7" w:rsidTr="00225C27">
        <w:trPr>
          <w:gridAfter w:val="19"/>
          <w:wAfter w:w="7991" w:type="dxa"/>
          <w:trHeight w:val="403"/>
          <w:jc w:val="center"/>
        </w:trPr>
        <w:tc>
          <w:tcPr>
            <w:tcW w:w="1358" w:type="dxa"/>
            <w:vMerge/>
          </w:tcPr>
          <w:p w:rsidR="004502B7" w:rsidRDefault="004502B7" w:rsidP="00235234"/>
        </w:tc>
        <w:tc>
          <w:tcPr>
            <w:tcW w:w="506" w:type="dxa"/>
            <w:vMerge/>
          </w:tcPr>
          <w:p w:rsidR="004502B7" w:rsidRPr="00852440" w:rsidRDefault="004502B7" w:rsidP="00255AA3">
            <w:pPr>
              <w:pStyle w:val="E3Tabletext"/>
            </w:pPr>
          </w:p>
        </w:tc>
      </w:tr>
      <w:tr w:rsidR="004502B7" w:rsidTr="00225C27">
        <w:trPr>
          <w:gridAfter w:val="19"/>
          <w:wAfter w:w="7991" w:type="dxa"/>
          <w:trHeight w:val="403"/>
          <w:jc w:val="center"/>
        </w:trPr>
        <w:tc>
          <w:tcPr>
            <w:tcW w:w="1358" w:type="dxa"/>
            <w:vMerge/>
          </w:tcPr>
          <w:p w:rsidR="004502B7" w:rsidRDefault="004502B7" w:rsidP="00235234"/>
        </w:tc>
        <w:tc>
          <w:tcPr>
            <w:tcW w:w="506" w:type="dxa"/>
            <w:vMerge/>
          </w:tcPr>
          <w:p w:rsidR="004502B7" w:rsidRPr="00852440" w:rsidRDefault="004502B7" w:rsidP="00255AA3">
            <w:pPr>
              <w:pStyle w:val="E3Tabletext"/>
            </w:pPr>
          </w:p>
        </w:tc>
      </w:tr>
      <w:tr w:rsidR="004502B7" w:rsidTr="00225C27">
        <w:trPr>
          <w:gridAfter w:val="19"/>
          <w:wAfter w:w="7991" w:type="dxa"/>
          <w:trHeight w:val="403"/>
          <w:jc w:val="center"/>
        </w:trPr>
        <w:tc>
          <w:tcPr>
            <w:tcW w:w="1358" w:type="dxa"/>
            <w:vMerge/>
          </w:tcPr>
          <w:p w:rsidR="004502B7" w:rsidRDefault="004502B7" w:rsidP="00235234"/>
        </w:tc>
        <w:tc>
          <w:tcPr>
            <w:tcW w:w="506" w:type="dxa"/>
            <w:vMerge/>
          </w:tcPr>
          <w:p w:rsidR="004502B7" w:rsidRPr="00852440" w:rsidRDefault="004502B7" w:rsidP="00255AA3">
            <w:pPr>
              <w:pStyle w:val="E3Tabletext"/>
            </w:pPr>
          </w:p>
        </w:tc>
      </w:tr>
      <w:tr w:rsidR="004502B7" w:rsidTr="00225C27">
        <w:trPr>
          <w:gridAfter w:val="19"/>
          <w:wAfter w:w="7991" w:type="dxa"/>
          <w:trHeight w:val="403"/>
          <w:jc w:val="center"/>
        </w:trPr>
        <w:tc>
          <w:tcPr>
            <w:tcW w:w="1358" w:type="dxa"/>
            <w:vMerge/>
          </w:tcPr>
          <w:p w:rsidR="004502B7" w:rsidRDefault="004502B7" w:rsidP="00235234"/>
        </w:tc>
        <w:tc>
          <w:tcPr>
            <w:tcW w:w="506" w:type="dxa"/>
            <w:vMerge/>
          </w:tcPr>
          <w:p w:rsidR="004502B7" w:rsidRPr="00852440" w:rsidRDefault="004502B7" w:rsidP="00255AA3">
            <w:pPr>
              <w:pStyle w:val="E3Tabletext"/>
            </w:pPr>
          </w:p>
        </w:tc>
      </w:tr>
      <w:tr w:rsidR="004502B7" w:rsidTr="00225C27">
        <w:trPr>
          <w:gridAfter w:val="19"/>
          <w:wAfter w:w="7991" w:type="dxa"/>
          <w:trHeight w:val="403"/>
          <w:jc w:val="center"/>
        </w:trPr>
        <w:tc>
          <w:tcPr>
            <w:tcW w:w="1358" w:type="dxa"/>
            <w:vMerge/>
          </w:tcPr>
          <w:p w:rsidR="004502B7" w:rsidRDefault="004502B7" w:rsidP="00235234"/>
        </w:tc>
        <w:tc>
          <w:tcPr>
            <w:tcW w:w="506" w:type="dxa"/>
            <w:vMerge/>
          </w:tcPr>
          <w:p w:rsidR="004502B7" w:rsidRPr="00852440" w:rsidRDefault="004502B7" w:rsidP="00255AA3">
            <w:pPr>
              <w:pStyle w:val="E3Tabletext"/>
            </w:pPr>
          </w:p>
        </w:tc>
      </w:tr>
      <w:tr w:rsidR="004502B7" w:rsidTr="004502B7">
        <w:trPr>
          <w:gridAfter w:val="19"/>
          <w:wAfter w:w="7991" w:type="dxa"/>
          <w:trHeight w:val="403"/>
          <w:jc w:val="center"/>
        </w:trPr>
        <w:tc>
          <w:tcPr>
            <w:tcW w:w="1358" w:type="dxa"/>
            <w:vMerge/>
          </w:tcPr>
          <w:p w:rsidR="004502B7" w:rsidRDefault="004502B7" w:rsidP="00235234"/>
        </w:tc>
        <w:tc>
          <w:tcPr>
            <w:tcW w:w="506" w:type="dxa"/>
            <w:vMerge/>
          </w:tcPr>
          <w:p w:rsidR="004502B7" w:rsidRPr="00852440" w:rsidRDefault="004502B7" w:rsidP="00255AA3">
            <w:pPr>
              <w:pStyle w:val="E3Tabletext"/>
            </w:pPr>
          </w:p>
        </w:tc>
      </w:tr>
      <w:tr w:rsidR="004502B7" w:rsidTr="00225C27">
        <w:trPr>
          <w:gridAfter w:val="20"/>
          <w:wAfter w:w="8497" w:type="dxa"/>
          <w:trHeight w:val="403"/>
          <w:jc w:val="center"/>
        </w:trPr>
        <w:tc>
          <w:tcPr>
            <w:tcW w:w="1358" w:type="dxa"/>
            <w:vMerge/>
          </w:tcPr>
          <w:p w:rsidR="004502B7" w:rsidRDefault="004502B7" w:rsidP="00235234"/>
        </w:tc>
      </w:tr>
      <w:tr w:rsidR="004502B7" w:rsidTr="00225C27">
        <w:trPr>
          <w:gridAfter w:val="20"/>
          <w:wAfter w:w="8497" w:type="dxa"/>
          <w:trHeight w:val="403"/>
          <w:jc w:val="center"/>
        </w:trPr>
        <w:tc>
          <w:tcPr>
            <w:tcW w:w="1358" w:type="dxa"/>
            <w:vMerge/>
          </w:tcPr>
          <w:p w:rsidR="004502B7" w:rsidRDefault="004502B7" w:rsidP="00235234"/>
        </w:tc>
      </w:tr>
      <w:tr w:rsidR="004502B7" w:rsidTr="0086107A">
        <w:trPr>
          <w:gridAfter w:val="20"/>
          <w:wAfter w:w="8497" w:type="dxa"/>
          <w:trHeight w:val="403"/>
          <w:jc w:val="center"/>
        </w:trPr>
        <w:tc>
          <w:tcPr>
            <w:tcW w:w="1358" w:type="dxa"/>
            <w:vMerge/>
          </w:tcPr>
          <w:p w:rsidR="004502B7" w:rsidRDefault="004502B7" w:rsidP="00235234"/>
        </w:tc>
      </w:tr>
      <w:tr w:rsidR="004502B7" w:rsidTr="0086107A">
        <w:trPr>
          <w:gridAfter w:val="20"/>
          <w:wAfter w:w="8497" w:type="dxa"/>
          <w:trHeight w:val="403"/>
          <w:jc w:val="center"/>
        </w:trPr>
        <w:tc>
          <w:tcPr>
            <w:tcW w:w="1358" w:type="dxa"/>
            <w:vMerge/>
          </w:tcPr>
          <w:p w:rsidR="004502B7" w:rsidRDefault="004502B7" w:rsidP="00235234"/>
        </w:tc>
      </w:tr>
      <w:tr w:rsidR="004502B7" w:rsidTr="00225C27">
        <w:trPr>
          <w:gridAfter w:val="20"/>
          <w:wAfter w:w="8497" w:type="dxa"/>
          <w:trHeight w:val="403"/>
          <w:jc w:val="center"/>
        </w:trPr>
        <w:tc>
          <w:tcPr>
            <w:tcW w:w="1358" w:type="dxa"/>
            <w:vMerge/>
          </w:tcPr>
          <w:p w:rsidR="004502B7" w:rsidRDefault="004502B7" w:rsidP="00235234"/>
        </w:tc>
      </w:tr>
      <w:tr w:rsidR="004502B7" w:rsidTr="00225C27">
        <w:trPr>
          <w:gridAfter w:val="20"/>
          <w:wAfter w:w="8497" w:type="dxa"/>
          <w:trHeight w:val="403"/>
          <w:jc w:val="center"/>
        </w:trPr>
        <w:tc>
          <w:tcPr>
            <w:tcW w:w="1358" w:type="dxa"/>
            <w:vMerge/>
          </w:tcPr>
          <w:p w:rsidR="004502B7" w:rsidRDefault="004502B7" w:rsidP="00235234"/>
        </w:tc>
      </w:tr>
      <w:tr w:rsidR="004502B7" w:rsidTr="004502B7">
        <w:trPr>
          <w:gridAfter w:val="20"/>
          <w:wAfter w:w="8497" w:type="dxa"/>
          <w:trHeight w:val="403"/>
          <w:jc w:val="center"/>
        </w:trPr>
        <w:tc>
          <w:tcPr>
            <w:tcW w:w="1358" w:type="dxa"/>
            <w:vMerge/>
          </w:tcPr>
          <w:p w:rsidR="004502B7" w:rsidRDefault="004502B7" w:rsidP="00235234"/>
        </w:tc>
      </w:tr>
      <w:tr w:rsidR="00644CF1" w:rsidTr="00225C27">
        <w:trPr>
          <w:cantSplit/>
          <w:jc w:val="center"/>
        </w:trPr>
        <w:tc>
          <w:tcPr>
            <w:tcW w:w="1358" w:type="dxa"/>
          </w:tcPr>
          <w:p w:rsidR="00644CF1" w:rsidRDefault="00644CF1" w:rsidP="00235234"/>
        </w:tc>
        <w:tc>
          <w:tcPr>
            <w:tcW w:w="7053" w:type="dxa"/>
            <w:gridSpan w:val="19"/>
          </w:tcPr>
          <w:p w:rsidR="00644CF1" w:rsidRDefault="00644CF1" w:rsidP="00693F1D"/>
        </w:tc>
        <w:tc>
          <w:tcPr>
            <w:tcW w:w="1444" w:type="dxa"/>
            <w:vMerge w:val="restart"/>
          </w:tcPr>
          <w:p w:rsidR="00644CF1" w:rsidRDefault="00644CF1" w:rsidP="00235234"/>
        </w:tc>
      </w:tr>
      <w:tr w:rsidR="00644CF1" w:rsidTr="00225C27">
        <w:trPr>
          <w:cantSplit/>
          <w:jc w:val="center"/>
        </w:trPr>
        <w:tc>
          <w:tcPr>
            <w:tcW w:w="1358" w:type="dxa"/>
          </w:tcPr>
          <w:p w:rsidR="00644CF1" w:rsidRDefault="00644CF1" w:rsidP="00255AA3">
            <w:pPr>
              <w:pStyle w:val="E3Tabletext"/>
            </w:pPr>
            <w:r>
              <w:t>Beam Angle</w:t>
            </w:r>
          </w:p>
        </w:tc>
        <w:tc>
          <w:tcPr>
            <w:tcW w:w="7053" w:type="dxa"/>
            <w:gridSpan w:val="19"/>
          </w:tcPr>
          <w:p w:rsidR="00644CF1" w:rsidRDefault="00644CF1" w:rsidP="00255AA3">
            <w:pPr>
              <w:pStyle w:val="E3Tabletext"/>
            </w:pPr>
            <w:r>
              <w:t>For directional lamps: measured beam angle within 25% of rated bema angle.</w:t>
            </w:r>
          </w:p>
          <w:p w:rsidR="00644CF1" w:rsidRDefault="00644CF1" w:rsidP="00255AA3">
            <w:pPr>
              <w:pStyle w:val="E3Tabletext"/>
            </w:pPr>
            <w:r>
              <w:t>Additionally if claiming equivalence: rated beam angle of the LED lamp is equal to the rated beam angle of the target lamp.</w:t>
            </w:r>
          </w:p>
        </w:tc>
        <w:tc>
          <w:tcPr>
            <w:tcW w:w="1444" w:type="dxa"/>
            <w:vMerge/>
          </w:tcPr>
          <w:p w:rsidR="00644CF1" w:rsidRDefault="00644CF1" w:rsidP="00235234"/>
        </w:tc>
      </w:tr>
      <w:tr w:rsidR="00644CF1" w:rsidTr="00225C27">
        <w:trPr>
          <w:cantSplit/>
          <w:jc w:val="center"/>
        </w:trPr>
        <w:tc>
          <w:tcPr>
            <w:tcW w:w="1358" w:type="dxa"/>
          </w:tcPr>
          <w:p w:rsidR="00644CF1" w:rsidRPr="00CF109C" w:rsidRDefault="00644CF1" w:rsidP="00255AA3">
            <w:pPr>
              <w:pStyle w:val="E3Tabletext"/>
            </w:pPr>
            <w:r w:rsidRPr="00CF109C">
              <w:t>Lumen maintenance</w:t>
            </w:r>
          </w:p>
        </w:tc>
        <w:tc>
          <w:tcPr>
            <w:tcW w:w="7053" w:type="dxa"/>
            <w:gridSpan w:val="19"/>
          </w:tcPr>
          <w:p w:rsidR="00644CF1" w:rsidRDefault="00644CF1" w:rsidP="00255AA3">
            <w:pPr>
              <w:pStyle w:val="E3Tabletext"/>
            </w:pPr>
            <w:r>
              <w:t>&gt; 90% at 6,000 h operated at a minimum of :</w:t>
            </w:r>
          </w:p>
          <w:p w:rsidR="00644CF1" w:rsidRDefault="00644CF1" w:rsidP="00F1452F">
            <w:pPr>
              <w:pStyle w:val="E3Tabletext"/>
              <w:numPr>
                <w:ilvl w:val="0"/>
                <w:numId w:val="17"/>
              </w:numPr>
            </w:pPr>
            <w:r>
              <w:t>25</w:t>
            </w:r>
            <w:r>
              <w:sym w:font="Symbol" w:char="F0B0"/>
            </w:r>
            <w:r>
              <w:t>C for lamp power &lt; 10W</w:t>
            </w:r>
          </w:p>
          <w:p w:rsidR="00644CF1" w:rsidRDefault="00644CF1" w:rsidP="00F1452F">
            <w:pPr>
              <w:pStyle w:val="E3Tabletext"/>
              <w:numPr>
                <w:ilvl w:val="0"/>
                <w:numId w:val="17"/>
              </w:numPr>
            </w:pPr>
            <w:r>
              <w:t>45</w:t>
            </w:r>
            <w:r>
              <w:sym w:font="Symbol" w:char="F0B0"/>
            </w:r>
            <w:r>
              <w:t>C for lamp power ≥ 10W</w:t>
            </w:r>
          </w:p>
        </w:tc>
        <w:tc>
          <w:tcPr>
            <w:tcW w:w="1444" w:type="dxa"/>
            <w:vMerge/>
          </w:tcPr>
          <w:p w:rsidR="00644CF1" w:rsidRDefault="00644CF1" w:rsidP="00235234"/>
        </w:tc>
      </w:tr>
      <w:tr w:rsidR="00644CF1" w:rsidTr="00225C27">
        <w:trPr>
          <w:cantSplit/>
          <w:jc w:val="center"/>
        </w:trPr>
        <w:tc>
          <w:tcPr>
            <w:tcW w:w="1358" w:type="dxa"/>
          </w:tcPr>
          <w:p w:rsidR="00644CF1" w:rsidRPr="00303D8F" w:rsidRDefault="00644CF1" w:rsidP="00255AA3">
            <w:pPr>
              <w:pStyle w:val="E3Tabletext"/>
            </w:pPr>
            <w:r w:rsidRPr="00303D8F">
              <w:t>Colour Rendering</w:t>
            </w:r>
          </w:p>
        </w:tc>
        <w:tc>
          <w:tcPr>
            <w:tcW w:w="7053" w:type="dxa"/>
            <w:gridSpan w:val="19"/>
          </w:tcPr>
          <w:p w:rsidR="00644CF1" w:rsidRDefault="00644CF1" w:rsidP="00255AA3">
            <w:pPr>
              <w:pStyle w:val="E3Tabletext"/>
            </w:pPr>
            <w:r>
              <w:t>Ra ≥ 80</w:t>
            </w:r>
          </w:p>
          <w:p w:rsidR="00644CF1" w:rsidRDefault="00644CF1" w:rsidP="00255AA3">
            <w:pPr>
              <w:pStyle w:val="E3Tabletext"/>
            </w:pPr>
            <w:r>
              <w:t>And ≤ 3 points below rated Ra</w:t>
            </w:r>
          </w:p>
        </w:tc>
        <w:tc>
          <w:tcPr>
            <w:tcW w:w="1444" w:type="dxa"/>
            <w:vMerge/>
          </w:tcPr>
          <w:p w:rsidR="00644CF1" w:rsidRDefault="00644CF1" w:rsidP="00235234"/>
        </w:tc>
      </w:tr>
      <w:tr w:rsidR="00644CF1" w:rsidTr="00225C27">
        <w:trPr>
          <w:cantSplit/>
          <w:trHeight w:val="66"/>
          <w:jc w:val="center"/>
        </w:trPr>
        <w:tc>
          <w:tcPr>
            <w:tcW w:w="1358" w:type="dxa"/>
            <w:vMerge w:val="restart"/>
          </w:tcPr>
          <w:p w:rsidR="00644CF1" w:rsidRDefault="00644CF1" w:rsidP="00255AA3">
            <w:pPr>
              <w:pStyle w:val="E3Tabletext"/>
            </w:pPr>
            <w:r>
              <w:t>Colour temperature</w:t>
            </w:r>
          </w:p>
        </w:tc>
        <w:tc>
          <w:tcPr>
            <w:tcW w:w="2351" w:type="dxa"/>
            <w:gridSpan w:val="7"/>
          </w:tcPr>
          <w:p w:rsidR="00644CF1" w:rsidRDefault="00644CF1" w:rsidP="00255AA3">
            <w:pPr>
              <w:pStyle w:val="E3Tabletext"/>
            </w:pPr>
            <w:r>
              <w:t>Rated CCT (K)</w:t>
            </w:r>
          </w:p>
        </w:tc>
        <w:tc>
          <w:tcPr>
            <w:tcW w:w="2351" w:type="dxa"/>
            <w:gridSpan w:val="6"/>
          </w:tcPr>
          <w:p w:rsidR="00644CF1" w:rsidRDefault="00644CF1" w:rsidP="00255AA3">
            <w:pPr>
              <w:pStyle w:val="E3Tabletext"/>
            </w:pPr>
            <w:r>
              <w:t>Target CCT and Tolerance (K)</w:t>
            </w:r>
          </w:p>
        </w:tc>
        <w:tc>
          <w:tcPr>
            <w:tcW w:w="2351" w:type="dxa"/>
            <w:gridSpan w:val="6"/>
          </w:tcPr>
          <w:p w:rsidR="00644CF1" w:rsidRDefault="00644CF1" w:rsidP="00255AA3">
            <w:pPr>
              <w:pStyle w:val="E3Tabletext"/>
            </w:pPr>
            <w:r>
              <w:t>Target Duv and tolerance</w:t>
            </w:r>
          </w:p>
        </w:tc>
        <w:tc>
          <w:tcPr>
            <w:tcW w:w="1444" w:type="dxa"/>
            <w:vMerge/>
          </w:tcPr>
          <w:p w:rsidR="00644CF1" w:rsidRDefault="00644CF1" w:rsidP="00235234"/>
        </w:tc>
      </w:tr>
      <w:tr w:rsidR="00644CF1" w:rsidTr="00225C27">
        <w:trPr>
          <w:cantSplit/>
          <w:trHeight w:val="66"/>
          <w:jc w:val="center"/>
        </w:trPr>
        <w:tc>
          <w:tcPr>
            <w:tcW w:w="1358" w:type="dxa"/>
            <w:vMerge/>
          </w:tcPr>
          <w:p w:rsidR="00644CF1" w:rsidRDefault="00644CF1" w:rsidP="00255AA3">
            <w:pPr>
              <w:pStyle w:val="E3Tabletext"/>
            </w:pPr>
          </w:p>
        </w:tc>
        <w:tc>
          <w:tcPr>
            <w:tcW w:w="2351" w:type="dxa"/>
            <w:gridSpan w:val="7"/>
          </w:tcPr>
          <w:p w:rsidR="00644CF1" w:rsidRDefault="00644CF1" w:rsidP="00255AA3">
            <w:pPr>
              <w:pStyle w:val="E3Tabletext"/>
            </w:pPr>
            <w:r>
              <w:t>2700</w:t>
            </w:r>
          </w:p>
        </w:tc>
        <w:tc>
          <w:tcPr>
            <w:tcW w:w="2351" w:type="dxa"/>
            <w:gridSpan w:val="6"/>
          </w:tcPr>
          <w:p w:rsidR="00644CF1" w:rsidRDefault="00644CF1" w:rsidP="00255AA3">
            <w:pPr>
              <w:pStyle w:val="E3Tabletext"/>
            </w:pPr>
            <w:r w:rsidRPr="00303D8F">
              <w:t xml:space="preserve">2725 </w:t>
            </w:r>
            <w:r>
              <w:t>±</w:t>
            </w:r>
            <w:r w:rsidRPr="00303D8F">
              <w:t xml:space="preserve"> 145</w:t>
            </w:r>
          </w:p>
        </w:tc>
        <w:tc>
          <w:tcPr>
            <w:tcW w:w="2351" w:type="dxa"/>
            <w:gridSpan w:val="6"/>
          </w:tcPr>
          <w:p w:rsidR="00644CF1" w:rsidRDefault="00644CF1" w:rsidP="00255AA3">
            <w:pPr>
              <w:pStyle w:val="E3Tabletext"/>
            </w:pPr>
            <w:r w:rsidRPr="00303D8F">
              <w:t xml:space="preserve">0.000 </w:t>
            </w:r>
            <w:r>
              <w:t>±</w:t>
            </w:r>
            <w:r w:rsidRPr="00303D8F">
              <w:t xml:space="preserve"> 0.006</w:t>
            </w:r>
          </w:p>
        </w:tc>
        <w:tc>
          <w:tcPr>
            <w:tcW w:w="1444" w:type="dxa"/>
            <w:vMerge/>
          </w:tcPr>
          <w:p w:rsidR="00644CF1" w:rsidRDefault="00644CF1" w:rsidP="00235234"/>
        </w:tc>
      </w:tr>
      <w:tr w:rsidR="00644CF1" w:rsidTr="00225C27">
        <w:trPr>
          <w:cantSplit/>
          <w:trHeight w:val="66"/>
          <w:jc w:val="center"/>
        </w:trPr>
        <w:tc>
          <w:tcPr>
            <w:tcW w:w="1358" w:type="dxa"/>
            <w:vMerge/>
          </w:tcPr>
          <w:p w:rsidR="00644CF1" w:rsidRDefault="00644CF1" w:rsidP="00255AA3">
            <w:pPr>
              <w:pStyle w:val="E3Tabletext"/>
            </w:pPr>
          </w:p>
        </w:tc>
        <w:tc>
          <w:tcPr>
            <w:tcW w:w="2351" w:type="dxa"/>
            <w:gridSpan w:val="7"/>
          </w:tcPr>
          <w:p w:rsidR="00644CF1" w:rsidRDefault="00644CF1" w:rsidP="00255AA3">
            <w:pPr>
              <w:pStyle w:val="E3Tabletext"/>
            </w:pPr>
            <w:r w:rsidRPr="00303D8F">
              <w:t>3000</w:t>
            </w:r>
          </w:p>
        </w:tc>
        <w:tc>
          <w:tcPr>
            <w:tcW w:w="2351" w:type="dxa"/>
            <w:gridSpan w:val="6"/>
          </w:tcPr>
          <w:p w:rsidR="00644CF1" w:rsidRDefault="00644CF1" w:rsidP="00255AA3">
            <w:pPr>
              <w:pStyle w:val="E3Tabletext"/>
            </w:pPr>
            <w:r w:rsidRPr="00303D8F">
              <w:t xml:space="preserve">3045 </w:t>
            </w:r>
            <w:r>
              <w:t>±</w:t>
            </w:r>
            <w:r w:rsidRPr="00303D8F">
              <w:t xml:space="preserve"> 175</w:t>
            </w:r>
          </w:p>
        </w:tc>
        <w:tc>
          <w:tcPr>
            <w:tcW w:w="2351" w:type="dxa"/>
            <w:gridSpan w:val="6"/>
          </w:tcPr>
          <w:p w:rsidR="00644CF1" w:rsidRDefault="00644CF1" w:rsidP="00255AA3">
            <w:pPr>
              <w:pStyle w:val="E3Tabletext"/>
            </w:pPr>
            <w:r w:rsidRPr="00303D8F">
              <w:t xml:space="preserve">0.000 </w:t>
            </w:r>
            <w:r>
              <w:t>±</w:t>
            </w:r>
            <w:r w:rsidRPr="00303D8F">
              <w:t xml:space="preserve"> 0.006</w:t>
            </w:r>
          </w:p>
        </w:tc>
        <w:tc>
          <w:tcPr>
            <w:tcW w:w="1444" w:type="dxa"/>
            <w:vMerge/>
          </w:tcPr>
          <w:p w:rsidR="00644CF1" w:rsidRDefault="00644CF1" w:rsidP="00235234"/>
        </w:tc>
      </w:tr>
      <w:tr w:rsidR="00644CF1" w:rsidTr="00225C27">
        <w:trPr>
          <w:cantSplit/>
          <w:trHeight w:val="66"/>
          <w:jc w:val="center"/>
        </w:trPr>
        <w:tc>
          <w:tcPr>
            <w:tcW w:w="1358" w:type="dxa"/>
            <w:vMerge/>
          </w:tcPr>
          <w:p w:rsidR="00644CF1" w:rsidRDefault="00644CF1" w:rsidP="00255AA3">
            <w:pPr>
              <w:pStyle w:val="E3Tabletext"/>
            </w:pPr>
          </w:p>
        </w:tc>
        <w:tc>
          <w:tcPr>
            <w:tcW w:w="2351" w:type="dxa"/>
            <w:gridSpan w:val="7"/>
          </w:tcPr>
          <w:p w:rsidR="00644CF1" w:rsidRDefault="00644CF1" w:rsidP="00255AA3">
            <w:pPr>
              <w:pStyle w:val="E3Tabletext"/>
            </w:pPr>
            <w:r w:rsidRPr="00303D8F">
              <w:t>3500</w:t>
            </w:r>
          </w:p>
        </w:tc>
        <w:tc>
          <w:tcPr>
            <w:tcW w:w="2351" w:type="dxa"/>
            <w:gridSpan w:val="6"/>
          </w:tcPr>
          <w:p w:rsidR="00644CF1" w:rsidRDefault="00644CF1" w:rsidP="00255AA3">
            <w:pPr>
              <w:pStyle w:val="E3Tabletext"/>
            </w:pPr>
            <w:r w:rsidRPr="00303D8F">
              <w:t xml:space="preserve">3465 </w:t>
            </w:r>
            <w:r>
              <w:t>±</w:t>
            </w:r>
            <w:r w:rsidRPr="00303D8F">
              <w:t xml:space="preserve"> 245</w:t>
            </w:r>
          </w:p>
        </w:tc>
        <w:tc>
          <w:tcPr>
            <w:tcW w:w="2351" w:type="dxa"/>
            <w:gridSpan w:val="6"/>
          </w:tcPr>
          <w:p w:rsidR="00644CF1" w:rsidRDefault="00644CF1" w:rsidP="00255AA3">
            <w:pPr>
              <w:pStyle w:val="E3Tabletext"/>
            </w:pPr>
            <w:r w:rsidRPr="00303D8F">
              <w:t xml:space="preserve">0.000 </w:t>
            </w:r>
            <w:r>
              <w:t>±</w:t>
            </w:r>
            <w:r w:rsidRPr="00303D8F">
              <w:t xml:space="preserve"> 0.006</w:t>
            </w:r>
          </w:p>
        </w:tc>
        <w:tc>
          <w:tcPr>
            <w:tcW w:w="1444" w:type="dxa"/>
            <w:vMerge/>
          </w:tcPr>
          <w:p w:rsidR="00644CF1" w:rsidRDefault="00644CF1" w:rsidP="00235234"/>
        </w:tc>
      </w:tr>
      <w:tr w:rsidR="00644CF1" w:rsidTr="00225C27">
        <w:trPr>
          <w:cantSplit/>
          <w:trHeight w:val="66"/>
          <w:jc w:val="center"/>
        </w:trPr>
        <w:tc>
          <w:tcPr>
            <w:tcW w:w="1358" w:type="dxa"/>
            <w:vMerge/>
          </w:tcPr>
          <w:p w:rsidR="00644CF1" w:rsidRDefault="00644CF1" w:rsidP="00255AA3">
            <w:pPr>
              <w:pStyle w:val="E3Tabletext"/>
            </w:pPr>
          </w:p>
        </w:tc>
        <w:tc>
          <w:tcPr>
            <w:tcW w:w="2351" w:type="dxa"/>
            <w:gridSpan w:val="7"/>
          </w:tcPr>
          <w:p w:rsidR="00644CF1" w:rsidRDefault="00644CF1" w:rsidP="00255AA3">
            <w:pPr>
              <w:pStyle w:val="E3Tabletext"/>
            </w:pPr>
            <w:r w:rsidRPr="00303D8F">
              <w:t>4000</w:t>
            </w:r>
          </w:p>
        </w:tc>
        <w:tc>
          <w:tcPr>
            <w:tcW w:w="2351" w:type="dxa"/>
            <w:gridSpan w:val="6"/>
          </w:tcPr>
          <w:p w:rsidR="00644CF1" w:rsidRDefault="00644CF1" w:rsidP="00255AA3">
            <w:pPr>
              <w:pStyle w:val="E3Tabletext"/>
            </w:pPr>
            <w:r w:rsidRPr="00303D8F">
              <w:t xml:space="preserve">3985 </w:t>
            </w:r>
            <w:r>
              <w:t>±</w:t>
            </w:r>
            <w:r w:rsidRPr="00303D8F">
              <w:t xml:space="preserve"> 275</w:t>
            </w:r>
          </w:p>
        </w:tc>
        <w:tc>
          <w:tcPr>
            <w:tcW w:w="2351" w:type="dxa"/>
            <w:gridSpan w:val="6"/>
          </w:tcPr>
          <w:p w:rsidR="00644CF1" w:rsidRDefault="00644CF1" w:rsidP="00255AA3">
            <w:pPr>
              <w:pStyle w:val="E3Tabletext"/>
            </w:pPr>
            <w:r w:rsidRPr="00F32725">
              <w:t xml:space="preserve">0.001 </w:t>
            </w:r>
            <w:r>
              <w:t>±</w:t>
            </w:r>
            <w:r w:rsidRPr="00F32725">
              <w:t xml:space="preserve"> 0.006</w:t>
            </w:r>
          </w:p>
        </w:tc>
        <w:tc>
          <w:tcPr>
            <w:tcW w:w="1444" w:type="dxa"/>
            <w:vMerge/>
          </w:tcPr>
          <w:p w:rsidR="00644CF1" w:rsidRDefault="00644CF1" w:rsidP="00235234"/>
        </w:tc>
      </w:tr>
      <w:tr w:rsidR="00644CF1" w:rsidTr="00225C27">
        <w:trPr>
          <w:cantSplit/>
          <w:trHeight w:val="66"/>
          <w:jc w:val="center"/>
        </w:trPr>
        <w:tc>
          <w:tcPr>
            <w:tcW w:w="1358" w:type="dxa"/>
            <w:vMerge/>
          </w:tcPr>
          <w:p w:rsidR="00644CF1" w:rsidRDefault="00644CF1" w:rsidP="00255AA3">
            <w:pPr>
              <w:pStyle w:val="E3Tabletext"/>
            </w:pPr>
          </w:p>
        </w:tc>
        <w:tc>
          <w:tcPr>
            <w:tcW w:w="2351" w:type="dxa"/>
            <w:gridSpan w:val="7"/>
          </w:tcPr>
          <w:p w:rsidR="00644CF1" w:rsidRDefault="00644CF1" w:rsidP="00255AA3">
            <w:pPr>
              <w:pStyle w:val="E3Tabletext"/>
            </w:pPr>
            <w:r w:rsidRPr="00303D8F">
              <w:t>4500</w:t>
            </w:r>
          </w:p>
        </w:tc>
        <w:tc>
          <w:tcPr>
            <w:tcW w:w="2351" w:type="dxa"/>
            <w:gridSpan w:val="6"/>
          </w:tcPr>
          <w:p w:rsidR="00644CF1" w:rsidRDefault="00644CF1" w:rsidP="00255AA3">
            <w:pPr>
              <w:pStyle w:val="E3Tabletext"/>
            </w:pPr>
            <w:r w:rsidRPr="00303D8F">
              <w:t xml:space="preserve">4503 </w:t>
            </w:r>
            <w:r>
              <w:t>±</w:t>
            </w:r>
            <w:r w:rsidRPr="00303D8F">
              <w:t xml:space="preserve"> 243</w:t>
            </w:r>
          </w:p>
        </w:tc>
        <w:tc>
          <w:tcPr>
            <w:tcW w:w="2351" w:type="dxa"/>
            <w:gridSpan w:val="6"/>
          </w:tcPr>
          <w:p w:rsidR="00644CF1" w:rsidRDefault="00644CF1" w:rsidP="00255AA3">
            <w:pPr>
              <w:pStyle w:val="E3Tabletext"/>
            </w:pPr>
            <w:r w:rsidRPr="00F32725">
              <w:t xml:space="preserve">0.001 </w:t>
            </w:r>
            <w:r>
              <w:t>±</w:t>
            </w:r>
            <w:r w:rsidRPr="00F32725">
              <w:t xml:space="preserve"> 0.006</w:t>
            </w:r>
          </w:p>
        </w:tc>
        <w:tc>
          <w:tcPr>
            <w:tcW w:w="1444" w:type="dxa"/>
            <w:vMerge/>
          </w:tcPr>
          <w:p w:rsidR="00644CF1" w:rsidRDefault="00644CF1" w:rsidP="00235234"/>
        </w:tc>
      </w:tr>
      <w:tr w:rsidR="00644CF1" w:rsidTr="00225C27">
        <w:trPr>
          <w:cantSplit/>
          <w:trHeight w:val="66"/>
          <w:jc w:val="center"/>
        </w:trPr>
        <w:tc>
          <w:tcPr>
            <w:tcW w:w="1358" w:type="dxa"/>
            <w:vMerge/>
          </w:tcPr>
          <w:p w:rsidR="00644CF1" w:rsidRDefault="00644CF1" w:rsidP="00255AA3">
            <w:pPr>
              <w:pStyle w:val="E3Tabletext"/>
            </w:pPr>
          </w:p>
        </w:tc>
        <w:tc>
          <w:tcPr>
            <w:tcW w:w="2351" w:type="dxa"/>
            <w:gridSpan w:val="7"/>
          </w:tcPr>
          <w:p w:rsidR="00644CF1" w:rsidRDefault="00644CF1" w:rsidP="00255AA3">
            <w:pPr>
              <w:pStyle w:val="E3Tabletext"/>
            </w:pPr>
            <w:r w:rsidRPr="00303D8F">
              <w:t>5000</w:t>
            </w:r>
          </w:p>
        </w:tc>
        <w:tc>
          <w:tcPr>
            <w:tcW w:w="2351" w:type="dxa"/>
            <w:gridSpan w:val="6"/>
          </w:tcPr>
          <w:p w:rsidR="00644CF1" w:rsidRDefault="00644CF1" w:rsidP="00255AA3">
            <w:pPr>
              <w:pStyle w:val="E3Tabletext"/>
            </w:pPr>
            <w:r w:rsidRPr="00303D8F">
              <w:t xml:space="preserve">5028 </w:t>
            </w:r>
            <w:r>
              <w:t>±</w:t>
            </w:r>
            <w:r w:rsidRPr="00303D8F">
              <w:t xml:space="preserve"> 283</w:t>
            </w:r>
          </w:p>
        </w:tc>
        <w:tc>
          <w:tcPr>
            <w:tcW w:w="2351" w:type="dxa"/>
            <w:gridSpan w:val="6"/>
          </w:tcPr>
          <w:p w:rsidR="00644CF1" w:rsidRDefault="00644CF1" w:rsidP="00255AA3">
            <w:pPr>
              <w:pStyle w:val="E3Tabletext"/>
            </w:pPr>
            <w:r w:rsidRPr="00F32725">
              <w:t xml:space="preserve">0.002 </w:t>
            </w:r>
            <w:r>
              <w:t>±</w:t>
            </w:r>
            <w:r w:rsidRPr="00F32725">
              <w:t xml:space="preserve"> 0.006</w:t>
            </w:r>
          </w:p>
        </w:tc>
        <w:tc>
          <w:tcPr>
            <w:tcW w:w="1444" w:type="dxa"/>
            <w:vMerge/>
          </w:tcPr>
          <w:p w:rsidR="00644CF1" w:rsidRDefault="00644CF1" w:rsidP="00235234"/>
        </w:tc>
      </w:tr>
      <w:tr w:rsidR="00644CF1" w:rsidTr="00225C27">
        <w:trPr>
          <w:cantSplit/>
          <w:trHeight w:val="66"/>
          <w:jc w:val="center"/>
        </w:trPr>
        <w:tc>
          <w:tcPr>
            <w:tcW w:w="1358" w:type="dxa"/>
            <w:vMerge/>
          </w:tcPr>
          <w:p w:rsidR="00644CF1" w:rsidRDefault="00644CF1" w:rsidP="00255AA3">
            <w:pPr>
              <w:pStyle w:val="E3Tabletext"/>
            </w:pPr>
          </w:p>
        </w:tc>
        <w:tc>
          <w:tcPr>
            <w:tcW w:w="2351" w:type="dxa"/>
            <w:gridSpan w:val="7"/>
          </w:tcPr>
          <w:p w:rsidR="00644CF1" w:rsidRDefault="00644CF1" w:rsidP="00255AA3">
            <w:pPr>
              <w:pStyle w:val="E3Tabletext"/>
            </w:pPr>
            <w:r w:rsidRPr="00303D8F">
              <w:t>5700</w:t>
            </w:r>
          </w:p>
        </w:tc>
        <w:tc>
          <w:tcPr>
            <w:tcW w:w="2351" w:type="dxa"/>
            <w:gridSpan w:val="6"/>
          </w:tcPr>
          <w:p w:rsidR="00644CF1" w:rsidRDefault="00644CF1" w:rsidP="00255AA3">
            <w:pPr>
              <w:pStyle w:val="E3Tabletext"/>
            </w:pPr>
            <w:r w:rsidRPr="00303D8F">
              <w:t xml:space="preserve">5665 </w:t>
            </w:r>
            <w:r>
              <w:t>±</w:t>
            </w:r>
            <w:r w:rsidRPr="00303D8F">
              <w:t xml:space="preserve"> 355</w:t>
            </w:r>
          </w:p>
        </w:tc>
        <w:tc>
          <w:tcPr>
            <w:tcW w:w="2351" w:type="dxa"/>
            <w:gridSpan w:val="6"/>
          </w:tcPr>
          <w:p w:rsidR="00644CF1" w:rsidRDefault="00644CF1" w:rsidP="00255AA3">
            <w:pPr>
              <w:pStyle w:val="E3Tabletext"/>
            </w:pPr>
            <w:r w:rsidRPr="00F32725">
              <w:t xml:space="preserve">0.002 </w:t>
            </w:r>
            <w:r>
              <w:t>±</w:t>
            </w:r>
            <w:r w:rsidRPr="00F32725">
              <w:t xml:space="preserve"> 0.006</w:t>
            </w:r>
          </w:p>
        </w:tc>
        <w:tc>
          <w:tcPr>
            <w:tcW w:w="1444" w:type="dxa"/>
            <w:vMerge/>
          </w:tcPr>
          <w:p w:rsidR="00644CF1" w:rsidRDefault="00644CF1" w:rsidP="00235234"/>
        </w:tc>
      </w:tr>
      <w:tr w:rsidR="00644CF1" w:rsidTr="00225C27">
        <w:trPr>
          <w:cantSplit/>
          <w:trHeight w:val="66"/>
          <w:jc w:val="center"/>
        </w:trPr>
        <w:tc>
          <w:tcPr>
            <w:tcW w:w="1358" w:type="dxa"/>
            <w:vMerge/>
          </w:tcPr>
          <w:p w:rsidR="00644CF1" w:rsidRDefault="00644CF1" w:rsidP="00255AA3">
            <w:pPr>
              <w:pStyle w:val="E3Tabletext"/>
            </w:pPr>
          </w:p>
        </w:tc>
        <w:tc>
          <w:tcPr>
            <w:tcW w:w="2351" w:type="dxa"/>
            <w:gridSpan w:val="7"/>
          </w:tcPr>
          <w:p w:rsidR="00644CF1" w:rsidRDefault="00644CF1" w:rsidP="00255AA3">
            <w:pPr>
              <w:pStyle w:val="E3Tabletext"/>
            </w:pPr>
            <w:r w:rsidRPr="00303D8F">
              <w:t>6500</w:t>
            </w:r>
          </w:p>
        </w:tc>
        <w:tc>
          <w:tcPr>
            <w:tcW w:w="2351" w:type="dxa"/>
            <w:gridSpan w:val="6"/>
          </w:tcPr>
          <w:p w:rsidR="00644CF1" w:rsidRDefault="00644CF1" w:rsidP="00255AA3">
            <w:pPr>
              <w:pStyle w:val="E3Tabletext"/>
            </w:pPr>
            <w:r w:rsidRPr="00303D8F">
              <w:t xml:space="preserve">6530 </w:t>
            </w:r>
            <w:r>
              <w:t>±</w:t>
            </w:r>
            <w:r w:rsidRPr="00303D8F">
              <w:t xml:space="preserve"> 510</w:t>
            </w:r>
          </w:p>
        </w:tc>
        <w:tc>
          <w:tcPr>
            <w:tcW w:w="2351" w:type="dxa"/>
            <w:gridSpan w:val="6"/>
          </w:tcPr>
          <w:p w:rsidR="00644CF1" w:rsidRDefault="00644CF1" w:rsidP="00255AA3">
            <w:pPr>
              <w:pStyle w:val="E3Tabletext"/>
            </w:pPr>
            <w:r w:rsidRPr="00F32725">
              <w:t xml:space="preserve">0.003 </w:t>
            </w:r>
            <w:r>
              <w:t>±</w:t>
            </w:r>
            <w:r w:rsidRPr="00F32725">
              <w:t xml:space="preserve"> 0.006</w:t>
            </w:r>
          </w:p>
        </w:tc>
        <w:tc>
          <w:tcPr>
            <w:tcW w:w="1444" w:type="dxa"/>
            <w:vMerge/>
          </w:tcPr>
          <w:p w:rsidR="00644CF1" w:rsidRDefault="00644CF1" w:rsidP="00235234"/>
        </w:tc>
      </w:tr>
      <w:tr w:rsidR="00644CF1" w:rsidTr="00225C27">
        <w:trPr>
          <w:cantSplit/>
          <w:trHeight w:val="66"/>
          <w:jc w:val="center"/>
        </w:trPr>
        <w:tc>
          <w:tcPr>
            <w:tcW w:w="1358" w:type="dxa"/>
            <w:vMerge/>
          </w:tcPr>
          <w:p w:rsidR="00644CF1" w:rsidRDefault="00644CF1" w:rsidP="00255AA3">
            <w:pPr>
              <w:pStyle w:val="E3Tabletext"/>
            </w:pPr>
          </w:p>
        </w:tc>
        <w:tc>
          <w:tcPr>
            <w:tcW w:w="2351" w:type="dxa"/>
            <w:gridSpan w:val="7"/>
          </w:tcPr>
          <w:p w:rsidR="00644CF1" w:rsidRDefault="00644CF1" w:rsidP="00255AA3">
            <w:pPr>
              <w:pStyle w:val="E3Tabletext"/>
            </w:pPr>
            <w:r>
              <w:t xml:space="preserve">Flexible CCT </w:t>
            </w:r>
          </w:p>
          <w:p w:rsidR="00644CF1" w:rsidRDefault="00644CF1" w:rsidP="00255AA3">
            <w:pPr>
              <w:pStyle w:val="E3Tabletext"/>
            </w:pPr>
            <w:r>
              <w:t>(2700-6500 K)</w:t>
            </w:r>
          </w:p>
        </w:tc>
        <w:tc>
          <w:tcPr>
            <w:tcW w:w="2351" w:type="dxa"/>
            <w:gridSpan w:val="6"/>
          </w:tcPr>
          <w:p w:rsidR="00644CF1" w:rsidRDefault="00644CF1" w:rsidP="00255AA3">
            <w:pPr>
              <w:pStyle w:val="E3Tabletext"/>
            </w:pPr>
            <w:r>
              <w:t xml:space="preserve">T ± </w:t>
            </w:r>
            <w:r>
              <w:sym w:font="Symbol" w:char="F044"/>
            </w:r>
            <w:r>
              <w:t xml:space="preserve">T  </w:t>
            </w:r>
          </w:p>
          <w:p w:rsidR="00644CF1" w:rsidRDefault="00644CF1" w:rsidP="00255AA3">
            <w:pPr>
              <w:pStyle w:val="E3Tabletext"/>
            </w:pPr>
            <w:r>
              <w:t xml:space="preserve">T is chosen from 100 K steps (2800, 2900,..., 6400 K) </w:t>
            </w:r>
          </w:p>
          <w:p w:rsidR="00644CF1" w:rsidRDefault="00644CF1" w:rsidP="00255AA3">
            <w:pPr>
              <w:pStyle w:val="E3Tabletext"/>
            </w:pPr>
            <w:r>
              <w:sym w:font="Symbol" w:char="F044"/>
            </w:r>
            <w:r>
              <w:t>T=1.08*10</w:t>
            </w:r>
            <w:r>
              <w:rPr>
                <w:vertAlign w:val="superscript"/>
              </w:rPr>
              <w:t>-5</w:t>
            </w:r>
            <w:r>
              <w:t xml:space="preserve"> xT</w:t>
            </w:r>
            <w:r w:rsidRPr="00F32725">
              <w:rPr>
                <w:vertAlign w:val="superscript"/>
              </w:rPr>
              <w:t>2</w:t>
            </w:r>
            <w:r>
              <w:t xml:space="preserve"> + 0.0262 xT + 8.</w:t>
            </w:r>
          </w:p>
        </w:tc>
        <w:tc>
          <w:tcPr>
            <w:tcW w:w="2351" w:type="dxa"/>
            <w:gridSpan w:val="6"/>
          </w:tcPr>
          <w:p w:rsidR="00644CF1" w:rsidRDefault="00644CF1" w:rsidP="00255AA3">
            <w:pPr>
              <w:pStyle w:val="E3Tabletext"/>
            </w:pPr>
            <w:r>
              <w:t>Duv ± 0.006</w:t>
            </w:r>
          </w:p>
          <w:p w:rsidR="00644CF1" w:rsidRDefault="00644CF1" w:rsidP="00255AA3">
            <w:pPr>
              <w:pStyle w:val="E3Tabletext"/>
            </w:pPr>
            <w:r>
              <w:t>Duv =7700x(1/T)</w:t>
            </w:r>
            <w:r w:rsidRPr="00F32725">
              <w:rPr>
                <w:vertAlign w:val="superscript"/>
              </w:rPr>
              <w:t>2</w:t>
            </w:r>
            <w:r>
              <w:t xml:space="preserve"> – 44.6x(1/T) + 0.0085</w:t>
            </w:r>
          </w:p>
        </w:tc>
        <w:tc>
          <w:tcPr>
            <w:tcW w:w="1444" w:type="dxa"/>
            <w:vMerge/>
          </w:tcPr>
          <w:p w:rsidR="00644CF1" w:rsidRDefault="00644CF1" w:rsidP="00235234"/>
        </w:tc>
      </w:tr>
      <w:tr w:rsidR="00644CF1" w:rsidTr="00225C27">
        <w:trPr>
          <w:cantSplit/>
          <w:jc w:val="center"/>
        </w:trPr>
        <w:tc>
          <w:tcPr>
            <w:tcW w:w="1358" w:type="dxa"/>
          </w:tcPr>
          <w:p w:rsidR="00644CF1" w:rsidRPr="00E647FE" w:rsidRDefault="00644CF1" w:rsidP="00255AA3">
            <w:pPr>
              <w:pStyle w:val="E3Tabletext"/>
              <w:rPr>
                <w:color w:val="FF0000"/>
              </w:rPr>
            </w:pPr>
            <w:r w:rsidRPr="00F32725">
              <w:t xml:space="preserve">Colour </w:t>
            </w:r>
            <w:r>
              <w:t>shift</w:t>
            </w:r>
          </w:p>
        </w:tc>
        <w:tc>
          <w:tcPr>
            <w:tcW w:w="7053" w:type="dxa"/>
            <w:gridSpan w:val="19"/>
          </w:tcPr>
          <w:p w:rsidR="00644CF1" w:rsidRDefault="00644CF1" w:rsidP="00255AA3">
            <w:pPr>
              <w:pStyle w:val="E3Tabletext"/>
            </w:pPr>
            <w:r>
              <w:t>≤ 0.007 on the CIE 1976 u’v’ diagram</w:t>
            </w:r>
          </w:p>
        </w:tc>
        <w:tc>
          <w:tcPr>
            <w:tcW w:w="1444" w:type="dxa"/>
            <w:vMerge/>
          </w:tcPr>
          <w:p w:rsidR="00644CF1" w:rsidRDefault="00644CF1" w:rsidP="00235234"/>
        </w:tc>
      </w:tr>
      <w:tr w:rsidR="00644CF1" w:rsidTr="00225C27">
        <w:trPr>
          <w:cantSplit/>
          <w:trHeight w:val="72"/>
          <w:jc w:val="center"/>
        </w:trPr>
        <w:tc>
          <w:tcPr>
            <w:tcW w:w="1358" w:type="dxa"/>
            <w:vMerge w:val="restart"/>
          </w:tcPr>
          <w:p w:rsidR="00644CF1" w:rsidRPr="00F32725" w:rsidRDefault="00644CF1" w:rsidP="00255AA3">
            <w:pPr>
              <w:pStyle w:val="E3Tabletext"/>
            </w:pPr>
            <w:r w:rsidRPr="00CF109C">
              <w:t>Power Factor</w:t>
            </w:r>
          </w:p>
        </w:tc>
        <w:tc>
          <w:tcPr>
            <w:tcW w:w="3526" w:type="dxa"/>
            <w:gridSpan w:val="10"/>
          </w:tcPr>
          <w:p w:rsidR="00644CF1" w:rsidRDefault="00644CF1" w:rsidP="00255AA3">
            <w:pPr>
              <w:pStyle w:val="E3Tabletext"/>
            </w:pPr>
            <w:r>
              <w:t>Rated Lamp Wattage (Lw)</w:t>
            </w:r>
          </w:p>
        </w:tc>
        <w:tc>
          <w:tcPr>
            <w:tcW w:w="3527" w:type="dxa"/>
            <w:gridSpan w:val="9"/>
          </w:tcPr>
          <w:p w:rsidR="00644CF1" w:rsidRDefault="00644CF1" w:rsidP="00255AA3">
            <w:pPr>
              <w:pStyle w:val="E3Tabletext"/>
            </w:pPr>
            <w:r>
              <w:t>Minimum Power Factor</w:t>
            </w:r>
          </w:p>
        </w:tc>
        <w:tc>
          <w:tcPr>
            <w:tcW w:w="1444" w:type="dxa"/>
            <w:vMerge/>
          </w:tcPr>
          <w:p w:rsidR="00644CF1" w:rsidRDefault="00644CF1" w:rsidP="00235234"/>
        </w:tc>
      </w:tr>
      <w:tr w:rsidR="00644CF1" w:rsidTr="00225C27">
        <w:trPr>
          <w:cantSplit/>
          <w:trHeight w:val="71"/>
          <w:jc w:val="center"/>
        </w:trPr>
        <w:tc>
          <w:tcPr>
            <w:tcW w:w="1358" w:type="dxa"/>
            <w:vMerge/>
          </w:tcPr>
          <w:p w:rsidR="00644CF1" w:rsidRPr="00CF109C" w:rsidRDefault="00644CF1" w:rsidP="00255AA3">
            <w:pPr>
              <w:pStyle w:val="E3Tabletext"/>
            </w:pPr>
          </w:p>
        </w:tc>
        <w:tc>
          <w:tcPr>
            <w:tcW w:w="3526" w:type="dxa"/>
            <w:gridSpan w:val="10"/>
          </w:tcPr>
          <w:p w:rsidR="00644CF1" w:rsidRDefault="00644CF1" w:rsidP="00255AA3">
            <w:pPr>
              <w:pStyle w:val="E3Tabletext"/>
            </w:pPr>
            <w:r>
              <w:t>Lw ≤ 5W</w:t>
            </w:r>
          </w:p>
        </w:tc>
        <w:tc>
          <w:tcPr>
            <w:tcW w:w="3527" w:type="dxa"/>
            <w:gridSpan w:val="9"/>
          </w:tcPr>
          <w:p w:rsidR="00644CF1" w:rsidRDefault="00644CF1" w:rsidP="00255AA3">
            <w:pPr>
              <w:pStyle w:val="E3Tabletext"/>
            </w:pPr>
            <w:r>
              <w:t>0.5</w:t>
            </w:r>
          </w:p>
        </w:tc>
        <w:tc>
          <w:tcPr>
            <w:tcW w:w="1444" w:type="dxa"/>
            <w:vMerge/>
          </w:tcPr>
          <w:p w:rsidR="00644CF1" w:rsidRDefault="00644CF1" w:rsidP="00235234"/>
        </w:tc>
      </w:tr>
      <w:tr w:rsidR="00644CF1" w:rsidTr="00225C27">
        <w:trPr>
          <w:cantSplit/>
          <w:trHeight w:val="71"/>
          <w:jc w:val="center"/>
        </w:trPr>
        <w:tc>
          <w:tcPr>
            <w:tcW w:w="1358" w:type="dxa"/>
            <w:vMerge/>
          </w:tcPr>
          <w:p w:rsidR="00644CF1" w:rsidRPr="00CF109C" w:rsidRDefault="00644CF1" w:rsidP="00255AA3">
            <w:pPr>
              <w:pStyle w:val="E3Tabletext"/>
            </w:pPr>
          </w:p>
        </w:tc>
        <w:tc>
          <w:tcPr>
            <w:tcW w:w="3526" w:type="dxa"/>
            <w:gridSpan w:val="10"/>
          </w:tcPr>
          <w:p w:rsidR="00644CF1" w:rsidRDefault="00644CF1" w:rsidP="00255AA3">
            <w:pPr>
              <w:pStyle w:val="E3Tabletext"/>
            </w:pPr>
            <w:r>
              <w:t> 5W &lt;Lw ≤ 25W</w:t>
            </w:r>
          </w:p>
        </w:tc>
        <w:tc>
          <w:tcPr>
            <w:tcW w:w="3527" w:type="dxa"/>
            <w:gridSpan w:val="9"/>
          </w:tcPr>
          <w:p w:rsidR="00644CF1" w:rsidRDefault="00644CF1" w:rsidP="00255AA3">
            <w:pPr>
              <w:pStyle w:val="E3Tabletext"/>
            </w:pPr>
            <w:r>
              <w:t>0.7</w:t>
            </w:r>
          </w:p>
        </w:tc>
        <w:tc>
          <w:tcPr>
            <w:tcW w:w="1444" w:type="dxa"/>
            <w:vMerge/>
          </w:tcPr>
          <w:p w:rsidR="00644CF1" w:rsidRDefault="00644CF1" w:rsidP="00235234"/>
        </w:tc>
      </w:tr>
      <w:tr w:rsidR="00644CF1" w:rsidTr="00225C27">
        <w:trPr>
          <w:cantSplit/>
          <w:trHeight w:val="71"/>
          <w:jc w:val="center"/>
        </w:trPr>
        <w:tc>
          <w:tcPr>
            <w:tcW w:w="1358" w:type="dxa"/>
            <w:vMerge/>
          </w:tcPr>
          <w:p w:rsidR="00644CF1" w:rsidRPr="00CF109C" w:rsidRDefault="00644CF1" w:rsidP="00255AA3">
            <w:pPr>
              <w:pStyle w:val="E3Tabletext"/>
            </w:pPr>
          </w:p>
        </w:tc>
        <w:tc>
          <w:tcPr>
            <w:tcW w:w="3526" w:type="dxa"/>
            <w:gridSpan w:val="10"/>
          </w:tcPr>
          <w:p w:rsidR="00644CF1" w:rsidRDefault="00644CF1" w:rsidP="00255AA3">
            <w:pPr>
              <w:pStyle w:val="E3Tabletext"/>
            </w:pPr>
            <w:r>
              <w:t>25W &lt;Lw</w:t>
            </w:r>
          </w:p>
        </w:tc>
        <w:tc>
          <w:tcPr>
            <w:tcW w:w="3527" w:type="dxa"/>
            <w:gridSpan w:val="9"/>
          </w:tcPr>
          <w:p w:rsidR="00644CF1" w:rsidRDefault="00644CF1" w:rsidP="00255AA3">
            <w:pPr>
              <w:pStyle w:val="E3Tabletext"/>
            </w:pPr>
            <w:r>
              <w:t>0.9</w:t>
            </w:r>
          </w:p>
        </w:tc>
        <w:tc>
          <w:tcPr>
            <w:tcW w:w="1444" w:type="dxa"/>
            <w:vMerge/>
          </w:tcPr>
          <w:p w:rsidR="00644CF1" w:rsidRDefault="00644CF1" w:rsidP="00235234"/>
        </w:tc>
      </w:tr>
      <w:tr w:rsidR="00644CF1" w:rsidTr="00225C27">
        <w:trPr>
          <w:cantSplit/>
          <w:jc w:val="center"/>
        </w:trPr>
        <w:tc>
          <w:tcPr>
            <w:tcW w:w="1358" w:type="dxa"/>
          </w:tcPr>
          <w:p w:rsidR="00644CF1" w:rsidRPr="00CF109C" w:rsidRDefault="00644CF1" w:rsidP="00255AA3">
            <w:pPr>
              <w:pStyle w:val="E3Tabletext"/>
            </w:pPr>
            <w:r>
              <w:t>Switching withstand</w:t>
            </w:r>
          </w:p>
        </w:tc>
        <w:tc>
          <w:tcPr>
            <w:tcW w:w="7053" w:type="dxa"/>
            <w:gridSpan w:val="19"/>
          </w:tcPr>
          <w:p w:rsidR="00644CF1" w:rsidRPr="00644CF1" w:rsidRDefault="00644CF1" w:rsidP="00255AA3">
            <w:pPr>
              <w:pStyle w:val="E3Tabletext"/>
            </w:pPr>
            <w:r w:rsidRPr="00644CF1">
              <w:t>Switching cycles before failure &gt; the greater of 10,000 cycles or half rated life in hours</w:t>
            </w:r>
          </w:p>
        </w:tc>
        <w:tc>
          <w:tcPr>
            <w:tcW w:w="1444" w:type="dxa"/>
            <w:vMerge/>
          </w:tcPr>
          <w:p w:rsidR="00644CF1" w:rsidRDefault="00644CF1" w:rsidP="00235234"/>
        </w:tc>
      </w:tr>
    </w:tbl>
    <w:p w:rsidR="00225C27" w:rsidRDefault="00225C27" w:rsidP="00225C27">
      <w:pPr>
        <w:pStyle w:val="E3BodyText"/>
      </w:pPr>
      <w:bookmarkStart w:id="313" w:name="_Toc389123364"/>
    </w:p>
    <w:p w:rsidR="00334066" w:rsidRDefault="00334066" w:rsidP="00E65B09">
      <w:pPr>
        <w:pStyle w:val="E3Heading3"/>
        <w:numPr>
          <w:ilvl w:val="0"/>
          <w:numId w:val="0"/>
        </w:numPr>
        <w:ind w:left="864" w:hanging="864"/>
      </w:pPr>
      <w:r>
        <w:lastRenderedPageBreak/>
        <w:t>Chile</w:t>
      </w:r>
      <w:bookmarkEnd w:id="313"/>
    </w:p>
    <w:p w:rsidR="00334066" w:rsidRPr="00EE2DCC" w:rsidRDefault="00225C27" w:rsidP="00225C27">
      <w:pPr>
        <w:pStyle w:val="E3BodyText"/>
        <w:jc w:val="center"/>
        <w:rPr>
          <w:lang w:eastAsia="en-AU"/>
        </w:rPr>
      </w:pPr>
      <w:r>
        <w:rPr>
          <w:noProof/>
          <w:lang w:eastAsia="en-AU"/>
        </w:rPr>
        <w:drawing>
          <wp:inline distT="0" distB="0" distL="0" distR="0" wp14:anchorId="364090BC" wp14:editId="65FD4C9E">
            <wp:extent cx="4972050" cy="3562350"/>
            <wp:effectExtent l="0" t="0" r="0" b="0"/>
            <wp:docPr id="37" name="Picture 37" descr="Diagram displaying the Flow of HEPS, Endorsement Label, MEPS, Comparative Label.&#10;&#10;Comparative Label are broken down into the following:&#10;- No Energy Efficiency&#10;-Light quality parameters&#10;-Electrical quality paramaters&#10;-Product Quality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rotWithShape="1">
                    <a:blip r:embed="rId137" cstate="print">
                      <a:extLst>
                        <a:ext uri="{28A0092B-C50C-407E-A947-70E740481C1C}">
                          <a14:useLocalDpi xmlns:a14="http://schemas.microsoft.com/office/drawing/2010/main" val="0"/>
                        </a:ext>
                      </a:extLst>
                    </a:blip>
                    <a:srcRect l="14619" t="8056" r="4199" b="8252"/>
                    <a:stretch/>
                  </pic:blipFill>
                  <pic:spPr bwMode="auto">
                    <a:xfrm>
                      <a:off x="0" y="0"/>
                      <a:ext cx="4968957" cy="3560134"/>
                    </a:xfrm>
                    <a:prstGeom prst="rect">
                      <a:avLst/>
                    </a:prstGeom>
                    <a:ln>
                      <a:noFill/>
                    </a:ln>
                    <a:extLst>
                      <a:ext uri="{53640926-AAD7-44D8-BBD7-CCE9431645EC}">
                        <a14:shadowObscured xmlns:a14="http://schemas.microsoft.com/office/drawing/2010/main"/>
                      </a:ext>
                    </a:extLst>
                  </pic:spPr>
                </pic:pic>
              </a:graphicData>
            </a:graphic>
          </wp:inline>
        </w:drawing>
      </w:r>
    </w:p>
    <w:p w:rsidR="00334066" w:rsidRPr="00310986" w:rsidRDefault="00334066" w:rsidP="00E65B09">
      <w:pPr>
        <w:pStyle w:val="E3Heading4"/>
        <w:numPr>
          <w:ilvl w:val="0"/>
          <w:numId w:val="0"/>
        </w:numPr>
        <w:ind w:left="1008" w:hanging="1008"/>
        <w:rPr>
          <w:lang w:eastAsia="en-AU"/>
        </w:rPr>
      </w:pPr>
      <w:r w:rsidRPr="00310986">
        <w:rPr>
          <w:lang w:eastAsia="en-AU"/>
        </w:rPr>
        <w:t>Scope</w:t>
      </w:r>
    </w:p>
    <w:p w:rsidR="00334066" w:rsidRDefault="00334066" w:rsidP="004F16E7">
      <w:pPr>
        <w:pStyle w:val="E3BodyText"/>
      </w:pPr>
      <w:r>
        <w:t>E</w:t>
      </w:r>
      <w:r w:rsidRPr="00D00F31">
        <w:t xml:space="preserve">stablishes the certification process efficiency for self-ballasted LED lamps for domestic and similar general lighting purposes, </w:t>
      </w:r>
    </w:p>
    <w:p w:rsidR="00334066" w:rsidRDefault="00334066" w:rsidP="00F1452F">
      <w:pPr>
        <w:pStyle w:val="E3BodyText"/>
        <w:numPr>
          <w:ilvl w:val="0"/>
          <w:numId w:val="18"/>
        </w:numPr>
      </w:pPr>
      <w:r w:rsidRPr="00D00F31">
        <w:t xml:space="preserve">with power ratings up to 60 Watts, </w:t>
      </w:r>
    </w:p>
    <w:p w:rsidR="00334066" w:rsidRDefault="00334066" w:rsidP="00F1452F">
      <w:pPr>
        <w:pStyle w:val="E3BodyText"/>
        <w:numPr>
          <w:ilvl w:val="0"/>
          <w:numId w:val="18"/>
        </w:numPr>
      </w:pPr>
      <w:r w:rsidRPr="00D00F31">
        <w:t xml:space="preserve">a nominal voltage up to 250 volts AC or DC and </w:t>
      </w:r>
    </w:p>
    <w:p w:rsidR="00334066" w:rsidRPr="00B11A33" w:rsidRDefault="00334066" w:rsidP="00F1452F">
      <w:pPr>
        <w:pStyle w:val="E3BodyText"/>
        <w:numPr>
          <w:ilvl w:val="0"/>
          <w:numId w:val="18"/>
        </w:numPr>
        <w:rPr>
          <w:lang w:val="es-ES"/>
        </w:rPr>
      </w:pPr>
      <w:r w:rsidRPr="00B11A33">
        <w:rPr>
          <w:lang w:val="es-ES"/>
        </w:rPr>
        <w:t xml:space="preserve">caps B15d, B22d, E11 , E12, E14, E17, E26, E27, GI.J1 0, GU10 and GX53, </w:t>
      </w:r>
    </w:p>
    <w:p w:rsidR="00334066" w:rsidRDefault="00334066" w:rsidP="004F16E7">
      <w:pPr>
        <w:pStyle w:val="E3BodyText"/>
      </w:pPr>
      <w:r w:rsidRPr="00D00F31">
        <w:t>according to the scope and applicability of the Pro-Standard IEC / PAS 62612 2009-06, "Self-ballasted LED-lamps for general lighting services - Performance Requirements ".</w:t>
      </w:r>
    </w:p>
    <w:p w:rsidR="00334066" w:rsidRPr="00310986" w:rsidRDefault="00334066" w:rsidP="00E65B09">
      <w:pPr>
        <w:pStyle w:val="E3Heading4"/>
        <w:numPr>
          <w:ilvl w:val="0"/>
          <w:numId w:val="0"/>
        </w:numPr>
        <w:ind w:left="1008" w:hanging="1008"/>
        <w:rPr>
          <w:lang w:eastAsia="en-AU"/>
        </w:rPr>
      </w:pPr>
      <w:r>
        <w:rPr>
          <w:lang w:eastAsia="en-AU"/>
        </w:rPr>
        <w:t>Performance requirements</w:t>
      </w:r>
    </w:p>
    <w:tbl>
      <w:tblPr>
        <w:tblStyle w:val="TableGrid"/>
        <w:tblW w:w="0" w:type="auto"/>
        <w:jc w:val="center"/>
        <w:tblLook w:val="04A0" w:firstRow="1" w:lastRow="0" w:firstColumn="1" w:lastColumn="0" w:noHBand="0" w:noVBand="1"/>
      </w:tblPr>
      <w:tblGrid>
        <w:gridCol w:w="1480"/>
        <w:gridCol w:w="5612"/>
        <w:gridCol w:w="2484"/>
      </w:tblGrid>
      <w:tr w:rsidR="00334066" w:rsidTr="00225C27">
        <w:trPr>
          <w:cantSplit/>
          <w:tblHeader/>
          <w:jc w:val="center"/>
        </w:trPr>
        <w:tc>
          <w:tcPr>
            <w:tcW w:w="1480" w:type="dxa"/>
          </w:tcPr>
          <w:p w:rsidR="00334066" w:rsidRDefault="00334066" w:rsidP="004F16E7">
            <w:pPr>
              <w:pStyle w:val="E3TableHeading"/>
            </w:pPr>
            <w:r>
              <w:t>Parameter</w:t>
            </w:r>
          </w:p>
        </w:tc>
        <w:tc>
          <w:tcPr>
            <w:tcW w:w="5612" w:type="dxa"/>
          </w:tcPr>
          <w:p w:rsidR="00334066" w:rsidRDefault="00334066" w:rsidP="004F16E7">
            <w:pPr>
              <w:pStyle w:val="E3TableHeading"/>
            </w:pPr>
            <w:r>
              <w:t>Requirements</w:t>
            </w:r>
          </w:p>
        </w:tc>
        <w:tc>
          <w:tcPr>
            <w:tcW w:w="2484" w:type="dxa"/>
          </w:tcPr>
          <w:p w:rsidR="00334066" w:rsidRDefault="00334066" w:rsidP="004F16E7">
            <w:pPr>
              <w:pStyle w:val="E3TableHeading"/>
            </w:pPr>
            <w:r>
              <w:t>Test Method</w:t>
            </w:r>
          </w:p>
        </w:tc>
      </w:tr>
      <w:tr w:rsidR="00334066" w:rsidTr="00225C27">
        <w:trPr>
          <w:cantSplit/>
          <w:jc w:val="center"/>
        </w:trPr>
        <w:tc>
          <w:tcPr>
            <w:tcW w:w="1480" w:type="dxa"/>
          </w:tcPr>
          <w:p w:rsidR="00334066" w:rsidRDefault="00334066" w:rsidP="00255AA3">
            <w:pPr>
              <w:pStyle w:val="E3Tabletext"/>
            </w:pPr>
            <w:r>
              <w:t>Lamp power</w:t>
            </w:r>
          </w:p>
        </w:tc>
        <w:tc>
          <w:tcPr>
            <w:tcW w:w="5612" w:type="dxa"/>
          </w:tcPr>
          <w:p w:rsidR="00334066" w:rsidRDefault="00334066" w:rsidP="00255AA3">
            <w:pPr>
              <w:pStyle w:val="E3Tabletext"/>
            </w:pPr>
            <w:r>
              <w:t xml:space="preserve">As per IEC/PAS 62 612 2009-06 clause 6 </w:t>
            </w:r>
          </w:p>
        </w:tc>
        <w:tc>
          <w:tcPr>
            <w:tcW w:w="2484" w:type="dxa"/>
            <w:vMerge w:val="restart"/>
          </w:tcPr>
          <w:p w:rsidR="00334066" w:rsidRDefault="00334066" w:rsidP="00255AA3">
            <w:pPr>
              <w:pStyle w:val="E3Tabletext"/>
            </w:pPr>
            <w:r>
              <w:t>IEC/PAS 62 612 2009-06</w:t>
            </w:r>
          </w:p>
          <w:p w:rsidR="00334066" w:rsidRDefault="00334066" w:rsidP="00255AA3">
            <w:pPr>
              <w:pStyle w:val="E3Tabletext"/>
            </w:pPr>
          </w:p>
        </w:tc>
      </w:tr>
      <w:tr w:rsidR="00334066" w:rsidTr="00225C27">
        <w:trPr>
          <w:cantSplit/>
          <w:jc w:val="center"/>
        </w:trPr>
        <w:tc>
          <w:tcPr>
            <w:tcW w:w="1480" w:type="dxa"/>
          </w:tcPr>
          <w:p w:rsidR="00334066" w:rsidRDefault="00334066" w:rsidP="00255AA3">
            <w:pPr>
              <w:pStyle w:val="E3Tabletext"/>
            </w:pPr>
            <w:r>
              <w:t>Luminous flux</w:t>
            </w:r>
          </w:p>
        </w:tc>
        <w:tc>
          <w:tcPr>
            <w:tcW w:w="5612" w:type="dxa"/>
          </w:tcPr>
          <w:p w:rsidR="00334066" w:rsidRDefault="00334066" w:rsidP="00255AA3">
            <w:pPr>
              <w:pStyle w:val="E3Tabletext"/>
            </w:pPr>
            <w:r>
              <w:t>As per IEC/PAS 62 612 2009-06 clause 8</w:t>
            </w:r>
          </w:p>
        </w:tc>
        <w:tc>
          <w:tcPr>
            <w:tcW w:w="2484" w:type="dxa"/>
            <w:vMerge/>
          </w:tcPr>
          <w:p w:rsidR="00334066" w:rsidRDefault="00334066" w:rsidP="00255AA3">
            <w:pPr>
              <w:pStyle w:val="E3Tabletext"/>
            </w:pPr>
          </w:p>
        </w:tc>
      </w:tr>
      <w:tr w:rsidR="00334066" w:rsidTr="00225C27">
        <w:trPr>
          <w:cantSplit/>
          <w:jc w:val="center"/>
        </w:trPr>
        <w:tc>
          <w:tcPr>
            <w:tcW w:w="1480" w:type="dxa"/>
          </w:tcPr>
          <w:p w:rsidR="00334066" w:rsidRDefault="00334066" w:rsidP="00255AA3">
            <w:pPr>
              <w:pStyle w:val="E3Tabletext"/>
            </w:pPr>
            <w:r>
              <w:t>Colour rendering</w:t>
            </w:r>
          </w:p>
        </w:tc>
        <w:tc>
          <w:tcPr>
            <w:tcW w:w="5612" w:type="dxa"/>
          </w:tcPr>
          <w:p w:rsidR="00334066" w:rsidRDefault="00334066" w:rsidP="00255AA3">
            <w:pPr>
              <w:pStyle w:val="E3Tabletext"/>
            </w:pPr>
            <w:r>
              <w:t xml:space="preserve">As per IEC/PAS 62 612 2009-06 clause 9 </w:t>
            </w:r>
          </w:p>
          <w:p w:rsidR="00334066" w:rsidRDefault="00334066" w:rsidP="00255AA3">
            <w:pPr>
              <w:pStyle w:val="E3Tabletext"/>
            </w:pPr>
            <w:r>
              <w:t>Except that test conducted at 25% of stated lamp life up to a maximum of 6,000 h</w:t>
            </w:r>
          </w:p>
        </w:tc>
        <w:tc>
          <w:tcPr>
            <w:tcW w:w="2484" w:type="dxa"/>
            <w:vMerge/>
          </w:tcPr>
          <w:p w:rsidR="00334066" w:rsidRDefault="00334066" w:rsidP="00255AA3">
            <w:pPr>
              <w:pStyle w:val="E3Tabletext"/>
            </w:pPr>
          </w:p>
        </w:tc>
      </w:tr>
      <w:tr w:rsidR="00334066" w:rsidTr="00225C27">
        <w:trPr>
          <w:cantSplit/>
          <w:jc w:val="center"/>
        </w:trPr>
        <w:tc>
          <w:tcPr>
            <w:tcW w:w="1480" w:type="dxa"/>
          </w:tcPr>
          <w:p w:rsidR="00334066" w:rsidRDefault="00334066" w:rsidP="00255AA3">
            <w:pPr>
              <w:pStyle w:val="E3Tabletext"/>
            </w:pPr>
            <w:r>
              <w:t>Colour temperature</w:t>
            </w:r>
          </w:p>
        </w:tc>
        <w:tc>
          <w:tcPr>
            <w:tcW w:w="5612" w:type="dxa"/>
          </w:tcPr>
          <w:p w:rsidR="00334066" w:rsidRDefault="00334066" w:rsidP="00255AA3">
            <w:pPr>
              <w:pStyle w:val="E3Tabletext"/>
            </w:pPr>
            <w:r>
              <w:t xml:space="preserve">As per IEC/PAS 62 612 2009-06 clause 9 </w:t>
            </w:r>
          </w:p>
          <w:p w:rsidR="00334066" w:rsidRDefault="00334066" w:rsidP="00255AA3">
            <w:pPr>
              <w:pStyle w:val="E3Tabletext"/>
            </w:pPr>
            <w:r>
              <w:t>Except that test conducted at 25% of stated lamp life up to a maximum of 6,000 h</w:t>
            </w:r>
          </w:p>
        </w:tc>
        <w:tc>
          <w:tcPr>
            <w:tcW w:w="2484" w:type="dxa"/>
            <w:vMerge/>
          </w:tcPr>
          <w:p w:rsidR="00334066" w:rsidRDefault="00334066" w:rsidP="00255AA3">
            <w:pPr>
              <w:pStyle w:val="E3Tabletext"/>
            </w:pPr>
          </w:p>
        </w:tc>
      </w:tr>
      <w:tr w:rsidR="00334066" w:rsidTr="00225C27">
        <w:trPr>
          <w:cantSplit/>
          <w:jc w:val="center"/>
        </w:trPr>
        <w:tc>
          <w:tcPr>
            <w:tcW w:w="1480" w:type="dxa"/>
          </w:tcPr>
          <w:p w:rsidR="00334066" w:rsidRDefault="00334066" w:rsidP="00255AA3">
            <w:pPr>
              <w:pStyle w:val="E3Tabletext"/>
            </w:pPr>
            <w:r>
              <w:t>Lamp Life (Lumen Maintenance)</w:t>
            </w:r>
          </w:p>
        </w:tc>
        <w:tc>
          <w:tcPr>
            <w:tcW w:w="5612" w:type="dxa"/>
          </w:tcPr>
          <w:p w:rsidR="00334066" w:rsidRDefault="00334066" w:rsidP="00255AA3">
            <w:pPr>
              <w:pStyle w:val="E3Tabletext"/>
            </w:pPr>
            <w:r>
              <w:t xml:space="preserve">As per IEC/PAS 62 612 2009-06 clause 10.1 </w:t>
            </w:r>
          </w:p>
          <w:p w:rsidR="00334066" w:rsidRDefault="00334066" w:rsidP="00255AA3">
            <w:pPr>
              <w:pStyle w:val="E3Tabletext"/>
            </w:pPr>
            <w:r>
              <w:t>Except that test conducted at 25% of stated lamp life up to a maximum of 6,000 h</w:t>
            </w:r>
          </w:p>
        </w:tc>
        <w:tc>
          <w:tcPr>
            <w:tcW w:w="2484" w:type="dxa"/>
            <w:vMerge/>
          </w:tcPr>
          <w:p w:rsidR="00334066" w:rsidRDefault="00334066" w:rsidP="00255AA3">
            <w:pPr>
              <w:pStyle w:val="E3Tabletext"/>
            </w:pPr>
          </w:p>
        </w:tc>
      </w:tr>
    </w:tbl>
    <w:p w:rsidR="00225C27" w:rsidRDefault="00225C27" w:rsidP="00225C27">
      <w:pPr>
        <w:pStyle w:val="E3BodyText"/>
      </w:pPr>
      <w:bookmarkStart w:id="314" w:name="_Toc389123365"/>
    </w:p>
    <w:p w:rsidR="00334066" w:rsidRDefault="00334066" w:rsidP="00E65B09">
      <w:pPr>
        <w:pStyle w:val="E3Heading3"/>
        <w:numPr>
          <w:ilvl w:val="0"/>
          <w:numId w:val="0"/>
        </w:numPr>
        <w:ind w:left="864" w:hanging="864"/>
      </w:pPr>
      <w:r>
        <w:lastRenderedPageBreak/>
        <w:t>China</w:t>
      </w:r>
      <w:bookmarkEnd w:id="314"/>
    </w:p>
    <w:p w:rsidR="00334066" w:rsidRPr="00EE2DCC" w:rsidRDefault="00D05607" w:rsidP="00225C27">
      <w:pPr>
        <w:pStyle w:val="E3BodyIntroductionText"/>
        <w:jc w:val="center"/>
        <w:rPr>
          <w:lang w:eastAsia="en-AU"/>
        </w:rPr>
      </w:pPr>
      <w:r>
        <w:rPr>
          <w:noProof/>
          <w:lang w:eastAsia="en-AU"/>
        </w:rPr>
        <w:drawing>
          <wp:inline distT="0" distB="0" distL="0" distR="0" wp14:anchorId="41713ED0" wp14:editId="30837D3E">
            <wp:extent cx="5183893" cy="5334000"/>
            <wp:effectExtent l="0" t="0" r="0" b="0"/>
            <wp:docPr id="16" name="Picture 16" descr="Diagram displaying the Flow of HEPS, Endorsement Label, MEPS, Comparative Lab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85920" cy="5336086"/>
                    </a:xfrm>
                    <a:prstGeom prst="rect">
                      <a:avLst/>
                    </a:prstGeom>
                    <a:noFill/>
                  </pic:spPr>
                </pic:pic>
              </a:graphicData>
            </a:graphic>
          </wp:inline>
        </w:drawing>
      </w:r>
    </w:p>
    <w:p w:rsidR="00334066" w:rsidRPr="00B57139" w:rsidRDefault="00334066" w:rsidP="00E65B09">
      <w:pPr>
        <w:pStyle w:val="E3Heading4"/>
        <w:numPr>
          <w:ilvl w:val="0"/>
          <w:numId w:val="0"/>
        </w:numPr>
        <w:ind w:left="1008" w:hanging="1008"/>
      </w:pPr>
      <w:bookmarkStart w:id="315" w:name="_Toc389123366"/>
      <w:r w:rsidRPr="000606A3">
        <w:t xml:space="preserve">GB/T </w:t>
      </w:r>
      <w:r w:rsidRPr="00402E45">
        <w:t>24908</w:t>
      </w:r>
      <w:r w:rsidRPr="000606A3">
        <w:t>-2010: Performance requirements for self-ballasted LED lamps for general lighting</w:t>
      </w:r>
      <w:bookmarkEnd w:id="315"/>
    </w:p>
    <w:p w:rsidR="00334066" w:rsidRPr="00310986" w:rsidRDefault="00334066" w:rsidP="00E65B09">
      <w:pPr>
        <w:pStyle w:val="E3Heading4"/>
        <w:numPr>
          <w:ilvl w:val="0"/>
          <w:numId w:val="0"/>
        </w:numPr>
        <w:ind w:left="1008" w:hanging="1008"/>
        <w:rPr>
          <w:lang w:eastAsia="en-AU"/>
        </w:rPr>
      </w:pPr>
      <w:r w:rsidRPr="00310986">
        <w:rPr>
          <w:lang w:eastAsia="en-AU"/>
        </w:rPr>
        <w:t>Scope</w:t>
      </w:r>
    </w:p>
    <w:p w:rsidR="00334066" w:rsidRDefault="00334066" w:rsidP="00743927">
      <w:pPr>
        <w:pStyle w:val="E3BodyText"/>
      </w:pPr>
      <w:r>
        <w:t>S</w:t>
      </w:r>
      <w:r w:rsidRPr="008D0AE1">
        <w:t xml:space="preserve">elf-ballasted LED lamps used for domestic and similar general lighting purpose, having: </w:t>
      </w:r>
    </w:p>
    <w:p w:rsidR="00334066" w:rsidRDefault="00334066" w:rsidP="00F1452F">
      <w:pPr>
        <w:pStyle w:val="E3BodyText"/>
        <w:numPr>
          <w:ilvl w:val="0"/>
          <w:numId w:val="19"/>
        </w:numPr>
      </w:pPr>
      <w:r w:rsidRPr="008D0AE1">
        <w:t xml:space="preserve">a rated wattage up to 60 W; </w:t>
      </w:r>
    </w:p>
    <w:p w:rsidR="00334066" w:rsidRDefault="00334066" w:rsidP="00F1452F">
      <w:pPr>
        <w:pStyle w:val="E3BodyText"/>
        <w:numPr>
          <w:ilvl w:val="0"/>
          <w:numId w:val="19"/>
        </w:numPr>
      </w:pPr>
      <w:r w:rsidRPr="008D0AE1">
        <w:t xml:space="preserve">a rated voltage of up to 250 V AC or DC; and </w:t>
      </w:r>
    </w:p>
    <w:p w:rsidR="00334066" w:rsidRDefault="00334066" w:rsidP="00F1452F">
      <w:pPr>
        <w:pStyle w:val="E3BodyText"/>
        <w:numPr>
          <w:ilvl w:val="0"/>
          <w:numId w:val="19"/>
        </w:numPr>
      </w:pPr>
      <w:r w:rsidRPr="008D0AE1">
        <w:t>lamp cap according to relevant GB standards.</w:t>
      </w:r>
    </w:p>
    <w:p w:rsidR="00334066" w:rsidRPr="00310986" w:rsidRDefault="00334066" w:rsidP="00E65B09">
      <w:pPr>
        <w:pStyle w:val="E3Heading4"/>
        <w:numPr>
          <w:ilvl w:val="0"/>
          <w:numId w:val="0"/>
        </w:numPr>
        <w:ind w:left="1008" w:hanging="1008"/>
        <w:rPr>
          <w:lang w:eastAsia="en-AU"/>
        </w:rPr>
      </w:pPr>
      <w:r>
        <w:rPr>
          <w:lang w:eastAsia="en-AU"/>
        </w:rPr>
        <w:t>Performance requirements</w:t>
      </w:r>
    </w:p>
    <w:tbl>
      <w:tblPr>
        <w:tblStyle w:val="TableGrid"/>
        <w:tblW w:w="0" w:type="auto"/>
        <w:jc w:val="center"/>
        <w:tblLook w:val="04A0" w:firstRow="1" w:lastRow="0" w:firstColumn="1" w:lastColumn="0" w:noHBand="0" w:noVBand="1"/>
      </w:tblPr>
      <w:tblGrid>
        <w:gridCol w:w="1480"/>
        <w:gridCol w:w="1122"/>
        <w:gridCol w:w="281"/>
        <w:gridCol w:w="841"/>
        <w:gridCol w:w="562"/>
        <w:gridCol w:w="561"/>
        <w:gridCol w:w="842"/>
        <w:gridCol w:w="280"/>
        <w:gridCol w:w="1123"/>
        <w:gridCol w:w="2484"/>
      </w:tblGrid>
      <w:tr w:rsidR="00334066" w:rsidTr="00225C27">
        <w:trPr>
          <w:cantSplit/>
          <w:tblHeader/>
          <w:jc w:val="center"/>
        </w:trPr>
        <w:tc>
          <w:tcPr>
            <w:tcW w:w="1480" w:type="dxa"/>
          </w:tcPr>
          <w:p w:rsidR="00334066" w:rsidRDefault="00334066" w:rsidP="00743927">
            <w:pPr>
              <w:pStyle w:val="E3TableHeading"/>
            </w:pPr>
            <w:r>
              <w:t>Parameter</w:t>
            </w:r>
          </w:p>
        </w:tc>
        <w:tc>
          <w:tcPr>
            <w:tcW w:w="5612" w:type="dxa"/>
            <w:gridSpan w:val="8"/>
          </w:tcPr>
          <w:p w:rsidR="00334066" w:rsidRDefault="00334066" w:rsidP="00743927">
            <w:pPr>
              <w:pStyle w:val="E3TableHeading"/>
            </w:pPr>
            <w:r>
              <w:t>Requirements</w:t>
            </w:r>
          </w:p>
        </w:tc>
        <w:tc>
          <w:tcPr>
            <w:tcW w:w="2484" w:type="dxa"/>
          </w:tcPr>
          <w:p w:rsidR="00334066" w:rsidRDefault="00334066" w:rsidP="00743927">
            <w:pPr>
              <w:pStyle w:val="E3TableHeading"/>
            </w:pPr>
            <w:r>
              <w:t>Test Method</w:t>
            </w:r>
          </w:p>
        </w:tc>
      </w:tr>
      <w:tr w:rsidR="00743927" w:rsidTr="00225C27">
        <w:trPr>
          <w:cantSplit/>
          <w:trHeight w:val="30"/>
          <w:jc w:val="center"/>
        </w:trPr>
        <w:tc>
          <w:tcPr>
            <w:tcW w:w="1480" w:type="dxa"/>
            <w:vMerge w:val="restart"/>
          </w:tcPr>
          <w:p w:rsidR="00743927" w:rsidRDefault="00743927" w:rsidP="00255AA3">
            <w:pPr>
              <w:pStyle w:val="E3Tabletext"/>
            </w:pPr>
            <w:r>
              <w:t>Efficacy</w:t>
            </w:r>
          </w:p>
        </w:tc>
        <w:tc>
          <w:tcPr>
            <w:tcW w:w="1122" w:type="dxa"/>
            <w:vMerge w:val="restart"/>
          </w:tcPr>
          <w:p w:rsidR="00743927" w:rsidRDefault="00743927" w:rsidP="00255AA3">
            <w:pPr>
              <w:pStyle w:val="E3Tabletext"/>
            </w:pPr>
            <w:r>
              <w:t>Rated lamp power, P (W)</w:t>
            </w:r>
          </w:p>
        </w:tc>
        <w:tc>
          <w:tcPr>
            <w:tcW w:w="1122" w:type="dxa"/>
            <w:gridSpan w:val="2"/>
            <w:vMerge w:val="restart"/>
          </w:tcPr>
          <w:p w:rsidR="00743927" w:rsidRDefault="00743927" w:rsidP="00255AA3">
            <w:pPr>
              <w:pStyle w:val="E3Tabletext"/>
            </w:pPr>
            <w:r>
              <w:t>Colour Temp (K)</w:t>
            </w:r>
          </w:p>
        </w:tc>
        <w:tc>
          <w:tcPr>
            <w:tcW w:w="3368" w:type="dxa"/>
            <w:gridSpan w:val="5"/>
          </w:tcPr>
          <w:p w:rsidR="00743927" w:rsidRDefault="00743927" w:rsidP="00255AA3">
            <w:pPr>
              <w:pStyle w:val="E3Tabletext"/>
            </w:pPr>
            <w:r>
              <w:t>Efficacy (lm/W)</w:t>
            </w:r>
          </w:p>
        </w:tc>
        <w:tc>
          <w:tcPr>
            <w:tcW w:w="2484" w:type="dxa"/>
            <w:vMerge w:val="restart"/>
          </w:tcPr>
          <w:p w:rsidR="00743927" w:rsidRDefault="00743927" w:rsidP="00255AA3">
            <w:pPr>
              <w:pStyle w:val="E3Tabletext"/>
            </w:pPr>
            <w:r>
              <w:t>GB/T 24824</w:t>
            </w:r>
          </w:p>
          <w:p w:rsidR="00743927" w:rsidRDefault="00743927" w:rsidP="00743927">
            <w:pPr>
              <w:pStyle w:val="E3TableHeading"/>
            </w:pPr>
          </w:p>
        </w:tc>
      </w:tr>
      <w:tr w:rsidR="00743927" w:rsidTr="00225C27">
        <w:trPr>
          <w:cantSplit/>
          <w:trHeight w:val="27"/>
          <w:jc w:val="center"/>
        </w:trPr>
        <w:tc>
          <w:tcPr>
            <w:tcW w:w="1480" w:type="dxa"/>
            <w:vMerge/>
          </w:tcPr>
          <w:p w:rsidR="00743927" w:rsidRDefault="00743927" w:rsidP="00255AA3">
            <w:pPr>
              <w:pStyle w:val="E3Tabletext"/>
            </w:pPr>
          </w:p>
        </w:tc>
        <w:tc>
          <w:tcPr>
            <w:tcW w:w="1122" w:type="dxa"/>
            <w:vMerge/>
          </w:tcPr>
          <w:p w:rsidR="00743927" w:rsidRDefault="00743927" w:rsidP="00255AA3">
            <w:pPr>
              <w:pStyle w:val="E3Tabletext"/>
            </w:pPr>
          </w:p>
        </w:tc>
        <w:tc>
          <w:tcPr>
            <w:tcW w:w="1122" w:type="dxa"/>
            <w:gridSpan w:val="2"/>
            <w:vMerge/>
          </w:tcPr>
          <w:p w:rsidR="00743927" w:rsidRDefault="00743927" w:rsidP="00255AA3">
            <w:pPr>
              <w:pStyle w:val="E3Tabletext"/>
            </w:pPr>
          </w:p>
        </w:tc>
        <w:tc>
          <w:tcPr>
            <w:tcW w:w="1123" w:type="dxa"/>
            <w:gridSpan w:val="2"/>
          </w:tcPr>
          <w:p w:rsidR="00743927" w:rsidRDefault="00743927" w:rsidP="00255AA3">
            <w:pPr>
              <w:pStyle w:val="E3Tabletext"/>
            </w:pPr>
            <w:r>
              <w:t>Grade I</w:t>
            </w:r>
          </w:p>
        </w:tc>
        <w:tc>
          <w:tcPr>
            <w:tcW w:w="1122" w:type="dxa"/>
            <w:gridSpan w:val="2"/>
          </w:tcPr>
          <w:p w:rsidR="00743927" w:rsidRDefault="00743927" w:rsidP="00255AA3">
            <w:pPr>
              <w:pStyle w:val="E3Tabletext"/>
            </w:pPr>
            <w:r>
              <w:t>Grade II</w:t>
            </w:r>
          </w:p>
        </w:tc>
        <w:tc>
          <w:tcPr>
            <w:tcW w:w="1123" w:type="dxa"/>
          </w:tcPr>
          <w:p w:rsidR="00743927" w:rsidRDefault="00743927" w:rsidP="00255AA3">
            <w:pPr>
              <w:pStyle w:val="E3Tabletext"/>
            </w:pPr>
            <w:r>
              <w:t>Grade III</w:t>
            </w:r>
          </w:p>
        </w:tc>
        <w:tc>
          <w:tcPr>
            <w:tcW w:w="2484" w:type="dxa"/>
            <w:vMerge/>
          </w:tcPr>
          <w:p w:rsidR="00743927" w:rsidRDefault="00743927" w:rsidP="00743927">
            <w:pPr>
              <w:pStyle w:val="E3TableHeading"/>
            </w:pPr>
          </w:p>
        </w:tc>
      </w:tr>
      <w:tr w:rsidR="00743927" w:rsidTr="00225C27">
        <w:trPr>
          <w:cantSplit/>
          <w:trHeight w:val="27"/>
          <w:jc w:val="center"/>
        </w:trPr>
        <w:tc>
          <w:tcPr>
            <w:tcW w:w="1480" w:type="dxa"/>
            <w:vMerge/>
          </w:tcPr>
          <w:p w:rsidR="00743927" w:rsidRDefault="00743927" w:rsidP="00255AA3">
            <w:pPr>
              <w:pStyle w:val="E3Tabletext"/>
            </w:pPr>
          </w:p>
        </w:tc>
        <w:tc>
          <w:tcPr>
            <w:tcW w:w="1122" w:type="dxa"/>
            <w:vMerge w:val="restart"/>
          </w:tcPr>
          <w:p w:rsidR="00743927" w:rsidRDefault="00743927" w:rsidP="00255AA3">
            <w:pPr>
              <w:pStyle w:val="E3Tabletext"/>
            </w:pPr>
            <w:r>
              <w:t>1 ≤ P ≤ 5</w:t>
            </w:r>
          </w:p>
        </w:tc>
        <w:tc>
          <w:tcPr>
            <w:tcW w:w="1122" w:type="dxa"/>
            <w:gridSpan w:val="2"/>
          </w:tcPr>
          <w:p w:rsidR="00743927" w:rsidRDefault="00743927" w:rsidP="00255AA3">
            <w:pPr>
              <w:pStyle w:val="E3Tabletext"/>
            </w:pPr>
            <w:r>
              <w:t>&lt;4,000</w:t>
            </w:r>
          </w:p>
        </w:tc>
        <w:tc>
          <w:tcPr>
            <w:tcW w:w="1123" w:type="dxa"/>
            <w:gridSpan w:val="2"/>
          </w:tcPr>
          <w:p w:rsidR="00743927" w:rsidRDefault="00743927" w:rsidP="00255AA3">
            <w:pPr>
              <w:pStyle w:val="E3Tabletext"/>
            </w:pPr>
            <w:r>
              <w:t>55</w:t>
            </w:r>
          </w:p>
        </w:tc>
        <w:tc>
          <w:tcPr>
            <w:tcW w:w="1122" w:type="dxa"/>
            <w:gridSpan w:val="2"/>
          </w:tcPr>
          <w:p w:rsidR="00743927" w:rsidRDefault="00743927" w:rsidP="00255AA3">
            <w:pPr>
              <w:pStyle w:val="E3Tabletext"/>
            </w:pPr>
            <w:r>
              <w:t>45</w:t>
            </w:r>
          </w:p>
        </w:tc>
        <w:tc>
          <w:tcPr>
            <w:tcW w:w="1123" w:type="dxa"/>
          </w:tcPr>
          <w:p w:rsidR="00743927" w:rsidRDefault="00743927" w:rsidP="00255AA3">
            <w:pPr>
              <w:pStyle w:val="E3Tabletext"/>
            </w:pPr>
            <w:r>
              <w:t>35</w:t>
            </w:r>
          </w:p>
        </w:tc>
        <w:tc>
          <w:tcPr>
            <w:tcW w:w="2484" w:type="dxa"/>
            <w:vMerge/>
          </w:tcPr>
          <w:p w:rsidR="00743927" w:rsidRDefault="00743927" w:rsidP="00743927">
            <w:pPr>
              <w:pStyle w:val="E3TableHeading"/>
            </w:pPr>
          </w:p>
        </w:tc>
      </w:tr>
      <w:tr w:rsidR="00743927" w:rsidTr="00225C27">
        <w:trPr>
          <w:cantSplit/>
          <w:trHeight w:val="27"/>
          <w:jc w:val="center"/>
        </w:trPr>
        <w:tc>
          <w:tcPr>
            <w:tcW w:w="1480" w:type="dxa"/>
            <w:vMerge/>
          </w:tcPr>
          <w:p w:rsidR="00743927" w:rsidRDefault="00743927" w:rsidP="00255AA3">
            <w:pPr>
              <w:pStyle w:val="E3Tabletext"/>
            </w:pPr>
          </w:p>
        </w:tc>
        <w:tc>
          <w:tcPr>
            <w:tcW w:w="1122" w:type="dxa"/>
            <w:vMerge/>
          </w:tcPr>
          <w:p w:rsidR="00743927" w:rsidRDefault="00743927" w:rsidP="00255AA3">
            <w:pPr>
              <w:pStyle w:val="E3Tabletext"/>
            </w:pPr>
          </w:p>
        </w:tc>
        <w:tc>
          <w:tcPr>
            <w:tcW w:w="1122" w:type="dxa"/>
            <w:gridSpan w:val="2"/>
          </w:tcPr>
          <w:p w:rsidR="00743927" w:rsidRDefault="00743927" w:rsidP="00255AA3">
            <w:pPr>
              <w:pStyle w:val="E3Tabletext"/>
            </w:pPr>
            <w:r>
              <w:t>≥4,000</w:t>
            </w:r>
          </w:p>
        </w:tc>
        <w:tc>
          <w:tcPr>
            <w:tcW w:w="1123" w:type="dxa"/>
            <w:gridSpan w:val="2"/>
          </w:tcPr>
          <w:p w:rsidR="00743927" w:rsidRDefault="00743927" w:rsidP="00255AA3">
            <w:pPr>
              <w:pStyle w:val="E3Tabletext"/>
            </w:pPr>
            <w:r>
              <w:t>60</w:t>
            </w:r>
          </w:p>
        </w:tc>
        <w:tc>
          <w:tcPr>
            <w:tcW w:w="1122" w:type="dxa"/>
            <w:gridSpan w:val="2"/>
          </w:tcPr>
          <w:p w:rsidR="00743927" w:rsidRDefault="00743927" w:rsidP="00255AA3">
            <w:pPr>
              <w:pStyle w:val="E3Tabletext"/>
            </w:pPr>
            <w:r>
              <w:t>50</w:t>
            </w:r>
          </w:p>
        </w:tc>
        <w:tc>
          <w:tcPr>
            <w:tcW w:w="1123" w:type="dxa"/>
          </w:tcPr>
          <w:p w:rsidR="00743927" w:rsidRDefault="00743927" w:rsidP="00255AA3">
            <w:pPr>
              <w:pStyle w:val="E3Tabletext"/>
            </w:pPr>
            <w:r>
              <w:t>40</w:t>
            </w:r>
          </w:p>
        </w:tc>
        <w:tc>
          <w:tcPr>
            <w:tcW w:w="2484" w:type="dxa"/>
            <w:vMerge/>
          </w:tcPr>
          <w:p w:rsidR="00743927" w:rsidRDefault="00743927" w:rsidP="00743927">
            <w:pPr>
              <w:pStyle w:val="E3TableHeading"/>
            </w:pPr>
          </w:p>
        </w:tc>
      </w:tr>
      <w:tr w:rsidR="00743927" w:rsidTr="00225C27">
        <w:trPr>
          <w:cantSplit/>
          <w:trHeight w:val="27"/>
          <w:jc w:val="center"/>
        </w:trPr>
        <w:tc>
          <w:tcPr>
            <w:tcW w:w="1480" w:type="dxa"/>
            <w:vMerge/>
          </w:tcPr>
          <w:p w:rsidR="00743927" w:rsidRDefault="00743927" w:rsidP="00255AA3">
            <w:pPr>
              <w:pStyle w:val="E3Tabletext"/>
            </w:pPr>
          </w:p>
        </w:tc>
        <w:tc>
          <w:tcPr>
            <w:tcW w:w="1122" w:type="dxa"/>
            <w:vMerge w:val="restart"/>
          </w:tcPr>
          <w:p w:rsidR="00743927" w:rsidRDefault="00743927" w:rsidP="00255AA3">
            <w:pPr>
              <w:pStyle w:val="E3Tabletext"/>
            </w:pPr>
            <w:r>
              <w:t>6 ≤ P ≤ 10</w:t>
            </w:r>
          </w:p>
        </w:tc>
        <w:tc>
          <w:tcPr>
            <w:tcW w:w="1122" w:type="dxa"/>
            <w:gridSpan w:val="2"/>
          </w:tcPr>
          <w:p w:rsidR="00743927" w:rsidRDefault="00743927" w:rsidP="00255AA3">
            <w:pPr>
              <w:pStyle w:val="E3Tabletext"/>
            </w:pPr>
            <w:r>
              <w:t>&lt;4,000</w:t>
            </w:r>
          </w:p>
        </w:tc>
        <w:tc>
          <w:tcPr>
            <w:tcW w:w="1123" w:type="dxa"/>
            <w:gridSpan w:val="2"/>
          </w:tcPr>
          <w:p w:rsidR="00743927" w:rsidRDefault="00743927" w:rsidP="00255AA3">
            <w:pPr>
              <w:pStyle w:val="E3Tabletext"/>
            </w:pPr>
            <w:r>
              <w:t>65</w:t>
            </w:r>
          </w:p>
        </w:tc>
        <w:tc>
          <w:tcPr>
            <w:tcW w:w="1122" w:type="dxa"/>
            <w:gridSpan w:val="2"/>
          </w:tcPr>
          <w:p w:rsidR="00743927" w:rsidRDefault="00743927" w:rsidP="00255AA3">
            <w:pPr>
              <w:pStyle w:val="E3Tabletext"/>
            </w:pPr>
            <w:r>
              <w:t>55</w:t>
            </w:r>
          </w:p>
        </w:tc>
        <w:tc>
          <w:tcPr>
            <w:tcW w:w="1123" w:type="dxa"/>
          </w:tcPr>
          <w:p w:rsidR="00743927" w:rsidRDefault="00743927" w:rsidP="00255AA3">
            <w:pPr>
              <w:pStyle w:val="E3Tabletext"/>
            </w:pPr>
            <w:r>
              <w:t>45</w:t>
            </w:r>
          </w:p>
        </w:tc>
        <w:tc>
          <w:tcPr>
            <w:tcW w:w="2484" w:type="dxa"/>
            <w:vMerge/>
          </w:tcPr>
          <w:p w:rsidR="00743927" w:rsidRDefault="00743927" w:rsidP="00743927">
            <w:pPr>
              <w:pStyle w:val="E3TableHeading"/>
            </w:pPr>
          </w:p>
        </w:tc>
      </w:tr>
      <w:tr w:rsidR="00743927" w:rsidTr="00225C27">
        <w:trPr>
          <w:cantSplit/>
          <w:trHeight w:val="27"/>
          <w:jc w:val="center"/>
        </w:trPr>
        <w:tc>
          <w:tcPr>
            <w:tcW w:w="1480" w:type="dxa"/>
            <w:vMerge/>
          </w:tcPr>
          <w:p w:rsidR="00743927" w:rsidRDefault="00743927" w:rsidP="00255AA3">
            <w:pPr>
              <w:pStyle w:val="E3Tabletext"/>
            </w:pPr>
          </w:p>
        </w:tc>
        <w:tc>
          <w:tcPr>
            <w:tcW w:w="1122" w:type="dxa"/>
            <w:vMerge/>
          </w:tcPr>
          <w:p w:rsidR="00743927" w:rsidRDefault="00743927" w:rsidP="00255AA3">
            <w:pPr>
              <w:pStyle w:val="E3Tabletext"/>
            </w:pPr>
          </w:p>
        </w:tc>
        <w:tc>
          <w:tcPr>
            <w:tcW w:w="1122" w:type="dxa"/>
            <w:gridSpan w:val="2"/>
          </w:tcPr>
          <w:p w:rsidR="00743927" w:rsidRDefault="00743927" w:rsidP="00255AA3">
            <w:pPr>
              <w:pStyle w:val="E3Tabletext"/>
            </w:pPr>
            <w:r>
              <w:t>≥4,000</w:t>
            </w:r>
          </w:p>
        </w:tc>
        <w:tc>
          <w:tcPr>
            <w:tcW w:w="1123" w:type="dxa"/>
            <w:gridSpan w:val="2"/>
          </w:tcPr>
          <w:p w:rsidR="00743927" w:rsidRDefault="00743927" w:rsidP="00255AA3">
            <w:pPr>
              <w:pStyle w:val="E3Tabletext"/>
            </w:pPr>
            <w:r>
              <w:t>60</w:t>
            </w:r>
          </w:p>
        </w:tc>
        <w:tc>
          <w:tcPr>
            <w:tcW w:w="1122" w:type="dxa"/>
            <w:gridSpan w:val="2"/>
          </w:tcPr>
          <w:p w:rsidR="00743927" w:rsidRDefault="00743927" w:rsidP="00255AA3">
            <w:pPr>
              <w:pStyle w:val="E3Tabletext"/>
            </w:pPr>
            <w:r>
              <w:t>50</w:t>
            </w:r>
          </w:p>
        </w:tc>
        <w:tc>
          <w:tcPr>
            <w:tcW w:w="1123" w:type="dxa"/>
          </w:tcPr>
          <w:p w:rsidR="00743927" w:rsidRDefault="00743927" w:rsidP="00255AA3">
            <w:pPr>
              <w:pStyle w:val="E3Tabletext"/>
            </w:pPr>
            <w:r>
              <w:t>40</w:t>
            </w:r>
          </w:p>
        </w:tc>
        <w:tc>
          <w:tcPr>
            <w:tcW w:w="2484" w:type="dxa"/>
            <w:vMerge/>
          </w:tcPr>
          <w:p w:rsidR="00743927" w:rsidRDefault="00743927" w:rsidP="00743927">
            <w:pPr>
              <w:pStyle w:val="E3TableHeading"/>
            </w:pPr>
          </w:p>
        </w:tc>
      </w:tr>
      <w:tr w:rsidR="00743927" w:rsidTr="00225C27">
        <w:trPr>
          <w:cantSplit/>
          <w:trHeight w:val="27"/>
          <w:jc w:val="center"/>
        </w:trPr>
        <w:tc>
          <w:tcPr>
            <w:tcW w:w="1480" w:type="dxa"/>
            <w:vMerge/>
          </w:tcPr>
          <w:p w:rsidR="00743927" w:rsidRDefault="00743927" w:rsidP="00255AA3">
            <w:pPr>
              <w:pStyle w:val="E3Tabletext"/>
            </w:pPr>
          </w:p>
        </w:tc>
        <w:tc>
          <w:tcPr>
            <w:tcW w:w="1122" w:type="dxa"/>
            <w:vMerge w:val="restart"/>
          </w:tcPr>
          <w:p w:rsidR="00743927" w:rsidRDefault="00743927" w:rsidP="00255AA3">
            <w:pPr>
              <w:pStyle w:val="E3Tabletext"/>
            </w:pPr>
            <w:r>
              <w:t>11 ≤ P ≤ 25</w:t>
            </w:r>
          </w:p>
        </w:tc>
        <w:tc>
          <w:tcPr>
            <w:tcW w:w="1122" w:type="dxa"/>
            <w:gridSpan w:val="2"/>
          </w:tcPr>
          <w:p w:rsidR="00743927" w:rsidRDefault="00743927" w:rsidP="00255AA3">
            <w:pPr>
              <w:pStyle w:val="E3Tabletext"/>
            </w:pPr>
            <w:r>
              <w:t>&lt;4,000</w:t>
            </w:r>
          </w:p>
        </w:tc>
        <w:tc>
          <w:tcPr>
            <w:tcW w:w="1123" w:type="dxa"/>
            <w:gridSpan w:val="2"/>
          </w:tcPr>
          <w:p w:rsidR="00743927" w:rsidRDefault="00743927" w:rsidP="00255AA3">
            <w:pPr>
              <w:pStyle w:val="E3Tabletext"/>
            </w:pPr>
            <w:r>
              <w:t>65</w:t>
            </w:r>
          </w:p>
        </w:tc>
        <w:tc>
          <w:tcPr>
            <w:tcW w:w="1122" w:type="dxa"/>
            <w:gridSpan w:val="2"/>
          </w:tcPr>
          <w:p w:rsidR="00743927" w:rsidRDefault="00743927" w:rsidP="00255AA3">
            <w:pPr>
              <w:pStyle w:val="E3Tabletext"/>
            </w:pPr>
            <w:r>
              <w:t>55</w:t>
            </w:r>
          </w:p>
        </w:tc>
        <w:tc>
          <w:tcPr>
            <w:tcW w:w="1123" w:type="dxa"/>
          </w:tcPr>
          <w:p w:rsidR="00743927" w:rsidRDefault="00743927" w:rsidP="00255AA3">
            <w:pPr>
              <w:pStyle w:val="E3Tabletext"/>
            </w:pPr>
            <w:r>
              <w:t>45</w:t>
            </w:r>
          </w:p>
        </w:tc>
        <w:tc>
          <w:tcPr>
            <w:tcW w:w="2484" w:type="dxa"/>
            <w:vMerge/>
          </w:tcPr>
          <w:p w:rsidR="00743927" w:rsidRDefault="00743927" w:rsidP="00743927">
            <w:pPr>
              <w:pStyle w:val="E3TableHeading"/>
            </w:pPr>
          </w:p>
        </w:tc>
      </w:tr>
      <w:tr w:rsidR="00743927" w:rsidTr="00225C27">
        <w:trPr>
          <w:cantSplit/>
          <w:trHeight w:val="27"/>
          <w:jc w:val="center"/>
        </w:trPr>
        <w:tc>
          <w:tcPr>
            <w:tcW w:w="1480" w:type="dxa"/>
            <w:vMerge/>
          </w:tcPr>
          <w:p w:rsidR="00743927" w:rsidRDefault="00743927" w:rsidP="00255AA3">
            <w:pPr>
              <w:pStyle w:val="E3Tabletext"/>
            </w:pPr>
          </w:p>
        </w:tc>
        <w:tc>
          <w:tcPr>
            <w:tcW w:w="1122" w:type="dxa"/>
            <w:vMerge/>
          </w:tcPr>
          <w:p w:rsidR="00743927" w:rsidRDefault="00743927" w:rsidP="00255AA3">
            <w:pPr>
              <w:pStyle w:val="E3Tabletext"/>
            </w:pPr>
          </w:p>
        </w:tc>
        <w:tc>
          <w:tcPr>
            <w:tcW w:w="1122" w:type="dxa"/>
            <w:gridSpan w:val="2"/>
          </w:tcPr>
          <w:p w:rsidR="00743927" w:rsidRDefault="00743927" w:rsidP="00255AA3">
            <w:pPr>
              <w:pStyle w:val="E3Tabletext"/>
            </w:pPr>
            <w:r>
              <w:t>≥4,000</w:t>
            </w:r>
          </w:p>
        </w:tc>
        <w:tc>
          <w:tcPr>
            <w:tcW w:w="1123" w:type="dxa"/>
            <w:gridSpan w:val="2"/>
          </w:tcPr>
          <w:p w:rsidR="00743927" w:rsidRDefault="00743927" w:rsidP="00255AA3">
            <w:pPr>
              <w:pStyle w:val="E3Tabletext"/>
            </w:pPr>
            <w:r>
              <w:t>60</w:t>
            </w:r>
          </w:p>
        </w:tc>
        <w:tc>
          <w:tcPr>
            <w:tcW w:w="1122" w:type="dxa"/>
            <w:gridSpan w:val="2"/>
          </w:tcPr>
          <w:p w:rsidR="00743927" w:rsidRDefault="00743927" w:rsidP="00255AA3">
            <w:pPr>
              <w:pStyle w:val="E3Tabletext"/>
            </w:pPr>
            <w:r>
              <w:t>50</w:t>
            </w:r>
          </w:p>
        </w:tc>
        <w:tc>
          <w:tcPr>
            <w:tcW w:w="1123" w:type="dxa"/>
          </w:tcPr>
          <w:p w:rsidR="00743927" w:rsidRDefault="00743927" w:rsidP="00255AA3">
            <w:pPr>
              <w:pStyle w:val="E3Tabletext"/>
            </w:pPr>
            <w:r>
              <w:t>40</w:t>
            </w:r>
          </w:p>
        </w:tc>
        <w:tc>
          <w:tcPr>
            <w:tcW w:w="2484" w:type="dxa"/>
            <w:vMerge/>
          </w:tcPr>
          <w:p w:rsidR="00743927" w:rsidRDefault="00743927" w:rsidP="00743927">
            <w:pPr>
              <w:pStyle w:val="E3TableHeading"/>
            </w:pPr>
          </w:p>
        </w:tc>
      </w:tr>
      <w:tr w:rsidR="00743927" w:rsidTr="00225C27">
        <w:trPr>
          <w:cantSplit/>
          <w:trHeight w:val="27"/>
          <w:jc w:val="center"/>
        </w:trPr>
        <w:tc>
          <w:tcPr>
            <w:tcW w:w="1480" w:type="dxa"/>
            <w:vMerge/>
          </w:tcPr>
          <w:p w:rsidR="00743927" w:rsidRDefault="00743927" w:rsidP="00255AA3">
            <w:pPr>
              <w:pStyle w:val="E3Tabletext"/>
            </w:pPr>
          </w:p>
        </w:tc>
        <w:tc>
          <w:tcPr>
            <w:tcW w:w="1122" w:type="dxa"/>
            <w:vMerge w:val="restart"/>
          </w:tcPr>
          <w:p w:rsidR="00743927" w:rsidRDefault="00743927" w:rsidP="00255AA3">
            <w:pPr>
              <w:pStyle w:val="E3Tabletext"/>
            </w:pPr>
            <w:r>
              <w:t>26 ≤ P</w:t>
            </w:r>
          </w:p>
        </w:tc>
        <w:tc>
          <w:tcPr>
            <w:tcW w:w="1122" w:type="dxa"/>
            <w:gridSpan w:val="2"/>
          </w:tcPr>
          <w:p w:rsidR="00743927" w:rsidRDefault="00743927" w:rsidP="00255AA3">
            <w:pPr>
              <w:pStyle w:val="E3Tabletext"/>
            </w:pPr>
            <w:r>
              <w:t>&lt;4,000</w:t>
            </w:r>
          </w:p>
        </w:tc>
        <w:tc>
          <w:tcPr>
            <w:tcW w:w="1123" w:type="dxa"/>
            <w:gridSpan w:val="2"/>
          </w:tcPr>
          <w:p w:rsidR="00743927" w:rsidRDefault="00743927" w:rsidP="00255AA3">
            <w:pPr>
              <w:pStyle w:val="E3Tabletext"/>
            </w:pPr>
            <w:r>
              <w:t>55</w:t>
            </w:r>
          </w:p>
        </w:tc>
        <w:tc>
          <w:tcPr>
            <w:tcW w:w="1122" w:type="dxa"/>
            <w:gridSpan w:val="2"/>
          </w:tcPr>
          <w:p w:rsidR="00743927" w:rsidRDefault="00743927" w:rsidP="00255AA3">
            <w:pPr>
              <w:pStyle w:val="E3Tabletext"/>
            </w:pPr>
            <w:r>
              <w:t>45</w:t>
            </w:r>
          </w:p>
        </w:tc>
        <w:tc>
          <w:tcPr>
            <w:tcW w:w="1123" w:type="dxa"/>
          </w:tcPr>
          <w:p w:rsidR="00743927" w:rsidRDefault="00743927" w:rsidP="00255AA3">
            <w:pPr>
              <w:pStyle w:val="E3Tabletext"/>
            </w:pPr>
            <w:r>
              <w:t>35</w:t>
            </w:r>
          </w:p>
        </w:tc>
        <w:tc>
          <w:tcPr>
            <w:tcW w:w="2484" w:type="dxa"/>
            <w:vMerge/>
          </w:tcPr>
          <w:p w:rsidR="00743927" w:rsidRDefault="00743927" w:rsidP="00743927">
            <w:pPr>
              <w:pStyle w:val="E3TableHeading"/>
            </w:pPr>
          </w:p>
        </w:tc>
      </w:tr>
      <w:tr w:rsidR="00743927" w:rsidTr="00225C27">
        <w:trPr>
          <w:cantSplit/>
          <w:trHeight w:val="27"/>
          <w:jc w:val="center"/>
        </w:trPr>
        <w:tc>
          <w:tcPr>
            <w:tcW w:w="1480" w:type="dxa"/>
            <w:vMerge/>
          </w:tcPr>
          <w:p w:rsidR="00743927" w:rsidRDefault="00743927" w:rsidP="00255AA3">
            <w:pPr>
              <w:pStyle w:val="E3Tabletext"/>
            </w:pPr>
          </w:p>
        </w:tc>
        <w:tc>
          <w:tcPr>
            <w:tcW w:w="1122" w:type="dxa"/>
            <w:vMerge/>
          </w:tcPr>
          <w:p w:rsidR="00743927" w:rsidRDefault="00743927" w:rsidP="00255AA3">
            <w:pPr>
              <w:pStyle w:val="E3Tabletext"/>
            </w:pPr>
          </w:p>
        </w:tc>
        <w:tc>
          <w:tcPr>
            <w:tcW w:w="1122" w:type="dxa"/>
            <w:gridSpan w:val="2"/>
          </w:tcPr>
          <w:p w:rsidR="00743927" w:rsidRDefault="00743927" w:rsidP="00255AA3">
            <w:pPr>
              <w:pStyle w:val="E3Tabletext"/>
            </w:pPr>
            <w:r>
              <w:t>≥4,000</w:t>
            </w:r>
          </w:p>
        </w:tc>
        <w:tc>
          <w:tcPr>
            <w:tcW w:w="1123" w:type="dxa"/>
            <w:gridSpan w:val="2"/>
          </w:tcPr>
          <w:p w:rsidR="00743927" w:rsidRDefault="00743927" w:rsidP="00255AA3">
            <w:pPr>
              <w:pStyle w:val="E3Tabletext"/>
            </w:pPr>
            <w:r>
              <w:t>60</w:t>
            </w:r>
          </w:p>
        </w:tc>
        <w:tc>
          <w:tcPr>
            <w:tcW w:w="1122" w:type="dxa"/>
            <w:gridSpan w:val="2"/>
          </w:tcPr>
          <w:p w:rsidR="00743927" w:rsidRDefault="00743927" w:rsidP="00255AA3">
            <w:pPr>
              <w:pStyle w:val="E3Tabletext"/>
            </w:pPr>
            <w:r>
              <w:t>50</w:t>
            </w:r>
          </w:p>
        </w:tc>
        <w:tc>
          <w:tcPr>
            <w:tcW w:w="1123" w:type="dxa"/>
          </w:tcPr>
          <w:p w:rsidR="00743927" w:rsidRDefault="00743927" w:rsidP="00255AA3">
            <w:pPr>
              <w:pStyle w:val="E3Tabletext"/>
            </w:pPr>
            <w:r>
              <w:t>40</w:t>
            </w:r>
          </w:p>
        </w:tc>
        <w:tc>
          <w:tcPr>
            <w:tcW w:w="2484" w:type="dxa"/>
            <w:vMerge/>
          </w:tcPr>
          <w:p w:rsidR="00743927" w:rsidRDefault="00743927" w:rsidP="00743927">
            <w:pPr>
              <w:pStyle w:val="E3TableHeading"/>
            </w:pPr>
          </w:p>
        </w:tc>
      </w:tr>
      <w:tr w:rsidR="00743927" w:rsidTr="00225C27">
        <w:trPr>
          <w:cantSplit/>
          <w:trHeight w:val="27"/>
          <w:jc w:val="center"/>
        </w:trPr>
        <w:tc>
          <w:tcPr>
            <w:tcW w:w="1480" w:type="dxa"/>
            <w:vMerge/>
          </w:tcPr>
          <w:p w:rsidR="00743927" w:rsidRDefault="00743927" w:rsidP="00743927">
            <w:pPr>
              <w:pStyle w:val="E3TableHeading"/>
            </w:pPr>
          </w:p>
        </w:tc>
        <w:tc>
          <w:tcPr>
            <w:tcW w:w="5612" w:type="dxa"/>
            <w:gridSpan w:val="8"/>
          </w:tcPr>
          <w:p w:rsidR="00743927" w:rsidRDefault="00743927" w:rsidP="00255AA3">
            <w:pPr>
              <w:pStyle w:val="E3Tabletext"/>
            </w:pPr>
            <w:r>
              <w:t>Note: The colour temperature is classed by a code in the Chinese standard representing the standard fluorescent illuminant sources.</w:t>
            </w:r>
          </w:p>
        </w:tc>
        <w:tc>
          <w:tcPr>
            <w:tcW w:w="2484" w:type="dxa"/>
            <w:vMerge/>
          </w:tcPr>
          <w:p w:rsidR="00743927" w:rsidRDefault="00743927" w:rsidP="00743927">
            <w:pPr>
              <w:pStyle w:val="E3TableHeading"/>
            </w:pPr>
          </w:p>
        </w:tc>
      </w:tr>
      <w:tr w:rsidR="00743927" w:rsidTr="00225C27">
        <w:trPr>
          <w:cantSplit/>
          <w:jc w:val="center"/>
        </w:trPr>
        <w:tc>
          <w:tcPr>
            <w:tcW w:w="1480" w:type="dxa"/>
          </w:tcPr>
          <w:p w:rsidR="00743927" w:rsidRDefault="00743927" w:rsidP="00255AA3">
            <w:pPr>
              <w:pStyle w:val="E3Tabletext"/>
            </w:pPr>
            <w:r>
              <w:t>Colour rendering</w:t>
            </w:r>
          </w:p>
        </w:tc>
        <w:tc>
          <w:tcPr>
            <w:tcW w:w="5612" w:type="dxa"/>
            <w:gridSpan w:val="8"/>
          </w:tcPr>
          <w:p w:rsidR="00743927" w:rsidRDefault="00743927" w:rsidP="00255AA3">
            <w:pPr>
              <w:pStyle w:val="E3Tabletext"/>
            </w:pPr>
            <w:r>
              <w:t>≥ 80</w:t>
            </w:r>
          </w:p>
        </w:tc>
        <w:tc>
          <w:tcPr>
            <w:tcW w:w="2484" w:type="dxa"/>
            <w:vMerge/>
          </w:tcPr>
          <w:p w:rsidR="00743927" w:rsidRDefault="00743927" w:rsidP="00235234"/>
        </w:tc>
      </w:tr>
      <w:tr w:rsidR="00743927" w:rsidTr="00225C27">
        <w:trPr>
          <w:cantSplit/>
          <w:trHeight w:val="86"/>
          <w:jc w:val="center"/>
        </w:trPr>
        <w:tc>
          <w:tcPr>
            <w:tcW w:w="1480" w:type="dxa"/>
            <w:vMerge w:val="restart"/>
          </w:tcPr>
          <w:p w:rsidR="00743927" w:rsidRDefault="00743927" w:rsidP="00255AA3">
            <w:pPr>
              <w:pStyle w:val="E3Tabletext"/>
            </w:pPr>
            <w:r>
              <w:t>Colour temperature</w:t>
            </w:r>
          </w:p>
        </w:tc>
        <w:tc>
          <w:tcPr>
            <w:tcW w:w="1403" w:type="dxa"/>
            <w:gridSpan w:val="2"/>
            <w:vMerge w:val="restart"/>
          </w:tcPr>
          <w:p w:rsidR="00743927" w:rsidRDefault="00743927" w:rsidP="00255AA3">
            <w:pPr>
              <w:pStyle w:val="E3Tabletext"/>
            </w:pPr>
            <w:r>
              <w:t>Colour &amp; (code)</w:t>
            </w:r>
          </w:p>
        </w:tc>
        <w:tc>
          <w:tcPr>
            <w:tcW w:w="1403" w:type="dxa"/>
            <w:gridSpan w:val="2"/>
            <w:vMerge w:val="restart"/>
          </w:tcPr>
          <w:p w:rsidR="00743927" w:rsidRDefault="00743927" w:rsidP="00255AA3">
            <w:pPr>
              <w:pStyle w:val="E3Tabletext"/>
            </w:pPr>
            <w:r>
              <w:t>CCT (K)</w:t>
            </w:r>
          </w:p>
        </w:tc>
        <w:tc>
          <w:tcPr>
            <w:tcW w:w="2806" w:type="dxa"/>
            <w:gridSpan w:val="4"/>
          </w:tcPr>
          <w:p w:rsidR="00743927" w:rsidRDefault="00743927" w:rsidP="00255AA3">
            <w:pPr>
              <w:pStyle w:val="E3Tabletext"/>
            </w:pPr>
            <w:r>
              <w:t>Chromaticity Co-ords</w:t>
            </w:r>
          </w:p>
        </w:tc>
        <w:tc>
          <w:tcPr>
            <w:tcW w:w="2484" w:type="dxa"/>
            <w:vMerge/>
          </w:tcPr>
          <w:p w:rsidR="00743927" w:rsidRDefault="00743927" w:rsidP="00235234"/>
        </w:tc>
      </w:tr>
      <w:tr w:rsidR="00743927" w:rsidTr="00225C27">
        <w:trPr>
          <w:cantSplit/>
          <w:trHeight w:val="82"/>
          <w:jc w:val="center"/>
        </w:trPr>
        <w:tc>
          <w:tcPr>
            <w:tcW w:w="1480" w:type="dxa"/>
            <w:vMerge/>
          </w:tcPr>
          <w:p w:rsidR="00743927" w:rsidRDefault="00743927" w:rsidP="00255AA3">
            <w:pPr>
              <w:pStyle w:val="E3Tabletext"/>
            </w:pPr>
          </w:p>
        </w:tc>
        <w:tc>
          <w:tcPr>
            <w:tcW w:w="1403" w:type="dxa"/>
            <w:gridSpan w:val="2"/>
            <w:vMerge/>
          </w:tcPr>
          <w:p w:rsidR="00743927" w:rsidRDefault="00743927" w:rsidP="00255AA3">
            <w:pPr>
              <w:pStyle w:val="E3Tabletext"/>
            </w:pPr>
          </w:p>
        </w:tc>
        <w:tc>
          <w:tcPr>
            <w:tcW w:w="1403" w:type="dxa"/>
            <w:gridSpan w:val="2"/>
            <w:vMerge/>
          </w:tcPr>
          <w:p w:rsidR="00743927" w:rsidRDefault="00743927" w:rsidP="00255AA3">
            <w:pPr>
              <w:pStyle w:val="E3Tabletext"/>
            </w:pPr>
          </w:p>
        </w:tc>
        <w:tc>
          <w:tcPr>
            <w:tcW w:w="1403" w:type="dxa"/>
            <w:gridSpan w:val="2"/>
          </w:tcPr>
          <w:p w:rsidR="00743927" w:rsidRDefault="00743927" w:rsidP="00255AA3">
            <w:pPr>
              <w:pStyle w:val="E3Tabletext"/>
            </w:pPr>
            <w:r>
              <w:t>x</w:t>
            </w:r>
          </w:p>
        </w:tc>
        <w:tc>
          <w:tcPr>
            <w:tcW w:w="1403" w:type="dxa"/>
            <w:gridSpan w:val="2"/>
          </w:tcPr>
          <w:p w:rsidR="00743927" w:rsidRDefault="00743927" w:rsidP="00255AA3">
            <w:pPr>
              <w:pStyle w:val="E3Tabletext"/>
            </w:pPr>
            <w:r>
              <w:t>y</w:t>
            </w:r>
          </w:p>
        </w:tc>
        <w:tc>
          <w:tcPr>
            <w:tcW w:w="2484" w:type="dxa"/>
            <w:vMerge/>
          </w:tcPr>
          <w:p w:rsidR="00743927" w:rsidRDefault="00743927" w:rsidP="00235234"/>
        </w:tc>
      </w:tr>
      <w:tr w:rsidR="00743927" w:rsidTr="00225C27">
        <w:trPr>
          <w:cantSplit/>
          <w:trHeight w:val="82"/>
          <w:jc w:val="center"/>
        </w:trPr>
        <w:tc>
          <w:tcPr>
            <w:tcW w:w="1480" w:type="dxa"/>
            <w:vMerge/>
          </w:tcPr>
          <w:p w:rsidR="00743927" w:rsidRDefault="00743927" w:rsidP="00255AA3">
            <w:pPr>
              <w:pStyle w:val="E3Tabletext"/>
            </w:pPr>
          </w:p>
        </w:tc>
        <w:tc>
          <w:tcPr>
            <w:tcW w:w="1403" w:type="dxa"/>
            <w:gridSpan w:val="2"/>
          </w:tcPr>
          <w:p w:rsidR="00743927" w:rsidRDefault="00743927" w:rsidP="00255AA3">
            <w:pPr>
              <w:pStyle w:val="E3Tabletext"/>
            </w:pPr>
            <w:r>
              <w:t>Daylight (RR)</w:t>
            </w:r>
          </w:p>
        </w:tc>
        <w:tc>
          <w:tcPr>
            <w:tcW w:w="1403" w:type="dxa"/>
            <w:gridSpan w:val="2"/>
          </w:tcPr>
          <w:p w:rsidR="00743927" w:rsidRDefault="00743927" w:rsidP="00255AA3">
            <w:pPr>
              <w:pStyle w:val="E3Tabletext"/>
            </w:pPr>
            <w:r>
              <w:t>6430</w:t>
            </w:r>
          </w:p>
        </w:tc>
        <w:tc>
          <w:tcPr>
            <w:tcW w:w="1403" w:type="dxa"/>
            <w:gridSpan w:val="2"/>
          </w:tcPr>
          <w:p w:rsidR="00743927" w:rsidRDefault="00743927" w:rsidP="00255AA3">
            <w:pPr>
              <w:pStyle w:val="E3Tabletext"/>
            </w:pPr>
            <w:r>
              <w:t>0.313</w:t>
            </w:r>
          </w:p>
        </w:tc>
        <w:tc>
          <w:tcPr>
            <w:tcW w:w="1403" w:type="dxa"/>
            <w:gridSpan w:val="2"/>
          </w:tcPr>
          <w:p w:rsidR="00743927" w:rsidRDefault="00743927" w:rsidP="00255AA3">
            <w:pPr>
              <w:pStyle w:val="E3Tabletext"/>
            </w:pPr>
            <w:r>
              <w:t>0.337</w:t>
            </w:r>
          </w:p>
        </w:tc>
        <w:tc>
          <w:tcPr>
            <w:tcW w:w="2484" w:type="dxa"/>
            <w:vMerge/>
          </w:tcPr>
          <w:p w:rsidR="00743927" w:rsidRDefault="00743927" w:rsidP="00235234"/>
        </w:tc>
      </w:tr>
      <w:tr w:rsidR="00743927" w:rsidTr="00225C27">
        <w:trPr>
          <w:cantSplit/>
          <w:trHeight w:val="82"/>
          <w:jc w:val="center"/>
        </w:trPr>
        <w:tc>
          <w:tcPr>
            <w:tcW w:w="1480" w:type="dxa"/>
            <w:vMerge/>
          </w:tcPr>
          <w:p w:rsidR="00743927" w:rsidRDefault="00743927" w:rsidP="00255AA3">
            <w:pPr>
              <w:pStyle w:val="E3Tabletext"/>
            </w:pPr>
          </w:p>
        </w:tc>
        <w:tc>
          <w:tcPr>
            <w:tcW w:w="1403" w:type="dxa"/>
            <w:gridSpan w:val="2"/>
          </w:tcPr>
          <w:p w:rsidR="00743927" w:rsidRDefault="00743927" w:rsidP="00255AA3">
            <w:pPr>
              <w:pStyle w:val="E3Tabletext"/>
            </w:pPr>
            <w:r>
              <w:t>Neutral white (RZ)</w:t>
            </w:r>
          </w:p>
        </w:tc>
        <w:tc>
          <w:tcPr>
            <w:tcW w:w="1403" w:type="dxa"/>
            <w:gridSpan w:val="2"/>
          </w:tcPr>
          <w:p w:rsidR="00743927" w:rsidRDefault="00743927" w:rsidP="00255AA3">
            <w:pPr>
              <w:pStyle w:val="E3Tabletext"/>
            </w:pPr>
            <w:r>
              <w:t>5000</w:t>
            </w:r>
          </w:p>
        </w:tc>
        <w:tc>
          <w:tcPr>
            <w:tcW w:w="1403" w:type="dxa"/>
            <w:gridSpan w:val="2"/>
          </w:tcPr>
          <w:p w:rsidR="00743927" w:rsidRDefault="00743927" w:rsidP="00255AA3">
            <w:pPr>
              <w:pStyle w:val="E3Tabletext"/>
            </w:pPr>
            <w:r>
              <w:t>0.346</w:t>
            </w:r>
          </w:p>
        </w:tc>
        <w:tc>
          <w:tcPr>
            <w:tcW w:w="1403" w:type="dxa"/>
            <w:gridSpan w:val="2"/>
          </w:tcPr>
          <w:p w:rsidR="00743927" w:rsidRDefault="00743927" w:rsidP="00255AA3">
            <w:pPr>
              <w:pStyle w:val="E3Tabletext"/>
            </w:pPr>
            <w:r>
              <w:t>0.359</w:t>
            </w:r>
          </w:p>
        </w:tc>
        <w:tc>
          <w:tcPr>
            <w:tcW w:w="2484" w:type="dxa"/>
            <w:vMerge/>
          </w:tcPr>
          <w:p w:rsidR="00743927" w:rsidRDefault="00743927" w:rsidP="00235234"/>
        </w:tc>
      </w:tr>
      <w:tr w:rsidR="00743927" w:rsidTr="00225C27">
        <w:trPr>
          <w:cantSplit/>
          <w:trHeight w:val="82"/>
          <w:jc w:val="center"/>
        </w:trPr>
        <w:tc>
          <w:tcPr>
            <w:tcW w:w="1480" w:type="dxa"/>
            <w:vMerge/>
          </w:tcPr>
          <w:p w:rsidR="00743927" w:rsidRDefault="00743927" w:rsidP="00255AA3">
            <w:pPr>
              <w:pStyle w:val="E3Tabletext"/>
            </w:pPr>
          </w:p>
        </w:tc>
        <w:tc>
          <w:tcPr>
            <w:tcW w:w="1403" w:type="dxa"/>
            <w:gridSpan w:val="2"/>
          </w:tcPr>
          <w:p w:rsidR="00743927" w:rsidRDefault="00743927" w:rsidP="00255AA3">
            <w:pPr>
              <w:pStyle w:val="E3Tabletext"/>
            </w:pPr>
            <w:r>
              <w:t>Cold white (RL)</w:t>
            </w:r>
          </w:p>
        </w:tc>
        <w:tc>
          <w:tcPr>
            <w:tcW w:w="1403" w:type="dxa"/>
            <w:gridSpan w:val="2"/>
          </w:tcPr>
          <w:p w:rsidR="00743927" w:rsidRDefault="00743927" w:rsidP="00255AA3">
            <w:pPr>
              <w:pStyle w:val="E3Tabletext"/>
            </w:pPr>
            <w:r>
              <w:t>4040</w:t>
            </w:r>
          </w:p>
        </w:tc>
        <w:tc>
          <w:tcPr>
            <w:tcW w:w="1403" w:type="dxa"/>
            <w:gridSpan w:val="2"/>
          </w:tcPr>
          <w:p w:rsidR="00743927" w:rsidRDefault="00743927" w:rsidP="00255AA3">
            <w:pPr>
              <w:pStyle w:val="E3Tabletext"/>
            </w:pPr>
            <w:r>
              <w:t>0.380</w:t>
            </w:r>
          </w:p>
        </w:tc>
        <w:tc>
          <w:tcPr>
            <w:tcW w:w="1403" w:type="dxa"/>
            <w:gridSpan w:val="2"/>
          </w:tcPr>
          <w:p w:rsidR="00743927" w:rsidRDefault="00743927" w:rsidP="00255AA3">
            <w:pPr>
              <w:pStyle w:val="E3Tabletext"/>
            </w:pPr>
            <w:r>
              <w:t>0.380</w:t>
            </w:r>
          </w:p>
        </w:tc>
        <w:tc>
          <w:tcPr>
            <w:tcW w:w="2484" w:type="dxa"/>
            <w:vMerge/>
          </w:tcPr>
          <w:p w:rsidR="00743927" w:rsidRDefault="00743927" w:rsidP="00235234"/>
        </w:tc>
      </w:tr>
      <w:tr w:rsidR="00743927" w:rsidTr="00225C27">
        <w:trPr>
          <w:cantSplit/>
          <w:trHeight w:val="82"/>
          <w:jc w:val="center"/>
        </w:trPr>
        <w:tc>
          <w:tcPr>
            <w:tcW w:w="1480" w:type="dxa"/>
            <w:vMerge/>
          </w:tcPr>
          <w:p w:rsidR="00743927" w:rsidRDefault="00743927" w:rsidP="00255AA3">
            <w:pPr>
              <w:pStyle w:val="E3Tabletext"/>
            </w:pPr>
          </w:p>
        </w:tc>
        <w:tc>
          <w:tcPr>
            <w:tcW w:w="1403" w:type="dxa"/>
            <w:gridSpan w:val="2"/>
          </w:tcPr>
          <w:p w:rsidR="00743927" w:rsidRDefault="00743927" w:rsidP="00255AA3">
            <w:pPr>
              <w:pStyle w:val="E3Tabletext"/>
            </w:pPr>
            <w:r>
              <w:t>White (RB)</w:t>
            </w:r>
          </w:p>
        </w:tc>
        <w:tc>
          <w:tcPr>
            <w:tcW w:w="1403" w:type="dxa"/>
            <w:gridSpan w:val="2"/>
          </w:tcPr>
          <w:p w:rsidR="00743927" w:rsidRDefault="00743927" w:rsidP="00255AA3">
            <w:pPr>
              <w:pStyle w:val="E3Tabletext"/>
            </w:pPr>
            <w:r>
              <w:t>3450</w:t>
            </w:r>
          </w:p>
        </w:tc>
        <w:tc>
          <w:tcPr>
            <w:tcW w:w="1403" w:type="dxa"/>
            <w:gridSpan w:val="2"/>
          </w:tcPr>
          <w:p w:rsidR="00743927" w:rsidRDefault="00743927" w:rsidP="00255AA3">
            <w:pPr>
              <w:pStyle w:val="E3Tabletext"/>
            </w:pPr>
            <w:r>
              <w:t>0.409</w:t>
            </w:r>
          </w:p>
        </w:tc>
        <w:tc>
          <w:tcPr>
            <w:tcW w:w="1403" w:type="dxa"/>
            <w:gridSpan w:val="2"/>
          </w:tcPr>
          <w:p w:rsidR="00743927" w:rsidRDefault="00743927" w:rsidP="00255AA3">
            <w:pPr>
              <w:pStyle w:val="E3Tabletext"/>
            </w:pPr>
            <w:r>
              <w:t>0.394</w:t>
            </w:r>
          </w:p>
        </w:tc>
        <w:tc>
          <w:tcPr>
            <w:tcW w:w="2484" w:type="dxa"/>
            <w:vMerge/>
          </w:tcPr>
          <w:p w:rsidR="00743927" w:rsidRDefault="00743927" w:rsidP="00235234"/>
        </w:tc>
      </w:tr>
      <w:tr w:rsidR="00743927" w:rsidTr="00225C27">
        <w:trPr>
          <w:cantSplit/>
          <w:trHeight w:val="82"/>
          <w:jc w:val="center"/>
        </w:trPr>
        <w:tc>
          <w:tcPr>
            <w:tcW w:w="1480" w:type="dxa"/>
            <w:vMerge/>
          </w:tcPr>
          <w:p w:rsidR="00743927" w:rsidRDefault="00743927" w:rsidP="00255AA3">
            <w:pPr>
              <w:pStyle w:val="E3Tabletext"/>
            </w:pPr>
          </w:p>
        </w:tc>
        <w:tc>
          <w:tcPr>
            <w:tcW w:w="1403" w:type="dxa"/>
            <w:gridSpan w:val="2"/>
          </w:tcPr>
          <w:p w:rsidR="00743927" w:rsidRDefault="00743927" w:rsidP="00255AA3">
            <w:pPr>
              <w:pStyle w:val="E3Tabletext"/>
            </w:pPr>
            <w:r>
              <w:t>Warm white (RN)</w:t>
            </w:r>
          </w:p>
        </w:tc>
        <w:tc>
          <w:tcPr>
            <w:tcW w:w="1403" w:type="dxa"/>
            <w:gridSpan w:val="2"/>
          </w:tcPr>
          <w:p w:rsidR="00743927" w:rsidRDefault="00743927" w:rsidP="00255AA3">
            <w:pPr>
              <w:pStyle w:val="E3Tabletext"/>
            </w:pPr>
            <w:r>
              <w:t>2940</w:t>
            </w:r>
          </w:p>
        </w:tc>
        <w:tc>
          <w:tcPr>
            <w:tcW w:w="1403" w:type="dxa"/>
            <w:gridSpan w:val="2"/>
          </w:tcPr>
          <w:p w:rsidR="00743927" w:rsidRDefault="00743927" w:rsidP="00255AA3">
            <w:pPr>
              <w:pStyle w:val="E3Tabletext"/>
            </w:pPr>
            <w:r>
              <w:t>0.440</w:t>
            </w:r>
          </w:p>
        </w:tc>
        <w:tc>
          <w:tcPr>
            <w:tcW w:w="1403" w:type="dxa"/>
            <w:gridSpan w:val="2"/>
          </w:tcPr>
          <w:p w:rsidR="00743927" w:rsidRDefault="00743927" w:rsidP="00255AA3">
            <w:pPr>
              <w:pStyle w:val="E3Tabletext"/>
            </w:pPr>
            <w:r>
              <w:t>0.403</w:t>
            </w:r>
          </w:p>
        </w:tc>
        <w:tc>
          <w:tcPr>
            <w:tcW w:w="2484" w:type="dxa"/>
            <w:vMerge/>
          </w:tcPr>
          <w:p w:rsidR="00743927" w:rsidRDefault="00743927" w:rsidP="00235234"/>
        </w:tc>
      </w:tr>
      <w:tr w:rsidR="00743927" w:rsidTr="00225C27">
        <w:trPr>
          <w:cantSplit/>
          <w:trHeight w:val="82"/>
          <w:jc w:val="center"/>
        </w:trPr>
        <w:tc>
          <w:tcPr>
            <w:tcW w:w="1480" w:type="dxa"/>
            <w:vMerge/>
          </w:tcPr>
          <w:p w:rsidR="00743927" w:rsidRDefault="00743927" w:rsidP="00255AA3">
            <w:pPr>
              <w:pStyle w:val="E3Tabletext"/>
            </w:pPr>
          </w:p>
        </w:tc>
        <w:tc>
          <w:tcPr>
            <w:tcW w:w="1403" w:type="dxa"/>
            <w:gridSpan w:val="2"/>
          </w:tcPr>
          <w:p w:rsidR="00743927" w:rsidRDefault="00743927" w:rsidP="00255AA3">
            <w:pPr>
              <w:pStyle w:val="E3Tabletext"/>
            </w:pPr>
            <w:r>
              <w:t>Incandescent (RD)</w:t>
            </w:r>
          </w:p>
        </w:tc>
        <w:tc>
          <w:tcPr>
            <w:tcW w:w="1403" w:type="dxa"/>
            <w:gridSpan w:val="2"/>
          </w:tcPr>
          <w:p w:rsidR="00743927" w:rsidRDefault="00743927" w:rsidP="00255AA3">
            <w:pPr>
              <w:pStyle w:val="E3Tabletext"/>
            </w:pPr>
            <w:r>
              <w:t>2720</w:t>
            </w:r>
          </w:p>
        </w:tc>
        <w:tc>
          <w:tcPr>
            <w:tcW w:w="1403" w:type="dxa"/>
            <w:gridSpan w:val="2"/>
          </w:tcPr>
          <w:p w:rsidR="00743927" w:rsidRDefault="00743927" w:rsidP="00255AA3">
            <w:pPr>
              <w:pStyle w:val="E3Tabletext"/>
            </w:pPr>
            <w:r>
              <w:t>0.463</w:t>
            </w:r>
          </w:p>
        </w:tc>
        <w:tc>
          <w:tcPr>
            <w:tcW w:w="1403" w:type="dxa"/>
            <w:gridSpan w:val="2"/>
          </w:tcPr>
          <w:p w:rsidR="00743927" w:rsidRDefault="00743927" w:rsidP="00255AA3">
            <w:pPr>
              <w:pStyle w:val="E3Tabletext"/>
            </w:pPr>
            <w:r>
              <w:t>0.420</w:t>
            </w:r>
          </w:p>
        </w:tc>
        <w:tc>
          <w:tcPr>
            <w:tcW w:w="2484" w:type="dxa"/>
            <w:vMerge/>
          </w:tcPr>
          <w:p w:rsidR="00743927" w:rsidRDefault="00743927" w:rsidP="00235234"/>
        </w:tc>
      </w:tr>
      <w:tr w:rsidR="00743927" w:rsidTr="00225C27">
        <w:trPr>
          <w:cantSplit/>
          <w:trHeight w:val="82"/>
          <w:jc w:val="center"/>
        </w:trPr>
        <w:tc>
          <w:tcPr>
            <w:tcW w:w="1480" w:type="dxa"/>
            <w:vMerge/>
          </w:tcPr>
          <w:p w:rsidR="00743927" w:rsidRDefault="00743927" w:rsidP="00255AA3">
            <w:pPr>
              <w:pStyle w:val="E3Tabletext"/>
            </w:pPr>
          </w:p>
        </w:tc>
        <w:tc>
          <w:tcPr>
            <w:tcW w:w="5612" w:type="dxa"/>
            <w:gridSpan w:val="8"/>
          </w:tcPr>
          <w:p w:rsidR="00743927" w:rsidRDefault="00743927" w:rsidP="00255AA3">
            <w:pPr>
              <w:pStyle w:val="E3Tabletext"/>
            </w:pPr>
            <w:r>
              <w:t>Chromaticity tolerance is to be within 7 SDCM</w:t>
            </w:r>
          </w:p>
        </w:tc>
        <w:tc>
          <w:tcPr>
            <w:tcW w:w="2484" w:type="dxa"/>
            <w:vMerge/>
          </w:tcPr>
          <w:p w:rsidR="00743927" w:rsidRDefault="00743927" w:rsidP="00235234"/>
        </w:tc>
      </w:tr>
      <w:tr w:rsidR="00743927" w:rsidTr="00225C27">
        <w:trPr>
          <w:cantSplit/>
          <w:jc w:val="center"/>
        </w:trPr>
        <w:tc>
          <w:tcPr>
            <w:tcW w:w="1480" w:type="dxa"/>
          </w:tcPr>
          <w:p w:rsidR="00743927" w:rsidRDefault="00743927" w:rsidP="00255AA3">
            <w:pPr>
              <w:pStyle w:val="E3Tabletext"/>
            </w:pPr>
            <w:r>
              <w:t>Life expectancy</w:t>
            </w:r>
          </w:p>
        </w:tc>
        <w:tc>
          <w:tcPr>
            <w:tcW w:w="5612" w:type="dxa"/>
            <w:gridSpan w:val="8"/>
          </w:tcPr>
          <w:p w:rsidR="00743927" w:rsidRDefault="00743927" w:rsidP="00255AA3">
            <w:pPr>
              <w:pStyle w:val="E3Tabletext"/>
            </w:pPr>
            <w:r>
              <w:t>Average life ≥ 25,000 h</w:t>
            </w:r>
          </w:p>
        </w:tc>
        <w:tc>
          <w:tcPr>
            <w:tcW w:w="2484" w:type="dxa"/>
            <w:vMerge/>
          </w:tcPr>
          <w:p w:rsidR="00743927" w:rsidRDefault="00743927" w:rsidP="00255AA3">
            <w:pPr>
              <w:pStyle w:val="E3Tabletext"/>
            </w:pPr>
          </w:p>
        </w:tc>
      </w:tr>
      <w:tr w:rsidR="00743927" w:rsidTr="00225C27">
        <w:trPr>
          <w:cantSplit/>
          <w:jc w:val="center"/>
        </w:trPr>
        <w:tc>
          <w:tcPr>
            <w:tcW w:w="1480" w:type="dxa"/>
          </w:tcPr>
          <w:p w:rsidR="00743927" w:rsidRDefault="00743927" w:rsidP="00255AA3">
            <w:pPr>
              <w:pStyle w:val="E3Tabletext"/>
            </w:pPr>
            <w:r>
              <w:t>Lumen Maintenance</w:t>
            </w:r>
          </w:p>
        </w:tc>
        <w:tc>
          <w:tcPr>
            <w:tcW w:w="5612" w:type="dxa"/>
            <w:gridSpan w:val="8"/>
          </w:tcPr>
          <w:p w:rsidR="00743927" w:rsidRDefault="00743927" w:rsidP="00255AA3">
            <w:pPr>
              <w:pStyle w:val="E3Tabletext"/>
            </w:pPr>
            <w:r>
              <w:t>The luminous flux (relative to initial luminous flux)</w:t>
            </w:r>
          </w:p>
          <w:p w:rsidR="00743927" w:rsidRDefault="00743927" w:rsidP="00255AA3">
            <w:pPr>
              <w:pStyle w:val="E3Tabletext"/>
            </w:pPr>
            <w:r>
              <w:t>≥ 92% at 3,000 h</w:t>
            </w:r>
          </w:p>
          <w:p w:rsidR="00743927" w:rsidRDefault="00743927" w:rsidP="00255AA3">
            <w:pPr>
              <w:pStyle w:val="E3Tabletext"/>
            </w:pPr>
            <w:r>
              <w:t>≥ 88% at 6,000 h</w:t>
            </w:r>
          </w:p>
          <w:p w:rsidR="00743927" w:rsidRDefault="00743927" w:rsidP="00255AA3">
            <w:pPr>
              <w:pStyle w:val="E3Tabletext"/>
            </w:pPr>
            <w:r>
              <w:t>≥ 70% at 70% of rated life</w:t>
            </w:r>
          </w:p>
        </w:tc>
        <w:tc>
          <w:tcPr>
            <w:tcW w:w="2484" w:type="dxa"/>
            <w:vMerge/>
          </w:tcPr>
          <w:p w:rsidR="00743927" w:rsidRDefault="00743927" w:rsidP="00255AA3">
            <w:pPr>
              <w:pStyle w:val="E3Tabletext"/>
            </w:pPr>
          </w:p>
        </w:tc>
      </w:tr>
      <w:tr w:rsidR="00743927" w:rsidTr="00225C27">
        <w:trPr>
          <w:cantSplit/>
          <w:jc w:val="center"/>
        </w:trPr>
        <w:tc>
          <w:tcPr>
            <w:tcW w:w="1480" w:type="dxa"/>
          </w:tcPr>
          <w:p w:rsidR="00743927" w:rsidRDefault="00743927" w:rsidP="00255AA3">
            <w:pPr>
              <w:pStyle w:val="E3Tabletext"/>
            </w:pPr>
            <w:r>
              <w:t>Switching withstand</w:t>
            </w:r>
          </w:p>
        </w:tc>
        <w:tc>
          <w:tcPr>
            <w:tcW w:w="5612" w:type="dxa"/>
            <w:gridSpan w:val="8"/>
          </w:tcPr>
          <w:p w:rsidR="00743927" w:rsidRPr="000B1C7B" w:rsidRDefault="00743927" w:rsidP="00255AA3">
            <w:pPr>
              <w:pStyle w:val="E3Tabletext"/>
            </w:pPr>
            <w:r w:rsidRPr="000B1C7B">
              <w:t>Switching cycles before failure &gt; 15,000</w:t>
            </w:r>
          </w:p>
        </w:tc>
        <w:tc>
          <w:tcPr>
            <w:tcW w:w="2484" w:type="dxa"/>
            <w:vMerge/>
          </w:tcPr>
          <w:p w:rsidR="00743927" w:rsidRDefault="00743927" w:rsidP="00255AA3">
            <w:pPr>
              <w:pStyle w:val="E3Tabletext"/>
            </w:pPr>
          </w:p>
        </w:tc>
      </w:tr>
      <w:tr w:rsidR="00743927" w:rsidTr="00225C27">
        <w:trPr>
          <w:cantSplit/>
          <w:jc w:val="center"/>
        </w:trPr>
        <w:tc>
          <w:tcPr>
            <w:tcW w:w="1480" w:type="dxa"/>
          </w:tcPr>
          <w:p w:rsidR="00743927" w:rsidRDefault="00743927" w:rsidP="00255AA3">
            <w:pPr>
              <w:pStyle w:val="E3Tabletext"/>
            </w:pPr>
            <w:r>
              <w:t>Harmonics</w:t>
            </w:r>
          </w:p>
        </w:tc>
        <w:tc>
          <w:tcPr>
            <w:tcW w:w="5612" w:type="dxa"/>
            <w:gridSpan w:val="8"/>
          </w:tcPr>
          <w:p w:rsidR="00743927" w:rsidRPr="00C47C33" w:rsidRDefault="00743927" w:rsidP="00255AA3">
            <w:pPr>
              <w:pStyle w:val="E3Tabletext"/>
            </w:pPr>
            <w:r>
              <w:t>As per test standard</w:t>
            </w:r>
          </w:p>
        </w:tc>
        <w:tc>
          <w:tcPr>
            <w:tcW w:w="2484" w:type="dxa"/>
          </w:tcPr>
          <w:p w:rsidR="00743927" w:rsidRDefault="00743927" w:rsidP="00255AA3">
            <w:pPr>
              <w:pStyle w:val="E3Tabletext"/>
            </w:pPr>
            <w:r>
              <w:t>GB 17625.1</w:t>
            </w:r>
          </w:p>
        </w:tc>
      </w:tr>
    </w:tbl>
    <w:p w:rsidR="00D01D3A" w:rsidRDefault="00D01D3A" w:rsidP="00D01D3A">
      <w:pPr>
        <w:pStyle w:val="E3BodyText"/>
      </w:pPr>
      <w:bookmarkStart w:id="316" w:name="_Toc389123367"/>
    </w:p>
    <w:p w:rsidR="00334066" w:rsidRDefault="00334066" w:rsidP="00E65B09">
      <w:pPr>
        <w:pStyle w:val="E3Heading3"/>
        <w:numPr>
          <w:ilvl w:val="0"/>
          <w:numId w:val="0"/>
        </w:numPr>
        <w:ind w:left="864" w:hanging="864"/>
      </w:pPr>
      <w:r>
        <w:t>India</w:t>
      </w:r>
      <w:bookmarkEnd w:id="316"/>
    </w:p>
    <w:p w:rsidR="00334066" w:rsidRPr="00ED1DC4" w:rsidRDefault="00225C27" w:rsidP="00225C27">
      <w:pPr>
        <w:pStyle w:val="E3BodyText"/>
        <w:jc w:val="center"/>
        <w:rPr>
          <w:lang w:eastAsia="en-AU"/>
        </w:rPr>
      </w:pPr>
      <w:r>
        <w:rPr>
          <w:noProof/>
          <w:lang w:eastAsia="en-AU"/>
        </w:rPr>
        <w:drawing>
          <wp:inline distT="0" distB="0" distL="0" distR="0" wp14:anchorId="3F687888" wp14:editId="25E4DE69">
            <wp:extent cx="5524500" cy="3781425"/>
            <wp:effectExtent l="0" t="0" r="0" b="0"/>
            <wp:docPr id="42" name="Picture 42" descr="Diagram displaying the Flow of HEPS, Endorsement Label, MEPS, Comparative Label.&#10;&#10;Endorsement Label are broken down into the following:&#10;- No Energy Efficiency&#10;-Light quality parameters&#10;-Electrical quality paramaters&#10;-Product Quality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png"/>
                    <pic:cNvPicPr/>
                  </pic:nvPicPr>
                  <pic:blipFill rotWithShape="1">
                    <a:blip r:embed="rId139" cstate="print">
                      <a:extLst>
                        <a:ext uri="{28A0092B-C50C-407E-A947-70E740481C1C}">
                          <a14:useLocalDpi xmlns:a14="http://schemas.microsoft.com/office/drawing/2010/main" val="0"/>
                        </a:ext>
                      </a:extLst>
                    </a:blip>
                    <a:srcRect l="8805" t="9485" b="4933"/>
                    <a:stretch/>
                  </pic:blipFill>
                  <pic:spPr bwMode="auto">
                    <a:xfrm>
                      <a:off x="0" y="0"/>
                      <a:ext cx="5525434" cy="3782064"/>
                    </a:xfrm>
                    <a:prstGeom prst="rect">
                      <a:avLst/>
                    </a:prstGeom>
                    <a:ln>
                      <a:noFill/>
                    </a:ln>
                    <a:extLst>
                      <a:ext uri="{53640926-AAD7-44D8-BBD7-CCE9431645EC}">
                        <a14:shadowObscured xmlns:a14="http://schemas.microsoft.com/office/drawing/2010/main"/>
                      </a:ext>
                    </a:extLst>
                  </pic:spPr>
                </pic:pic>
              </a:graphicData>
            </a:graphic>
          </wp:inline>
        </w:drawing>
      </w:r>
    </w:p>
    <w:p w:rsidR="00334066" w:rsidRPr="00310986" w:rsidRDefault="00334066" w:rsidP="00E65B09">
      <w:pPr>
        <w:pStyle w:val="E3Heading4"/>
        <w:numPr>
          <w:ilvl w:val="0"/>
          <w:numId w:val="0"/>
        </w:numPr>
        <w:ind w:left="1008" w:hanging="1008"/>
        <w:rPr>
          <w:lang w:eastAsia="en-AU"/>
        </w:rPr>
      </w:pPr>
      <w:r w:rsidRPr="00310986">
        <w:rPr>
          <w:lang w:eastAsia="en-AU"/>
        </w:rPr>
        <w:t>Scope</w:t>
      </w:r>
    </w:p>
    <w:p w:rsidR="00334066" w:rsidRDefault="00334066" w:rsidP="00A32FB4">
      <w:pPr>
        <w:pStyle w:val="E3BodyText"/>
      </w:pPr>
      <w:r>
        <w:t xml:space="preserve">This standard (Part 2) specifies the performance requirements for self-ballasted LED lamps with d.c. supplies up to 250 V or a.c. supplies up to 1 000 V at 50 Hz, together with the test methods and conditions, required to show compliance with this standard, intended for domestic and similar general lighting purposes, having, </w:t>
      </w:r>
    </w:p>
    <w:p w:rsidR="00334066" w:rsidRDefault="00334066" w:rsidP="00F1452F">
      <w:pPr>
        <w:pStyle w:val="E3BodyText"/>
        <w:numPr>
          <w:ilvl w:val="0"/>
          <w:numId w:val="20"/>
        </w:numPr>
      </w:pPr>
      <w:r>
        <w:lastRenderedPageBreak/>
        <w:t>a rated wattage up to 60 W;</w:t>
      </w:r>
    </w:p>
    <w:p w:rsidR="00334066" w:rsidRDefault="00334066" w:rsidP="00F1452F">
      <w:pPr>
        <w:pStyle w:val="E3BodyText"/>
        <w:numPr>
          <w:ilvl w:val="0"/>
          <w:numId w:val="20"/>
        </w:numPr>
      </w:pPr>
      <w:r>
        <w:t>a rated d.c. supplies up to 250 V or a.c. supplies up to 1 000 V at 50 Hz; and</w:t>
      </w:r>
    </w:p>
    <w:p w:rsidR="00334066" w:rsidRDefault="00334066" w:rsidP="00F1452F">
      <w:pPr>
        <w:pStyle w:val="E3BodyText"/>
        <w:numPr>
          <w:ilvl w:val="0"/>
          <w:numId w:val="20"/>
        </w:numPr>
      </w:pPr>
      <w:r>
        <w:t>a lamp cap according to IS 16102 (Part 1</w:t>
      </w:r>
      <w:r w:rsidR="00F966C3">
        <w:t>):</w:t>
      </w:r>
      <w:r>
        <w:t xml:space="preserve"> 2012 ‘Self-ballasted LED lamps </w:t>
      </w:r>
      <w:r w:rsidR="00F966C3">
        <w:t>for general</w:t>
      </w:r>
      <w:r>
        <w:t xml:space="preserve"> lighting services: Part 1 Safety requirements’.</w:t>
      </w:r>
    </w:p>
    <w:p w:rsidR="00334066" w:rsidRDefault="00334066" w:rsidP="00A32FB4">
      <w:pPr>
        <w:pStyle w:val="E3BodyText"/>
      </w:pPr>
      <w:r>
        <w:t>This standard does not cover self-ballasted LED-lamps that intentionally produce tinted or coloured light neither does it cover OLEDs.</w:t>
      </w:r>
    </w:p>
    <w:p w:rsidR="00334066" w:rsidRPr="00310986" w:rsidRDefault="00334066" w:rsidP="00E65B09">
      <w:pPr>
        <w:pStyle w:val="E3Heading4"/>
        <w:numPr>
          <w:ilvl w:val="0"/>
          <w:numId w:val="0"/>
        </w:numPr>
        <w:ind w:left="1008" w:hanging="1008"/>
        <w:rPr>
          <w:lang w:eastAsia="en-AU"/>
        </w:rPr>
      </w:pPr>
      <w:r>
        <w:rPr>
          <w:lang w:eastAsia="en-AU"/>
        </w:rPr>
        <w:t>Performance requirements</w:t>
      </w:r>
    </w:p>
    <w:p w:rsidR="00334066" w:rsidRDefault="00334066" w:rsidP="00A32FB4">
      <w:pPr>
        <w:pStyle w:val="E3BodyText"/>
      </w:pPr>
      <w:r>
        <w:t xml:space="preserve">The BIS Standard Mark may be obtained by manufacturers who comply with IS 16102 (Part 2): 2012 “Self Ballasted LED Lamps for General Lighting Services, Part </w:t>
      </w:r>
      <w:r w:rsidR="00F966C3">
        <w:t>2 Performance</w:t>
      </w:r>
      <w:r>
        <w:t xml:space="preserve"> Requirements”. This standard is based on IEC 62612 “Self Ballasted LED Lamps for General Lighting Services for voltage above 50V - performance requirements” but with the following modification:</w:t>
      </w:r>
    </w:p>
    <w:p w:rsidR="00334066" w:rsidRDefault="00334066" w:rsidP="00F1452F">
      <w:pPr>
        <w:pStyle w:val="E3BodyText"/>
        <w:numPr>
          <w:ilvl w:val="0"/>
          <w:numId w:val="21"/>
        </w:numPr>
      </w:pPr>
      <w:r>
        <w:t>Made applicable for d.c. supplies up to 250 V or a.c. supplies up to 1 000 V at 50 Hz;</w:t>
      </w:r>
    </w:p>
    <w:p w:rsidR="00334066" w:rsidRDefault="00334066" w:rsidP="00F1452F">
      <w:pPr>
        <w:pStyle w:val="E3BodyText"/>
        <w:numPr>
          <w:ilvl w:val="0"/>
          <w:numId w:val="21"/>
        </w:numPr>
      </w:pPr>
      <w:r>
        <w:t>Schedule of type test and acceptance test has been incorporated;</w:t>
      </w:r>
    </w:p>
    <w:p w:rsidR="00334066" w:rsidRDefault="00334066" w:rsidP="00F1452F">
      <w:pPr>
        <w:pStyle w:val="E3BodyText"/>
        <w:numPr>
          <w:ilvl w:val="0"/>
          <w:numId w:val="21"/>
        </w:numPr>
      </w:pPr>
      <w:r>
        <w:t>Ambient test condition changed to 27°C;</w:t>
      </w:r>
    </w:p>
    <w:p w:rsidR="00334066" w:rsidRDefault="00334066" w:rsidP="00F1452F">
      <w:pPr>
        <w:pStyle w:val="E3BodyText"/>
        <w:numPr>
          <w:ilvl w:val="0"/>
          <w:numId w:val="21"/>
        </w:numPr>
      </w:pPr>
      <w:r>
        <w:t>Selection of samples incorporated;</w:t>
      </w:r>
    </w:p>
    <w:p w:rsidR="00334066" w:rsidRDefault="00334066" w:rsidP="00F1452F">
      <w:pPr>
        <w:pStyle w:val="E3BodyText"/>
        <w:numPr>
          <w:ilvl w:val="0"/>
          <w:numId w:val="21"/>
        </w:numPr>
      </w:pPr>
      <w:r>
        <w:t>Conditions of compliances incorporated;</w:t>
      </w:r>
    </w:p>
    <w:p w:rsidR="00334066" w:rsidRDefault="00334066" w:rsidP="00F1452F">
      <w:pPr>
        <w:pStyle w:val="E3BodyText"/>
        <w:numPr>
          <w:ilvl w:val="0"/>
          <w:numId w:val="21"/>
        </w:numPr>
      </w:pPr>
      <w:r>
        <w:t>Data for chromaticity co-ordinates and CCT values for 5 700 K added;</w:t>
      </w:r>
    </w:p>
    <w:p w:rsidR="00334066" w:rsidRDefault="00334066" w:rsidP="00F1452F">
      <w:pPr>
        <w:pStyle w:val="E3BodyText"/>
        <w:numPr>
          <w:ilvl w:val="0"/>
          <w:numId w:val="21"/>
        </w:numPr>
      </w:pPr>
      <w:r>
        <w:t>Requirements of harmonics and p.f. have been added; and</w:t>
      </w:r>
    </w:p>
    <w:p w:rsidR="00334066" w:rsidRDefault="00F966C3" w:rsidP="00F1452F">
      <w:pPr>
        <w:pStyle w:val="E3BodyText"/>
        <w:numPr>
          <w:ilvl w:val="0"/>
          <w:numId w:val="21"/>
        </w:numPr>
      </w:pPr>
      <w:r>
        <w:t>Tolerance</w:t>
      </w:r>
      <w:r w:rsidR="00334066">
        <w:t xml:space="preserve"> for lamp power (see 8) increased to 15 percent and for luminous flux (see 9) decreased to 90 percent.</w:t>
      </w:r>
    </w:p>
    <w:p w:rsidR="00334066" w:rsidRDefault="00334066" w:rsidP="00A32FB4">
      <w:pPr>
        <w:pStyle w:val="E3BodyText"/>
      </w:pPr>
      <w:r>
        <w:t>Note that there are no efficacy requirements included.</w:t>
      </w:r>
    </w:p>
    <w:tbl>
      <w:tblPr>
        <w:tblStyle w:val="TableGrid"/>
        <w:tblW w:w="0" w:type="auto"/>
        <w:jc w:val="center"/>
        <w:tblLook w:val="04A0" w:firstRow="1" w:lastRow="0" w:firstColumn="1" w:lastColumn="0" w:noHBand="0" w:noVBand="1"/>
      </w:tblPr>
      <w:tblGrid>
        <w:gridCol w:w="1480"/>
        <w:gridCol w:w="2806"/>
        <w:gridCol w:w="2806"/>
        <w:gridCol w:w="2484"/>
      </w:tblGrid>
      <w:tr w:rsidR="00334066" w:rsidTr="00225C27">
        <w:trPr>
          <w:cantSplit/>
          <w:tblHeader/>
          <w:jc w:val="center"/>
        </w:trPr>
        <w:tc>
          <w:tcPr>
            <w:tcW w:w="1480" w:type="dxa"/>
          </w:tcPr>
          <w:p w:rsidR="00334066" w:rsidRDefault="00334066" w:rsidP="004C3559">
            <w:pPr>
              <w:pStyle w:val="E3TableHeading"/>
            </w:pPr>
            <w:r>
              <w:t>Parameter</w:t>
            </w:r>
          </w:p>
        </w:tc>
        <w:tc>
          <w:tcPr>
            <w:tcW w:w="5612" w:type="dxa"/>
            <w:gridSpan w:val="2"/>
          </w:tcPr>
          <w:p w:rsidR="00334066" w:rsidRDefault="00334066" w:rsidP="004C3559">
            <w:pPr>
              <w:pStyle w:val="E3TableHeading"/>
            </w:pPr>
            <w:r>
              <w:t>Requirements</w:t>
            </w:r>
          </w:p>
        </w:tc>
        <w:tc>
          <w:tcPr>
            <w:tcW w:w="2484" w:type="dxa"/>
          </w:tcPr>
          <w:p w:rsidR="00334066" w:rsidRDefault="00334066" w:rsidP="004C3559">
            <w:pPr>
              <w:pStyle w:val="E3TableHeading"/>
            </w:pPr>
            <w:r>
              <w:t>Test Method</w:t>
            </w:r>
          </w:p>
        </w:tc>
      </w:tr>
      <w:tr w:rsidR="00334066" w:rsidTr="00225C27">
        <w:trPr>
          <w:cantSplit/>
          <w:jc w:val="center"/>
        </w:trPr>
        <w:tc>
          <w:tcPr>
            <w:tcW w:w="1480" w:type="dxa"/>
          </w:tcPr>
          <w:p w:rsidR="00334066" w:rsidRDefault="00334066" w:rsidP="00255AA3">
            <w:pPr>
              <w:pStyle w:val="E3Tabletext"/>
            </w:pPr>
            <w:r>
              <w:t>Lamp power</w:t>
            </w:r>
          </w:p>
        </w:tc>
        <w:tc>
          <w:tcPr>
            <w:tcW w:w="5612" w:type="dxa"/>
            <w:gridSpan w:val="2"/>
          </w:tcPr>
          <w:p w:rsidR="00334066" w:rsidRDefault="00334066" w:rsidP="00255AA3">
            <w:pPr>
              <w:pStyle w:val="E3Tabletext"/>
            </w:pPr>
            <w:r>
              <w:t>Measured lamp power ≤ 115% of rated lamp power</w:t>
            </w:r>
          </w:p>
        </w:tc>
        <w:tc>
          <w:tcPr>
            <w:tcW w:w="2484" w:type="dxa"/>
            <w:vMerge w:val="restart"/>
          </w:tcPr>
          <w:p w:rsidR="00334066" w:rsidRDefault="00334066" w:rsidP="00255AA3">
            <w:pPr>
              <w:pStyle w:val="E3Tabletext"/>
            </w:pPr>
          </w:p>
          <w:p w:rsidR="00334066" w:rsidRDefault="00334066" w:rsidP="00255AA3">
            <w:pPr>
              <w:pStyle w:val="E3Tabletext"/>
            </w:pPr>
            <w:r>
              <w:t>IEC/PAS 62 612 2009-06</w:t>
            </w:r>
          </w:p>
          <w:p w:rsidR="00334066" w:rsidRDefault="00334066" w:rsidP="00255AA3">
            <w:pPr>
              <w:pStyle w:val="E3Tabletext"/>
            </w:pPr>
          </w:p>
        </w:tc>
      </w:tr>
      <w:tr w:rsidR="00334066" w:rsidTr="00225C27">
        <w:trPr>
          <w:cantSplit/>
          <w:jc w:val="center"/>
        </w:trPr>
        <w:tc>
          <w:tcPr>
            <w:tcW w:w="1480" w:type="dxa"/>
          </w:tcPr>
          <w:p w:rsidR="00334066" w:rsidRDefault="00334066" w:rsidP="00255AA3">
            <w:pPr>
              <w:pStyle w:val="E3Tabletext"/>
            </w:pPr>
            <w:r>
              <w:t>Luminous flux</w:t>
            </w:r>
          </w:p>
        </w:tc>
        <w:tc>
          <w:tcPr>
            <w:tcW w:w="5612" w:type="dxa"/>
            <w:gridSpan w:val="2"/>
          </w:tcPr>
          <w:p w:rsidR="00334066" w:rsidRDefault="00334066" w:rsidP="00255AA3">
            <w:pPr>
              <w:pStyle w:val="E3Tabletext"/>
            </w:pPr>
            <w:r>
              <w:t>Measured lamp luminous flux ≥ 90% of rated lamp luminous flux</w:t>
            </w:r>
          </w:p>
        </w:tc>
        <w:tc>
          <w:tcPr>
            <w:tcW w:w="2484" w:type="dxa"/>
            <w:vMerge/>
          </w:tcPr>
          <w:p w:rsidR="00334066" w:rsidRDefault="00334066" w:rsidP="00255AA3">
            <w:pPr>
              <w:pStyle w:val="E3Tabletext"/>
            </w:pPr>
          </w:p>
        </w:tc>
      </w:tr>
      <w:tr w:rsidR="00334066" w:rsidTr="00225C27">
        <w:trPr>
          <w:cantSplit/>
          <w:jc w:val="center"/>
        </w:trPr>
        <w:tc>
          <w:tcPr>
            <w:tcW w:w="1480" w:type="dxa"/>
          </w:tcPr>
          <w:p w:rsidR="00334066" w:rsidRDefault="00334066" w:rsidP="00255AA3">
            <w:pPr>
              <w:pStyle w:val="E3Tabletext"/>
            </w:pPr>
            <w:r>
              <w:t>Colour rendering</w:t>
            </w:r>
          </w:p>
        </w:tc>
        <w:tc>
          <w:tcPr>
            <w:tcW w:w="5612" w:type="dxa"/>
            <w:gridSpan w:val="2"/>
          </w:tcPr>
          <w:p w:rsidR="00334066" w:rsidRDefault="00334066" w:rsidP="00255AA3">
            <w:pPr>
              <w:pStyle w:val="E3Tabletext"/>
            </w:pPr>
            <w:r>
              <w:t>As per IEC/PAS 62 612 2009-06</w:t>
            </w:r>
          </w:p>
        </w:tc>
        <w:tc>
          <w:tcPr>
            <w:tcW w:w="2484" w:type="dxa"/>
            <w:vMerge/>
          </w:tcPr>
          <w:p w:rsidR="00334066" w:rsidRDefault="00334066" w:rsidP="00255AA3">
            <w:pPr>
              <w:pStyle w:val="E3Tabletext"/>
            </w:pPr>
          </w:p>
        </w:tc>
      </w:tr>
      <w:tr w:rsidR="00334066" w:rsidTr="00225C27">
        <w:trPr>
          <w:cantSplit/>
          <w:jc w:val="center"/>
        </w:trPr>
        <w:tc>
          <w:tcPr>
            <w:tcW w:w="1480" w:type="dxa"/>
          </w:tcPr>
          <w:p w:rsidR="00334066" w:rsidRDefault="00334066" w:rsidP="00255AA3">
            <w:pPr>
              <w:pStyle w:val="E3Tabletext"/>
            </w:pPr>
            <w:r>
              <w:t>Colour temperature &amp; variation</w:t>
            </w:r>
          </w:p>
        </w:tc>
        <w:tc>
          <w:tcPr>
            <w:tcW w:w="5612" w:type="dxa"/>
            <w:gridSpan w:val="2"/>
          </w:tcPr>
          <w:p w:rsidR="00334066" w:rsidRDefault="00334066" w:rsidP="00255AA3">
            <w:pPr>
              <w:pStyle w:val="E3Tabletext"/>
            </w:pPr>
            <w:r>
              <w:t>As per IEC/PAS 62 612 2009-06</w:t>
            </w:r>
          </w:p>
        </w:tc>
        <w:tc>
          <w:tcPr>
            <w:tcW w:w="2484" w:type="dxa"/>
            <w:vMerge/>
          </w:tcPr>
          <w:p w:rsidR="00334066" w:rsidRDefault="00334066" w:rsidP="00255AA3">
            <w:pPr>
              <w:pStyle w:val="E3Tabletext"/>
            </w:pPr>
          </w:p>
        </w:tc>
      </w:tr>
      <w:tr w:rsidR="00334066" w:rsidTr="00225C27">
        <w:trPr>
          <w:cantSplit/>
          <w:jc w:val="center"/>
        </w:trPr>
        <w:tc>
          <w:tcPr>
            <w:tcW w:w="1480" w:type="dxa"/>
          </w:tcPr>
          <w:p w:rsidR="00334066" w:rsidRDefault="00334066" w:rsidP="00255AA3">
            <w:pPr>
              <w:pStyle w:val="E3Tabletext"/>
            </w:pPr>
            <w:r>
              <w:t>Lamp Life  &amp; Lumen Maintenance</w:t>
            </w:r>
          </w:p>
        </w:tc>
        <w:tc>
          <w:tcPr>
            <w:tcW w:w="5612" w:type="dxa"/>
            <w:gridSpan w:val="2"/>
          </w:tcPr>
          <w:p w:rsidR="00334066" w:rsidRDefault="00334066" w:rsidP="00255AA3">
            <w:pPr>
              <w:pStyle w:val="E3Tabletext"/>
            </w:pPr>
            <w:r>
              <w:t>As per IEC/PAS 62 612 2009-06</w:t>
            </w:r>
          </w:p>
          <w:p w:rsidR="00334066" w:rsidRDefault="00334066" w:rsidP="00255AA3">
            <w:pPr>
              <w:pStyle w:val="E3Tabletext"/>
            </w:pPr>
          </w:p>
        </w:tc>
        <w:tc>
          <w:tcPr>
            <w:tcW w:w="2484" w:type="dxa"/>
            <w:vMerge/>
          </w:tcPr>
          <w:p w:rsidR="00334066" w:rsidRDefault="00334066" w:rsidP="00255AA3">
            <w:pPr>
              <w:pStyle w:val="E3Tabletext"/>
            </w:pPr>
          </w:p>
        </w:tc>
      </w:tr>
      <w:tr w:rsidR="00334066" w:rsidRPr="00225C27" w:rsidTr="00225C27">
        <w:trPr>
          <w:cantSplit/>
          <w:jc w:val="center"/>
        </w:trPr>
        <w:tc>
          <w:tcPr>
            <w:tcW w:w="1480" w:type="dxa"/>
          </w:tcPr>
          <w:p w:rsidR="00334066" w:rsidRPr="00225C27" w:rsidRDefault="00334066" w:rsidP="00255AA3">
            <w:pPr>
              <w:pStyle w:val="E3Tabletext"/>
            </w:pPr>
            <w:r w:rsidRPr="00225C27">
              <w:t>Endurance testing of integrated driver</w:t>
            </w:r>
          </w:p>
        </w:tc>
        <w:tc>
          <w:tcPr>
            <w:tcW w:w="5612" w:type="dxa"/>
            <w:gridSpan w:val="2"/>
          </w:tcPr>
          <w:p w:rsidR="00334066" w:rsidRPr="00225C27" w:rsidRDefault="00225C27" w:rsidP="00255AA3">
            <w:pPr>
              <w:pStyle w:val="E3Tabletext"/>
            </w:pPr>
            <w:r>
              <w:t>As per IEC/PAS 62 612 2009-06</w:t>
            </w:r>
          </w:p>
        </w:tc>
        <w:tc>
          <w:tcPr>
            <w:tcW w:w="2484" w:type="dxa"/>
            <w:vMerge/>
          </w:tcPr>
          <w:p w:rsidR="00334066" w:rsidRPr="00225C27" w:rsidRDefault="00334066" w:rsidP="00255AA3">
            <w:pPr>
              <w:pStyle w:val="E3Tabletext"/>
            </w:pPr>
          </w:p>
        </w:tc>
      </w:tr>
      <w:tr w:rsidR="00334066" w:rsidTr="00225C27">
        <w:trPr>
          <w:cantSplit/>
          <w:jc w:val="center"/>
        </w:trPr>
        <w:tc>
          <w:tcPr>
            <w:tcW w:w="1480" w:type="dxa"/>
          </w:tcPr>
          <w:p w:rsidR="00334066" w:rsidRDefault="00334066" w:rsidP="00255AA3">
            <w:pPr>
              <w:pStyle w:val="E3Tabletext"/>
            </w:pPr>
            <w:r>
              <w:t>Power factor</w:t>
            </w:r>
          </w:p>
        </w:tc>
        <w:tc>
          <w:tcPr>
            <w:tcW w:w="5612" w:type="dxa"/>
            <w:gridSpan w:val="2"/>
          </w:tcPr>
          <w:p w:rsidR="00334066" w:rsidRDefault="00334066" w:rsidP="00255AA3">
            <w:pPr>
              <w:pStyle w:val="E3Tabletext"/>
            </w:pPr>
            <w:r>
              <w:t>≥ 0.9</w:t>
            </w:r>
          </w:p>
        </w:tc>
        <w:tc>
          <w:tcPr>
            <w:tcW w:w="2484" w:type="dxa"/>
          </w:tcPr>
          <w:p w:rsidR="00334066" w:rsidRDefault="00334066" w:rsidP="00255AA3">
            <w:pPr>
              <w:pStyle w:val="E3Tabletext"/>
            </w:pPr>
          </w:p>
        </w:tc>
      </w:tr>
      <w:tr w:rsidR="004C3559" w:rsidTr="00225C27">
        <w:trPr>
          <w:cantSplit/>
          <w:trHeight w:val="86"/>
          <w:jc w:val="center"/>
        </w:trPr>
        <w:tc>
          <w:tcPr>
            <w:tcW w:w="1480" w:type="dxa"/>
            <w:vMerge w:val="restart"/>
          </w:tcPr>
          <w:p w:rsidR="004C3559" w:rsidRDefault="004C3559" w:rsidP="00255AA3">
            <w:pPr>
              <w:pStyle w:val="E3Tabletext"/>
            </w:pPr>
            <w:r>
              <w:t>Harmonic Distortion</w:t>
            </w:r>
          </w:p>
        </w:tc>
        <w:tc>
          <w:tcPr>
            <w:tcW w:w="2806" w:type="dxa"/>
          </w:tcPr>
          <w:p w:rsidR="004C3559" w:rsidRDefault="004C3559" w:rsidP="00255AA3">
            <w:pPr>
              <w:pStyle w:val="E3Tabletext"/>
            </w:pPr>
            <w:r>
              <w:t xml:space="preserve">Harmonic order, </w:t>
            </w:r>
            <w:r w:rsidRPr="005E459F">
              <w:t>n</w:t>
            </w:r>
          </w:p>
        </w:tc>
        <w:tc>
          <w:tcPr>
            <w:tcW w:w="2806" w:type="dxa"/>
          </w:tcPr>
          <w:p w:rsidR="004C3559" w:rsidRDefault="004C3559" w:rsidP="00255AA3">
            <w:pPr>
              <w:pStyle w:val="E3Tabletext"/>
            </w:pPr>
            <w:r>
              <w:t>Max Harmonic current as percentage of input fundamental frequency</w:t>
            </w:r>
          </w:p>
        </w:tc>
        <w:tc>
          <w:tcPr>
            <w:tcW w:w="2484" w:type="dxa"/>
            <w:vMerge w:val="restart"/>
          </w:tcPr>
          <w:p w:rsidR="004C3559" w:rsidRDefault="004C3559" w:rsidP="00235234"/>
        </w:tc>
      </w:tr>
      <w:tr w:rsidR="004C3559" w:rsidTr="00225C27">
        <w:trPr>
          <w:cantSplit/>
          <w:trHeight w:val="82"/>
          <w:jc w:val="center"/>
        </w:trPr>
        <w:tc>
          <w:tcPr>
            <w:tcW w:w="1480" w:type="dxa"/>
            <w:vMerge/>
          </w:tcPr>
          <w:p w:rsidR="004C3559" w:rsidRDefault="004C3559" w:rsidP="00255AA3">
            <w:pPr>
              <w:pStyle w:val="E3Tabletext"/>
            </w:pPr>
          </w:p>
        </w:tc>
        <w:tc>
          <w:tcPr>
            <w:tcW w:w="2806" w:type="dxa"/>
          </w:tcPr>
          <w:p w:rsidR="004C3559" w:rsidRDefault="004C3559" w:rsidP="00255AA3">
            <w:pPr>
              <w:pStyle w:val="E3Tabletext"/>
            </w:pPr>
            <w:r>
              <w:t>2</w:t>
            </w:r>
          </w:p>
        </w:tc>
        <w:tc>
          <w:tcPr>
            <w:tcW w:w="2806" w:type="dxa"/>
          </w:tcPr>
          <w:p w:rsidR="004C3559" w:rsidRDefault="004C3559" w:rsidP="00255AA3">
            <w:pPr>
              <w:pStyle w:val="E3Tabletext"/>
            </w:pPr>
            <w:r>
              <w:t>2</w:t>
            </w:r>
          </w:p>
        </w:tc>
        <w:tc>
          <w:tcPr>
            <w:tcW w:w="2484" w:type="dxa"/>
            <w:vMerge/>
          </w:tcPr>
          <w:p w:rsidR="004C3559" w:rsidRDefault="004C3559" w:rsidP="00235234"/>
        </w:tc>
      </w:tr>
      <w:tr w:rsidR="004C3559" w:rsidTr="00225C27">
        <w:trPr>
          <w:cantSplit/>
          <w:trHeight w:val="82"/>
          <w:jc w:val="center"/>
        </w:trPr>
        <w:tc>
          <w:tcPr>
            <w:tcW w:w="1480" w:type="dxa"/>
            <w:vMerge/>
          </w:tcPr>
          <w:p w:rsidR="004C3559" w:rsidRDefault="004C3559" w:rsidP="00255AA3">
            <w:pPr>
              <w:pStyle w:val="E3Tabletext"/>
            </w:pPr>
          </w:p>
        </w:tc>
        <w:tc>
          <w:tcPr>
            <w:tcW w:w="2806" w:type="dxa"/>
          </w:tcPr>
          <w:p w:rsidR="004C3559" w:rsidRDefault="004C3559" w:rsidP="00255AA3">
            <w:pPr>
              <w:pStyle w:val="E3Tabletext"/>
            </w:pPr>
            <w:r>
              <w:t>3</w:t>
            </w:r>
          </w:p>
        </w:tc>
        <w:tc>
          <w:tcPr>
            <w:tcW w:w="2806" w:type="dxa"/>
          </w:tcPr>
          <w:p w:rsidR="004C3559" w:rsidRDefault="004C3559" w:rsidP="00255AA3">
            <w:pPr>
              <w:pStyle w:val="E3Tabletext"/>
            </w:pPr>
            <w:r>
              <w:t>30 λ</w:t>
            </w:r>
          </w:p>
        </w:tc>
        <w:tc>
          <w:tcPr>
            <w:tcW w:w="2484" w:type="dxa"/>
            <w:vMerge/>
          </w:tcPr>
          <w:p w:rsidR="004C3559" w:rsidRDefault="004C3559" w:rsidP="00235234"/>
        </w:tc>
      </w:tr>
      <w:tr w:rsidR="004C3559" w:rsidTr="00225C27">
        <w:trPr>
          <w:cantSplit/>
          <w:trHeight w:val="82"/>
          <w:jc w:val="center"/>
        </w:trPr>
        <w:tc>
          <w:tcPr>
            <w:tcW w:w="1480" w:type="dxa"/>
            <w:vMerge/>
          </w:tcPr>
          <w:p w:rsidR="004C3559" w:rsidRDefault="004C3559" w:rsidP="00255AA3">
            <w:pPr>
              <w:pStyle w:val="E3Tabletext"/>
            </w:pPr>
          </w:p>
        </w:tc>
        <w:tc>
          <w:tcPr>
            <w:tcW w:w="2806" w:type="dxa"/>
          </w:tcPr>
          <w:p w:rsidR="004C3559" w:rsidRDefault="004C3559" w:rsidP="00255AA3">
            <w:pPr>
              <w:pStyle w:val="E3Tabletext"/>
            </w:pPr>
            <w:r>
              <w:t>5</w:t>
            </w:r>
          </w:p>
        </w:tc>
        <w:tc>
          <w:tcPr>
            <w:tcW w:w="2806" w:type="dxa"/>
          </w:tcPr>
          <w:p w:rsidR="004C3559" w:rsidRDefault="004C3559" w:rsidP="00255AA3">
            <w:pPr>
              <w:pStyle w:val="E3Tabletext"/>
            </w:pPr>
            <w:r>
              <w:t>10</w:t>
            </w:r>
          </w:p>
        </w:tc>
        <w:tc>
          <w:tcPr>
            <w:tcW w:w="2484" w:type="dxa"/>
            <w:vMerge/>
          </w:tcPr>
          <w:p w:rsidR="004C3559" w:rsidRDefault="004C3559" w:rsidP="00235234"/>
        </w:tc>
      </w:tr>
      <w:tr w:rsidR="004C3559" w:rsidTr="00225C27">
        <w:trPr>
          <w:cantSplit/>
          <w:trHeight w:val="82"/>
          <w:jc w:val="center"/>
        </w:trPr>
        <w:tc>
          <w:tcPr>
            <w:tcW w:w="1480" w:type="dxa"/>
            <w:vMerge/>
          </w:tcPr>
          <w:p w:rsidR="004C3559" w:rsidRDefault="004C3559" w:rsidP="00255AA3">
            <w:pPr>
              <w:pStyle w:val="E3Tabletext"/>
            </w:pPr>
          </w:p>
        </w:tc>
        <w:tc>
          <w:tcPr>
            <w:tcW w:w="2806" w:type="dxa"/>
          </w:tcPr>
          <w:p w:rsidR="004C3559" w:rsidRDefault="004C3559" w:rsidP="00255AA3">
            <w:pPr>
              <w:pStyle w:val="E3Tabletext"/>
            </w:pPr>
            <w:r>
              <w:t>7</w:t>
            </w:r>
          </w:p>
        </w:tc>
        <w:tc>
          <w:tcPr>
            <w:tcW w:w="2806" w:type="dxa"/>
          </w:tcPr>
          <w:p w:rsidR="004C3559" w:rsidRDefault="004C3559" w:rsidP="00255AA3">
            <w:pPr>
              <w:pStyle w:val="E3Tabletext"/>
            </w:pPr>
            <w:r>
              <w:t>5</w:t>
            </w:r>
          </w:p>
        </w:tc>
        <w:tc>
          <w:tcPr>
            <w:tcW w:w="2484" w:type="dxa"/>
            <w:vMerge/>
          </w:tcPr>
          <w:p w:rsidR="004C3559" w:rsidRDefault="004C3559" w:rsidP="00235234"/>
        </w:tc>
      </w:tr>
      <w:tr w:rsidR="004C3559" w:rsidTr="00225C27">
        <w:trPr>
          <w:cantSplit/>
          <w:trHeight w:val="82"/>
          <w:jc w:val="center"/>
        </w:trPr>
        <w:tc>
          <w:tcPr>
            <w:tcW w:w="1480" w:type="dxa"/>
            <w:vMerge/>
          </w:tcPr>
          <w:p w:rsidR="004C3559" w:rsidRDefault="004C3559" w:rsidP="00255AA3">
            <w:pPr>
              <w:pStyle w:val="E3Tabletext"/>
            </w:pPr>
          </w:p>
        </w:tc>
        <w:tc>
          <w:tcPr>
            <w:tcW w:w="2806" w:type="dxa"/>
          </w:tcPr>
          <w:p w:rsidR="004C3559" w:rsidRDefault="004C3559" w:rsidP="00255AA3">
            <w:pPr>
              <w:pStyle w:val="E3Tabletext"/>
            </w:pPr>
            <w:r>
              <w:t>9</w:t>
            </w:r>
          </w:p>
        </w:tc>
        <w:tc>
          <w:tcPr>
            <w:tcW w:w="2806" w:type="dxa"/>
          </w:tcPr>
          <w:p w:rsidR="004C3559" w:rsidRDefault="004C3559" w:rsidP="00255AA3">
            <w:pPr>
              <w:pStyle w:val="E3Tabletext"/>
            </w:pPr>
            <w:r>
              <w:t>7</w:t>
            </w:r>
          </w:p>
        </w:tc>
        <w:tc>
          <w:tcPr>
            <w:tcW w:w="2484" w:type="dxa"/>
            <w:vMerge/>
          </w:tcPr>
          <w:p w:rsidR="004C3559" w:rsidRDefault="004C3559" w:rsidP="00235234"/>
        </w:tc>
      </w:tr>
      <w:tr w:rsidR="004C3559" w:rsidTr="00225C27">
        <w:trPr>
          <w:cantSplit/>
          <w:trHeight w:val="82"/>
          <w:jc w:val="center"/>
        </w:trPr>
        <w:tc>
          <w:tcPr>
            <w:tcW w:w="1480" w:type="dxa"/>
            <w:vMerge/>
          </w:tcPr>
          <w:p w:rsidR="004C3559" w:rsidRDefault="004C3559" w:rsidP="00255AA3">
            <w:pPr>
              <w:pStyle w:val="E3Tabletext"/>
            </w:pPr>
          </w:p>
        </w:tc>
        <w:tc>
          <w:tcPr>
            <w:tcW w:w="2806" w:type="dxa"/>
          </w:tcPr>
          <w:p w:rsidR="004C3559" w:rsidRDefault="004C3559" w:rsidP="00255AA3">
            <w:pPr>
              <w:pStyle w:val="E3Tabletext"/>
            </w:pPr>
            <w:r>
              <w:t>11 - 39</w:t>
            </w:r>
          </w:p>
        </w:tc>
        <w:tc>
          <w:tcPr>
            <w:tcW w:w="2806" w:type="dxa"/>
          </w:tcPr>
          <w:p w:rsidR="004C3559" w:rsidRDefault="004C3559" w:rsidP="00255AA3">
            <w:pPr>
              <w:pStyle w:val="E3Tabletext"/>
            </w:pPr>
            <w:r>
              <w:t>3</w:t>
            </w:r>
          </w:p>
        </w:tc>
        <w:tc>
          <w:tcPr>
            <w:tcW w:w="2484" w:type="dxa"/>
            <w:vMerge/>
          </w:tcPr>
          <w:p w:rsidR="004C3559" w:rsidRDefault="004C3559" w:rsidP="00235234"/>
        </w:tc>
      </w:tr>
      <w:tr w:rsidR="004C3559" w:rsidTr="00225C27">
        <w:trPr>
          <w:cantSplit/>
          <w:trHeight w:val="82"/>
          <w:jc w:val="center"/>
        </w:trPr>
        <w:tc>
          <w:tcPr>
            <w:tcW w:w="1480" w:type="dxa"/>
            <w:vMerge/>
          </w:tcPr>
          <w:p w:rsidR="004C3559" w:rsidRDefault="004C3559" w:rsidP="00255AA3">
            <w:pPr>
              <w:pStyle w:val="E3Tabletext"/>
            </w:pPr>
          </w:p>
        </w:tc>
        <w:tc>
          <w:tcPr>
            <w:tcW w:w="5612" w:type="dxa"/>
            <w:gridSpan w:val="2"/>
          </w:tcPr>
          <w:p w:rsidR="004C3559" w:rsidRDefault="004C3559" w:rsidP="00255AA3">
            <w:pPr>
              <w:pStyle w:val="E3Tabletext"/>
            </w:pPr>
            <w:r>
              <w:t>Where λ is the circuit power factor.</w:t>
            </w:r>
          </w:p>
        </w:tc>
        <w:tc>
          <w:tcPr>
            <w:tcW w:w="2484" w:type="dxa"/>
            <w:vMerge/>
          </w:tcPr>
          <w:p w:rsidR="004C3559" w:rsidRDefault="004C3559" w:rsidP="00235234"/>
        </w:tc>
      </w:tr>
    </w:tbl>
    <w:p w:rsidR="00D01D3A" w:rsidRDefault="00D01D3A" w:rsidP="00D01D3A">
      <w:pPr>
        <w:pStyle w:val="E3BodyText"/>
      </w:pPr>
      <w:bookmarkStart w:id="317" w:name="_Toc389123368"/>
    </w:p>
    <w:p w:rsidR="00334066" w:rsidRDefault="00334066" w:rsidP="00E65B09">
      <w:pPr>
        <w:pStyle w:val="E3Heading3"/>
        <w:numPr>
          <w:ilvl w:val="0"/>
          <w:numId w:val="0"/>
        </w:numPr>
        <w:ind w:left="864" w:hanging="864"/>
      </w:pPr>
      <w:r>
        <w:lastRenderedPageBreak/>
        <w:t>Japan</w:t>
      </w:r>
      <w:bookmarkEnd w:id="317"/>
    </w:p>
    <w:p w:rsidR="00334066" w:rsidRDefault="00225C27" w:rsidP="00225C27">
      <w:pPr>
        <w:pStyle w:val="E3BodyText"/>
        <w:jc w:val="center"/>
      </w:pPr>
      <w:r>
        <w:rPr>
          <w:noProof/>
          <w:lang w:eastAsia="en-AU"/>
        </w:rPr>
        <w:drawing>
          <wp:inline distT="0" distB="0" distL="0" distR="0" wp14:anchorId="5835364A" wp14:editId="0C708E0D">
            <wp:extent cx="5076825" cy="3143250"/>
            <wp:effectExtent l="0" t="0" r="0" b="0"/>
            <wp:docPr id="44" name="Picture 44" descr="Diagram displaying the Flow of HEPS, Endorsement Label, MEPS, Comparative Label.&#10;&#10;Endorsement Label are broken down into the following:&#10;- Energy Efficiency&#10;-Light quality parameters&#10;-Electrical quality paramaters&#10;-Product Quality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png"/>
                    <pic:cNvPicPr/>
                  </pic:nvPicPr>
                  <pic:blipFill rotWithShape="1">
                    <a:blip r:embed="rId140" cstate="print">
                      <a:extLst>
                        <a:ext uri="{28A0092B-C50C-407E-A947-70E740481C1C}">
                          <a14:useLocalDpi xmlns:a14="http://schemas.microsoft.com/office/drawing/2010/main" val="0"/>
                        </a:ext>
                      </a:extLst>
                    </a:blip>
                    <a:srcRect l="14720" b="16207"/>
                    <a:stretch/>
                  </pic:blipFill>
                  <pic:spPr bwMode="auto">
                    <a:xfrm>
                      <a:off x="0" y="0"/>
                      <a:ext cx="5073482" cy="3141180"/>
                    </a:xfrm>
                    <a:prstGeom prst="rect">
                      <a:avLst/>
                    </a:prstGeom>
                    <a:ln>
                      <a:noFill/>
                    </a:ln>
                    <a:extLst>
                      <a:ext uri="{53640926-AAD7-44D8-BBD7-CCE9431645EC}">
                        <a14:shadowObscured xmlns:a14="http://schemas.microsoft.com/office/drawing/2010/main"/>
                      </a:ext>
                    </a:extLst>
                  </pic:spPr>
                </pic:pic>
              </a:graphicData>
            </a:graphic>
          </wp:inline>
        </w:drawing>
      </w:r>
    </w:p>
    <w:p w:rsidR="00334066" w:rsidRPr="00310986" w:rsidRDefault="00334066" w:rsidP="00E65B09">
      <w:pPr>
        <w:pStyle w:val="E3Heading4"/>
        <w:numPr>
          <w:ilvl w:val="0"/>
          <w:numId w:val="0"/>
        </w:numPr>
        <w:ind w:left="1008" w:hanging="1008"/>
        <w:rPr>
          <w:lang w:eastAsia="en-AU"/>
        </w:rPr>
      </w:pPr>
      <w:r w:rsidRPr="00310986">
        <w:rPr>
          <w:lang w:eastAsia="en-AU"/>
        </w:rPr>
        <w:t>Scope</w:t>
      </w:r>
    </w:p>
    <w:p w:rsidR="00334066" w:rsidRDefault="00334066" w:rsidP="006608D7">
      <w:pPr>
        <w:pStyle w:val="E3BodyText"/>
        <w:rPr>
          <w:lang w:eastAsia="en-AU"/>
        </w:rPr>
      </w:pPr>
      <w:r>
        <w:rPr>
          <w:lang w:eastAsia="en-AU"/>
        </w:rPr>
        <w:t xml:space="preserve">LED lamps of A type </w:t>
      </w:r>
      <w:r w:rsidRPr="0010509A">
        <w:rPr>
          <w:lang w:eastAsia="en-AU"/>
        </w:rPr>
        <w:t>and forms in Annex B (</w:t>
      </w:r>
      <w:r w:rsidR="00F966C3">
        <w:rPr>
          <w:lang w:eastAsia="en-AU"/>
        </w:rPr>
        <w:t>Normative) in JIS C 8157 “Self-</w:t>
      </w:r>
      <w:r w:rsidRPr="0010509A">
        <w:rPr>
          <w:lang w:eastAsia="en-AU"/>
        </w:rPr>
        <w:t xml:space="preserve">ballasted LED - lamp s for general lighting services &gt; 50 V -- Performance </w:t>
      </w:r>
      <w:r w:rsidR="00F966C3" w:rsidRPr="0010509A">
        <w:rPr>
          <w:lang w:eastAsia="en-AU"/>
        </w:rPr>
        <w:t>requirements”</w:t>
      </w:r>
      <w:r w:rsidRPr="0010509A">
        <w:rPr>
          <w:lang w:eastAsia="en-AU"/>
        </w:rPr>
        <w:t xml:space="preserve"> and have a cap of E17 or E26 and emit light according to the light - source </w:t>
      </w:r>
      <w:r w:rsidR="00F966C3" w:rsidRPr="0010509A">
        <w:rPr>
          <w:lang w:eastAsia="en-AU"/>
        </w:rPr>
        <w:t>colours</w:t>
      </w:r>
      <w:r w:rsidRPr="0010509A">
        <w:rPr>
          <w:lang w:eastAsia="en-AU"/>
        </w:rPr>
        <w:t xml:space="preserve"> defined in the JIS Z 9112 </w:t>
      </w:r>
      <w:r w:rsidR="00F966C3" w:rsidRPr="0010509A">
        <w:rPr>
          <w:lang w:eastAsia="en-AU"/>
        </w:rPr>
        <w:t>“Classification</w:t>
      </w:r>
      <w:r w:rsidRPr="0010509A">
        <w:rPr>
          <w:lang w:eastAsia="en-AU"/>
        </w:rPr>
        <w:t xml:space="preserve"> of fluorescent lamps based on light - source </w:t>
      </w:r>
      <w:r w:rsidR="00F966C3" w:rsidRPr="0010509A">
        <w:rPr>
          <w:lang w:eastAsia="en-AU"/>
        </w:rPr>
        <w:t>colo</w:t>
      </w:r>
      <w:r w:rsidR="00F966C3">
        <w:rPr>
          <w:lang w:eastAsia="en-AU"/>
        </w:rPr>
        <w:t>urs</w:t>
      </w:r>
      <w:r w:rsidR="00D01D3A">
        <w:rPr>
          <w:lang w:eastAsia="en-AU"/>
        </w:rPr>
        <w:t xml:space="preserve"> and </w:t>
      </w:r>
      <w:r w:rsidR="00F966C3">
        <w:rPr>
          <w:lang w:eastAsia="en-AU"/>
        </w:rPr>
        <w:t>colour</w:t>
      </w:r>
      <w:r w:rsidR="00D01D3A">
        <w:rPr>
          <w:lang w:eastAsia="en-AU"/>
        </w:rPr>
        <w:t xml:space="preserve"> rending properties</w:t>
      </w:r>
      <w:r w:rsidRPr="0010509A">
        <w:rPr>
          <w:lang w:eastAsia="en-AU"/>
        </w:rPr>
        <w:t xml:space="preserve">”. </w:t>
      </w:r>
    </w:p>
    <w:p w:rsidR="00334066" w:rsidRPr="00310986" w:rsidRDefault="00334066" w:rsidP="00E65B09">
      <w:pPr>
        <w:pStyle w:val="E3Heading4"/>
        <w:numPr>
          <w:ilvl w:val="0"/>
          <w:numId w:val="0"/>
        </w:numPr>
        <w:ind w:left="1008" w:hanging="1008"/>
        <w:rPr>
          <w:lang w:eastAsia="en-AU"/>
        </w:rPr>
      </w:pPr>
      <w:r>
        <w:rPr>
          <w:lang w:eastAsia="en-AU"/>
        </w:rPr>
        <w:t>Performance requirements</w:t>
      </w:r>
    </w:p>
    <w:tbl>
      <w:tblPr>
        <w:tblStyle w:val="TableGrid"/>
        <w:tblW w:w="0" w:type="auto"/>
        <w:jc w:val="center"/>
        <w:tblLook w:val="04A0" w:firstRow="1" w:lastRow="0" w:firstColumn="1" w:lastColumn="0" w:noHBand="0" w:noVBand="1"/>
      </w:tblPr>
      <w:tblGrid>
        <w:gridCol w:w="1480"/>
        <w:gridCol w:w="2806"/>
        <w:gridCol w:w="2806"/>
        <w:gridCol w:w="2484"/>
      </w:tblGrid>
      <w:tr w:rsidR="00334066" w:rsidTr="00225C27">
        <w:trPr>
          <w:cantSplit/>
          <w:tblHeader/>
          <w:jc w:val="center"/>
        </w:trPr>
        <w:tc>
          <w:tcPr>
            <w:tcW w:w="1480" w:type="dxa"/>
          </w:tcPr>
          <w:p w:rsidR="00334066" w:rsidRDefault="00334066" w:rsidP="006608D7">
            <w:pPr>
              <w:pStyle w:val="E3TableHeading"/>
            </w:pPr>
            <w:r>
              <w:t>Parameter</w:t>
            </w:r>
          </w:p>
        </w:tc>
        <w:tc>
          <w:tcPr>
            <w:tcW w:w="5612" w:type="dxa"/>
            <w:gridSpan w:val="2"/>
          </w:tcPr>
          <w:p w:rsidR="00334066" w:rsidRDefault="00334066" w:rsidP="006608D7">
            <w:pPr>
              <w:pStyle w:val="E3TableHeading"/>
            </w:pPr>
            <w:r>
              <w:t>Minimum requirements</w:t>
            </w:r>
          </w:p>
        </w:tc>
        <w:tc>
          <w:tcPr>
            <w:tcW w:w="2484" w:type="dxa"/>
          </w:tcPr>
          <w:p w:rsidR="00334066" w:rsidRDefault="00334066" w:rsidP="006608D7">
            <w:pPr>
              <w:pStyle w:val="E3TableHeading"/>
            </w:pPr>
            <w:r>
              <w:t>Test Method</w:t>
            </w:r>
          </w:p>
        </w:tc>
      </w:tr>
      <w:tr w:rsidR="006608D7" w:rsidTr="00225C27">
        <w:trPr>
          <w:cantSplit/>
          <w:trHeight w:val="70"/>
          <w:jc w:val="center"/>
        </w:trPr>
        <w:tc>
          <w:tcPr>
            <w:tcW w:w="1480" w:type="dxa"/>
            <w:vMerge w:val="restart"/>
          </w:tcPr>
          <w:p w:rsidR="006608D7" w:rsidRDefault="006608D7" w:rsidP="00255AA3">
            <w:pPr>
              <w:pStyle w:val="E3Tabletext"/>
            </w:pPr>
            <w:r w:rsidRPr="003C1618">
              <w:t>Efficacy</w:t>
            </w:r>
          </w:p>
        </w:tc>
        <w:tc>
          <w:tcPr>
            <w:tcW w:w="2806" w:type="dxa"/>
          </w:tcPr>
          <w:p w:rsidR="006608D7" w:rsidRDefault="006608D7" w:rsidP="00255AA3">
            <w:pPr>
              <w:pStyle w:val="E3Tabletext"/>
            </w:pPr>
            <w:r>
              <w:t>Light Source</w:t>
            </w:r>
          </w:p>
        </w:tc>
        <w:tc>
          <w:tcPr>
            <w:tcW w:w="2806" w:type="dxa"/>
          </w:tcPr>
          <w:p w:rsidR="006608D7" w:rsidRDefault="006608D7" w:rsidP="00255AA3">
            <w:pPr>
              <w:pStyle w:val="E3Tabletext"/>
            </w:pPr>
            <w:r>
              <w:t>Efficacy (lm/W)</w:t>
            </w:r>
          </w:p>
        </w:tc>
        <w:tc>
          <w:tcPr>
            <w:tcW w:w="2484" w:type="dxa"/>
            <w:vMerge w:val="restart"/>
          </w:tcPr>
          <w:p w:rsidR="006608D7" w:rsidRDefault="006608D7" w:rsidP="00255AA3">
            <w:pPr>
              <w:pStyle w:val="E3Tabletext"/>
            </w:pPr>
            <w:r>
              <w:t>JIS C 7801</w:t>
            </w:r>
          </w:p>
        </w:tc>
      </w:tr>
      <w:tr w:rsidR="006608D7" w:rsidTr="00225C27">
        <w:trPr>
          <w:cantSplit/>
          <w:trHeight w:val="67"/>
          <w:jc w:val="center"/>
        </w:trPr>
        <w:tc>
          <w:tcPr>
            <w:tcW w:w="1480" w:type="dxa"/>
            <w:vMerge/>
          </w:tcPr>
          <w:p w:rsidR="006608D7" w:rsidRPr="003C1618" w:rsidRDefault="006608D7" w:rsidP="00255AA3">
            <w:pPr>
              <w:pStyle w:val="E3Tabletext"/>
            </w:pPr>
          </w:p>
        </w:tc>
        <w:tc>
          <w:tcPr>
            <w:tcW w:w="2806" w:type="dxa"/>
          </w:tcPr>
          <w:p w:rsidR="006608D7" w:rsidRDefault="006608D7" w:rsidP="00255AA3">
            <w:pPr>
              <w:pStyle w:val="E3Tabletext"/>
            </w:pPr>
            <w:r>
              <w:t>Bulb</w:t>
            </w:r>
          </w:p>
        </w:tc>
        <w:tc>
          <w:tcPr>
            <w:tcW w:w="2806" w:type="dxa"/>
          </w:tcPr>
          <w:p w:rsidR="006608D7" w:rsidRDefault="006608D7" w:rsidP="00255AA3">
            <w:pPr>
              <w:pStyle w:val="E3Tabletext"/>
            </w:pPr>
            <w:r>
              <w:t>≥ 70</w:t>
            </w:r>
          </w:p>
        </w:tc>
        <w:tc>
          <w:tcPr>
            <w:tcW w:w="2484" w:type="dxa"/>
            <w:vMerge/>
          </w:tcPr>
          <w:p w:rsidR="006608D7" w:rsidRDefault="006608D7" w:rsidP="00255AA3">
            <w:pPr>
              <w:pStyle w:val="E3Tabletext"/>
            </w:pPr>
          </w:p>
        </w:tc>
      </w:tr>
      <w:tr w:rsidR="006608D7" w:rsidTr="00225C27">
        <w:trPr>
          <w:cantSplit/>
          <w:trHeight w:val="67"/>
          <w:jc w:val="center"/>
        </w:trPr>
        <w:tc>
          <w:tcPr>
            <w:tcW w:w="1480" w:type="dxa"/>
            <w:vMerge/>
          </w:tcPr>
          <w:p w:rsidR="006608D7" w:rsidRPr="003C1618" w:rsidRDefault="006608D7" w:rsidP="00255AA3">
            <w:pPr>
              <w:pStyle w:val="E3Tabletext"/>
            </w:pPr>
          </w:p>
        </w:tc>
        <w:tc>
          <w:tcPr>
            <w:tcW w:w="2806" w:type="dxa"/>
          </w:tcPr>
          <w:p w:rsidR="006608D7" w:rsidRDefault="006608D7" w:rsidP="00255AA3">
            <w:pPr>
              <w:pStyle w:val="E3Tabletext"/>
            </w:pPr>
            <w:r>
              <w:t>Warm</w:t>
            </w:r>
          </w:p>
        </w:tc>
        <w:tc>
          <w:tcPr>
            <w:tcW w:w="2806" w:type="dxa"/>
            <w:vMerge w:val="restart"/>
          </w:tcPr>
          <w:p w:rsidR="006608D7" w:rsidRDefault="006608D7" w:rsidP="00255AA3">
            <w:pPr>
              <w:pStyle w:val="E3Tabletext"/>
            </w:pPr>
            <w:r>
              <w:t>≥ 85</w:t>
            </w:r>
          </w:p>
        </w:tc>
        <w:tc>
          <w:tcPr>
            <w:tcW w:w="2484" w:type="dxa"/>
            <w:vMerge/>
          </w:tcPr>
          <w:p w:rsidR="006608D7" w:rsidRDefault="006608D7" w:rsidP="00255AA3">
            <w:pPr>
              <w:pStyle w:val="E3Tabletext"/>
            </w:pPr>
          </w:p>
        </w:tc>
      </w:tr>
      <w:tr w:rsidR="006608D7" w:rsidTr="00225C27">
        <w:trPr>
          <w:cantSplit/>
          <w:trHeight w:val="67"/>
          <w:jc w:val="center"/>
        </w:trPr>
        <w:tc>
          <w:tcPr>
            <w:tcW w:w="1480" w:type="dxa"/>
            <w:vMerge/>
          </w:tcPr>
          <w:p w:rsidR="006608D7" w:rsidRPr="003C1618" w:rsidRDefault="006608D7" w:rsidP="00255AA3">
            <w:pPr>
              <w:pStyle w:val="E3Tabletext"/>
            </w:pPr>
          </w:p>
        </w:tc>
        <w:tc>
          <w:tcPr>
            <w:tcW w:w="2806" w:type="dxa"/>
          </w:tcPr>
          <w:p w:rsidR="006608D7" w:rsidRDefault="006608D7" w:rsidP="00255AA3">
            <w:pPr>
              <w:pStyle w:val="E3Tabletext"/>
            </w:pPr>
            <w:r>
              <w:t>White</w:t>
            </w:r>
          </w:p>
        </w:tc>
        <w:tc>
          <w:tcPr>
            <w:tcW w:w="2806" w:type="dxa"/>
            <w:vMerge/>
          </w:tcPr>
          <w:p w:rsidR="006608D7" w:rsidRDefault="006608D7" w:rsidP="00255AA3">
            <w:pPr>
              <w:pStyle w:val="E3Tabletext"/>
            </w:pPr>
          </w:p>
        </w:tc>
        <w:tc>
          <w:tcPr>
            <w:tcW w:w="2484" w:type="dxa"/>
            <w:vMerge/>
          </w:tcPr>
          <w:p w:rsidR="006608D7" w:rsidRDefault="006608D7" w:rsidP="00255AA3">
            <w:pPr>
              <w:pStyle w:val="E3Tabletext"/>
            </w:pPr>
          </w:p>
        </w:tc>
      </w:tr>
      <w:tr w:rsidR="006608D7" w:rsidTr="00225C27">
        <w:trPr>
          <w:cantSplit/>
          <w:trHeight w:val="67"/>
          <w:jc w:val="center"/>
        </w:trPr>
        <w:tc>
          <w:tcPr>
            <w:tcW w:w="1480" w:type="dxa"/>
            <w:vMerge/>
          </w:tcPr>
          <w:p w:rsidR="006608D7" w:rsidRPr="003C1618" w:rsidRDefault="006608D7" w:rsidP="00255AA3">
            <w:pPr>
              <w:pStyle w:val="E3Tabletext"/>
            </w:pPr>
          </w:p>
        </w:tc>
        <w:tc>
          <w:tcPr>
            <w:tcW w:w="2806" w:type="dxa"/>
          </w:tcPr>
          <w:p w:rsidR="006608D7" w:rsidRDefault="006608D7" w:rsidP="00255AA3">
            <w:pPr>
              <w:pStyle w:val="E3Tabletext"/>
            </w:pPr>
            <w:r>
              <w:t>Day</w:t>
            </w:r>
          </w:p>
        </w:tc>
        <w:tc>
          <w:tcPr>
            <w:tcW w:w="2806" w:type="dxa"/>
            <w:vMerge/>
          </w:tcPr>
          <w:p w:rsidR="006608D7" w:rsidRDefault="006608D7" w:rsidP="00255AA3">
            <w:pPr>
              <w:pStyle w:val="E3Tabletext"/>
            </w:pPr>
          </w:p>
        </w:tc>
        <w:tc>
          <w:tcPr>
            <w:tcW w:w="2484" w:type="dxa"/>
            <w:vMerge/>
          </w:tcPr>
          <w:p w:rsidR="006608D7" w:rsidRDefault="006608D7" w:rsidP="00255AA3">
            <w:pPr>
              <w:pStyle w:val="E3Tabletext"/>
            </w:pPr>
          </w:p>
        </w:tc>
      </w:tr>
      <w:tr w:rsidR="006608D7" w:rsidTr="00225C27">
        <w:trPr>
          <w:cantSplit/>
          <w:trHeight w:val="67"/>
          <w:jc w:val="center"/>
        </w:trPr>
        <w:tc>
          <w:tcPr>
            <w:tcW w:w="1480" w:type="dxa"/>
            <w:vMerge/>
          </w:tcPr>
          <w:p w:rsidR="006608D7" w:rsidRPr="003C1618" w:rsidRDefault="006608D7" w:rsidP="00255AA3">
            <w:pPr>
              <w:pStyle w:val="E3Tabletext"/>
            </w:pPr>
          </w:p>
        </w:tc>
        <w:tc>
          <w:tcPr>
            <w:tcW w:w="2806" w:type="dxa"/>
          </w:tcPr>
          <w:p w:rsidR="006608D7" w:rsidRDefault="006608D7" w:rsidP="00255AA3">
            <w:pPr>
              <w:pStyle w:val="E3Tabletext"/>
            </w:pPr>
            <w:r>
              <w:t>Daylight</w:t>
            </w:r>
          </w:p>
        </w:tc>
        <w:tc>
          <w:tcPr>
            <w:tcW w:w="2806" w:type="dxa"/>
            <w:vMerge/>
          </w:tcPr>
          <w:p w:rsidR="006608D7" w:rsidRDefault="006608D7" w:rsidP="00255AA3">
            <w:pPr>
              <w:pStyle w:val="E3Tabletext"/>
            </w:pPr>
          </w:p>
        </w:tc>
        <w:tc>
          <w:tcPr>
            <w:tcW w:w="2484" w:type="dxa"/>
            <w:vMerge/>
          </w:tcPr>
          <w:p w:rsidR="006608D7" w:rsidRDefault="006608D7" w:rsidP="00255AA3">
            <w:pPr>
              <w:pStyle w:val="E3Tabletext"/>
            </w:pPr>
          </w:p>
        </w:tc>
      </w:tr>
      <w:tr w:rsidR="00334066" w:rsidTr="00225C27">
        <w:trPr>
          <w:cantSplit/>
          <w:jc w:val="center"/>
        </w:trPr>
        <w:tc>
          <w:tcPr>
            <w:tcW w:w="1480" w:type="dxa"/>
          </w:tcPr>
          <w:p w:rsidR="00334066" w:rsidRDefault="00334066" w:rsidP="00255AA3">
            <w:pPr>
              <w:pStyle w:val="E3Tabletext"/>
            </w:pPr>
            <w:r>
              <w:t>Life time</w:t>
            </w:r>
          </w:p>
        </w:tc>
        <w:tc>
          <w:tcPr>
            <w:tcW w:w="5612" w:type="dxa"/>
            <w:gridSpan w:val="2"/>
          </w:tcPr>
          <w:p w:rsidR="00334066" w:rsidRDefault="00334066" w:rsidP="00255AA3">
            <w:pPr>
              <w:pStyle w:val="E3Tabletext"/>
            </w:pPr>
            <w:r>
              <w:t>&gt; 40,000 h</w:t>
            </w:r>
          </w:p>
        </w:tc>
        <w:tc>
          <w:tcPr>
            <w:tcW w:w="2484" w:type="dxa"/>
          </w:tcPr>
          <w:p w:rsidR="00334066" w:rsidRDefault="00334066" w:rsidP="00255AA3">
            <w:pPr>
              <w:pStyle w:val="E3Tabletext"/>
            </w:pPr>
            <w:r>
              <w:t>JIS C 8157</w:t>
            </w:r>
          </w:p>
        </w:tc>
      </w:tr>
      <w:tr w:rsidR="00334066" w:rsidTr="00225C27">
        <w:trPr>
          <w:cantSplit/>
          <w:jc w:val="center"/>
        </w:trPr>
        <w:tc>
          <w:tcPr>
            <w:tcW w:w="1480" w:type="dxa"/>
          </w:tcPr>
          <w:p w:rsidR="00334066" w:rsidRPr="003C1618" w:rsidRDefault="00334066" w:rsidP="00255AA3">
            <w:pPr>
              <w:pStyle w:val="E3Tabletext"/>
              <w:rPr>
                <w:color w:val="FF0000"/>
              </w:rPr>
            </w:pPr>
            <w:r w:rsidRPr="00F85227">
              <w:t>Colour Rendering</w:t>
            </w:r>
          </w:p>
        </w:tc>
        <w:tc>
          <w:tcPr>
            <w:tcW w:w="5612" w:type="dxa"/>
            <w:gridSpan w:val="2"/>
          </w:tcPr>
          <w:p w:rsidR="00334066" w:rsidRDefault="00334066" w:rsidP="00255AA3">
            <w:pPr>
              <w:pStyle w:val="E3Tabletext"/>
            </w:pPr>
            <w:r>
              <w:t>Ra ≥ 70</w:t>
            </w:r>
          </w:p>
        </w:tc>
        <w:tc>
          <w:tcPr>
            <w:tcW w:w="2484" w:type="dxa"/>
          </w:tcPr>
          <w:p w:rsidR="00334066" w:rsidRDefault="00334066" w:rsidP="00255AA3">
            <w:pPr>
              <w:pStyle w:val="E3Tabletext"/>
            </w:pPr>
            <w:r>
              <w:t>JIS C 8157</w:t>
            </w:r>
          </w:p>
          <w:p w:rsidR="00334066" w:rsidRDefault="00334066" w:rsidP="00255AA3">
            <w:pPr>
              <w:pStyle w:val="E3Tabletext"/>
            </w:pPr>
            <w:r>
              <w:t>JIS C 7801</w:t>
            </w:r>
          </w:p>
        </w:tc>
      </w:tr>
      <w:tr w:rsidR="00334066" w:rsidTr="00225C27">
        <w:trPr>
          <w:cantSplit/>
          <w:jc w:val="center"/>
        </w:trPr>
        <w:tc>
          <w:tcPr>
            <w:tcW w:w="1480" w:type="dxa"/>
          </w:tcPr>
          <w:p w:rsidR="00334066" w:rsidRPr="003C1618" w:rsidRDefault="00334066" w:rsidP="00255AA3">
            <w:pPr>
              <w:pStyle w:val="E3Tabletext"/>
              <w:rPr>
                <w:color w:val="FF0000"/>
              </w:rPr>
            </w:pPr>
            <w:r w:rsidRPr="00F85227">
              <w:t>Power Factor</w:t>
            </w:r>
          </w:p>
        </w:tc>
        <w:tc>
          <w:tcPr>
            <w:tcW w:w="5612" w:type="dxa"/>
            <w:gridSpan w:val="2"/>
          </w:tcPr>
          <w:p w:rsidR="00334066" w:rsidRDefault="00334066" w:rsidP="00255AA3">
            <w:pPr>
              <w:pStyle w:val="E3Tabletext"/>
            </w:pPr>
            <w:r>
              <w:t>≥ 0.6</w:t>
            </w:r>
          </w:p>
        </w:tc>
        <w:tc>
          <w:tcPr>
            <w:tcW w:w="2484" w:type="dxa"/>
          </w:tcPr>
          <w:p w:rsidR="00334066" w:rsidRDefault="00334066" w:rsidP="00255AA3">
            <w:pPr>
              <w:pStyle w:val="E3Tabletext"/>
            </w:pPr>
            <w:r>
              <w:t xml:space="preserve">Unspecified </w:t>
            </w:r>
          </w:p>
        </w:tc>
      </w:tr>
    </w:tbl>
    <w:p w:rsidR="00225C27" w:rsidRDefault="00225C27" w:rsidP="00225C27">
      <w:pPr>
        <w:pStyle w:val="E3BodyText"/>
      </w:pPr>
      <w:bookmarkStart w:id="318" w:name="_Toc389123369"/>
    </w:p>
    <w:p w:rsidR="00334066" w:rsidRDefault="00334066" w:rsidP="00E65B09">
      <w:pPr>
        <w:pStyle w:val="E3Heading3"/>
        <w:numPr>
          <w:ilvl w:val="0"/>
          <w:numId w:val="0"/>
        </w:numPr>
        <w:ind w:left="864" w:hanging="864"/>
      </w:pPr>
      <w:r>
        <w:lastRenderedPageBreak/>
        <w:t>Korea</w:t>
      </w:r>
      <w:bookmarkEnd w:id="318"/>
    </w:p>
    <w:p w:rsidR="00334066" w:rsidRPr="00720C41" w:rsidRDefault="00225C27" w:rsidP="00225C27">
      <w:pPr>
        <w:pStyle w:val="E3BodyText"/>
        <w:jc w:val="center"/>
        <w:rPr>
          <w:lang w:eastAsia="en-AU"/>
        </w:rPr>
      </w:pPr>
      <w:r>
        <w:rPr>
          <w:noProof/>
          <w:lang w:eastAsia="en-AU"/>
        </w:rPr>
        <w:drawing>
          <wp:inline distT="0" distB="0" distL="0" distR="0" wp14:anchorId="5506420B" wp14:editId="6C20781C">
            <wp:extent cx="5410199" cy="3381375"/>
            <wp:effectExtent l="0" t="0" r="635" b="0"/>
            <wp:docPr id="53" name="Picture 53" descr="Diagram displaying the Flow of HEPS, Endorsement Label, MEPS, Comparative Label.&#10;&#10;Endorsement Label are broken down into the following:&#10;- ?Energy Efficiency&#10;-?Light quality parameters&#10;-?Electrical quality paramaters&#10;-?Product Quality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png"/>
                    <pic:cNvPicPr/>
                  </pic:nvPicPr>
                  <pic:blipFill rotWithShape="1">
                    <a:blip r:embed="rId141" cstate="print">
                      <a:extLst>
                        <a:ext uri="{28A0092B-C50C-407E-A947-70E740481C1C}">
                          <a14:useLocalDpi xmlns:a14="http://schemas.microsoft.com/office/drawing/2010/main" val="0"/>
                        </a:ext>
                      </a:extLst>
                    </a:blip>
                    <a:srcRect l="8975" t="9914" b="13576"/>
                    <a:stretch/>
                  </pic:blipFill>
                  <pic:spPr bwMode="auto">
                    <a:xfrm>
                      <a:off x="0" y="0"/>
                      <a:ext cx="5409753" cy="3381096"/>
                    </a:xfrm>
                    <a:prstGeom prst="rect">
                      <a:avLst/>
                    </a:prstGeom>
                    <a:ln>
                      <a:noFill/>
                    </a:ln>
                    <a:extLst>
                      <a:ext uri="{53640926-AAD7-44D8-BBD7-CCE9431645EC}">
                        <a14:shadowObscured xmlns:a14="http://schemas.microsoft.com/office/drawing/2010/main"/>
                      </a:ext>
                    </a:extLst>
                  </pic:spPr>
                </pic:pic>
              </a:graphicData>
            </a:graphic>
          </wp:inline>
        </w:drawing>
      </w:r>
    </w:p>
    <w:p w:rsidR="00334066" w:rsidRDefault="00334066" w:rsidP="00E65B09">
      <w:pPr>
        <w:pStyle w:val="E3Heading4"/>
        <w:numPr>
          <w:ilvl w:val="0"/>
          <w:numId w:val="0"/>
        </w:numPr>
        <w:ind w:left="1008" w:hanging="1008"/>
      </w:pPr>
      <w:bookmarkStart w:id="319" w:name="_Toc389123370"/>
      <w:r w:rsidRPr="00D814DD">
        <w:t>High-Efficiency A</w:t>
      </w:r>
      <w:r>
        <w:t>ppliances Certification Program</w:t>
      </w:r>
      <w:bookmarkEnd w:id="319"/>
    </w:p>
    <w:p w:rsidR="00334066" w:rsidRDefault="00334066" w:rsidP="00ED1247">
      <w:pPr>
        <w:pStyle w:val="E3BodyText"/>
        <w:rPr>
          <w:lang w:eastAsia="en-AU"/>
        </w:rPr>
      </w:pPr>
      <w:r>
        <w:rPr>
          <w:lang w:eastAsia="en-AU"/>
        </w:rPr>
        <w:t xml:space="preserve">The program certifies products for industry and buildings as high-efficiency appliances, where the energy efficiency and quality test results are above the certification standards set by the government. KEMCO issues a high-efficiency appliance certificate. Financial supports </w:t>
      </w:r>
      <w:r w:rsidR="00F966C3">
        <w:rPr>
          <w:lang w:eastAsia="en-AU"/>
        </w:rPr>
        <w:t>are provided</w:t>
      </w:r>
      <w:r>
        <w:rPr>
          <w:lang w:eastAsia="en-AU"/>
        </w:rPr>
        <w:t xml:space="preserve"> for high-efficiency LED lighting equipment and few other high-efficiency appliances. </w:t>
      </w:r>
    </w:p>
    <w:p w:rsidR="00334066" w:rsidRPr="00243F3D" w:rsidRDefault="00334066" w:rsidP="00ED1247">
      <w:pPr>
        <w:pStyle w:val="E3BodyText"/>
        <w:rPr>
          <w:lang w:eastAsia="en-AU"/>
        </w:rPr>
      </w:pPr>
      <w:r>
        <w:rPr>
          <w:lang w:eastAsia="en-AU"/>
        </w:rPr>
        <w:t>High-efficiency and high energy efficiency products are certified by KEMCO where they satisfy the energy efficiency and quality certification standards of the designated testing institutes.</w:t>
      </w:r>
    </w:p>
    <w:p w:rsidR="00334066" w:rsidRDefault="00334066" w:rsidP="00E65B09">
      <w:pPr>
        <w:pStyle w:val="E3Heading4"/>
        <w:numPr>
          <w:ilvl w:val="0"/>
          <w:numId w:val="0"/>
        </w:numPr>
        <w:ind w:left="1008" w:hanging="1008"/>
        <w:rPr>
          <w:lang w:eastAsia="en-AU"/>
        </w:rPr>
      </w:pPr>
      <w:r w:rsidRPr="00310986">
        <w:rPr>
          <w:lang w:eastAsia="en-AU"/>
        </w:rPr>
        <w:t>Scope</w:t>
      </w:r>
    </w:p>
    <w:p w:rsidR="00334066" w:rsidRDefault="00334066" w:rsidP="00ED1247">
      <w:pPr>
        <w:pStyle w:val="E3BodyText"/>
        <w:rPr>
          <w:lang w:eastAsia="en-AU"/>
        </w:rPr>
      </w:pPr>
      <w:r>
        <w:rPr>
          <w:lang w:eastAsia="en-AU"/>
        </w:rPr>
        <w:t xml:space="preserve">Currently 34 appliances/products including </w:t>
      </w:r>
      <w:r w:rsidRPr="00243F3D">
        <w:rPr>
          <w:lang w:eastAsia="en-AU"/>
        </w:rPr>
        <w:t xml:space="preserve">LED guide lights, LED </w:t>
      </w:r>
      <w:r w:rsidR="00F966C3" w:rsidRPr="00243F3D">
        <w:rPr>
          <w:lang w:eastAsia="en-AU"/>
        </w:rPr>
        <w:t>lamps (</w:t>
      </w:r>
      <w:r w:rsidRPr="00243F3D">
        <w:rPr>
          <w:lang w:eastAsia="en-AU"/>
        </w:rPr>
        <w:t xml:space="preserve">internal converter), LED </w:t>
      </w:r>
      <w:r w:rsidR="00F966C3" w:rsidRPr="00243F3D">
        <w:rPr>
          <w:lang w:eastAsia="en-AU"/>
        </w:rPr>
        <w:t>Lamps (</w:t>
      </w:r>
      <w:r w:rsidRPr="00243F3D">
        <w:rPr>
          <w:lang w:eastAsia="en-AU"/>
        </w:rPr>
        <w:t>external converter), recessed and fixed LED light fixtures, LED security light fixtures, LED sensor light fixtures, LED converters</w:t>
      </w:r>
      <w:r>
        <w:rPr>
          <w:lang w:eastAsia="en-AU"/>
        </w:rPr>
        <w:t>.</w:t>
      </w:r>
    </w:p>
    <w:p w:rsidR="00334066" w:rsidRDefault="00334066" w:rsidP="00E65B09">
      <w:pPr>
        <w:pStyle w:val="E3Heading4"/>
        <w:numPr>
          <w:ilvl w:val="0"/>
          <w:numId w:val="0"/>
        </w:numPr>
        <w:ind w:left="1008" w:hanging="1008"/>
        <w:rPr>
          <w:lang w:eastAsia="en-AU"/>
        </w:rPr>
      </w:pPr>
      <w:r>
        <w:rPr>
          <w:lang w:eastAsia="en-AU"/>
        </w:rPr>
        <w:t>Performance requirements</w:t>
      </w:r>
    </w:p>
    <w:p w:rsidR="00334066" w:rsidRDefault="00334066" w:rsidP="00ED1247">
      <w:pPr>
        <w:pStyle w:val="E3BodyText"/>
        <w:rPr>
          <w:lang w:eastAsia="en-AU"/>
        </w:rPr>
      </w:pPr>
      <w:r>
        <w:rPr>
          <w:lang w:eastAsia="en-AU"/>
        </w:rPr>
        <w:t>Performance parameters are:</w:t>
      </w:r>
    </w:p>
    <w:p w:rsidR="00ED1247" w:rsidRDefault="00ED1247" w:rsidP="00ED1247">
      <w:pPr>
        <w:pStyle w:val="E3Bullets"/>
        <w:rPr>
          <w:lang w:eastAsia="en-AU"/>
        </w:rPr>
      </w:pPr>
      <w:r>
        <w:rPr>
          <w:lang w:eastAsia="en-AU"/>
        </w:rPr>
        <w:t>Energy Efficiency Ratio</w:t>
      </w:r>
    </w:p>
    <w:p w:rsidR="00ED1247" w:rsidRDefault="00ED1247" w:rsidP="00ED1247">
      <w:pPr>
        <w:pStyle w:val="E3Bullets"/>
        <w:rPr>
          <w:lang w:eastAsia="en-AU"/>
        </w:rPr>
      </w:pPr>
      <w:r>
        <w:rPr>
          <w:lang w:eastAsia="en-AU"/>
        </w:rPr>
        <w:t>Rated power consumption</w:t>
      </w:r>
    </w:p>
    <w:p w:rsidR="00ED1247" w:rsidRDefault="00ED1247" w:rsidP="00ED1247">
      <w:pPr>
        <w:pStyle w:val="E3Bullets"/>
        <w:rPr>
          <w:lang w:eastAsia="en-AU"/>
        </w:rPr>
      </w:pPr>
      <w:r>
        <w:rPr>
          <w:lang w:eastAsia="en-AU"/>
        </w:rPr>
        <w:t>CO2 emission per 1 hour</w:t>
      </w:r>
    </w:p>
    <w:p w:rsidR="00ED1247" w:rsidRDefault="00ED1247" w:rsidP="00ED1247">
      <w:pPr>
        <w:pStyle w:val="E3Bullets"/>
        <w:rPr>
          <w:lang w:eastAsia="en-AU"/>
        </w:rPr>
      </w:pPr>
      <w:r>
        <w:rPr>
          <w:lang w:eastAsia="en-AU"/>
        </w:rPr>
        <w:t>Energy Efficiency Level</w:t>
      </w:r>
    </w:p>
    <w:p w:rsidR="00D01D3A" w:rsidRDefault="00334066" w:rsidP="00D01D3A">
      <w:pPr>
        <w:pStyle w:val="E3BodyText"/>
        <w:rPr>
          <w:rFonts w:eastAsia="Times New Roman"/>
          <w:color w:val="E31F26"/>
          <w:sz w:val="22"/>
        </w:rPr>
      </w:pPr>
      <w:r w:rsidRPr="00ED1247">
        <w:t>The details of the performance requirements for LED products have not been ascertained for this report.</w:t>
      </w:r>
      <w:bookmarkStart w:id="320" w:name="_Toc389123371"/>
    </w:p>
    <w:p w:rsidR="00334066" w:rsidRDefault="00334066" w:rsidP="00E65B09">
      <w:pPr>
        <w:pStyle w:val="E3Heading3"/>
        <w:numPr>
          <w:ilvl w:val="0"/>
          <w:numId w:val="0"/>
        </w:numPr>
        <w:ind w:left="864" w:hanging="864"/>
      </w:pPr>
      <w:r>
        <w:lastRenderedPageBreak/>
        <w:t>Malaysia</w:t>
      </w:r>
      <w:bookmarkEnd w:id="320"/>
    </w:p>
    <w:p w:rsidR="00334066" w:rsidRPr="004656B4" w:rsidRDefault="00FC5E19" w:rsidP="00225C27">
      <w:pPr>
        <w:pStyle w:val="E3BodyText"/>
        <w:jc w:val="center"/>
        <w:rPr>
          <w:lang w:eastAsia="en-AU"/>
        </w:rPr>
      </w:pPr>
      <w:r>
        <w:rPr>
          <w:noProof/>
          <w:lang w:eastAsia="en-AU"/>
        </w:rPr>
        <w:drawing>
          <wp:inline distT="0" distB="0" distL="0" distR="0" wp14:anchorId="798877FC" wp14:editId="036FF0D1">
            <wp:extent cx="5730875" cy="3481070"/>
            <wp:effectExtent l="0" t="0" r="0" b="0"/>
            <wp:docPr id="14" name="Picture 14" descr="Diagram displaying the Flow of HEPS, Endorsement Label, MEPS, Comparative Label.&#10;&#10;Under MEPS&#10;&#10;- Energy Efficiency&#10;- no Light quality parameters&#10;- no Electrical quality paramaters&#10;- no Product Quality parameters&#10;&#10;Comparative Label&#10;- Energy Efficiency&#10;- no Light quality parameters&#10;- no Electrical quality paramaters&#10;- no Product Quality paramet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30875" cy="3481070"/>
                    </a:xfrm>
                    <a:prstGeom prst="rect">
                      <a:avLst/>
                    </a:prstGeom>
                    <a:noFill/>
                  </pic:spPr>
                </pic:pic>
              </a:graphicData>
            </a:graphic>
          </wp:inline>
        </w:drawing>
      </w:r>
    </w:p>
    <w:p w:rsidR="00334066" w:rsidRDefault="00334066" w:rsidP="00E65B09">
      <w:pPr>
        <w:pStyle w:val="E3Heading4"/>
        <w:numPr>
          <w:ilvl w:val="0"/>
          <w:numId w:val="0"/>
        </w:numPr>
        <w:ind w:left="1008" w:hanging="1008"/>
        <w:rPr>
          <w:lang w:eastAsia="en-AU"/>
        </w:rPr>
      </w:pPr>
      <w:r w:rsidRPr="00310986">
        <w:rPr>
          <w:lang w:eastAsia="en-AU"/>
        </w:rPr>
        <w:t>Scope</w:t>
      </w:r>
    </w:p>
    <w:p w:rsidR="00334066" w:rsidRPr="0070603F" w:rsidRDefault="009724B3" w:rsidP="00ED1247">
      <w:pPr>
        <w:pStyle w:val="E3BodyText"/>
        <w:rPr>
          <w:lang w:eastAsia="en-AU"/>
        </w:rPr>
      </w:pPr>
      <w:r>
        <w:rPr>
          <w:lang w:eastAsia="en-AU"/>
        </w:rPr>
        <w:t>The scope for this standard is for self-ballasted LED lamps.</w:t>
      </w:r>
    </w:p>
    <w:p w:rsidR="00905087" w:rsidRPr="00310986" w:rsidRDefault="00905087" w:rsidP="00E65B09">
      <w:pPr>
        <w:pStyle w:val="E3Heading4"/>
        <w:numPr>
          <w:ilvl w:val="0"/>
          <w:numId w:val="0"/>
        </w:numPr>
        <w:ind w:left="1008" w:hanging="1008"/>
        <w:rPr>
          <w:lang w:eastAsia="en-AU"/>
        </w:rPr>
      </w:pPr>
      <w:r>
        <w:rPr>
          <w:lang w:eastAsia="en-AU"/>
        </w:rPr>
        <w:t>Performance requirements</w:t>
      </w:r>
    </w:p>
    <w:p w:rsidR="00905087" w:rsidRDefault="00905087" w:rsidP="00F1452F">
      <w:pPr>
        <w:pStyle w:val="E3BodyText"/>
        <w:numPr>
          <w:ilvl w:val="0"/>
          <w:numId w:val="40"/>
        </w:numPr>
        <w:rPr>
          <w:lang w:eastAsia="en-AU"/>
        </w:rPr>
      </w:pPr>
      <w:r>
        <w:rPr>
          <w:lang w:eastAsia="en-AU"/>
        </w:rPr>
        <w:t>LED lamps are required to meet a minimum luminous efficacy of 55 lm/W.</w:t>
      </w:r>
    </w:p>
    <w:p w:rsidR="00905087" w:rsidRDefault="00905087" w:rsidP="00F1452F">
      <w:pPr>
        <w:pStyle w:val="E3BodyText"/>
        <w:numPr>
          <w:ilvl w:val="0"/>
          <w:numId w:val="40"/>
        </w:numPr>
        <w:rPr>
          <w:lang w:eastAsia="en-AU"/>
        </w:rPr>
      </w:pPr>
      <w:r>
        <w:rPr>
          <w:lang w:eastAsia="en-AU"/>
        </w:rPr>
        <w:t>Lumen maintenance of 80% after 1,000 hours and 70% after 6,000 hours.</w:t>
      </w:r>
    </w:p>
    <w:p w:rsidR="000A0A93" w:rsidRDefault="00905087" w:rsidP="00F1452F">
      <w:pPr>
        <w:pStyle w:val="E3BodyText"/>
        <w:numPr>
          <w:ilvl w:val="0"/>
          <w:numId w:val="40"/>
        </w:numPr>
        <w:rPr>
          <w:lang w:eastAsia="en-AU"/>
        </w:rPr>
      </w:pPr>
      <w:r>
        <w:rPr>
          <w:lang w:eastAsia="en-AU"/>
        </w:rPr>
        <w:t>Mortality rate of 10% after 1,000 hours and 6,000 hours.</w:t>
      </w:r>
    </w:p>
    <w:p w:rsidR="00905087" w:rsidRDefault="00905087" w:rsidP="00905087">
      <w:pPr>
        <w:pStyle w:val="E3BodyText"/>
      </w:pPr>
      <w:r>
        <w:t>Appliances should have at least a 2 STAR rating.</w:t>
      </w:r>
      <w:r>
        <w:br/>
        <w:t>Performance testing is to be done by Standards and Industrial Research Institute of Malaysia (SIRIM) or any laboratory recognised by Standard Malaysia.</w:t>
      </w:r>
    </w:p>
    <w:p w:rsidR="00905087" w:rsidRDefault="00FB7C8D" w:rsidP="00E65B09">
      <w:pPr>
        <w:pStyle w:val="E3Heading4"/>
        <w:numPr>
          <w:ilvl w:val="0"/>
          <w:numId w:val="0"/>
        </w:numPr>
        <w:ind w:left="1008" w:hanging="1008"/>
        <w:rPr>
          <w:lang w:eastAsia="en-AU"/>
        </w:rPr>
      </w:pPr>
      <w:r>
        <w:rPr>
          <w:lang w:eastAsia="en-AU"/>
        </w:rPr>
        <w:t>Comparative</w:t>
      </w:r>
      <w:r w:rsidR="00905087">
        <w:rPr>
          <w:lang w:eastAsia="en-AU"/>
        </w:rPr>
        <w:t xml:space="preserve"> label</w:t>
      </w:r>
    </w:p>
    <w:p w:rsidR="00905087" w:rsidRDefault="000A0A93" w:rsidP="00905087">
      <w:pPr>
        <w:pStyle w:val="E3BodyText"/>
        <w:rPr>
          <w:lang w:eastAsia="en-AU"/>
        </w:rPr>
      </w:pPr>
      <w:r>
        <w:rPr>
          <w:noProof/>
          <w:lang w:eastAsia="en-AU"/>
        </w:rPr>
        <w:drawing>
          <wp:inline distT="0" distB="0" distL="0" distR="0" wp14:anchorId="7876358C" wp14:editId="69F141D4">
            <wp:extent cx="3220630" cy="2258217"/>
            <wp:effectExtent l="0" t="0" r="0" b="8890"/>
            <wp:docPr id="66" name="Picture 66" descr="Malaysian Energy Rat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xqj4ZAT43OA/UqGjsGLC4_I/AAAAAAAADwE/pQFa4LubGDg/s1600/5-star.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20698" cy="2258265"/>
                    </a:xfrm>
                    <a:prstGeom prst="rect">
                      <a:avLst/>
                    </a:prstGeom>
                    <a:noFill/>
                    <a:ln>
                      <a:noFill/>
                    </a:ln>
                  </pic:spPr>
                </pic:pic>
              </a:graphicData>
            </a:graphic>
          </wp:inline>
        </w:drawing>
      </w:r>
    </w:p>
    <w:p w:rsidR="00D01D3A" w:rsidRDefault="00D01D3A" w:rsidP="00E65B09">
      <w:pPr>
        <w:pStyle w:val="E3Heading3"/>
        <w:numPr>
          <w:ilvl w:val="0"/>
          <w:numId w:val="0"/>
        </w:numPr>
        <w:ind w:left="864" w:hanging="864"/>
        <w:rPr>
          <w:lang w:eastAsia="en-AU"/>
        </w:rPr>
      </w:pPr>
      <w:bookmarkStart w:id="321" w:name="_Toc389123372"/>
      <w:r>
        <w:rPr>
          <w:lang w:eastAsia="en-AU"/>
        </w:rPr>
        <w:lastRenderedPageBreak/>
        <w:t>Mexico</w:t>
      </w:r>
    </w:p>
    <w:bookmarkEnd w:id="321"/>
    <w:p w:rsidR="00334066" w:rsidRPr="00720C41" w:rsidRDefault="00225C27" w:rsidP="00ED1247">
      <w:pPr>
        <w:pStyle w:val="E3BodyText"/>
        <w:rPr>
          <w:lang w:eastAsia="en-AU"/>
        </w:rPr>
      </w:pPr>
      <w:r>
        <w:rPr>
          <w:noProof/>
          <w:lang w:eastAsia="en-AU"/>
        </w:rPr>
        <w:drawing>
          <wp:inline distT="0" distB="0" distL="0" distR="0" wp14:anchorId="67775986" wp14:editId="68B25F04">
            <wp:extent cx="6120765" cy="4203700"/>
            <wp:effectExtent l="0" t="0" r="0" b="6350"/>
            <wp:docPr id="55" name="Picture 55" descr="Malaysian Energy Rat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6120765" cy="4203700"/>
                    </a:xfrm>
                    <a:prstGeom prst="rect">
                      <a:avLst/>
                    </a:prstGeom>
                  </pic:spPr>
                </pic:pic>
              </a:graphicData>
            </a:graphic>
          </wp:inline>
        </w:drawing>
      </w:r>
    </w:p>
    <w:p w:rsidR="00334066" w:rsidRPr="0070603F" w:rsidRDefault="00334066" w:rsidP="00E65B09">
      <w:pPr>
        <w:pStyle w:val="E3Heading4"/>
        <w:numPr>
          <w:ilvl w:val="0"/>
          <w:numId w:val="0"/>
        </w:numPr>
        <w:ind w:left="1008" w:hanging="1008"/>
      </w:pPr>
      <w:bookmarkStart w:id="322" w:name="_Toc389123373"/>
      <w:r w:rsidRPr="0070603F">
        <w:t>Mexican Minimum Performance Standard for LED Lamps</w:t>
      </w:r>
      <w:bookmarkEnd w:id="322"/>
    </w:p>
    <w:p w:rsidR="00334066" w:rsidRDefault="00334066" w:rsidP="00E65B09">
      <w:pPr>
        <w:pStyle w:val="E3Heading4"/>
        <w:numPr>
          <w:ilvl w:val="0"/>
          <w:numId w:val="0"/>
        </w:numPr>
        <w:ind w:left="1008" w:hanging="1008"/>
        <w:rPr>
          <w:lang w:eastAsia="en-AU"/>
        </w:rPr>
      </w:pPr>
      <w:r w:rsidRPr="00310986">
        <w:rPr>
          <w:lang w:eastAsia="en-AU"/>
        </w:rPr>
        <w:t>Scope</w:t>
      </w:r>
    </w:p>
    <w:p w:rsidR="00334066" w:rsidRDefault="00334066" w:rsidP="00ED1247">
      <w:pPr>
        <w:pStyle w:val="E3BodyText"/>
        <w:rPr>
          <w:lang w:eastAsia="en-AU"/>
        </w:rPr>
      </w:pPr>
      <w:r>
        <w:rPr>
          <w:lang w:eastAsia="en-AU"/>
        </w:rPr>
        <w:t>This Mexican Official Standard applies to all integrated LED lamps omnidirectional and directional, which are used for general illumination in electrical voltages supply of 100 V to 277 V AC, 50 Hz or 60 Hz, which are manufactured or imported for marketing within the territory of the United Mexican States.</w:t>
      </w:r>
    </w:p>
    <w:p w:rsidR="00334066" w:rsidRPr="00C342AE" w:rsidRDefault="00334066" w:rsidP="00ED1247">
      <w:pPr>
        <w:pStyle w:val="E3BodyText"/>
        <w:rPr>
          <w:lang w:eastAsia="en-AU"/>
        </w:rPr>
      </w:pPr>
      <w:r>
        <w:rPr>
          <w:lang w:eastAsia="en-AU"/>
        </w:rPr>
        <w:t>Exceptions apply to products that are set in another Standard Mexican Official in energy efficiency, as well as LED luminaires and modules LED</w:t>
      </w:r>
      <w:r w:rsidR="00ED1247">
        <w:rPr>
          <w:lang w:eastAsia="en-AU"/>
        </w:rPr>
        <w:t>.</w:t>
      </w:r>
    </w:p>
    <w:p w:rsidR="00334066" w:rsidRPr="00310986" w:rsidRDefault="00334066" w:rsidP="00E65B09">
      <w:pPr>
        <w:pStyle w:val="E3Heading4"/>
        <w:numPr>
          <w:ilvl w:val="0"/>
          <w:numId w:val="0"/>
        </w:numPr>
        <w:ind w:left="1008" w:hanging="1008"/>
        <w:rPr>
          <w:lang w:eastAsia="en-AU"/>
        </w:rPr>
      </w:pPr>
      <w:r>
        <w:rPr>
          <w:lang w:eastAsia="en-AU"/>
        </w:rPr>
        <w:t>Performance requirements</w:t>
      </w:r>
    </w:p>
    <w:tbl>
      <w:tblPr>
        <w:tblStyle w:val="TableGrid"/>
        <w:tblW w:w="0" w:type="auto"/>
        <w:jc w:val="center"/>
        <w:tblLook w:val="04A0" w:firstRow="1" w:lastRow="0" w:firstColumn="1" w:lastColumn="0" w:noHBand="0" w:noVBand="1"/>
      </w:tblPr>
      <w:tblGrid>
        <w:gridCol w:w="1480"/>
        <w:gridCol w:w="2806"/>
        <w:gridCol w:w="2806"/>
        <w:gridCol w:w="2484"/>
      </w:tblGrid>
      <w:tr w:rsidR="00334066" w:rsidTr="007D32B9">
        <w:trPr>
          <w:cantSplit/>
          <w:tblHeader/>
          <w:jc w:val="center"/>
        </w:trPr>
        <w:tc>
          <w:tcPr>
            <w:tcW w:w="1480" w:type="dxa"/>
          </w:tcPr>
          <w:p w:rsidR="00334066" w:rsidRDefault="00334066" w:rsidP="00475EAC">
            <w:pPr>
              <w:pStyle w:val="E3TableHeading"/>
            </w:pPr>
            <w:r>
              <w:t>Parameter</w:t>
            </w:r>
          </w:p>
        </w:tc>
        <w:tc>
          <w:tcPr>
            <w:tcW w:w="5612" w:type="dxa"/>
            <w:gridSpan w:val="2"/>
          </w:tcPr>
          <w:p w:rsidR="00334066" w:rsidRDefault="00334066" w:rsidP="00475EAC">
            <w:pPr>
              <w:pStyle w:val="E3TableHeading"/>
            </w:pPr>
            <w:r>
              <w:t>Minimum requirements</w:t>
            </w:r>
          </w:p>
        </w:tc>
        <w:tc>
          <w:tcPr>
            <w:tcW w:w="2484" w:type="dxa"/>
          </w:tcPr>
          <w:p w:rsidR="00334066" w:rsidRDefault="00334066" w:rsidP="00475EAC">
            <w:pPr>
              <w:pStyle w:val="E3TableHeading"/>
            </w:pPr>
            <w:r>
              <w:t>Test Method</w:t>
            </w:r>
          </w:p>
        </w:tc>
      </w:tr>
      <w:tr w:rsidR="00475EAC" w:rsidTr="007D32B9">
        <w:trPr>
          <w:cantSplit/>
          <w:trHeight w:val="69"/>
          <w:jc w:val="center"/>
        </w:trPr>
        <w:tc>
          <w:tcPr>
            <w:tcW w:w="1480" w:type="dxa"/>
            <w:vMerge w:val="restart"/>
          </w:tcPr>
          <w:p w:rsidR="00475EAC" w:rsidRPr="003C1618" w:rsidRDefault="00475EAC" w:rsidP="00255AA3">
            <w:pPr>
              <w:pStyle w:val="E3Tabletext"/>
            </w:pPr>
            <w:r w:rsidRPr="003C1618">
              <w:t>Efficacy</w:t>
            </w:r>
          </w:p>
        </w:tc>
        <w:tc>
          <w:tcPr>
            <w:tcW w:w="5612" w:type="dxa"/>
            <w:gridSpan w:val="2"/>
          </w:tcPr>
          <w:p w:rsidR="00475EAC" w:rsidRDefault="00475EAC" w:rsidP="00255AA3">
            <w:pPr>
              <w:pStyle w:val="E3Tabletext"/>
            </w:pPr>
            <w:r>
              <w:t xml:space="preserve">Omni directional: The measured initial luminous flux of all </w:t>
            </w:r>
            <w:r w:rsidR="00F966C3">
              <w:t>lamps</w:t>
            </w:r>
            <w:r>
              <w:t xml:space="preserve"> should not be less than 90% of the nominal value marked on the product.</w:t>
            </w:r>
          </w:p>
          <w:p w:rsidR="00475EAC" w:rsidRDefault="00475EAC" w:rsidP="00255AA3">
            <w:pPr>
              <w:pStyle w:val="E3Tabletext"/>
            </w:pPr>
            <w:r>
              <w:t>L</w:t>
            </w:r>
            <w:r w:rsidRPr="00A02700">
              <w:t>amp shape</w:t>
            </w:r>
            <w:r>
              <w:t>s</w:t>
            </w:r>
            <w:r w:rsidRPr="00A02700">
              <w:t xml:space="preserve"> A, BT, P, PS </w:t>
            </w:r>
            <w:r>
              <w:t>&amp;</w:t>
            </w:r>
            <w:r w:rsidRPr="00A02700">
              <w:t xml:space="preserve"> T</w:t>
            </w:r>
          </w:p>
        </w:tc>
        <w:tc>
          <w:tcPr>
            <w:tcW w:w="2484" w:type="dxa"/>
            <w:vMerge w:val="restart"/>
          </w:tcPr>
          <w:p w:rsidR="00475EAC" w:rsidRDefault="00475EAC" w:rsidP="00255AA3">
            <w:pPr>
              <w:pStyle w:val="E3Tabletext"/>
            </w:pPr>
            <w:r>
              <w:t>Included within</w:t>
            </w:r>
          </w:p>
          <w:p w:rsidR="00475EAC" w:rsidRDefault="00475EAC" w:rsidP="00235234"/>
        </w:tc>
      </w:tr>
      <w:tr w:rsidR="00475EAC" w:rsidTr="007D32B9">
        <w:trPr>
          <w:cantSplit/>
          <w:trHeight w:val="58"/>
          <w:jc w:val="center"/>
        </w:trPr>
        <w:tc>
          <w:tcPr>
            <w:tcW w:w="1480" w:type="dxa"/>
            <w:vMerge/>
          </w:tcPr>
          <w:p w:rsidR="00475EAC" w:rsidRPr="003C1618" w:rsidRDefault="00475EAC" w:rsidP="00255AA3">
            <w:pPr>
              <w:pStyle w:val="E3Tabletext"/>
            </w:pPr>
          </w:p>
        </w:tc>
        <w:tc>
          <w:tcPr>
            <w:tcW w:w="2806" w:type="dxa"/>
          </w:tcPr>
          <w:p w:rsidR="00475EAC" w:rsidRDefault="00475EAC" w:rsidP="00255AA3">
            <w:pPr>
              <w:pStyle w:val="E3Tabletext"/>
            </w:pPr>
            <w:r>
              <w:t xml:space="preserve">Rated luminous flux </w:t>
            </w:r>
            <w:r>
              <w:sym w:font="Symbol" w:char="F066"/>
            </w:r>
            <w:r>
              <w:t xml:space="preserve"> (lm)</w:t>
            </w:r>
          </w:p>
        </w:tc>
        <w:tc>
          <w:tcPr>
            <w:tcW w:w="2806" w:type="dxa"/>
          </w:tcPr>
          <w:p w:rsidR="00475EAC" w:rsidRDefault="00475EAC" w:rsidP="00255AA3">
            <w:pPr>
              <w:pStyle w:val="E3Tabletext"/>
            </w:pPr>
            <w:r>
              <w:t>Efficacy (lm/W)</w:t>
            </w:r>
          </w:p>
        </w:tc>
        <w:tc>
          <w:tcPr>
            <w:tcW w:w="2484" w:type="dxa"/>
            <w:vMerge/>
          </w:tcPr>
          <w:p w:rsidR="00475EAC" w:rsidRDefault="00475EAC" w:rsidP="00DF3C70"/>
        </w:tc>
      </w:tr>
      <w:tr w:rsidR="00475EAC" w:rsidTr="007D32B9">
        <w:trPr>
          <w:cantSplit/>
          <w:trHeight w:val="58"/>
          <w:jc w:val="center"/>
        </w:trPr>
        <w:tc>
          <w:tcPr>
            <w:tcW w:w="1480" w:type="dxa"/>
            <w:vMerge/>
          </w:tcPr>
          <w:p w:rsidR="00475EAC" w:rsidRPr="003C1618" w:rsidRDefault="00475EAC" w:rsidP="00255AA3">
            <w:pPr>
              <w:pStyle w:val="E3Tabletext"/>
            </w:pPr>
          </w:p>
        </w:tc>
        <w:tc>
          <w:tcPr>
            <w:tcW w:w="2806" w:type="dxa"/>
          </w:tcPr>
          <w:p w:rsidR="00475EAC" w:rsidRDefault="00475EAC" w:rsidP="00255AA3">
            <w:pPr>
              <w:pStyle w:val="E3Tabletext"/>
            </w:pPr>
            <w:r>
              <w:sym w:font="Symbol" w:char="F066"/>
            </w:r>
            <w:r>
              <w:t xml:space="preserve"> ≤ 325</w:t>
            </w:r>
          </w:p>
        </w:tc>
        <w:tc>
          <w:tcPr>
            <w:tcW w:w="2806" w:type="dxa"/>
            <w:vMerge w:val="restart"/>
          </w:tcPr>
          <w:p w:rsidR="00475EAC" w:rsidRDefault="00475EAC" w:rsidP="00255AA3">
            <w:pPr>
              <w:pStyle w:val="E3Tabletext"/>
            </w:pPr>
            <w:r>
              <w:t>50</w:t>
            </w:r>
          </w:p>
        </w:tc>
        <w:tc>
          <w:tcPr>
            <w:tcW w:w="2484" w:type="dxa"/>
            <w:vMerge/>
          </w:tcPr>
          <w:p w:rsidR="00475EAC" w:rsidRDefault="00475EAC" w:rsidP="00DF3C70"/>
        </w:tc>
      </w:tr>
      <w:tr w:rsidR="00475EAC" w:rsidTr="007D32B9">
        <w:trPr>
          <w:cantSplit/>
          <w:trHeight w:val="58"/>
          <w:jc w:val="center"/>
        </w:trPr>
        <w:tc>
          <w:tcPr>
            <w:tcW w:w="1480" w:type="dxa"/>
            <w:vMerge/>
          </w:tcPr>
          <w:p w:rsidR="00475EAC" w:rsidRPr="003C1618" w:rsidRDefault="00475EAC" w:rsidP="00255AA3">
            <w:pPr>
              <w:pStyle w:val="E3Tabletext"/>
            </w:pPr>
          </w:p>
        </w:tc>
        <w:tc>
          <w:tcPr>
            <w:tcW w:w="2806" w:type="dxa"/>
          </w:tcPr>
          <w:p w:rsidR="00475EAC" w:rsidRDefault="00475EAC" w:rsidP="00255AA3">
            <w:pPr>
              <w:pStyle w:val="E3Tabletext"/>
            </w:pPr>
            <w:r>
              <w:t>325 &lt;</w:t>
            </w:r>
            <w:r>
              <w:sym w:font="Symbol" w:char="F066"/>
            </w:r>
            <w:r>
              <w:t xml:space="preserve"> ≤ 450</w:t>
            </w:r>
          </w:p>
        </w:tc>
        <w:tc>
          <w:tcPr>
            <w:tcW w:w="2806" w:type="dxa"/>
            <w:vMerge/>
          </w:tcPr>
          <w:p w:rsidR="00475EAC" w:rsidRDefault="00475EAC" w:rsidP="00255AA3">
            <w:pPr>
              <w:pStyle w:val="E3Tabletext"/>
            </w:pPr>
          </w:p>
        </w:tc>
        <w:tc>
          <w:tcPr>
            <w:tcW w:w="2484" w:type="dxa"/>
            <w:vMerge/>
          </w:tcPr>
          <w:p w:rsidR="00475EAC" w:rsidRDefault="00475EAC" w:rsidP="00DF3C70"/>
        </w:tc>
      </w:tr>
      <w:tr w:rsidR="00475EAC" w:rsidTr="007D32B9">
        <w:trPr>
          <w:cantSplit/>
          <w:trHeight w:val="58"/>
          <w:jc w:val="center"/>
        </w:trPr>
        <w:tc>
          <w:tcPr>
            <w:tcW w:w="1480" w:type="dxa"/>
            <w:vMerge/>
          </w:tcPr>
          <w:p w:rsidR="00475EAC" w:rsidRPr="003C1618" w:rsidRDefault="00475EAC" w:rsidP="00255AA3">
            <w:pPr>
              <w:pStyle w:val="E3Tabletext"/>
            </w:pPr>
          </w:p>
        </w:tc>
        <w:tc>
          <w:tcPr>
            <w:tcW w:w="2806" w:type="dxa"/>
          </w:tcPr>
          <w:p w:rsidR="00475EAC" w:rsidRDefault="00475EAC" w:rsidP="00255AA3">
            <w:pPr>
              <w:pStyle w:val="E3Tabletext"/>
            </w:pPr>
            <w:r>
              <w:t>450 &lt;</w:t>
            </w:r>
            <w:r>
              <w:sym w:font="Symbol" w:char="F066"/>
            </w:r>
            <w:r>
              <w:t xml:space="preserve"> ≤ 800</w:t>
            </w:r>
          </w:p>
        </w:tc>
        <w:tc>
          <w:tcPr>
            <w:tcW w:w="2806" w:type="dxa"/>
            <w:vMerge w:val="restart"/>
          </w:tcPr>
          <w:p w:rsidR="00475EAC" w:rsidRDefault="00475EAC" w:rsidP="00255AA3">
            <w:pPr>
              <w:pStyle w:val="E3Tabletext"/>
            </w:pPr>
            <w:r>
              <w:t>55</w:t>
            </w:r>
          </w:p>
        </w:tc>
        <w:tc>
          <w:tcPr>
            <w:tcW w:w="2484" w:type="dxa"/>
            <w:vMerge/>
          </w:tcPr>
          <w:p w:rsidR="00475EAC" w:rsidRDefault="00475EAC" w:rsidP="00DF3C70"/>
        </w:tc>
      </w:tr>
      <w:tr w:rsidR="00475EAC" w:rsidTr="007D32B9">
        <w:trPr>
          <w:cantSplit/>
          <w:trHeight w:val="58"/>
          <w:jc w:val="center"/>
        </w:trPr>
        <w:tc>
          <w:tcPr>
            <w:tcW w:w="1480" w:type="dxa"/>
            <w:vMerge/>
          </w:tcPr>
          <w:p w:rsidR="00475EAC" w:rsidRPr="003C1618" w:rsidRDefault="00475EAC" w:rsidP="00255AA3">
            <w:pPr>
              <w:pStyle w:val="E3Tabletext"/>
            </w:pPr>
          </w:p>
        </w:tc>
        <w:tc>
          <w:tcPr>
            <w:tcW w:w="2806" w:type="dxa"/>
          </w:tcPr>
          <w:p w:rsidR="00475EAC" w:rsidRDefault="00475EAC" w:rsidP="00255AA3">
            <w:pPr>
              <w:pStyle w:val="E3Tabletext"/>
            </w:pPr>
            <w:r>
              <w:t>800 &lt;</w:t>
            </w:r>
            <w:r>
              <w:sym w:font="Symbol" w:char="F066"/>
            </w:r>
            <w:r>
              <w:t xml:space="preserve"> ≤ 1,100</w:t>
            </w:r>
          </w:p>
        </w:tc>
        <w:tc>
          <w:tcPr>
            <w:tcW w:w="2806" w:type="dxa"/>
            <w:vMerge/>
          </w:tcPr>
          <w:p w:rsidR="00475EAC" w:rsidRDefault="00475EAC" w:rsidP="00255AA3">
            <w:pPr>
              <w:pStyle w:val="E3Tabletext"/>
            </w:pPr>
          </w:p>
        </w:tc>
        <w:tc>
          <w:tcPr>
            <w:tcW w:w="2484" w:type="dxa"/>
            <w:vMerge/>
          </w:tcPr>
          <w:p w:rsidR="00475EAC" w:rsidRDefault="00475EAC" w:rsidP="00DF3C70"/>
        </w:tc>
      </w:tr>
      <w:tr w:rsidR="00475EAC" w:rsidTr="007D32B9">
        <w:trPr>
          <w:cantSplit/>
          <w:trHeight w:val="58"/>
          <w:jc w:val="center"/>
        </w:trPr>
        <w:tc>
          <w:tcPr>
            <w:tcW w:w="1480" w:type="dxa"/>
            <w:vMerge/>
          </w:tcPr>
          <w:p w:rsidR="00475EAC" w:rsidRPr="003C1618" w:rsidRDefault="00475EAC" w:rsidP="00255AA3">
            <w:pPr>
              <w:pStyle w:val="E3Tabletext"/>
            </w:pPr>
          </w:p>
        </w:tc>
        <w:tc>
          <w:tcPr>
            <w:tcW w:w="2806" w:type="dxa"/>
          </w:tcPr>
          <w:p w:rsidR="00475EAC" w:rsidRDefault="00475EAC" w:rsidP="00255AA3">
            <w:pPr>
              <w:pStyle w:val="E3Tabletext"/>
            </w:pPr>
            <w:r>
              <w:t>1,100 &lt;</w:t>
            </w:r>
            <w:r>
              <w:sym w:font="Symbol" w:char="F066"/>
            </w:r>
            <w:r>
              <w:t xml:space="preserve"> ≤ 1,600</w:t>
            </w:r>
          </w:p>
        </w:tc>
        <w:tc>
          <w:tcPr>
            <w:tcW w:w="2806" w:type="dxa"/>
            <w:vMerge w:val="restart"/>
          </w:tcPr>
          <w:p w:rsidR="00475EAC" w:rsidRDefault="00475EAC" w:rsidP="00255AA3">
            <w:pPr>
              <w:pStyle w:val="E3Tabletext"/>
            </w:pPr>
            <w:r>
              <w:t>60</w:t>
            </w:r>
          </w:p>
        </w:tc>
        <w:tc>
          <w:tcPr>
            <w:tcW w:w="2484" w:type="dxa"/>
            <w:vMerge/>
          </w:tcPr>
          <w:p w:rsidR="00475EAC" w:rsidRDefault="00475EAC" w:rsidP="00DF3C70"/>
        </w:tc>
      </w:tr>
      <w:tr w:rsidR="00475EAC" w:rsidTr="007D32B9">
        <w:trPr>
          <w:cantSplit/>
          <w:trHeight w:val="58"/>
          <w:jc w:val="center"/>
        </w:trPr>
        <w:tc>
          <w:tcPr>
            <w:tcW w:w="1480" w:type="dxa"/>
            <w:vMerge/>
          </w:tcPr>
          <w:p w:rsidR="00475EAC" w:rsidRPr="003C1618" w:rsidRDefault="00475EAC" w:rsidP="00255AA3">
            <w:pPr>
              <w:pStyle w:val="E3Tabletext"/>
            </w:pPr>
          </w:p>
        </w:tc>
        <w:tc>
          <w:tcPr>
            <w:tcW w:w="2806" w:type="dxa"/>
          </w:tcPr>
          <w:p w:rsidR="00475EAC" w:rsidRDefault="00475EAC" w:rsidP="00255AA3">
            <w:pPr>
              <w:pStyle w:val="E3Tabletext"/>
            </w:pPr>
            <w:r>
              <w:t>1,600 &lt;</w:t>
            </w:r>
            <w:r>
              <w:sym w:font="Symbol" w:char="F066"/>
            </w:r>
          </w:p>
        </w:tc>
        <w:tc>
          <w:tcPr>
            <w:tcW w:w="2806" w:type="dxa"/>
            <w:vMerge/>
          </w:tcPr>
          <w:p w:rsidR="00475EAC" w:rsidRDefault="00475EAC" w:rsidP="00255AA3">
            <w:pPr>
              <w:pStyle w:val="E3Tabletext"/>
            </w:pPr>
          </w:p>
        </w:tc>
        <w:tc>
          <w:tcPr>
            <w:tcW w:w="2484" w:type="dxa"/>
            <w:vMerge/>
          </w:tcPr>
          <w:p w:rsidR="00475EAC" w:rsidRDefault="00475EAC" w:rsidP="00DF3C70"/>
        </w:tc>
      </w:tr>
      <w:tr w:rsidR="00475EAC" w:rsidTr="007D32B9">
        <w:trPr>
          <w:cantSplit/>
          <w:trHeight w:val="58"/>
          <w:jc w:val="center"/>
        </w:trPr>
        <w:tc>
          <w:tcPr>
            <w:tcW w:w="1480" w:type="dxa"/>
            <w:vMerge/>
          </w:tcPr>
          <w:p w:rsidR="00475EAC" w:rsidRPr="003C1618" w:rsidRDefault="00475EAC" w:rsidP="00255AA3">
            <w:pPr>
              <w:pStyle w:val="E3Tabletext"/>
            </w:pPr>
          </w:p>
        </w:tc>
        <w:tc>
          <w:tcPr>
            <w:tcW w:w="5612" w:type="dxa"/>
            <w:gridSpan w:val="2"/>
          </w:tcPr>
          <w:p w:rsidR="00475EAC" w:rsidRDefault="00475EAC" w:rsidP="00255AA3">
            <w:pPr>
              <w:pStyle w:val="E3Tabletext"/>
            </w:pPr>
            <w:r>
              <w:t>L</w:t>
            </w:r>
            <w:r w:rsidRPr="00A02700">
              <w:t>amp shape</w:t>
            </w:r>
            <w:r>
              <w:t>s</w:t>
            </w:r>
            <w:r w:rsidRPr="00A02700">
              <w:t xml:space="preserve"> BA, C, CA, F </w:t>
            </w:r>
            <w:r>
              <w:t>&amp;</w:t>
            </w:r>
            <w:r w:rsidRPr="00A02700">
              <w:t xml:space="preserve"> G</w:t>
            </w:r>
          </w:p>
        </w:tc>
        <w:tc>
          <w:tcPr>
            <w:tcW w:w="2484" w:type="dxa"/>
            <w:vMerge/>
          </w:tcPr>
          <w:p w:rsidR="00475EAC" w:rsidRDefault="00475EAC" w:rsidP="00DF3C70"/>
        </w:tc>
      </w:tr>
      <w:tr w:rsidR="00475EAC" w:rsidTr="007D32B9">
        <w:trPr>
          <w:cantSplit/>
          <w:trHeight w:val="58"/>
          <w:jc w:val="center"/>
        </w:trPr>
        <w:tc>
          <w:tcPr>
            <w:tcW w:w="1480" w:type="dxa"/>
            <w:vMerge/>
          </w:tcPr>
          <w:p w:rsidR="00475EAC" w:rsidRPr="003C1618" w:rsidRDefault="00475EAC" w:rsidP="00255AA3">
            <w:pPr>
              <w:pStyle w:val="E3Tabletext"/>
            </w:pPr>
          </w:p>
        </w:tc>
        <w:tc>
          <w:tcPr>
            <w:tcW w:w="2806" w:type="dxa"/>
          </w:tcPr>
          <w:p w:rsidR="00475EAC" w:rsidRDefault="00475EAC" w:rsidP="00255AA3">
            <w:pPr>
              <w:pStyle w:val="E3Tabletext"/>
            </w:pPr>
            <w:r>
              <w:t xml:space="preserve">Rated luminous flux </w:t>
            </w:r>
            <w:r>
              <w:sym w:font="Symbol" w:char="F066"/>
            </w:r>
            <w:r>
              <w:t xml:space="preserve"> (lm)</w:t>
            </w:r>
          </w:p>
        </w:tc>
        <w:tc>
          <w:tcPr>
            <w:tcW w:w="2806" w:type="dxa"/>
          </w:tcPr>
          <w:p w:rsidR="00475EAC" w:rsidRDefault="00475EAC" w:rsidP="00255AA3">
            <w:pPr>
              <w:pStyle w:val="E3Tabletext"/>
            </w:pPr>
            <w:r>
              <w:t>Efficacy (lm/W)</w:t>
            </w:r>
          </w:p>
        </w:tc>
        <w:tc>
          <w:tcPr>
            <w:tcW w:w="2484" w:type="dxa"/>
            <w:vMerge/>
          </w:tcPr>
          <w:p w:rsidR="00475EAC" w:rsidRDefault="00475EAC" w:rsidP="00DF3C70"/>
        </w:tc>
      </w:tr>
      <w:tr w:rsidR="00475EAC" w:rsidTr="007D32B9">
        <w:trPr>
          <w:cantSplit/>
          <w:trHeight w:val="58"/>
          <w:jc w:val="center"/>
        </w:trPr>
        <w:tc>
          <w:tcPr>
            <w:tcW w:w="1480" w:type="dxa"/>
            <w:vMerge/>
          </w:tcPr>
          <w:p w:rsidR="00475EAC" w:rsidRPr="003C1618" w:rsidRDefault="00475EAC" w:rsidP="00255AA3">
            <w:pPr>
              <w:pStyle w:val="E3Tabletext"/>
            </w:pPr>
          </w:p>
        </w:tc>
        <w:tc>
          <w:tcPr>
            <w:tcW w:w="2806" w:type="dxa"/>
          </w:tcPr>
          <w:p w:rsidR="00475EAC" w:rsidRDefault="00475EAC" w:rsidP="00255AA3">
            <w:pPr>
              <w:pStyle w:val="E3Tabletext"/>
            </w:pPr>
            <w:r>
              <w:sym w:font="Symbol" w:char="F066"/>
            </w:r>
            <w:r>
              <w:t xml:space="preserve"> ≤ 150</w:t>
            </w:r>
          </w:p>
        </w:tc>
        <w:tc>
          <w:tcPr>
            <w:tcW w:w="2806" w:type="dxa"/>
            <w:vMerge w:val="restart"/>
          </w:tcPr>
          <w:p w:rsidR="00475EAC" w:rsidRDefault="00475EAC" w:rsidP="00255AA3">
            <w:pPr>
              <w:pStyle w:val="E3Tabletext"/>
            </w:pPr>
            <w:r>
              <w:t>40</w:t>
            </w:r>
          </w:p>
        </w:tc>
        <w:tc>
          <w:tcPr>
            <w:tcW w:w="2484" w:type="dxa"/>
            <w:vMerge/>
          </w:tcPr>
          <w:p w:rsidR="00475EAC" w:rsidRDefault="00475EAC" w:rsidP="00DF3C70"/>
        </w:tc>
      </w:tr>
      <w:tr w:rsidR="00475EAC" w:rsidTr="007D32B9">
        <w:trPr>
          <w:cantSplit/>
          <w:trHeight w:val="58"/>
          <w:jc w:val="center"/>
        </w:trPr>
        <w:tc>
          <w:tcPr>
            <w:tcW w:w="1480" w:type="dxa"/>
            <w:vMerge/>
          </w:tcPr>
          <w:p w:rsidR="00475EAC" w:rsidRPr="003C1618" w:rsidRDefault="00475EAC" w:rsidP="00255AA3">
            <w:pPr>
              <w:pStyle w:val="E3Tabletext"/>
            </w:pPr>
          </w:p>
        </w:tc>
        <w:tc>
          <w:tcPr>
            <w:tcW w:w="2806" w:type="dxa"/>
          </w:tcPr>
          <w:p w:rsidR="00475EAC" w:rsidRDefault="00475EAC" w:rsidP="00255AA3">
            <w:pPr>
              <w:pStyle w:val="E3Tabletext"/>
            </w:pPr>
            <w:r>
              <w:t>150 &lt;</w:t>
            </w:r>
            <w:r>
              <w:sym w:font="Symbol" w:char="F066"/>
            </w:r>
            <w:r>
              <w:t xml:space="preserve"> ≤ 300</w:t>
            </w:r>
          </w:p>
        </w:tc>
        <w:tc>
          <w:tcPr>
            <w:tcW w:w="2806" w:type="dxa"/>
            <w:vMerge/>
          </w:tcPr>
          <w:p w:rsidR="00475EAC" w:rsidRDefault="00475EAC" w:rsidP="00255AA3">
            <w:pPr>
              <w:pStyle w:val="E3Tabletext"/>
            </w:pPr>
          </w:p>
        </w:tc>
        <w:tc>
          <w:tcPr>
            <w:tcW w:w="2484" w:type="dxa"/>
            <w:vMerge/>
          </w:tcPr>
          <w:p w:rsidR="00475EAC" w:rsidRDefault="00475EAC" w:rsidP="00DF3C70"/>
        </w:tc>
      </w:tr>
      <w:tr w:rsidR="00475EAC" w:rsidTr="007D32B9">
        <w:trPr>
          <w:cantSplit/>
          <w:trHeight w:val="58"/>
          <w:jc w:val="center"/>
        </w:trPr>
        <w:tc>
          <w:tcPr>
            <w:tcW w:w="1480" w:type="dxa"/>
            <w:vMerge/>
          </w:tcPr>
          <w:p w:rsidR="00475EAC" w:rsidRPr="003C1618" w:rsidRDefault="00475EAC" w:rsidP="00255AA3">
            <w:pPr>
              <w:pStyle w:val="E3Tabletext"/>
            </w:pPr>
          </w:p>
        </w:tc>
        <w:tc>
          <w:tcPr>
            <w:tcW w:w="2806" w:type="dxa"/>
          </w:tcPr>
          <w:p w:rsidR="00475EAC" w:rsidRDefault="00475EAC" w:rsidP="00255AA3">
            <w:pPr>
              <w:pStyle w:val="E3Tabletext"/>
            </w:pPr>
            <w:r>
              <w:t>300 &lt;</w:t>
            </w:r>
            <w:r>
              <w:sym w:font="Symbol" w:char="F066"/>
            </w:r>
          </w:p>
        </w:tc>
        <w:tc>
          <w:tcPr>
            <w:tcW w:w="2806" w:type="dxa"/>
            <w:vMerge/>
          </w:tcPr>
          <w:p w:rsidR="00475EAC" w:rsidRDefault="00475EAC" w:rsidP="00255AA3">
            <w:pPr>
              <w:pStyle w:val="E3Tabletext"/>
            </w:pPr>
          </w:p>
        </w:tc>
        <w:tc>
          <w:tcPr>
            <w:tcW w:w="2484" w:type="dxa"/>
            <w:vMerge/>
          </w:tcPr>
          <w:p w:rsidR="00475EAC" w:rsidRDefault="00475EAC" w:rsidP="00DF3C70"/>
        </w:tc>
      </w:tr>
      <w:tr w:rsidR="00475EAC" w:rsidTr="007D32B9">
        <w:trPr>
          <w:cantSplit/>
          <w:trHeight w:val="58"/>
          <w:jc w:val="center"/>
        </w:trPr>
        <w:tc>
          <w:tcPr>
            <w:tcW w:w="1480" w:type="dxa"/>
            <w:vMerge/>
          </w:tcPr>
          <w:p w:rsidR="00475EAC" w:rsidRPr="003C1618" w:rsidRDefault="00475EAC" w:rsidP="00255AA3">
            <w:pPr>
              <w:pStyle w:val="E3Tabletext"/>
            </w:pPr>
          </w:p>
        </w:tc>
        <w:tc>
          <w:tcPr>
            <w:tcW w:w="5612" w:type="dxa"/>
            <w:gridSpan w:val="2"/>
          </w:tcPr>
          <w:p w:rsidR="00475EAC" w:rsidRDefault="00475EAC" w:rsidP="00255AA3">
            <w:pPr>
              <w:pStyle w:val="E3Tabletext"/>
            </w:pPr>
            <w:r>
              <w:t xml:space="preserve">Directional: Lamp shapes </w:t>
            </w:r>
            <w:r w:rsidRPr="00345A02">
              <w:t>BR, ER, MR, PAR and R</w:t>
            </w:r>
            <w:r>
              <w:t xml:space="preserve"> only</w:t>
            </w:r>
          </w:p>
        </w:tc>
        <w:tc>
          <w:tcPr>
            <w:tcW w:w="2484" w:type="dxa"/>
            <w:vMerge/>
          </w:tcPr>
          <w:p w:rsidR="00475EAC" w:rsidRDefault="00475EAC" w:rsidP="00DF3C70"/>
        </w:tc>
      </w:tr>
      <w:tr w:rsidR="00475EAC" w:rsidTr="007D32B9">
        <w:trPr>
          <w:cantSplit/>
          <w:trHeight w:val="58"/>
          <w:jc w:val="center"/>
        </w:trPr>
        <w:tc>
          <w:tcPr>
            <w:tcW w:w="1480" w:type="dxa"/>
            <w:vMerge/>
          </w:tcPr>
          <w:p w:rsidR="00475EAC" w:rsidRPr="003C1618" w:rsidRDefault="00475EAC" w:rsidP="00255AA3">
            <w:pPr>
              <w:pStyle w:val="E3Tabletext"/>
            </w:pPr>
          </w:p>
        </w:tc>
        <w:tc>
          <w:tcPr>
            <w:tcW w:w="2806" w:type="dxa"/>
          </w:tcPr>
          <w:p w:rsidR="00475EAC" w:rsidRDefault="00475EAC" w:rsidP="00255AA3">
            <w:pPr>
              <w:pStyle w:val="E3Tabletext"/>
            </w:pPr>
            <w:r>
              <w:t>Lamp diameter (mm)</w:t>
            </w:r>
          </w:p>
        </w:tc>
        <w:tc>
          <w:tcPr>
            <w:tcW w:w="2806" w:type="dxa"/>
          </w:tcPr>
          <w:p w:rsidR="00475EAC" w:rsidRDefault="00475EAC" w:rsidP="00255AA3">
            <w:pPr>
              <w:pStyle w:val="E3Tabletext"/>
            </w:pPr>
            <w:r>
              <w:t>Efficacy (lm/W)</w:t>
            </w:r>
          </w:p>
        </w:tc>
        <w:tc>
          <w:tcPr>
            <w:tcW w:w="2484" w:type="dxa"/>
            <w:vMerge/>
          </w:tcPr>
          <w:p w:rsidR="00475EAC" w:rsidRDefault="00475EAC" w:rsidP="00DF3C70"/>
        </w:tc>
      </w:tr>
      <w:tr w:rsidR="00475EAC" w:rsidTr="007D32B9">
        <w:trPr>
          <w:cantSplit/>
          <w:trHeight w:val="58"/>
          <w:jc w:val="center"/>
        </w:trPr>
        <w:tc>
          <w:tcPr>
            <w:tcW w:w="1480" w:type="dxa"/>
            <w:vMerge/>
          </w:tcPr>
          <w:p w:rsidR="00475EAC" w:rsidRPr="003C1618" w:rsidRDefault="00475EAC" w:rsidP="00255AA3">
            <w:pPr>
              <w:pStyle w:val="E3Tabletext"/>
            </w:pPr>
          </w:p>
        </w:tc>
        <w:tc>
          <w:tcPr>
            <w:tcW w:w="2806" w:type="dxa"/>
          </w:tcPr>
          <w:p w:rsidR="00475EAC" w:rsidRDefault="00475EAC" w:rsidP="00255AA3">
            <w:pPr>
              <w:pStyle w:val="E3Tabletext"/>
            </w:pPr>
            <w:r>
              <w:sym w:font="Symbol" w:char="F066"/>
            </w:r>
            <w:r>
              <w:t xml:space="preserve"> ≤ 63.5</w:t>
            </w:r>
          </w:p>
        </w:tc>
        <w:tc>
          <w:tcPr>
            <w:tcW w:w="2806" w:type="dxa"/>
          </w:tcPr>
          <w:p w:rsidR="00475EAC" w:rsidRDefault="00475EAC" w:rsidP="00255AA3">
            <w:pPr>
              <w:pStyle w:val="E3Tabletext"/>
            </w:pPr>
            <w:r>
              <w:t>40</w:t>
            </w:r>
          </w:p>
        </w:tc>
        <w:tc>
          <w:tcPr>
            <w:tcW w:w="2484" w:type="dxa"/>
            <w:vMerge/>
          </w:tcPr>
          <w:p w:rsidR="00475EAC" w:rsidRDefault="00475EAC" w:rsidP="00DF3C70"/>
        </w:tc>
      </w:tr>
      <w:tr w:rsidR="00475EAC" w:rsidTr="007D32B9">
        <w:trPr>
          <w:cantSplit/>
          <w:trHeight w:val="58"/>
          <w:jc w:val="center"/>
        </w:trPr>
        <w:tc>
          <w:tcPr>
            <w:tcW w:w="1480" w:type="dxa"/>
            <w:vMerge/>
          </w:tcPr>
          <w:p w:rsidR="00475EAC" w:rsidRPr="003C1618" w:rsidRDefault="00475EAC" w:rsidP="00255AA3">
            <w:pPr>
              <w:pStyle w:val="E3Tabletext"/>
            </w:pPr>
          </w:p>
        </w:tc>
        <w:tc>
          <w:tcPr>
            <w:tcW w:w="2806" w:type="dxa"/>
          </w:tcPr>
          <w:p w:rsidR="00475EAC" w:rsidRDefault="00475EAC" w:rsidP="00255AA3">
            <w:pPr>
              <w:pStyle w:val="E3Tabletext"/>
            </w:pPr>
            <w:r>
              <w:t>63.5 &lt;</w:t>
            </w:r>
            <w:r>
              <w:sym w:font="Symbol" w:char="F066"/>
            </w:r>
          </w:p>
        </w:tc>
        <w:tc>
          <w:tcPr>
            <w:tcW w:w="2806" w:type="dxa"/>
          </w:tcPr>
          <w:p w:rsidR="00475EAC" w:rsidRDefault="00475EAC" w:rsidP="00255AA3">
            <w:pPr>
              <w:pStyle w:val="E3Tabletext"/>
            </w:pPr>
            <w:r>
              <w:t>45</w:t>
            </w:r>
          </w:p>
        </w:tc>
        <w:tc>
          <w:tcPr>
            <w:tcW w:w="2484" w:type="dxa"/>
            <w:vMerge/>
          </w:tcPr>
          <w:p w:rsidR="00475EAC" w:rsidRDefault="00475EAC" w:rsidP="00DF3C70"/>
        </w:tc>
      </w:tr>
      <w:tr w:rsidR="00475EAC" w:rsidTr="007D32B9">
        <w:trPr>
          <w:cantSplit/>
          <w:trHeight w:val="86"/>
          <w:jc w:val="center"/>
        </w:trPr>
        <w:tc>
          <w:tcPr>
            <w:tcW w:w="1480" w:type="dxa"/>
            <w:vMerge w:val="restart"/>
          </w:tcPr>
          <w:p w:rsidR="00475EAC" w:rsidRPr="0010509A" w:rsidRDefault="00475EAC" w:rsidP="00255AA3">
            <w:pPr>
              <w:pStyle w:val="E3Tabletext"/>
              <w:rPr>
                <w:highlight w:val="red"/>
              </w:rPr>
            </w:pPr>
            <w:r>
              <w:t>Colour temperature</w:t>
            </w:r>
          </w:p>
        </w:tc>
        <w:tc>
          <w:tcPr>
            <w:tcW w:w="5612" w:type="dxa"/>
            <w:gridSpan w:val="2"/>
          </w:tcPr>
          <w:p w:rsidR="00475EAC" w:rsidRDefault="00475EAC" w:rsidP="00255AA3">
            <w:pPr>
              <w:pStyle w:val="E3Tabletext"/>
            </w:pPr>
            <w:r>
              <w:t>CCT must be within tolerance at:</w:t>
            </w:r>
          </w:p>
          <w:p w:rsidR="00475EAC" w:rsidRDefault="00475EAC" w:rsidP="00255AA3">
            <w:pPr>
              <w:pStyle w:val="E3Tabletext"/>
            </w:pPr>
            <w:r>
              <w:t xml:space="preserve">initial measurement and </w:t>
            </w:r>
          </w:p>
          <w:p w:rsidR="00475EAC" w:rsidRDefault="00475EAC" w:rsidP="00255AA3">
            <w:pPr>
              <w:pStyle w:val="E3Tabletext"/>
            </w:pPr>
            <w:r>
              <w:t>25% of life to a maximum of 6,000 h</w:t>
            </w:r>
          </w:p>
        </w:tc>
        <w:tc>
          <w:tcPr>
            <w:tcW w:w="2484" w:type="dxa"/>
            <w:vMerge w:val="restart"/>
          </w:tcPr>
          <w:p w:rsidR="00475EAC" w:rsidRDefault="00475EAC" w:rsidP="00DF3C70"/>
        </w:tc>
      </w:tr>
      <w:tr w:rsidR="00475EAC" w:rsidTr="007D32B9">
        <w:trPr>
          <w:cantSplit/>
          <w:trHeight w:val="82"/>
          <w:jc w:val="center"/>
        </w:trPr>
        <w:tc>
          <w:tcPr>
            <w:tcW w:w="1480" w:type="dxa"/>
            <w:vMerge/>
          </w:tcPr>
          <w:p w:rsidR="00475EAC" w:rsidRDefault="00475EAC" w:rsidP="00255AA3">
            <w:pPr>
              <w:pStyle w:val="E3Tabletext"/>
            </w:pPr>
          </w:p>
        </w:tc>
        <w:tc>
          <w:tcPr>
            <w:tcW w:w="2806" w:type="dxa"/>
          </w:tcPr>
          <w:p w:rsidR="00475EAC" w:rsidRPr="00475EAC" w:rsidRDefault="00475EAC" w:rsidP="00255AA3">
            <w:pPr>
              <w:pStyle w:val="E3Tabletext"/>
            </w:pPr>
            <w:r w:rsidRPr="00475EAC">
              <w:t>Nominal CCT (K)</w:t>
            </w:r>
          </w:p>
        </w:tc>
        <w:tc>
          <w:tcPr>
            <w:tcW w:w="2806" w:type="dxa"/>
          </w:tcPr>
          <w:p w:rsidR="00475EAC" w:rsidRPr="00475EAC" w:rsidRDefault="00475EAC" w:rsidP="00255AA3">
            <w:pPr>
              <w:pStyle w:val="E3Tabletext"/>
            </w:pPr>
            <w:r w:rsidRPr="00475EAC">
              <w:t>Tolerance of CCT (K) after 25% of life (maximum of 6,000 h)</w:t>
            </w:r>
          </w:p>
        </w:tc>
        <w:tc>
          <w:tcPr>
            <w:tcW w:w="2484" w:type="dxa"/>
            <w:vMerge/>
          </w:tcPr>
          <w:p w:rsidR="00475EAC" w:rsidRDefault="00475EAC" w:rsidP="00DF3C70"/>
        </w:tc>
      </w:tr>
      <w:tr w:rsidR="00475EAC" w:rsidTr="007D32B9">
        <w:trPr>
          <w:cantSplit/>
          <w:trHeight w:val="82"/>
          <w:jc w:val="center"/>
        </w:trPr>
        <w:tc>
          <w:tcPr>
            <w:tcW w:w="1480" w:type="dxa"/>
            <w:vMerge/>
          </w:tcPr>
          <w:p w:rsidR="00475EAC" w:rsidRDefault="00475EAC" w:rsidP="00255AA3">
            <w:pPr>
              <w:pStyle w:val="E3Tabletext"/>
            </w:pPr>
          </w:p>
        </w:tc>
        <w:tc>
          <w:tcPr>
            <w:tcW w:w="2806" w:type="dxa"/>
          </w:tcPr>
          <w:p w:rsidR="00475EAC" w:rsidRPr="00475EAC" w:rsidRDefault="00475EAC" w:rsidP="00255AA3">
            <w:pPr>
              <w:pStyle w:val="E3Tabletext"/>
            </w:pPr>
            <w:r w:rsidRPr="00475EAC">
              <w:t>2700</w:t>
            </w:r>
          </w:p>
        </w:tc>
        <w:tc>
          <w:tcPr>
            <w:tcW w:w="2806" w:type="dxa"/>
          </w:tcPr>
          <w:p w:rsidR="00475EAC" w:rsidRPr="00475EAC" w:rsidRDefault="00475EAC" w:rsidP="00255AA3">
            <w:pPr>
              <w:pStyle w:val="E3Tabletext"/>
            </w:pPr>
            <w:r w:rsidRPr="00475EAC">
              <w:t>2580 ≤ CCT &lt; 2870</w:t>
            </w:r>
          </w:p>
        </w:tc>
        <w:tc>
          <w:tcPr>
            <w:tcW w:w="2484" w:type="dxa"/>
            <w:vMerge/>
          </w:tcPr>
          <w:p w:rsidR="00475EAC" w:rsidRDefault="00475EAC" w:rsidP="00DF3C70"/>
        </w:tc>
      </w:tr>
      <w:tr w:rsidR="00475EAC" w:rsidTr="007D32B9">
        <w:trPr>
          <w:cantSplit/>
          <w:trHeight w:val="82"/>
          <w:jc w:val="center"/>
        </w:trPr>
        <w:tc>
          <w:tcPr>
            <w:tcW w:w="1480" w:type="dxa"/>
            <w:vMerge/>
          </w:tcPr>
          <w:p w:rsidR="00475EAC" w:rsidRDefault="00475EAC" w:rsidP="00255AA3">
            <w:pPr>
              <w:pStyle w:val="E3Tabletext"/>
            </w:pPr>
          </w:p>
        </w:tc>
        <w:tc>
          <w:tcPr>
            <w:tcW w:w="2806" w:type="dxa"/>
          </w:tcPr>
          <w:p w:rsidR="00475EAC" w:rsidRPr="00475EAC" w:rsidRDefault="00475EAC" w:rsidP="00255AA3">
            <w:pPr>
              <w:pStyle w:val="E3Tabletext"/>
            </w:pPr>
            <w:r w:rsidRPr="00475EAC">
              <w:t>3000</w:t>
            </w:r>
          </w:p>
        </w:tc>
        <w:tc>
          <w:tcPr>
            <w:tcW w:w="2806" w:type="dxa"/>
          </w:tcPr>
          <w:p w:rsidR="00475EAC" w:rsidRPr="00475EAC" w:rsidRDefault="00475EAC" w:rsidP="00255AA3">
            <w:pPr>
              <w:pStyle w:val="E3Tabletext"/>
            </w:pPr>
            <w:r w:rsidRPr="00475EAC">
              <w:t>2870 ≤ CCT &lt; 3220</w:t>
            </w:r>
          </w:p>
        </w:tc>
        <w:tc>
          <w:tcPr>
            <w:tcW w:w="2484" w:type="dxa"/>
            <w:vMerge/>
          </w:tcPr>
          <w:p w:rsidR="00475EAC" w:rsidRDefault="00475EAC" w:rsidP="00DF3C70"/>
        </w:tc>
      </w:tr>
      <w:tr w:rsidR="00475EAC" w:rsidTr="007D32B9">
        <w:trPr>
          <w:cantSplit/>
          <w:trHeight w:val="82"/>
          <w:jc w:val="center"/>
        </w:trPr>
        <w:tc>
          <w:tcPr>
            <w:tcW w:w="1480" w:type="dxa"/>
            <w:vMerge/>
          </w:tcPr>
          <w:p w:rsidR="00475EAC" w:rsidRDefault="00475EAC" w:rsidP="00255AA3">
            <w:pPr>
              <w:pStyle w:val="E3Tabletext"/>
            </w:pPr>
          </w:p>
        </w:tc>
        <w:tc>
          <w:tcPr>
            <w:tcW w:w="2806" w:type="dxa"/>
          </w:tcPr>
          <w:p w:rsidR="00475EAC" w:rsidRPr="00475EAC" w:rsidRDefault="00475EAC" w:rsidP="00255AA3">
            <w:pPr>
              <w:pStyle w:val="E3Tabletext"/>
            </w:pPr>
            <w:r w:rsidRPr="00475EAC">
              <w:t>3500</w:t>
            </w:r>
          </w:p>
        </w:tc>
        <w:tc>
          <w:tcPr>
            <w:tcW w:w="2806" w:type="dxa"/>
          </w:tcPr>
          <w:p w:rsidR="00475EAC" w:rsidRPr="00475EAC" w:rsidRDefault="00475EAC" w:rsidP="00255AA3">
            <w:pPr>
              <w:pStyle w:val="E3Tabletext"/>
            </w:pPr>
            <w:r w:rsidRPr="00475EAC">
              <w:t>3220 ≤ CCT &lt; 3710</w:t>
            </w:r>
          </w:p>
        </w:tc>
        <w:tc>
          <w:tcPr>
            <w:tcW w:w="2484" w:type="dxa"/>
            <w:vMerge/>
          </w:tcPr>
          <w:p w:rsidR="00475EAC" w:rsidRDefault="00475EAC" w:rsidP="00DF3C70"/>
        </w:tc>
      </w:tr>
      <w:tr w:rsidR="00475EAC" w:rsidTr="007D32B9">
        <w:trPr>
          <w:cantSplit/>
          <w:trHeight w:val="82"/>
          <w:jc w:val="center"/>
        </w:trPr>
        <w:tc>
          <w:tcPr>
            <w:tcW w:w="1480" w:type="dxa"/>
            <w:vMerge/>
          </w:tcPr>
          <w:p w:rsidR="00475EAC" w:rsidRDefault="00475EAC" w:rsidP="00255AA3">
            <w:pPr>
              <w:pStyle w:val="E3Tabletext"/>
            </w:pPr>
          </w:p>
        </w:tc>
        <w:tc>
          <w:tcPr>
            <w:tcW w:w="2806" w:type="dxa"/>
          </w:tcPr>
          <w:p w:rsidR="00475EAC" w:rsidRPr="00475EAC" w:rsidRDefault="00475EAC" w:rsidP="00255AA3">
            <w:pPr>
              <w:pStyle w:val="E3Tabletext"/>
            </w:pPr>
            <w:r w:rsidRPr="00475EAC">
              <w:t>4000</w:t>
            </w:r>
          </w:p>
        </w:tc>
        <w:tc>
          <w:tcPr>
            <w:tcW w:w="2806" w:type="dxa"/>
          </w:tcPr>
          <w:p w:rsidR="00475EAC" w:rsidRPr="00475EAC" w:rsidRDefault="00475EAC" w:rsidP="00255AA3">
            <w:pPr>
              <w:pStyle w:val="E3Tabletext"/>
            </w:pPr>
            <w:r w:rsidRPr="00475EAC">
              <w:t>3710 ≤ CCT &lt; 4260</w:t>
            </w:r>
          </w:p>
        </w:tc>
        <w:tc>
          <w:tcPr>
            <w:tcW w:w="2484" w:type="dxa"/>
            <w:vMerge/>
          </w:tcPr>
          <w:p w:rsidR="00475EAC" w:rsidRDefault="00475EAC" w:rsidP="00DF3C70"/>
        </w:tc>
      </w:tr>
      <w:tr w:rsidR="00475EAC" w:rsidTr="007D32B9">
        <w:trPr>
          <w:cantSplit/>
          <w:trHeight w:val="82"/>
          <w:jc w:val="center"/>
        </w:trPr>
        <w:tc>
          <w:tcPr>
            <w:tcW w:w="1480" w:type="dxa"/>
            <w:vMerge/>
          </w:tcPr>
          <w:p w:rsidR="00475EAC" w:rsidRDefault="00475EAC" w:rsidP="00255AA3">
            <w:pPr>
              <w:pStyle w:val="E3Tabletext"/>
            </w:pPr>
          </w:p>
        </w:tc>
        <w:tc>
          <w:tcPr>
            <w:tcW w:w="2806" w:type="dxa"/>
          </w:tcPr>
          <w:p w:rsidR="00475EAC" w:rsidRPr="00475EAC" w:rsidRDefault="00475EAC" w:rsidP="00255AA3">
            <w:pPr>
              <w:pStyle w:val="E3Tabletext"/>
            </w:pPr>
            <w:r w:rsidRPr="00475EAC">
              <w:t>5000</w:t>
            </w:r>
          </w:p>
        </w:tc>
        <w:tc>
          <w:tcPr>
            <w:tcW w:w="2806" w:type="dxa"/>
          </w:tcPr>
          <w:p w:rsidR="00475EAC" w:rsidRPr="00475EAC" w:rsidRDefault="00475EAC" w:rsidP="00255AA3">
            <w:pPr>
              <w:pStyle w:val="E3Tabletext"/>
            </w:pPr>
            <w:r w:rsidRPr="00475EAC">
              <w:t>4745 ≤ CCT &lt; 5311</w:t>
            </w:r>
          </w:p>
        </w:tc>
        <w:tc>
          <w:tcPr>
            <w:tcW w:w="2484" w:type="dxa"/>
            <w:vMerge/>
          </w:tcPr>
          <w:p w:rsidR="00475EAC" w:rsidRDefault="00475EAC" w:rsidP="00DF3C70"/>
        </w:tc>
      </w:tr>
      <w:tr w:rsidR="00475EAC" w:rsidTr="007D32B9">
        <w:trPr>
          <w:cantSplit/>
          <w:trHeight w:val="82"/>
          <w:jc w:val="center"/>
        </w:trPr>
        <w:tc>
          <w:tcPr>
            <w:tcW w:w="1480" w:type="dxa"/>
            <w:vMerge/>
          </w:tcPr>
          <w:p w:rsidR="00475EAC" w:rsidRDefault="00475EAC" w:rsidP="00255AA3">
            <w:pPr>
              <w:pStyle w:val="E3Tabletext"/>
            </w:pPr>
          </w:p>
        </w:tc>
        <w:tc>
          <w:tcPr>
            <w:tcW w:w="2806" w:type="dxa"/>
          </w:tcPr>
          <w:p w:rsidR="00475EAC" w:rsidRPr="00475EAC" w:rsidRDefault="00475EAC" w:rsidP="00255AA3">
            <w:pPr>
              <w:pStyle w:val="E3Tabletext"/>
            </w:pPr>
            <w:r w:rsidRPr="00475EAC">
              <w:t>6500</w:t>
            </w:r>
          </w:p>
        </w:tc>
        <w:tc>
          <w:tcPr>
            <w:tcW w:w="2806" w:type="dxa"/>
          </w:tcPr>
          <w:p w:rsidR="00475EAC" w:rsidRPr="00475EAC" w:rsidRDefault="00475EAC" w:rsidP="00255AA3">
            <w:pPr>
              <w:pStyle w:val="E3Tabletext"/>
            </w:pPr>
            <w:r w:rsidRPr="00475EAC">
              <w:t>6200 ≤ CCT &lt; 7040</w:t>
            </w:r>
          </w:p>
        </w:tc>
        <w:tc>
          <w:tcPr>
            <w:tcW w:w="2484" w:type="dxa"/>
            <w:vMerge/>
          </w:tcPr>
          <w:p w:rsidR="00475EAC" w:rsidRDefault="00475EAC" w:rsidP="00DF3C70"/>
        </w:tc>
      </w:tr>
      <w:tr w:rsidR="00475EAC" w:rsidTr="007D32B9">
        <w:trPr>
          <w:cantSplit/>
          <w:trHeight w:val="66"/>
          <w:jc w:val="center"/>
        </w:trPr>
        <w:tc>
          <w:tcPr>
            <w:tcW w:w="1480" w:type="dxa"/>
            <w:vMerge w:val="restart"/>
          </w:tcPr>
          <w:p w:rsidR="00475EAC" w:rsidRDefault="00475EAC" w:rsidP="00255AA3">
            <w:pPr>
              <w:pStyle w:val="E3Tabletext"/>
            </w:pPr>
            <w:r>
              <w:t>Maintained luminous flux</w:t>
            </w:r>
          </w:p>
        </w:tc>
        <w:tc>
          <w:tcPr>
            <w:tcW w:w="2806" w:type="dxa"/>
          </w:tcPr>
          <w:p w:rsidR="00475EAC" w:rsidRDefault="00475EAC" w:rsidP="00255AA3">
            <w:pPr>
              <w:pStyle w:val="E3Tabletext"/>
            </w:pPr>
            <w:r w:rsidRPr="004C4C4B">
              <w:t>Rated Lifetime</w:t>
            </w:r>
            <w:r>
              <w:t>, T</w:t>
            </w:r>
            <w:r w:rsidRPr="004C4C4B">
              <w:rPr>
                <w:vertAlign w:val="subscript"/>
              </w:rPr>
              <w:t>life</w:t>
            </w:r>
            <w:r>
              <w:br/>
            </w:r>
            <w:r w:rsidRPr="004C4C4B">
              <w:t>(h)</w:t>
            </w:r>
          </w:p>
        </w:tc>
        <w:tc>
          <w:tcPr>
            <w:tcW w:w="2806" w:type="dxa"/>
          </w:tcPr>
          <w:p w:rsidR="00475EAC" w:rsidRDefault="00475EAC" w:rsidP="00255AA3">
            <w:pPr>
              <w:pStyle w:val="E3Tabletext"/>
            </w:pPr>
            <w:r w:rsidRPr="004C4C4B">
              <w:t xml:space="preserve">Maintained </w:t>
            </w:r>
            <w:r>
              <w:t xml:space="preserve">minimum </w:t>
            </w:r>
            <w:r w:rsidRPr="004C4C4B">
              <w:t>luminous flux after 25% of life (maximum of 6,000 h</w:t>
            </w:r>
            <w:r w:rsidR="00F966C3" w:rsidRPr="004C4C4B">
              <w:t>) (</w:t>
            </w:r>
            <w:r w:rsidRPr="004C4C4B">
              <w:t>%)</w:t>
            </w:r>
          </w:p>
        </w:tc>
        <w:tc>
          <w:tcPr>
            <w:tcW w:w="2484" w:type="dxa"/>
            <w:vMerge/>
          </w:tcPr>
          <w:p w:rsidR="00475EAC" w:rsidRDefault="00475EAC" w:rsidP="00235234"/>
        </w:tc>
      </w:tr>
      <w:tr w:rsidR="00475EAC" w:rsidTr="007D32B9">
        <w:trPr>
          <w:cantSplit/>
          <w:trHeight w:val="66"/>
          <w:jc w:val="center"/>
        </w:trPr>
        <w:tc>
          <w:tcPr>
            <w:tcW w:w="1480" w:type="dxa"/>
            <w:vMerge/>
          </w:tcPr>
          <w:p w:rsidR="00475EAC" w:rsidRDefault="00475EAC" w:rsidP="00255AA3">
            <w:pPr>
              <w:pStyle w:val="E3Tabletext"/>
            </w:pPr>
          </w:p>
        </w:tc>
        <w:tc>
          <w:tcPr>
            <w:tcW w:w="2806" w:type="dxa"/>
          </w:tcPr>
          <w:p w:rsidR="00475EAC" w:rsidRDefault="00475EAC" w:rsidP="00255AA3">
            <w:pPr>
              <w:pStyle w:val="E3Tabletext"/>
            </w:pPr>
            <w:r>
              <w:t>T</w:t>
            </w:r>
            <w:r w:rsidRPr="004C4C4B">
              <w:rPr>
                <w:vertAlign w:val="subscript"/>
              </w:rPr>
              <w:t>life</w:t>
            </w:r>
            <w:r>
              <w:t>&lt; 15,000</w:t>
            </w:r>
          </w:p>
        </w:tc>
        <w:tc>
          <w:tcPr>
            <w:tcW w:w="2806" w:type="dxa"/>
          </w:tcPr>
          <w:p w:rsidR="00475EAC" w:rsidRDefault="00475EAC" w:rsidP="00255AA3">
            <w:pPr>
              <w:pStyle w:val="E3Tabletext"/>
            </w:pPr>
            <w:r>
              <w:t>83.2</w:t>
            </w:r>
          </w:p>
        </w:tc>
        <w:tc>
          <w:tcPr>
            <w:tcW w:w="2484" w:type="dxa"/>
            <w:vMerge/>
          </w:tcPr>
          <w:p w:rsidR="00475EAC" w:rsidRDefault="00475EAC" w:rsidP="00235234"/>
        </w:tc>
      </w:tr>
      <w:tr w:rsidR="00475EAC" w:rsidTr="007D32B9">
        <w:trPr>
          <w:cantSplit/>
          <w:trHeight w:val="66"/>
          <w:jc w:val="center"/>
        </w:trPr>
        <w:tc>
          <w:tcPr>
            <w:tcW w:w="1480" w:type="dxa"/>
            <w:vMerge/>
          </w:tcPr>
          <w:p w:rsidR="00475EAC" w:rsidRDefault="00475EAC" w:rsidP="00255AA3">
            <w:pPr>
              <w:pStyle w:val="E3Tabletext"/>
            </w:pPr>
          </w:p>
        </w:tc>
        <w:tc>
          <w:tcPr>
            <w:tcW w:w="2806" w:type="dxa"/>
          </w:tcPr>
          <w:p w:rsidR="00475EAC" w:rsidRDefault="00475EAC" w:rsidP="00255AA3">
            <w:pPr>
              <w:pStyle w:val="E3Tabletext"/>
            </w:pPr>
            <w:r>
              <w:t>15,000 ≤ T</w:t>
            </w:r>
            <w:r w:rsidRPr="004C4C4B">
              <w:rPr>
                <w:vertAlign w:val="subscript"/>
              </w:rPr>
              <w:t>life</w:t>
            </w:r>
            <w:r>
              <w:t>&lt; 20,000</w:t>
            </w:r>
          </w:p>
        </w:tc>
        <w:tc>
          <w:tcPr>
            <w:tcW w:w="2806" w:type="dxa"/>
          </w:tcPr>
          <w:p w:rsidR="00475EAC" w:rsidRDefault="00475EAC" w:rsidP="00255AA3">
            <w:pPr>
              <w:pStyle w:val="E3Tabletext"/>
            </w:pPr>
            <w:r>
              <w:t>86.7</w:t>
            </w:r>
          </w:p>
        </w:tc>
        <w:tc>
          <w:tcPr>
            <w:tcW w:w="2484" w:type="dxa"/>
            <w:vMerge/>
          </w:tcPr>
          <w:p w:rsidR="00475EAC" w:rsidRDefault="00475EAC" w:rsidP="00235234"/>
        </w:tc>
      </w:tr>
      <w:tr w:rsidR="00475EAC" w:rsidTr="007D32B9">
        <w:trPr>
          <w:cantSplit/>
          <w:trHeight w:val="66"/>
          <w:jc w:val="center"/>
        </w:trPr>
        <w:tc>
          <w:tcPr>
            <w:tcW w:w="1480" w:type="dxa"/>
            <w:vMerge/>
          </w:tcPr>
          <w:p w:rsidR="00475EAC" w:rsidRDefault="00475EAC" w:rsidP="00255AA3">
            <w:pPr>
              <w:pStyle w:val="E3Tabletext"/>
            </w:pPr>
          </w:p>
        </w:tc>
        <w:tc>
          <w:tcPr>
            <w:tcW w:w="2806" w:type="dxa"/>
          </w:tcPr>
          <w:p w:rsidR="00475EAC" w:rsidRDefault="00475EAC" w:rsidP="00255AA3">
            <w:pPr>
              <w:pStyle w:val="E3Tabletext"/>
            </w:pPr>
            <w:r>
              <w:t>20,000 ≤ T</w:t>
            </w:r>
            <w:r w:rsidRPr="004C4C4B">
              <w:rPr>
                <w:vertAlign w:val="subscript"/>
              </w:rPr>
              <w:t>life</w:t>
            </w:r>
            <w:r>
              <w:t>&lt; 25,000</w:t>
            </w:r>
          </w:p>
        </w:tc>
        <w:tc>
          <w:tcPr>
            <w:tcW w:w="2806" w:type="dxa"/>
          </w:tcPr>
          <w:p w:rsidR="00475EAC" w:rsidRDefault="00475EAC" w:rsidP="00255AA3">
            <w:pPr>
              <w:pStyle w:val="E3Tabletext"/>
            </w:pPr>
            <w:r>
              <w:t>89.9</w:t>
            </w:r>
          </w:p>
        </w:tc>
        <w:tc>
          <w:tcPr>
            <w:tcW w:w="2484" w:type="dxa"/>
            <w:vMerge/>
          </w:tcPr>
          <w:p w:rsidR="00475EAC" w:rsidRDefault="00475EAC" w:rsidP="00235234"/>
        </w:tc>
      </w:tr>
      <w:tr w:rsidR="00475EAC" w:rsidTr="007D32B9">
        <w:trPr>
          <w:cantSplit/>
          <w:trHeight w:val="66"/>
          <w:jc w:val="center"/>
        </w:trPr>
        <w:tc>
          <w:tcPr>
            <w:tcW w:w="1480" w:type="dxa"/>
            <w:vMerge/>
          </w:tcPr>
          <w:p w:rsidR="00475EAC" w:rsidRDefault="00475EAC" w:rsidP="00255AA3">
            <w:pPr>
              <w:pStyle w:val="E3Tabletext"/>
            </w:pPr>
          </w:p>
        </w:tc>
        <w:tc>
          <w:tcPr>
            <w:tcW w:w="2806" w:type="dxa"/>
          </w:tcPr>
          <w:p w:rsidR="00475EAC" w:rsidRDefault="00475EAC" w:rsidP="00255AA3">
            <w:pPr>
              <w:pStyle w:val="E3Tabletext"/>
            </w:pPr>
            <w:r>
              <w:t>25,000 ≤ T</w:t>
            </w:r>
            <w:r w:rsidRPr="004C4C4B">
              <w:rPr>
                <w:vertAlign w:val="subscript"/>
              </w:rPr>
              <w:t>life</w:t>
            </w:r>
            <w:r>
              <w:t>&lt; 30,000</w:t>
            </w:r>
          </w:p>
        </w:tc>
        <w:tc>
          <w:tcPr>
            <w:tcW w:w="2806" w:type="dxa"/>
          </w:tcPr>
          <w:p w:rsidR="00475EAC" w:rsidRDefault="00475EAC" w:rsidP="00255AA3">
            <w:pPr>
              <w:pStyle w:val="E3Tabletext"/>
            </w:pPr>
            <w:r>
              <w:t>91.8</w:t>
            </w:r>
          </w:p>
        </w:tc>
        <w:tc>
          <w:tcPr>
            <w:tcW w:w="2484" w:type="dxa"/>
            <w:vMerge/>
          </w:tcPr>
          <w:p w:rsidR="00475EAC" w:rsidRDefault="00475EAC" w:rsidP="00235234"/>
        </w:tc>
      </w:tr>
      <w:tr w:rsidR="00475EAC" w:rsidTr="007D32B9">
        <w:trPr>
          <w:cantSplit/>
          <w:trHeight w:val="66"/>
          <w:jc w:val="center"/>
        </w:trPr>
        <w:tc>
          <w:tcPr>
            <w:tcW w:w="1480" w:type="dxa"/>
            <w:vMerge/>
          </w:tcPr>
          <w:p w:rsidR="00475EAC" w:rsidRDefault="00475EAC" w:rsidP="00255AA3">
            <w:pPr>
              <w:pStyle w:val="E3Tabletext"/>
            </w:pPr>
          </w:p>
        </w:tc>
        <w:tc>
          <w:tcPr>
            <w:tcW w:w="2806" w:type="dxa"/>
          </w:tcPr>
          <w:p w:rsidR="00475EAC" w:rsidRDefault="00475EAC" w:rsidP="00255AA3">
            <w:pPr>
              <w:pStyle w:val="E3Tabletext"/>
            </w:pPr>
            <w:r>
              <w:t>30,000 ≤ T</w:t>
            </w:r>
            <w:r w:rsidRPr="004C4C4B">
              <w:rPr>
                <w:vertAlign w:val="subscript"/>
              </w:rPr>
              <w:t>life</w:t>
            </w:r>
            <w:r>
              <w:t>&lt; 35,000</w:t>
            </w:r>
          </w:p>
        </w:tc>
        <w:tc>
          <w:tcPr>
            <w:tcW w:w="2806" w:type="dxa"/>
          </w:tcPr>
          <w:p w:rsidR="00475EAC" w:rsidRDefault="00475EAC" w:rsidP="00255AA3">
            <w:pPr>
              <w:pStyle w:val="E3Tabletext"/>
            </w:pPr>
            <w:r>
              <w:t>93.1</w:t>
            </w:r>
          </w:p>
        </w:tc>
        <w:tc>
          <w:tcPr>
            <w:tcW w:w="2484" w:type="dxa"/>
            <w:vMerge/>
          </w:tcPr>
          <w:p w:rsidR="00475EAC" w:rsidRDefault="00475EAC" w:rsidP="00235234"/>
        </w:tc>
      </w:tr>
      <w:tr w:rsidR="00475EAC" w:rsidTr="007D32B9">
        <w:trPr>
          <w:cantSplit/>
          <w:trHeight w:val="66"/>
          <w:jc w:val="center"/>
        </w:trPr>
        <w:tc>
          <w:tcPr>
            <w:tcW w:w="1480" w:type="dxa"/>
            <w:vMerge/>
          </w:tcPr>
          <w:p w:rsidR="00475EAC" w:rsidRDefault="00475EAC" w:rsidP="00255AA3">
            <w:pPr>
              <w:pStyle w:val="E3Tabletext"/>
            </w:pPr>
          </w:p>
        </w:tc>
        <w:tc>
          <w:tcPr>
            <w:tcW w:w="2806" w:type="dxa"/>
          </w:tcPr>
          <w:p w:rsidR="00475EAC" w:rsidRDefault="00475EAC" w:rsidP="00255AA3">
            <w:pPr>
              <w:pStyle w:val="E3Tabletext"/>
            </w:pPr>
            <w:r>
              <w:t>35,000 ≤ T</w:t>
            </w:r>
            <w:r w:rsidRPr="004C4C4B">
              <w:rPr>
                <w:vertAlign w:val="subscript"/>
              </w:rPr>
              <w:t>life</w:t>
            </w:r>
            <w:r>
              <w:t>&lt; 40,000</w:t>
            </w:r>
          </w:p>
        </w:tc>
        <w:tc>
          <w:tcPr>
            <w:tcW w:w="2806" w:type="dxa"/>
          </w:tcPr>
          <w:p w:rsidR="00475EAC" w:rsidRDefault="00475EAC" w:rsidP="00255AA3">
            <w:pPr>
              <w:pStyle w:val="E3Tabletext"/>
            </w:pPr>
            <w:r>
              <w:t>94.1</w:t>
            </w:r>
          </w:p>
        </w:tc>
        <w:tc>
          <w:tcPr>
            <w:tcW w:w="2484" w:type="dxa"/>
            <w:vMerge/>
          </w:tcPr>
          <w:p w:rsidR="00475EAC" w:rsidRDefault="00475EAC" w:rsidP="00235234"/>
        </w:tc>
      </w:tr>
      <w:tr w:rsidR="00475EAC" w:rsidTr="007D32B9">
        <w:trPr>
          <w:cantSplit/>
          <w:trHeight w:val="66"/>
          <w:jc w:val="center"/>
        </w:trPr>
        <w:tc>
          <w:tcPr>
            <w:tcW w:w="1480" w:type="dxa"/>
            <w:vMerge/>
          </w:tcPr>
          <w:p w:rsidR="00475EAC" w:rsidRDefault="00475EAC" w:rsidP="00255AA3">
            <w:pPr>
              <w:pStyle w:val="E3Tabletext"/>
            </w:pPr>
          </w:p>
        </w:tc>
        <w:tc>
          <w:tcPr>
            <w:tcW w:w="2806" w:type="dxa"/>
          </w:tcPr>
          <w:p w:rsidR="00475EAC" w:rsidRDefault="00475EAC" w:rsidP="00255AA3">
            <w:pPr>
              <w:pStyle w:val="E3Tabletext"/>
            </w:pPr>
            <w:r>
              <w:t>40,000 ≤ T</w:t>
            </w:r>
            <w:r w:rsidRPr="004C4C4B">
              <w:rPr>
                <w:vertAlign w:val="subscript"/>
              </w:rPr>
              <w:t>life</w:t>
            </w:r>
            <w:r>
              <w:t>&lt; 45,000</w:t>
            </w:r>
          </w:p>
        </w:tc>
        <w:tc>
          <w:tcPr>
            <w:tcW w:w="2806" w:type="dxa"/>
          </w:tcPr>
          <w:p w:rsidR="00475EAC" w:rsidRDefault="00475EAC" w:rsidP="00255AA3">
            <w:pPr>
              <w:pStyle w:val="E3Tabletext"/>
            </w:pPr>
            <w:r>
              <w:t>94.8</w:t>
            </w:r>
          </w:p>
        </w:tc>
        <w:tc>
          <w:tcPr>
            <w:tcW w:w="2484" w:type="dxa"/>
            <w:vMerge/>
          </w:tcPr>
          <w:p w:rsidR="00475EAC" w:rsidRDefault="00475EAC" w:rsidP="00235234"/>
        </w:tc>
      </w:tr>
      <w:tr w:rsidR="00475EAC" w:rsidTr="007D32B9">
        <w:trPr>
          <w:cantSplit/>
          <w:trHeight w:val="66"/>
          <w:jc w:val="center"/>
        </w:trPr>
        <w:tc>
          <w:tcPr>
            <w:tcW w:w="1480" w:type="dxa"/>
            <w:vMerge/>
          </w:tcPr>
          <w:p w:rsidR="00475EAC" w:rsidRDefault="00475EAC" w:rsidP="00255AA3">
            <w:pPr>
              <w:pStyle w:val="E3Tabletext"/>
            </w:pPr>
          </w:p>
        </w:tc>
        <w:tc>
          <w:tcPr>
            <w:tcW w:w="2806" w:type="dxa"/>
          </w:tcPr>
          <w:p w:rsidR="00475EAC" w:rsidRDefault="00475EAC" w:rsidP="00255AA3">
            <w:pPr>
              <w:pStyle w:val="E3Tabletext"/>
            </w:pPr>
            <w:r>
              <w:t>45,000 ≤ T</w:t>
            </w:r>
            <w:r w:rsidRPr="004C4C4B">
              <w:rPr>
                <w:vertAlign w:val="subscript"/>
              </w:rPr>
              <w:t>life</w:t>
            </w:r>
            <w:r>
              <w:t>&lt; 50,000</w:t>
            </w:r>
          </w:p>
        </w:tc>
        <w:tc>
          <w:tcPr>
            <w:tcW w:w="2806" w:type="dxa"/>
          </w:tcPr>
          <w:p w:rsidR="00475EAC" w:rsidRDefault="00475EAC" w:rsidP="00255AA3">
            <w:pPr>
              <w:pStyle w:val="E3Tabletext"/>
            </w:pPr>
            <w:r>
              <w:t>95.4</w:t>
            </w:r>
          </w:p>
        </w:tc>
        <w:tc>
          <w:tcPr>
            <w:tcW w:w="2484" w:type="dxa"/>
            <w:vMerge/>
          </w:tcPr>
          <w:p w:rsidR="00475EAC" w:rsidRDefault="00475EAC" w:rsidP="00235234"/>
        </w:tc>
      </w:tr>
      <w:tr w:rsidR="00475EAC" w:rsidTr="007D32B9">
        <w:trPr>
          <w:cantSplit/>
          <w:trHeight w:val="66"/>
          <w:jc w:val="center"/>
        </w:trPr>
        <w:tc>
          <w:tcPr>
            <w:tcW w:w="1480" w:type="dxa"/>
            <w:vMerge/>
          </w:tcPr>
          <w:p w:rsidR="00475EAC" w:rsidRDefault="00475EAC" w:rsidP="00255AA3">
            <w:pPr>
              <w:pStyle w:val="E3Tabletext"/>
            </w:pPr>
          </w:p>
        </w:tc>
        <w:tc>
          <w:tcPr>
            <w:tcW w:w="2806" w:type="dxa"/>
          </w:tcPr>
          <w:p w:rsidR="00475EAC" w:rsidRDefault="00475EAC" w:rsidP="00255AA3">
            <w:pPr>
              <w:pStyle w:val="E3Tabletext"/>
            </w:pPr>
            <w:r>
              <w:t>50,000 ≤ T</w:t>
            </w:r>
            <w:r w:rsidRPr="004C4C4B">
              <w:rPr>
                <w:vertAlign w:val="subscript"/>
              </w:rPr>
              <w:t>life</w:t>
            </w:r>
          </w:p>
        </w:tc>
        <w:tc>
          <w:tcPr>
            <w:tcW w:w="2806" w:type="dxa"/>
          </w:tcPr>
          <w:p w:rsidR="00475EAC" w:rsidRDefault="00475EAC" w:rsidP="00255AA3">
            <w:pPr>
              <w:pStyle w:val="E3Tabletext"/>
            </w:pPr>
            <w:r>
              <w:t>95.8</w:t>
            </w:r>
          </w:p>
        </w:tc>
        <w:tc>
          <w:tcPr>
            <w:tcW w:w="2484" w:type="dxa"/>
            <w:vMerge/>
          </w:tcPr>
          <w:p w:rsidR="00475EAC" w:rsidRDefault="00475EAC" w:rsidP="00235234"/>
        </w:tc>
      </w:tr>
      <w:tr w:rsidR="00475EAC" w:rsidTr="007D32B9">
        <w:trPr>
          <w:cantSplit/>
          <w:jc w:val="center"/>
        </w:trPr>
        <w:tc>
          <w:tcPr>
            <w:tcW w:w="1480" w:type="dxa"/>
          </w:tcPr>
          <w:p w:rsidR="00475EAC" w:rsidRPr="003C1618" w:rsidRDefault="00475EAC" w:rsidP="00255AA3">
            <w:pPr>
              <w:pStyle w:val="E3Tabletext"/>
              <w:rPr>
                <w:color w:val="FF0000"/>
              </w:rPr>
            </w:pPr>
            <w:r w:rsidRPr="00F85227">
              <w:t>Colour Rendering</w:t>
            </w:r>
          </w:p>
        </w:tc>
        <w:tc>
          <w:tcPr>
            <w:tcW w:w="5612" w:type="dxa"/>
            <w:gridSpan w:val="2"/>
          </w:tcPr>
          <w:p w:rsidR="00475EAC" w:rsidRDefault="00475EAC" w:rsidP="00255AA3">
            <w:pPr>
              <w:pStyle w:val="E3Tabletext"/>
            </w:pPr>
            <w:r>
              <w:t>Ra ≥ 77</w:t>
            </w:r>
          </w:p>
        </w:tc>
        <w:tc>
          <w:tcPr>
            <w:tcW w:w="2484" w:type="dxa"/>
            <w:vMerge/>
          </w:tcPr>
          <w:p w:rsidR="00475EAC" w:rsidRDefault="00475EAC" w:rsidP="00235234"/>
        </w:tc>
      </w:tr>
      <w:tr w:rsidR="00475EAC" w:rsidTr="007D32B9">
        <w:trPr>
          <w:cantSplit/>
          <w:trHeight w:val="135"/>
          <w:jc w:val="center"/>
        </w:trPr>
        <w:tc>
          <w:tcPr>
            <w:tcW w:w="1480" w:type="dxa"/>
            <w:vMerge w:val="restart"/>
          </w:tcPr>
          <w:p w:rsidR="00475EAC" w:rsidRPr="003C1618" w:rsidRDefault="00475EAC" w:rsidP="00255AA3">
            <w:pPr>
              <w:pStyle w:val="E3Tabletext"/>
              <w:rPr>
                <w:color w:val="FF0000"/>
              </w:rPr>
            </w:pPr>
            <w:r w:rsidRPr="00F85227">
              <w:t>Power Factor</w:t>
            </w:r>
          </w:p>
        </w:tc>
        <w:tc>
          <w:tcPr>
            <w:tcW w:w="2806" w:type="dxa"/>
          </w:tcPr>
          <w:p w:rsidR="00475EAC" w:rsidRDefault="00475EAC" w:rsidP="00255AA3">
            <w:pPr>
              <w:pStyle w:val="E3Tabletext"/>
            </w:pPr>
            <w:r>
              <w:t>Rated Lamp Wattage (Lw)</w:t>
            </w:r>
          </w:p>
        </w:tc>
        <w:tc>
          <w:tcPr>
            <w:tcW w:w="2806" w:type="dxa"/>
          </w:tcPr>
          <w:p w:rsidR="00475EAC" w:rsidRDefault="00475EAC" w:rsidP="00255AA3">
            <w:pPr>
              <w:pStyle w:val="E3Tabletext"/>
            </w:pPr>
            <w:r>
              <w:t>Minimum Power Factor</w:t>
            </w:r>
          </w:p>
        </w:tc>
        <w:tc>
          <w:tcPr>
            <w:tcW w:w="2484" w:type="dxa"/>
            <w:vMerge/>
          </w:tcPr>
          <w:p w:rsidR="00475EAC" w:rsidRDefault="00475EAC" w:rsidP="00235234"/>
        </w:tc>
      </w:tr>
      <w:tr w:rsidR="00475EAC" w:rsidTr="007D32B9">
        <w:trPr>
          <w:cantSplit/>
          <w:trHeight w:val="135"/>
          <w:jc w:val="center"/>
        </w:trPr>
        <w:tc>
          <w:tcPr>
            <w:tcW w:w="1480" w:type="dxa"/>
            <w:vMerge/>
          </w:tcPr>
          <w:p w:rsidR="00475EAC" w:rsidRPr="00F85227" w:rsidRDefault="00475EAC" w:rsidP="00255AA3">
            <w:pPr>
              <w:pStyle w:val="E3Tabletext"/>
            </w:pPr>
          </w:p>
        </w:tc>
        <w:tc>
          <w:tcPr>
            <w:tcW w:w="2806" w:type="dxa"/>
          </w:tcPr>
          <w:p w:rsidR="00475EAC" w:rsidRDefault="00475EAC" w:rsidP="00255AA3">
            <w:pPr>
              <w:pStyle w:val="E3Tabletext"/>
            </w:pPr>
            <w:r>
              <w:t>Lw ≤ 5W</w:t>
            </w:r>
          </w:p>
        </w:tc>
        <w:tc>
          <w:tcPr>
            <w:tcW w:w="2806" w:type="dxa"/>
          </w:tcPr>
          <w:p w:rsidR="00475EAC" w:rsidRDefault="00475EAC" w:rsidP="00255AA3">
            <w:pPr>
              <w:pStyle w:val="E3Tabletext"/>
            </w:pPr>
            <w:r>
              <w:t>N/A</w:t>
            </w:r>
          </w:p>
        </w:tc>
        <w:tc>
          <w:tcPr>
            <w:tcW w:w="2484" w:type="dxa"/>
            <w:vMerge/>
          </w:tcPr>
          <w:p w:rsidR="00475EAC" w:rsidRDefault="00475EAC" w:rsidP="00235234"/>
        </w:tc>
      </w:tr>
      <w:tr w:rsidR="00475EAC" w:rsidTr="007D32B9">
        <w:trPr>
          <w:cantSplit/>
          <w:trHeight w:val="135"/>
          <w:jc w:val="center"/>
        </w:trPr>
        <w:tc>
          <w:tcPr>
            <w:tcW w:w="1480" w:type="dxa"/>
            <w:vMerge/>
          </w:tcPr>
          <w:p w:rsidR="00475EAC" w:rsidRPr="00F85227" w:rsidRDefault="00475EAC" w:rsidP="00255AA3">
            <w:pPr>
              <w:pStyle w:val="E3Tabletext"/>
            </w:pPr>
          </w:p>
        </w:tc>
        <w:tc>
          <w:tcPr>
            <w:tcW w:w="2806" w:type="dxa"/>
          </w:tcPr>
          <w:p w:rsidR="00475EAC" w:rsidRDefault="00475EAC" w:rsidP="00255AA3">
            <w:pPr>
              <w:pStyle w:val="E3Tabletext"/>
            </w:pPr>
            <w:r>
              <w:t>5W &lt;Lw</w:t>
            </w:r>
          </w:p>
        </w:tc>
        <w:tc>
          <w:tcPr>
            <w:tcW w:w="2806" w:type="dxa"/>
          </w:tcPr>
          <w:p w:rsidR="00475EAC" w:rsidRDefault="00475EAC" w:rsidP="00255AA3">
            <w:pPr>
              <w:pStyle w:val="E3Tabletext"/>
            </w:pPr>
            <w:r>
              <w:t>0.7</w:t>
            </w:r>
          </w:p>
        </w:tc>
        <w:tc>
          <w:tcPr>
            <w:tcW w:w="2484" w:type="dxa"/>
            <w:vMerge/>
          </w:tcPr>
          <w:p w:rsidR="00475EAC" w:rsidRDefault="00475EAC" w:rsidP="00235234"/>
        </w:tc>
      </w:tr>
      <w:tr w:rsidR="00475EAC" w:rsidTr="007D32B9">
        <w:trPr>
          <w:cantSplit/>
          <w:jc w:val="center"/>
        </w:trPr>
        <w:tc>
          <w:tcPr>
            <w:tcW w:w="1480" w:type="dxa"/>
          </w:tcPr>
          <w:p w:rsidR="00475EAC" w:rsidRPr="00F85227" w:rsidRDefault="00475EAC" w:rsidP="00255AA3">
            <w:pPr>
              <w:pStyle w:val="E3Tabletext"/>
            </w:pPr>
            <w:r>
              <w:t>Transient overvoltage</w:t>
            </w:r>
          </w:p>
        </w:tc>
        <w:tc>
          <w:tcPr>
            <w:tcW w:w="5612" w:type="dxa"/>
            <w:gridSpan w:val="2"/>
          </w:tcPr>
          <w:p w:rsidR="00475EAC" w:rsidRDefault="00475EAC" w:rsidP="00255AA3">
            <w:pPr>
              <w:pStyle w:val="E3Tabletext"/>
            </w:pPr>
            <w:r>
              <w:t xml:space="preserve">All integrated LED lamps must not fail for 15 minutes after withstanding the application of a transient 7 form wave ring (ring wave) of 100 kHz at a level of 2.5 kV. (details in the </w:t>
            </w:r>
            <w:r w:rsidRPr="00B37D80">
              <w:t>Mexican Official Standard NOM-030-ENER-2011</w:t>
            </w:r>
            <w:r>
              <w:t>)</w:t>
            </w:r>
          </w:p>
        </w:tc>
        <w:tc>
          <w:tcPr>
            <w:tcW w:w="2484" w:type="dxa"/>
            <w:vMerge/>
          </w:tcPr>
          <w:p w:rsidR="00475EAC" w:rsidRDefault="00475EAC" w:rsidP="00235234"/>
        </w:tc>
      </w:tr>
      <w:tr w:rsidR="00475EAC" w:rsidTr="007D32B9">
        <w:trPr>
          <w:cantSplit/>
          <w:jc w:val="center"/>
        </w:trPr>
        <w:tc>
          <w:tcPr>
            <w:tcW w:w="1480" w:type="dxa"/>
          </w:tcPr>
          <w:p w:rsidR="00475EAC" w:rsidRDefault="00475EAC" w:rsidP="00255AA3">
            <w:pPr>
              <w:pStyle w:val="E3Tabletext"/>
            </w:pPr>
            <w:r>
              <w:t>Thermal shock</w:t>
            </w:r>
          </w:p>
        </w:tc>
        <w:tc>
          <w:tcPr>
            <w:tcW w:w="5612" w:type="dxa"/>
            <w:gridSpan w:val="2"/>
          </w:tcPr>
          <w:p w:rsidR="00475EAC" w:rsidRDefault="00475EAC" w:rsidP="00255AA3">
            <w:pPr>
              <w:pStyle w:val="E3Tabletext"/>
            </w:pPr>
            <w:r>
              <w:t>All integrated LED lamps must not fail for 15 minutes after 5 cycles of thermal shock from -10</w:t>
            </w:r>
            <w:r>
              <w:sym w:font="Symbol" w:char="F0B0"/>
            </w:r>
            <w:r>
              <w:t>C to +50</w:t>
            </w:r>
            <w:r>
              <w:sym w:font="Symbol" w:char="F0B0"/>
            </w:r>
            <w:r>
              <w:t>C</w:t>
            </w:r>
          </w:p>
        </w:tc>
        <w:tc>
          <w:tcPr>
            <w:tcW w:w="2484" w:type="dxa"/>
            <w:vMerge/>
          </w:tcPr>
          <w:p w:rsidR="00475EAC" w:rsidRDefault="00475EAC" w:rsidP="00235234"/>
        </w:tc>
      </w:tr>
      <w:tr w:rsidR="00475EAC" w:rsidTr="007D32B9">
        <w:trPr>
          <w:cantSplit/>
          <w:jc w:val="center"/>
        </w:trPr>
        <w:tc>
          <w:tcPr>
            <w:tcW w:w="1480" w:type="dxa"/>
          </w:tcPr>
          <w:p w:rsidR="00475EAC" w:rsidRDefault="00475EAC" w:rsidP="00255AA3">
            <w:pPr>
              <w:pStyle w:val="E3Tabletext"/>
            </w:pPr>
            <w:r>
              <w:t>Switch withstand</w:t>
            </w:r>
          </w:p>
        </w:tc>
        <w:tc>
          <w:tcPr>
            <w:tcW w:w="5612" w:type="dxa"/>
            <w:gridSpan w:val="2"/>
          </w:tcPr>
          <w:p w:rsidR="00475EAC" w:rsidRPr="00475EAC" w:rsidRDefault="00475EAC" w:rsidP="00255AA3">
            <w:pPr>
              <w:pStyle w:val="E3Tabletext"/>
            </w:pPr>
            <w:r w:rsidRPr="00475EAC">
              <w:t>Switching cycles before failure &gt; half rated lamp life in hours</w:t>
            </w:r>
          </w:p>
        </w:tc>
        <w:tc>
          <w:tcPr>
            <w:tcW w:w="2484" w:type="dxa"/>
            <w:vMerge/>
          </w:tcPr>
          <w:p w:rsidR="00475EAC" w:rsidRDefault="00475EAC" w:rsidP="00235234"/>
        </w:tc>
      </w:tr>
    </w:tbl>
    <w:p w:rsidR="00334066" w:rsidRPr="008D56A0" w:rsidRDefault="00334066" w:rsidP="00E65B09">
      <w:pPr>
        <w:pStyle w:val="E3Heading4"/>
        <w:numPr>
          <w:ilvl w:val="0"/>
          <w:numId w:val="0"/>
        </w:numPr>
        <w:ind w:left="1008" w:hanging="1008"/>
      </w:pPr>
      <w:bookmarkStart w:id="323" w:name="_Toc389123374"/>
      <w:r>
        <w:t xml:space="preserve">Energy Efficiency Guarantee Label - </w:t>
      </w:r>
      <w:r w:rsidRPr="008D56A0">
        <w:t xml:space="preserve">Sello FIDE </w:t>
      </w:r>
      <w:r>
        <w:t xml:space="preserve">- </w:t>
      </w:r>
      <w:r w:rsidRPr="008D56A0">
        <w:t xml:space="preserve">No 4171 </w:t>
      </w:r>
      <w:r>
        <w:t xml:space="preserve">- </w:t>
      </w:r>
      <w:r w:rsidRPr="008D56A0">
        <w:t xml:space="preserve">Self Ballasted lamps </w:t>
      </w:r>
      <w:r w:rsidR="00D01D3A">
        <w:t>for Interior Us</w:t>
      </w:r>
      <w:r>
        <w:t>e</w:t>
      </w:r>
      <w:bookmarkEnd w:id="323"/>
    </w:p>
    <w:p w:rsidR="00334066" w:rsidRDefault="00334066" w:rsidP="00E65B09">
      <w:pPr>
        <w:pStyle w:val="E3Heading4"/>
        <w:numPr>
          <w:ilvl w:val="0"/>
          <w:numId w:val="0"/>
        </w:numPr>
        <w:ind w:left="1008" w:hanging="1008"/>
        <w:rPr>
          <w:lang w:eastAsia="en-AU"/>
        </w:rPr>
      </w:pPr>
      <w:r w:rsidRPr="00310986">
        <w:rPr>
          <w:lang w:eastAsia="en-AU"/>
        </w:rPr>
        <w:t>Scope</w:t>
      </w:r>
    </w:p>
    <w:p w:rsidR="00334066" w:rsidRDefault="00334066" w:rsidP="00993DEF">
      <w:pPr>
        <w:pStyle w:val="E3BodyText"/>
      </w:pPr>
      <w:r>
        <w:rPr>
          <w:lang w:eastAsia="en-AU"/>
        </w:rPr>
        <w:t>The scope includes</w:t>
      </w:r>
      <w:r w:rsidR="00EA2737">
        <w:rPr>
          <w:lang w:eastAsia="en-AU"/>
        </w:rPr>
        <w:t xml:space="preserve"> </w:t>
      </w:r>
      <w:r>
        <w:rPr>
          <w:lang w:eastAsia="en-AU"/>
        </w:rPr>
        <w:t>integrated LED lamps and luminaire products for indoor use.</w:t>
      </w:r>
    </w:p>
    <w:p w:rsidR="00334066" w:rsidRDefault="00334066" w:rsidP="00E65B09">
      <w:pPr>
        <w:pStyle w:val="E3Heading4"/>
        <w:numPr>
          <w:ilvl w:val="0"/>
          <w:numId w:val="0"/>
        </w:numPr>
        <w:ind w:left="1008" w:hanging="1008"/>
        <w:rPr>
          <w:lang w:eastAsia="en-AU"/>
        </w:rPr>
      </w:pPr>
      <w:r>
        <w:rPr>
          <w:lang w:eastAsia="en-AU"/>
        </w:rPr>
        <w:t>Performance metrics</w:t>
      </w:r>
    </w:p>
    <w:p w:rsidR="00334066" w:rsidRPr="008D56A0" w:rsidRDefault="00334066" w:rsidP="00993DEF">
      <w:pPr>
        <w:pStyle w:val="E3BodyText"/>
        <w:rPr>
          <w:lang w:eastAsia="en-AU"/>
        </w:rPr>
      </w:pPr>
      <w:r>
        <w:rPr>
          <w:lang w:eastAsia="en-AU"/>
        </w:rPr>
        <w:t>Performance metrics below relate to the replacement target lamps.</w:t>
      </w:r>
    </w:p>
    <w:tbl>
      <w:tblPr>
        <w:tblStyle w:val="TableGrid"/>
        <w:tblW w:w="0" w:type="auto"/>
        <w:jc w:val="center"/>
        <w:tblLook w:val="04A0" w:firstRow="1" w:lastRow="0" w:firstColumn="1" w:lastColumn="0" w:noHBand="0" w:noVBand="1"/>
      </w:tblPr>
      <w:tblGrid>
        <w:gridCol w:w="2188"/>
        <w:gridCol w:w="1389"/>
        <w:gridCol w:w="1880"/>
        <w:gridCol w:w="2182"/>
        <w:gridCol w:w="1937"/>
      </w:tblGrid>
      <w:tr w:rsidR="00334066" w:rsidTr="007D32B9">
        <w:trPr>
          <w:cantSplit/>
          <w:tblHeader/>
          <w:jc w:val="center"/>
        </w:trPr>
        <w:tc>
          <w:tcPr>
            <w:tcW w:w="2188" w:type="dxa"/>
          </w:tcPr>
          <w:p w:rsidR="00334066" w:rsidRDefault="00334066" w:rsidP="00993DEF">
            <w:pPr>
              <w:pStyle w:val="E3TableHeading"/>
            </w:pPr>
            <w:r>
              <w:t>Replacement lamp or similar application</w:t>
            </w:r>
          </w:p>
        </w:tc>
        <w:tc>
          <w:tcPr>
            <w:tcW w:w="1389" w:type="dxa"/>
          </w:tcPr>
          <w:p w:rsidR="00334066" w:rsidRDefault="00334066" w:rsidP="00993DEF">
            <w:pPr>
              <w:pStyle w:val="E3TableHeading"/>
            </w:pPr>
            <w:r>
              <w:t>Power of replacement lamp (W) or Diameter of lamp (mm)</w:t>
            </w:r>
          </w:p>
        </w:tc>
        <w:tc>
          <w:tcPr>
            <w:tcW w:w="1880" w:type="dxa"/>
          </w:tcPr>
          <w:p w:rsidR="00334066" w:rsidRDefault="00334066" w:rsidP="00993DEF">
            <w:pPr>
              <w:pStyle w:val="E3TableHeading"/>
            </w:pPr>
            <w:r>
              <w:t>Efficacy of the integrated LED lamp (lm/W)</w:t>
            </w:r>
          </w:p>
        </w:tc>
        <w:tc>
          <w:tcPr>
            <w:tcW w:w="2182" w:type="dxa"/>
          </w:tcPr>
          <w:p w:rsidR="00334066" w:rsidRDefault="00F966C3" w:rsidP="00993DEF">
            <w:pPr>
              <w:pStyle w:val="E3TableHeading"/>
            </w:pPr>
            <w:r>
              <w:t>Mammon</w:t>
            </w:r>
            <w:r w:rsidR="00334066">
              <w:t xml:space="preserve"> luminous flux of the integrated LED lamp </w:t>
            </w:r>
            <w:r w:rsidR="00334066">
              <w:br/>
              <w:t>(lm)</w:t>
            </w:r>
          </w:p>
        </w:tc>
        <w:tc>
          <w:tcPr>
            <w:tcW w:w="1937" w:type="dxa"/>
          </w:tcPr>
          <w:p w:rsidR="00334066" w:rsidRDefault="00334066" w:rsidP="00993DEF">
            <w:pPr>
              <w:pStyle w:val="E3TableHeading"/>
            </w:pPr>
            <w:r>
              <w:t>Test Method</w:t>
            </w:r>
          </w:p>
        </w:tc>
      </w:tr>
      <w:tr w:rsidR="00334066" w:rsidTr="007D32B9">
        <w:trPr>
          <w:cantSplit/>
          <w:jc w:val="center"/>
        </w:trPr>
        <w:tc>
          <w:tcPr>
            <w:tcW w:w="2188" w:type="dxa"/>
            <w:vMerge w:val="restart"/>
          </w:tcPr>
          <w:p w:rsidR="00334066" w:rsidRDefault="00334066" w:rsidP="00255AA3">
            <w:pPr>
              <w:pStyle w:val="E3Tabletext"/>
            </w:pPr>
            <w:r>
              <w:t>Special lamps</w:t>
            </w:r>
          </w:p>
        </w:tc>
        <w:tc>
          <w:tcPr>
            <w:tcW w:w="1389" w:type="dxa"/>
          </w:tcPr>
          <w:p w:rsidR="00334066" w:rsidRDefault="00334066" w:rsidP="00255AA3">
            <w:pPr>
              <w:pStyle w:val="E3Tabletext"/>
            </w:pPr>
            <w:r>
              <w:t>&lt; 10 W</w:t>
            </w:r>
          </w:p>
        </w:tc>
        <w:tc>
          <w:tcPr>
            <w:tcW w:w="1880" w:type="dxa"/>
          </w:tcPr>
          <w:p w:rsidR="00334066" w:rsidRDefault="00334066" w:rsidP="00255AA3">
            <w:pPr>
              <w:pStyle w:val="E3Tabletext"/>
            </w:pPr>
            <w:r>
              <w:t>50</w:t>
            </w:r>
          </w:p>
        </w:tc>
        <w:tc>
          <w:tcPr>
            <w:tcW w:w="2182" w:type="dxa"/>
            <w:vMerge w:val="restart"/>
          </w:tcPr>
          <w:p w:rsidR="00334066" w:rsidRDefault="00334066" w:rsidP="00255AA3">
            <w:pPr>
              <w:pStyle w:val="E3Tabletext"/>
            </w:pPr>
            <w:r>
              <w:t>200</w:t>
            </w:r>
          </w:p>
        </w:tc>
        <w:tc>
          <w:tcPr>
            <w:tcW w:w="1937" w:type="dxa"/>
            <w:vMerge w:val="restart"/>
          </w:tcPr>
          <w:p w:rsidR="00334066" w:rsidRDefault="00334066" w:rsidP="00255AA3">
            <w:pPr>
              <w:pStyle w:val="E3Tabletext"/>
            </w:pPr>
            <w:r>
              <w:t>IES LM-79-08</w:t>
            </w:r>
          </w:p>
        </w:tc>
      </w:tr>
      <w:tr w:rsidR="00334066" w:rsidTr="007D32B9">
        <w:trPr>
          <w:cantSplit/>
          <w:jc w:val="center"/>
        </w:trPr>
        <w:tc>
          <w:tcPr>
            <w:tcW w:w="2188" w:type="dxa"/>
            <w:vMerge/>
          </w:tcPr>
          <w:p w:rsidR="00334066" w:rsidRDefault="00334066" w:rsidP="00255AA3">
            <w:pPr>
              <w:pStyle w:val="E3Tabletext"/>
            </w:pPr>
          </w:p>
        </w:tc>
        <w:tc>
          <w:tcPr>
            <w:tcW w:w="1389" w:type="dxa"/>
          </w:tcPr>
          <w:p w:rsidR="00334066" w:rsidRDefault="00334066" w:rsidP="00255AA3">
            <w:pPr>
              <w:pStyle w:val="E3Tabletext"/>
            </w:pPr>
            <w:r>
              <w:t>≥ 10 W</w:t>
            </w:r>
          </w:p>
        </w:tc>
        <w:tc>
          <w:tcPr>
            <w:tcW w:w="1880" w:type="dxa"/>
          </w:tcPr>
          <w:p w:rsidR="00334066" w:rsidRDefault="00993DEF" w:rsidP="00255AA3">
            <w:pPr>
              <w:pStyle w:val="E3Tabletext"/>
            </w:pPr>
            <w:r>
              <w:t>55</w:t>
            </w:r>
          </w:p>
        </w:tc>
        <w:tc>
          <w:tcPr>
            <w:tcW w:w="2182" w:type="dxa"/>
            <w:vMerge/>
          </w:tcPr>
          <w:p w:rsidR="00334066" w:rsidRDefault="00334066" w:rsidP="00255AA3">
            <w:pPr>
              <w:pStyle w:val="E3Tabletext"/>
            </w:pPr>
          </w:p>
        </w:tc>
        <w:tc>
          <w:tcPr>
            <w:tcW w:w="1937" w:type="dxa"/>
            <w:vMerge/>
          </w:tcPr>
          <w:p w:rsidR="00334066" w:rsidRDefault="00334066" w:rsidP="00235234">
            <w:pPr>
              <w:spacing w:after="0" w:line="240" w:lineRule="auto"/>
              <w:rPr>
                <w:rFonts w:eastAsia="Times New Roman"/>
              </w:rPr>
            </w:pPr>
          </w:p>
        </w:tc>
      </w:tr>
      <w:tr w:rsidR="00334066" w:rsidTr="007D32B9">
        <w:trPr>
          <w:cantSplit/>
          <w:jc w:val="center"/>
        </w:trPr>
        <w:tc>
          <w:tcPr>
            <w:tcW w:w="2188" w:type="dxa"/>
            <w:vMerge w:val="restart"/>
          </w:tcPr>
          <w:p w:rsidR="00334066" w:rsidRDefault="00334066" w:rsidP="00255AA3">
            <w:pPr>
              <w:pStyle w:val="E3Tabletext"/>
            </w:pPr>
            <w:r w:rsidRPr="00463E35">
              <w:t xml:space="preserve">Omnidirectional lamps (A, BT, </w:t>
            </w:r>
            <w:r w:rsidRPr="00463E35">
              <w:lastRenderedPageBreak/>
              <w:t>P, PS, S, T)</w:t>
            </w:r>
          </w:p>
        </w:tc>
        <w:tc>
          <w:tcPr>
            <w:tcW w:w="1389" w:type="dxa"/>
          </w:tcPr>
          <w:p w:rsidR="00334066" w:rsidRDefault="00334066" w:rsidP="00255AA3">
            <w:pPr>
              <w:pStyle w:val="E3Tabletext"/>
            </w:pPr>
            <w:r>
              <w:lastRenderedPageBreak/>
              <w:t>&lt; 25 W</w:t>
            </w:r>
          </w:p>
        </w:tc>
        <w:tc>
          <w:tcPr>
            <w:tcW w:w="1880" w:type="dxa"/>
          </w:tcPr>
          <w:p w:rsidR="00334066" w:rsidRDefault="00334066" w:rsidP="00255AA3">
            <w:pPr>
              <w:pStyle w:val="E3Tabletext"/>
            </w:pPr>
            <w:r>
              <w:t>50</w:t>
            </w:r>
          </w:p>
        </w:tc>
        <w:tc>
          <w:tcPr>
            <w:tcW w:w="2182" w:type="dxa"/>
          </w:tcPr>
          <w:p w:rsidR="00334066" w:rsidRDefault="00334066" w:rsidP="00255AA3">
            <w:pPr>
              <w:pStyle w:val="E3Tabletext"/>
            </w:pPr>
            <w:r>
              <w:t>200</w:t>
            </w:r>
          </w:p>
        </w:tc>
        <w:tc>
          <w:tcPr>
            <w:tcW w:w="1937" w:type="dxa"/>
            <w:vMerge/>
          </w:tcPr>
          <w:p w:rsidR="00334066" w:rsidRDefault="00334066" w:rsidP="00235234">
            <w:pPr>
              <w:spacing w:after="0" w:line="240" w:lineRule="auto"/>
              <w:rPr>
                <w:rFonts w:eastAsia="Times New Roman"/>
              </w:rPr>
            </w:pPr>
          </w:p>
        </w:tc>
      </w:tr>
      <w:tr w:rsidR="00334066" w:rsidTr="007D32B9">
        <w:trPr>
          <w:cantSplit/>
          <w:jc w:val="center"/>
        </w:trPr>
        <w:tc>
          <w:tcPr>
            <w:tcW w:w="2188" w:type="dxa"/>
            <w:vMerge/>
          </w:tcPr>
          <w:p w:rsidR="00334066" w:rsidRDefault="00334066" w:rsidP="00255AA3">
            <w:pPr>
              <w:pStyle w:val="E3Tabletext"/>
            </w:pPr>
          </w:p>
        </w:tc>
        <w:tc>
          <w:tcPr>
            <w:tcW w:w="1389" w:type="dxa"/>
          </w:tcPr>
          <w:p w:rsidR="00334066" w:rsidRDefault="00334066" w:rsidP="00255AA3">
            <w:pPr>
              <w:pStyle w:val="E3Tabletext"/>
            </w:pPr>
            <w:r>
              <w:t>25 W</w:t>
            </w:r>
          </w:p>
        </w:tc>
        <w:tc>
          <w:tcPr>
            <w:tcW w:w="1880" w:type="dxa"/>
            <w:vMerge w:val="restart"/>
          </w:tcPr>
          <w:p w:rsidR="00334066" w:rsidRDefault="00334066" w:rsidP="00255AA3">
            <w:pPr>
              <w:pStyle w:val="E3Tabletext"/>
            </w:pPr>
            <w:r>
              <w:t>55</w:t>
            </w:r>
          </w:p>
        </w:tc>
        <w:tc>
          <w:tcPr>
            <w:tcW w:w="2182" w:type="dxa"/>
          </w:tcPr>
          <w:p w:rsidR="00334066" w:rsidRDefault="00334066" w:rsidP="00255AA3">
            <w:pPr>
              <w:pStyle w:val="E3Tabletext"/>
            </w:pPr>
            <w:r>
              <w:t>200</w:t>
            </w:r>
          </w:p>
        </w:tc>
        <w:tc>
          <w:tcPr>
            <w:tcW w:w="1937" w:type="dxa"/>
            <w:vMerge/>
          </w:tcPr>
          <w:p w:rsidR="00334066" w:rsidRDefault="00334066" w:rsidP="00235234">
            <w:pPr>
              <w:spacing w:after="0" w:line="240" w:lineRule="auto"/>
              <w:rPr>
                <w:rFonts w:eastAsia="Times New Roman"/>
              </w:rPr>
            </w:pPr>
          </w:p>
        </w:tc>
      </w:tr>
      <w:tr w:rsidR="00334066" w:rsidTr="007D32B9">
        <w:trPr>
          <w:cantSplit/>
          <w:jc w:val="center"/>
        </w:trPr>
        <w:tc>
          <w:tcPr>
            <w:tcW w:w="2188" w:type="dxa"/>
            <w:vMerge/>
          </w:tcPr>
          <w:p w:rsidR="00334066" w:rsidRDefault="00334066" w:rsidP="00255AA3">
            <w:pPr>
              <w:pStyle w:val="E3Tabletext"/>
            </w:pPr>
          </w:p>
        </w:tc>
        <w:tc>
          <w:tcPr>
            <w:tcW w:w="1389" w:type="dxa"/>
          </w:tcPr>
          <w:p w:rsidR="00334066" w:rsidRDefault="00334066" w:rsidP="00255AA3">
            <w:pPr>
              <w:pStyle w:val="E3Tabletext"/>
            </w:pPr>
            <w:r>
              <w:t>35 W</w:t>
            </w:r>
          </w:p>
        </w:tc>
        <w:tc>
          <w:tcPr>
            <w:tcW w:w="1880" w:type="dxa"/>
            <w:vMerge/>
          </w:tcPr>
          <w:p w:rsidR="00334066" w:rsidRDefault="00334066" w:rsidP="00255AA3">
            <w:pPr>
              <w:pStyle w:val="E3Tabletext"/>
            </w:pPr>
          </w:p>
        </w:tc>
        <w:tc>
          <w:tcPr>
            <w:tcW w:w="2182" w:type="dxa"/>
          </w:tcPr>
          <w:p w:rsidR="00334066" w:rsidRDefault="00334066" w:rsidP="00255AA3">
            <w:pPr>
              <w:pStyle w:val="E3Tabletext"/>
            </w:pPr>
            <w:r>
              <w:t>350</w:t>
            </w:r>
          </w:p>
        </w:tc>
        <w:tc>
          <w:tcPr>
            <w:tcW w:w="1937" w:type="dxa"/>
            <w:vMerge/>
          </w:tcPr>
          <w:p w:rsidR="00334066" w:rsidRDefault="00334066" w:rsidP="00235234">
            <w:pPr>
              <w:spacing w:after="0" w:line="240" w:lineRule="auto"/>
              <w:rPr>
                <w:rFonts w:eastAsia="Times New Roman"/>
              </w:rPr>
            </w:pPr>
          </w:p>
        </w:tc>
      </w:tr>
      <w:tr w:rsidR="00334066" w:rsidTr="007D32B9">
        <w:trPr>
          <w:cantSplit/>
          <w:jc w:val="center"/>
        </w:trPr>
        <w:tc>
          <w:tcPr>
            <w:tcW w:w="2188" w:type="dxa"/>
            <w:vMerge/>
          </w:tcPr>
          <w:p w:rsidR="00334066" w:rsidRDefault="00334066" w:rsidP="00255AA3">
            <w:pPr>
              <w:pStyle w:val="E3Tabletext"/>
            </w:pPr>
          </w:p>
        </w:tc>
        <w:tc>
          <w:tcPr>
            <w:tcW w:w="1389" w:type="dxa"/>
          </w:tcPr>
          <w:p w:rsidR="00334066" w:rsidRDefault="00334066" w:rsidP="00255AA3">
            <w:pPr>
              <w:pStyle w:val="E3Tabletext"/>
            </w:pPr>
            <w:r>
              <w:t>40 W</w:t>
            </w:r>
          </w:p>
        </w:tc>
        <w:tc>
          <w:tcPr>
            <w:tcW w:w="1880" w:type="dxa"/>
            <w:vMerge/>
          </w:tcPr>
          <w:p w:rsidR="00334066" w:rsidRDefault="00334066" w:rsidP="00255AA3">
            <w:pPr>
              <w:pStyle w:val="E3Tabletext"/>
            </w:pPr>
          </w:p>
        </w:tc>
        <w:tc>
          <w:tcPr>
            <w:tcW w:w="2182" w:type="dxa"/>
          </w:tcPr>
          <w:p w:rsidR="00334066" w:rsidRDefault="00334066" w:rsidP="00255AA3">
            <w:pPr>
              <w:pStyle w:val="E3Tabletext"/>
            </w:pPr>
            <w:r>
              <w:t>450</w:t>
            </w:r>
          </w:p>
        </w:tc>
        <w:tc>
          <w:tcPr>
            <w:tcW w:w="1937" w:type="dxa"/>
            <w:vMerge/>
          </w:tcPr>
          <w:p w:rsidR="00334066" w:rsidRDefault="00334066" w:rsidP="00235234">
            <w:pPr>
              <w:spacing w:after="0" w:line="240" w:lineRule="auto"/>
              <w:rPr>
                <w:rFonts w:eastAsia="Times New Roman"/>
              </w:rPr>
            </w:pPr>
          </w:p>
        </w:tc>
      </w:tr>
      <w:tr w:rsidR="00334066" w:rsidTr="007D32B9">
        <w:trPr>
          <w:cantSplit/>
          <w:jc w:val="center"/>
        </w:trPr>
        <w:tc>
          <w:tcPr>
            <w:tcW w:w="2188" w:type="dxa"/>
            <w:vMerge/>
          </w:tcPr>
          <w:p w:rsidR="00334066" w:rsidRDefault="00334066" w:rsidP="00255AA3">
            <w:pPr>
              <w:pStyle w:val="E3Tabletext"/>
            </w:pPr>
          </w:p>
        </w:tc>
        <w:tc>
          <w:tcPr>
            <w:tcW w:w="1389" w:type="dxa"/>
          </w:tcPr>
          <w:p w:rsidR="00334066" w:rsidRDefault="00334066" w:rsidP="00255AA3">
            <w:pPr>
              <w:pStyle w:val="E3Tabletext"/>
            </w:pPr>
            <w:r>
              <w:t>60 W</w:t>
            </w:r>
          </w:p>
        </w:tc>
        <w:tc>
          <w:tcPr>
            <w:tcW w:w="1880" w:type="dxa"/>
            <w:vMerge/>
          </w:tcPr>
          <w:p w:rsidR="00334066" w:rsidRDefault="00334066" w:rsidP="00255AA3">
            <w:pPr>
              <w:pStyle w:val="E3Tabletext"/>
            </w:pPr>
          </w:p>
        </w:tc>
        <w:tc>
          <w:tcPr>
            <w:tcW w:w="2182" w:type="dxa"/>
          </w:tcPr>
          <w:p w:rsidR="00334066" w:rsidRDefault="00334066" w:rsidP="00255AA3">
            <w:pPr>
              <w:pStyle w:val="E3Tabletext"/>
            </w:pPr>
            <w:r>
              <w:t>800</w:t>
            </w:r>
          </w:p>
        </w:tc>
        <w:tc>
          <w:tcPr>
            <w:tcW w:w="1937" w:type="dxa"/>
            <w:vMerge/>
          </w:tcPr>
          <w:p w:rsidR="00334066" w:rsidRDefault="00334066" w:rsidP="00235234">
            <w:pPr>
              <w:spacing w:after="0" w:line="240" w:lineRule="auto"/>
              <w:rPr>
                <w:rFonts w:eastAsia="Times New Roman"/>
              </w:rPr>
            </w:pPr>
          </w:p>
        </w:tc>
      </w:tr>
      <w:tr w:rsidR="00334066" w:rsidTr="007D32B9">
        <w:trPr>
          <w:cantSplit/>
          <w:jc w:val="center"/>
        </w:trPr>
        <w:tc>
          <w:tcPr>
            <w:tcW w:w="2188" w:type="dxa"/>
            <w:vMerge/>
          </w:tcPr>
          <w:p w:rsidR="00334066" w:rsidRDefault="00334066" w:rsidP="00255AA3">
            <w:pPr>
              <w:pStyle w:val="E3Tabletext"/>
            </w:pPr>
          </w:p>
        </w:tc>
        <w:tc>
          <w:tcPr>
            <w:tcW w:w="1389" w:type="dxa"/>
          </w:tcPr>
          <w:p w:rsidR="00334066" w:rsidRDefault="00334066" w:rsidP="00255AA3">
            <w:pPr>
              <w:pStyle w:val="E3Tabletext"/>
            </w:pPr>
            <w:r>
              <w:t>75 W</w:t>
            </w:r>
          </w:p>
        </w:tc>
        <w:tc>
          <w:tcPr>
            <w:tcW w:w="1880" w:type="dxa"/>
            <w:vMerge/>
          </w:tcPr>
          <w:p w:rsidR="00334066" w:rsidRDefault="00334066" w:rsidP="00255AA3">
            <w:pPr>
              <w:pStyle w:val="E3Tabletext"/>
            </w:pPr>
          </w:p>
        </w:tc>
        <w:tc>
          <w:tcPr>
            <w:tcW w:w="2182" w:type="dxa"/>
          </w:tcPr>
          <w:p w:rsidR="00334066" w:rsidRDefault="00334066" w:rsidP="00255AA3">
            <w:pPr>
              <w:pStyle w:val="E3Tabletext"/>
            </w:pPr>
            <w:r>
              <w:t>1,100</w:t>
            </w:r>
          </w:p>
        </w:tc>
        <w:tc>
          <w:tcPr>
            <w:tcW w:w="1937" w:type="dxa"/>
            <w:vMerge/>
          </w:tcPr>
          <w:p w:rsidR="00334066" w:rsidRDefault="00334066" w:rsidP="00235234">
            <w:pPr>
              <w:spacing w:after="0" w:line="240" w:lineRule="auto"/>
              <w:rPr>
                <w:rFonts w:eastAsia="Times New Roman"/>
              </w:rPr>
            </w:pPr>
          </w:p>
        </w:tc>
      </w:tr>
      <w:tr w:rsidR="00334066" w:rsidTr="007D32B9">
        <w:trPr>
          <w:cantSplit/>
          <w:jc w:val="center"/>
        </w:trPr>
        <w:tc>
          <w:tcPr>
            <w:tcW w:w="2188" w:type="dxa"/>
            <w:vMerge/>
          </w:tcPr>
          <w:p w:rsidR="00334066" w:rsidRDefault="00334066" w:rsidP="00255AA3">
            <w:pPr>
              <w:pStyle w:val="E3Tabletext"/>
            </w:pPr>
          </w:p>
        </w:tc>
        <w:tc>
          <w:tcPr>
            <w:tcW w:w="1389" w:type="dxa"/>
          </w:tcPr>
          <w:p w:rsidR="00334066" w:rsidRDefault="00334066" w:rsidP="00255AA3">
            <w:pPr>
              <w:pStyle w:val="E3Tabletext"/>
            </w:pPr>
            <w:r>
              <w:t>100 W</w:t>
            </w:r>
          </w:p>
        </w:tc>
        <w:tc>
          <w:tcPr>
            <w:tcW w:w="1880" w:type="dxa"/>
            <w:vMerge/>
          </w:tcPr>
          <w:p w:rsidR="00334066" w:rsidRDefault="00334066" w:rsidP="00255AA3">
            <w:pPr>
              <w:pStyle w:val="E3Tabletext"/>
            </w:pPr>
          </w:p>
        </w:tc>
        <w:tc>
          <w:tcPr>
            <w:tcW w:w="2182" w:type="dxa"/>
          </w:tcPr>
          <w:p w:rsidR="00334066" w:rsidRDefault="00334066" w:rsidP="00255AA3">
            <w:pPr>
              <w:pStyle w:val="E3Tabletext"/>
            </w:pPr>
            <w:r>
              <w:t>1,600</w:t>
            </w:r>
          </w:p>
        </w:tc>
        <w:tc>
          <w:tcPr>
            <w:tcW w:w="1937" w:type="dxa"/>
            <w:vMerge/>
          </w:tcPr>
          <w:p w:rsidR="00334066" w:rsidRDefault="00334066" w:rsidP="00235234">
            <w:pPr>
              <w:spacing w:after="0" w:line="240" w:lineRule="auto"/>
              <w:rPr>
                <w:rFonts w:eastAsia="Times New Roman"/>
              </w:rPr>
            </w:pPr>
          </w:p>
        </w:tc>
      </w:tr>
      <w:tr w:rsidR="00334066" w:rsidTr="007D32B9">
        <w:trPr>
          <w:cantSplit/>
          <w:jc w:val="center"/>
        </w:trPr>
        <w:tc>
          <w:tcPr>
            <w:tcW w:w="2188" w:type="dxa"/>
            <w:vMerge/>
          </w:tcPr>
          <w:p w:rsidR="00334066" w:rsidRDefault="00334066" w:rsidP="00255AA3">
            <w:pPr>
              <w:pStyle w:val="E3Tabletext"/>
            </w:pPr>
          </w:p>
        </w:tc>
        <w:tc>
          <w:tcPr>
            <w:tcW w:w="1389" w:type="dxa"/>
          </w:tcPr>
          <w:p w:rsidR="00334066" w:rsidRDefault="00334066" w:rsidP="00255AA3">
            <w:pPr>
              <w:pStyle w:val="E3Tabletext"/>
            </w:pPr>
            <w:r>
              <w:t>125 W</w:t>
            </w:r>
          </w:p>
        </w:tc>
        <w:tc>
          <w:tcPr>
            <w:tcW w:w="1880" w:type="dxa"/>
            <w:vMerge/>
          </w:tcPr>
          <w:p w:rsidR="00334066" w:rsidRDefault="00334066" w:rsidP="00255AA3">
            <w:pPr>
              <w:pStyle w:val="E3Tabletext"/>
            </w:pPr>
          </w:p>
        </w:tc>
        <w:tc>
          <w:tcPr>
            <w:tcW w:w="2182" w:type="dxa"/>
          </w:tcPr>
          <w:p w:rsidR="00334066" w:rsidRDefault="00334066" w:rsidP="00255AA3">
            <w:pPr>
              <w:pStyle w:val="E3Tabletext"/>
            </w:pPr>
            <w:r>
              <w:t>2,000</w:t>
            </w:r>
          </w:p>
        </w:tc>
        <w:tc>
          <w:tcPr>
            <w:tcW w:w="1937" w:type="dxa"/>
            <w:vMerge/>
          </w:tcPr>
          <w:p w:rsidR="00334066" w:rsidRDefault="00334066" w:rsidP="00235234">
            <w:pPr>
              <w:spacing w:after="0" w:line="240" w:lineRule="auto"/>
              <w:rPr>
                <w:rFonts w:eastAsia="Times New Roman"/>
              </w:rPr>
            </w:pPr>
          </w:p>
        </w:tc>
      </w:tr>
      <w:tr w:rsidR="00334066" w:rsidTr="007D32B9">
        <w:trPr>
          <w:cantSplit/>
          <w:jc w:val="center"/>
        </w:trPr>
        <w:tc>
          <w:tcPr>
            <w:tcW w:w="2188" w:type="dxa"/>
            <w:vMerge/>
          </w:tcPr>
          <w:p w:rsidR="00334066" w:rsidRDefault="00334066" w:rsidP="00255AA3">
            <w:pPr>
              <w:pStyle w:val="E3Tabletext"/>
            </w:pPr>
          </w:p>
        </w:tc>
        <w:tc>
          <w:tcPr>
            <w:tcW w:w="1389" w:type="dxa"/>
          </w:tcPr>
          <w:p w:rsidR="00334066" w:rsidRDefault="00334066" w:rsidP="00255AA3">
            <w:pPr>
              <w:pStyle w:val="E3Tabletext"/>
            </w:pPr>
            <w:r>
              <w:t>150 W</w:t>
            </w:r>
          </w:p>
        </w:tc>
        <w:tc>
          <w:tcPr>
            <w:tcW w:w="1880" w:type="dxa"/>
            <w:vMerge/>
          </w:tcPr>
          <w:p w:rsidR="00334066" w:rsidRDefault="00334066" w:rsidP="00255AA3">
            <w:pPr>
              <w:pStyle w:val="E3Tabletext"/>
            </w:pPr>
          </w:p>
        </w:tc>
        <w:tc>
          <w:tcPr>
            <w:tcW w:w="2182" w:type="dxa"/>
          </w:tcPr>
          <w:p w:rsidR="00334066" w:rsidRDefault="00334066" w:rsidP="00255AA3">
            <w:pPr>
              <w:pStyle w:val="E3Tabletext"/>
            </w:pPr>
            <w:r>
              <w:t>2,600</w:t>
            </w:r>
          </w:p>
        </w:tc>
        <w:tc>
          <w:tcPr>
            <w:tcW w:w="1937" w:type="dxa"/>
            <w:vMerge/>
          </w:tcPr>
          <w:p w:rsidR="00334066" w:rsidRDefault="00334066" w:rsidP="00235234">
            <w:pPr>
              <w:spacing w:after="0" w:line="240" w:lineRule="auto"/>
              <w:rPr>
                <w:rFonts w:eastAsia="Times New Roman"/>
              </w:rPr>
            </w:pPr>
          </w:p>
        </w:tc>
      </w:tr>
      <w:tr w:rsidR="00334066" w:rsidTr="007D32B9">
        <w:trPr>
          <w:cantSplit/>
          <w:jc w:val="center"/>
        </w:trPr>
        <w:tc>
          <w:tcPr>
            <w:tcW w:w="2188" w:type="dxa"/>
            <w:vMerge w:val="restart"/>
          </w:tcPr>
          <w:p w:rsidR="00334066" w:rsidRPr="00463E35" w:rsidRDefault="00334066" w:rsidP="00255AA3">
            <w:pPr>
              <w:pStyle w:val="E3Tabletext"/>
            </w:pPr>
            <w:r w:rsidRPr="00463E35">
              <w:t>Directional lamps</w:t>
            </w:r>
          </w:p>
          <w:p w:rsidR="00334066" w:rsidRDefault="00334066" w:rsidP="00255AA3">
            <w:pPr>
              <w:pStyle w:val="E3Tabletext"/>
            </w:pPr>
            <w:r w:rsidRPr="00463E35">
              <w:t>(BR, ER, K, MR, PAR, R)</w:t>
            </w:r>
          </w:p>
        </w:tc>
        <w:tc>
          <w:tcPr>
            <w:tcW w:w="1389" w:type="dxa"/>
          </w:tcPr>
          <w:p w:rsidR="00334066" w:rsidRDefault="00334066" w:rsidP="00255AA3">
            <w:pPr>
              <w:pStyle w:val="E3Tabletext"/>
            </w:pPr>
            <w:r>
              <w:t>≤ 6.35 mm</w:t>
            </w:r>
          </w:p>
        </w:tc>
        <w:tc>
          <w:tcPr>
            <w:tcW w:w="1880" w:type="dxa"/>
          </w:tcPr>
          <w:p w:rsidR="00334066" w:rsidRDefault="00334066" w:rsidP="00255AA3">
            <w:pPr>
              <w:pStyle w:val="E3Tabletext"/>
            </w:pPr>
            <w:r>
              <w:t>40</w:t>
            </w:r>
          </w:p>
        </w:tc>
        <w:tc>
          <w:tcPr>
            <w:tcW w:w="2182" w:type="dxa"/>
            <w:vMerge w:val="restart"/>
          </w:tcPr>
          <w:p w:rsidR="00334066" w:rsidRDefault="00334066" w:rsidP="00255AA3">
            <w:pPr>
              <w:pStyle w:val="E3Tabletext"/>
            </w:pPr>
            <w:r w:rsidRPr="00463E35">
              <w:t>The integrated lamp with LEDs, at least 80% of its light output should be within a solid angle included in a cone with an angle of 120 °</w:t>
            </w:r>
          </w:p>
        </w:tc>
        <w:tc>
          <w:tcPr>
            <w:tcW w:w="1937" w:type="dxa"/>
            <w:vMerge/>
          </w:tcPr>
          <w:p w:rsidR="00334066" w:rsidRPr="00463E35" w:rsidRDefault="00334066" w:rsidP="00235234">
            <w:pPr>
              <w:spacing w:after="0" w:line="240" w:lineRule="auto"/>
              <w:rPr>
                <w:rFonts w:eastAsia="Times New Roman"/>
              </w:rPr>
            </w:pPr>
          </w:p>
        </w:tc>
      </w:tr>
      <w:tr w:rsidR="00334066" w:rsidTr="007D32B9">
        <w:trPr>
          <w:cantSplit/>
          <w:jc w:val="center"/>
        </w:trPr>
        <w:tc>
          <w:tcPr>
            <w:tcW w:w="2188" w:type="dxa"/>
            <w:vMerge/>
          </w:tcPr>
          <w:p w:rsidR="00334066" w:rsidRDefault="00334066" w:rsidP="00235234">
            <w:pPr>
              <w:spacing w:after="0" w:line="240" w:lineRule="auto"/>
              <w:rPr>
                <w:rFonts w:eastAsia="Times New Roman"/>
              </w:rPr>
            </w:pPr>
          </w:p>
        </w:tc>
        <w:tc>
          <w:tcPr>
            <w:tcW w:w="1389" w:type="dxa"/>
          </w:tcPr>
          <w:p w:rsidR="00334066" w:rsidRDefault="00334066" w:rsidP="00255AA3">
            <w:pPr>
              <w:pStyle w:val="E3Tabletext"/>
            </w:pPr>
            <w:r>
              <w:t>&gt; 6.35 mm</w:t>
            </w:r>
          </w:p>
        </w:tc>
        <w:tc>
          <w:tcPr>
            <w:tcW w:w="1880" w:type="dxa"/>
          </w:tcPr>
          <w:p w:rsidR="00334066" w:rsidRDefault="00334066" w:rsidP="00255AA3">
            <w:pPr>
              <w:pStyle w:val="E3Tabletext"/>
            </w:pPr>
            <w:r>
              <w:t>45</w:t>
            </w:r>
          </w:p>
        </w:tc>
        <w:tc>
          <w:tcPr>
            <w:tcW w:w="2182" w:type="dxa"/>
            <w:vMerge/>
          </w:tcPr>
          <w:p w:rsidR="00334066" w:rsidRDefault="00334066" w:rsidP="00255AA3">
            <w:pPr>
              <w:pStyle w:val="E3Tabletext"/>
            </w:pPr>
          </w:p>
        </w:tc>
        <w:tc>
          <w:tcPr>
            <w:tcW w:w="1937" w:type="dxa"/>
            <w:vMerge/>
          </w:tcPr>
          <w:p w:rsidR="00334066" w:rsidRDefault="00334066" w:rsidP="00235234">
            <w:pPr>
              <w:spacing w:after="0" w:line="240" w:lineRule="auto"/>
              <w:rPr>
                <w:rFonts w:eastAsia="Times New Roman"/>
              </w:rPr>
            </w:pPr>
          </w:p>
        </w:tc>
      </w:tr>
    </w:tbl>
    <w:p w:rsidR="00D01D3A" w:rsidRDefault="00D01D3A" w:rsidP="00D01D3A">
      <w:pPr>
        <w:pStyle w:val="E3BodyText"/>
      </w:pPr>
      <w:bookmarkStart w:id="324" w:name="_Toc389123375"/>
    </w:p>
    <w:p w:rsidR="00334066" w:rsidRDefault="00334066" w:rsidP="00E65B09">
      <w:pPr>
        <w:pStyle w:val="E3Heading3"/>
        <w:numPr>
          <w:ilvl w:val="0"/>
          <w:numId w:val="0"/>
        </w:numPr>
        <w:ind w:left="864" w:hanging="864"/>
      </w:pPr>
      <w:r>
        <w:t>Nigeria</w:t>
      </w:r>
      <w:bookmarkEnd w:id="324"/>
    </w:p>
    <w:p w:rsidR="00334066" w:rsidRDefault="0094540D" w:rsidP="0094540D">
      <w:pPr>
        <w:pStyle w:val="E3BodyText"/>
        <w:jc w:val="center"/>
        <w:rPr>
          <w:lang w:eastAsia="en-AU"/>
        </w:rPr>
      </w:pPr>
      <w:r>
        <w:rPr>
          <w:noProof/>
          <w:lang w:eastAsia="en-AU"/>
        </w:rPr>
        <w:drawing>
          <wp:inline distT="0" distB="0" distL="0" distR="0" wp14:anchorId="1DF40787" wp14:editId="35D18F2D">
            <wp:extent cx="5943109" cy="3663393"/>
            <wp:effectExtent l="0" t="0" r="0" b="0"/>
            <wp:docPr id="63" name="Picture 63" descr="Diagram displaying the Flow of HEPS, Endorsement Label, MEPS, Comparative Lab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eria.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943109" cy="3663393"/>
                    </a:xfrm>
                    <a:prstGeom prst="rect">
                      <a:avLst/>
                    </a:prstGeom>
                  </pic:spPr>
                </pic:pic>
              </a:graphicData>
            </a:graphic>
          </wp:inline>
        </w:drawing>
      </w:r>
    </w:p>
    <w:p w:rsidR="00334066" w:rsidRDefault="00334066" w:rsidP="00E65B09">
      <w:pPr>
        <w:pStyle w:val="E3Heading4"/>
        <w:numPr>
          <w:ilvl w:val="0"/>
          <w:numId w:val="0"/>
        </w:numPr>
        <w:ind w:left="1008" w:hanging="1008"/>
        <w:rPr>
          <w:lang w:eastAsia="en-AU"/>
        </w:rPr>
      </w:pPr>
      <w:r w:rsidRPr="00310986">
        <w:rPr>
          <w:lang w:eastAsia="en-AU"/>
        </w:rPr>
        <w:t>Scope</w:t>
      </w:r>
    </w:p>
    <w:p w:rsidR="00334066" w:rsidRPr="0070603F" w:rsidRDefault="00334066" w:rsidP="00D54D26">
      <w:pPr>
        <w:pStyle w:val="E3BodyText"/>
        <w:rPr>
          <w:lang w:eastAsia="en-AU"/>
        </w:rPr>
      </w:pPr>
      <w:r>
        <w:rPr>
          <w:lang w:eastAsia="en-AU"/>
        </w:rPr>
        <w:t>Under development</w:t>
      </w:r>
      <w:r w:rsidR="00D01D3A">
        <w:rPr>
          <w:lang w:eastAsia="en-AU"/>
        </w:rPr>
        <w:t>.</w:t>
      </w:r>
    </w:p>
    <w:p w:rsidR="00334066" w:rsidRPr="00310986" w:rsidRDefault="00334066" w:rsidP="00E65B09">
      <w:pPr>
        <w:pStyle w:val="E3Heading4"/>
        <w:numPr>
          <w:ilvl w:val="0"/>
          <w:numId w:val="0"/>
        </w:numPr>
        <w:ind w:left="1008" w:hanging="1008"/>
        <w:rPr>
          <w:lang w:eastAsia="en-AU"/>
        </w:rPr>
      </w:pPr>
      <w:r>
        <w:rPr>
          <w:lang w:eastAsia="en-AU"/>
        </w:rPr>
        <w:t>Performance requirements</w:t>
      </w:r>
    </w:p>
    <w:p w:rsidR="00334066" w:rsidRPr="0070603F" w:rsidRDefault="00334066" w:rsidP="00D54D26">
      <w:pPr>
        <w:pStyle w:val="E3BodyText"/>
        <w:rPr>
          <w:lang w:eastAsia="en-AU"/>
        </w:rPr>
      </w:pPr>
      <w:r>
        <w:rPr>
          <w:lang w:eastAsia="en-AU"/>
        </w:rPr>
        <w:t>Under development</w:t>
      </w:r>
      <w:r w:rsidR="00D01D3A">
        <w:rPr>
          <w:lang w:eastAsia="en-AU"/>
        </w:rPr>
        <w:t>.</w:t>
      </w:r>
    </w:p>
    <w:p w:rsidR="00334066" w:rsidRDefault="00334066" w:rsidP="00E65B09">
      <w:pPr>
        <w:pStyle w:val="E3Heading3"/>
        <w:numPr>
          <w:ilvl w:val="0"/>
          <w:numId w:val="0"/>
        </w:numPr>
        <w:ind w:left="864" w:hanging="864"/>
      </w:pPr>
      <w:bookmarkStart w:id="325" w:name="_Toc389123376"/>
      <w:r>
        <w:lastRenderedPageBreak/>
        <w:t>United Kingdom</w:t>
      </w:r>
      <w:bookmarkEnd w:id="325"/>
    </w:p>
    <w:p w:rsidR="00334066" w:rsidRDefault="0094540D" w:rsidP="0094540D">
      <w:pPr>
        <w:pStyle w:val="E3BodyText"/>
        <w:jc w:val="center"/>
        <w:rPr>
          <w:lang w:eastAsia="en-AU"/>
        </w:rPr>
      </w:pPr>
      <w:r>
        <w:rPr>
          <w:noProof/>
          <w:lang w:eastAsia="en-AU"/>
        </w:rPr>
        <w:drawing>
          <wp:inline distT="0" distB="0" distL="0" distR="0" wp14:anchorId="436E6F9D" wp14:editId="7EBCB1B3">
            <wp:extent cx="5524367" cy="4191000"/>
            <wp:effectExtent l="0" t="0" r="635" b="0"/>
            <wp:docPr id="288" name="Picture 288" descr="Diagram displaying the Flow of HEPS, Endorsement Label, MEPS, Comparative Label.&#10;&#10;Under Endoresement Label&#10;- Energy Saivngs Trust Recommended Sceme - Led Lamps and Modules 2010&#10;&#10;- Energy Efficiency&#10;- Light quality parameters&#10;- Electrical quality paramaters&#10;- Product Quality parameters&#10;&#10;Energy Saivngs Trust Recommended Sceme - Led Luminaires 2010&#10;&#10;- Energy Efficiency&#10;- Light quality parameters&#10;- No Electrical quality paramaters&#10;- Product Quality paramet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png"/>
                    <pic:cNvPicPr/>
                  </pic:nvPicPr>
                  <pic:blipFill rotWithShape="1">
                    <a:blip r:embed="rId146" cstate="print">
                      <a:extLst>
                        <a:ext uri="{28A0092B-C50C-407E-A947-70E740481C1C}">
                          <a14:useLocalDpi xmlns:a14="http://schemas.microsoft.com/office/drawing/2010/main" val="0"/>
                        </a:ext>
                      </a:extLst>
                    </a:blip>
                    <a:srcRect l="9658" b="9836"/>
                    <a:stretch/>
                  </pic:blipFill>
                  <pic:spPr bwMode="auto">
                    <a:xfrm>
                      <a:off x="0" y="0"/>
                      <a:ext cx="5529650" cy="4195008"/>
                    </a:xfrm>
                    <a:prstGeom prst="rect">
                      <a:avLst/>
                    </a:prstGeom>
                    <a:ln>
                      <a:noFill/>
                    </a:ln>
                    <a:extLst>
                      <a:ext uri="{53640926-AAD7-44D8-BBD7-CCE9431645EC}">
                        <a14:shadowObscured xmlns:a14="http://schemas.microsoft.com/office/drawing/2010/main"/>
                      </a:ext>
                    </a:extLst>
                  </pic:spPr>
                </pic:pic>
              </a:graphicData>
            </a:graphic>
          </wp:inline>
        </w:drawing>
      </w:r>
    </w:p>
    <w:p w:rsidR="00334066" w:rsidRPr="00E91869" w:rsidRDefault="00334066" w:rsidP="00E65B09">
      <w:pPr>
        <w:pStyle w:val="E3Heading4"/>
        <w:numPr>
          <w:ilvl w:val="0"/>
          <w:numId w:val="0"/>
        </w:numPr>
        <w:ind w:left="1008" w:hanging="1008"/>
      </w:pPr>
      <w:bookmarkStart w:id="326" w:name="_Toc389123377"/>
      <w:r w:rsidRPr="00E91869">
        <w:t>Energy Savings Trust Recommended Scheme - LED Lamps and Modules</w:t>
      </w:r>
      <w:bookmarkEnd w:id="326"/>
    </w:p>
    <w:p w:rsidR="00334066" w:rsidRDefault="00334066" w:rsidP="00E65B09">
      <w:pPr>
        <w:pStyle w:val="E3Heading4"/>
        <w:numPr>
          <w:ilvl w:val="0"/>
          <w:numId w:val="0"/>
        </w:numPr>
        <w:ind w:left="1008" w:hanging="1008"/>
        <w:rPr>
          <w:lang w:eastAsia="en-AU"/>
        </w:rPr>
      </w:pPr>
      <w:r w:rsidRPr="00310986">
        <w:rPr>
          <w:lang w:eastAsia="en-AU"/>
        </w:rPr>
        <w:t>Scope</w:t>
      </w:r>
    </w:p>
    <w:p w:rsidR="00334066" w:rsidRDefault="00334066" w:rsidP="00D54D26">
      <w:pPr>
        <w:pStyle w:val="E3BodyText"/>
        <w:rPr>
          <w:lang w:eastAsia="en-AU"/>
        </w:rPr>
      </w:pPr>
      <w:r>
        <w:rPr>
          <w:lang w:eastAsia="en-AU"/>
        </w:rPr>
        <w:t>This scheme is for LED products that provide an energy efficient alternative to standard incandescent or halogen lamps specifically:</w:t>
      </w:r>
    </w:p>
    <w:p w:rsidR="00334066" w:rsidRDefault="00334066" w:rsidP="00F1452F">
      <w:pPr>
        <w:pStyle w:val="E3BodyText"/>
        <w:numPr>
          <w:ilvl w:val="0"/>
          <w:numId w:val="22"/>
        </w:numPr>
      </w:pPr>
      <w:r>
        <w:t xml:space="preserve">mains voltage LED lamps with integral driver designed to replace existing lamps of comparable light output performance </w:t>
      </w:r>
    </w:p>
    <w:p w:rsidR="00334066" w:rsidRDefault="00D54D26" w:rsidP="00D54D26">
      <w:pPr>
        <w:pStyle w:val="E3BodyText"/>
        <w:ind w:left="993"/>
      </w:pPr>
      <w:r>
        <w:t xml:space="preserve">Class 1: </w:t>
      </w:r>
      <w:r w:rsidR="00334066">
        <w:t>Directional LED lamps to replace GU10 reflector lamps</w:t>
      </w:r>
    </w:p>
    <w:p w:rsidR="00334066" w:rsidRDefault="00D54D26" w:rsidP="00D54D26">
      <w:pPr>
        <w:pStyle w:val="E3BodyText"/>
        <w:ind w:left="993"/>
      </w:pPr>
      <w:r>
        <w:t xml:space="preserve">Class 2: </w:t>
      </w:r>
      <w:r w:rsidR="00334066">
        <w:t>Type A LED lamps meeting EU Regulation No 244/2009 definition of “non-directional”</w:t>
      </w:r>
    </w:p>
    <w:p w:rsidR="00334066" w:rsidRDefault="00D54D26" w:rsidP="00D54D26">
      <w:pPr>
        <w:pStyle w:val="E3BodyText"/>
        <w:ind w:left="993"/>
      </w:pPr>
      <w:r>
        <w:t xml:space="preserve">Class 3: </w:t>
      </w:r>
      <w:r w:rsidR="00334066">
        <w:t>Type B directional LED lamps meeting EU Regulation No 244/2</w:t>
      </w:r>
      <w:r>
        <w:t>009 definition of “directional”</w:t>
      </w:r>
    </w:p>
    <w:p w:rsidR="00334066" w:rsidRDefault="00334066" w:rsidP="00D54D26">
      <w:pPr>
        <w:pStyle w:val="E3BodyText"/>
        <w:ind w:left="993"/>
      </w:pPr>
      <w:r>
        <w:rPr>
          <w:lang w:eastAsia="en-AU"/>
        </w:rPr>
        <w:t>Class 4</w:t>
      </w:r>
      <w:r w:rsidR="00D54D26">
        <w:t xml:space="preserve">: </w:t>
      </w:r>
      <w:r>
        <w:t>Directional LED lamps designed to replace lamps</w:t>
      </w:r>
    </w:p>
    <w:p w:rsidR="00334066" w:rsidRDefault="00334066" w:rsidP="00F1452F">
      <w:pPr>
        <w:pStyle w:val="E3BodyText"/>
        <w:numPr>
          <w:ilvl w:val="0"/>
          <w:numId w:val="22"/>
        </w:numPr>
      </w:pPr>
      <w:r>
        <w:t>LED lamp/modules with non-integral driver</w:t>
      </w:r>
    </w:p>
    <w:p w:rsidR="00334066" w:rsidRDefault="00D54D26" w:rsidP="00D54D26">
      <w:pPr>
        <w:pStyle w:val="E3BodyText"/>
        <w:ind w:left="993"/>
      </w:pPr>
      <w:r>
        <w:t xml:space="preserve">Class 21: </w:t>
      </w:r>
      <w:r w:rsidR="00334066">
        <w:t>LED modules designed to physically replace existing low voltage MR16 halogen lamps in standard downlight luminaires</w:t>
      </w:r>
    </w:p>
    <w:p w:rsidR="00334066" w:rsidRPr="00C52860" w:rsidRDefault="00D54D26" w:rsidP="00D54D26">
      <w:pPr>
        <w:pStyle w:val="E3BodyText"/>
        <w:ind w:left="993"/>
      </w:pPr>
      <w:r>
        <w:t xml:space="preserve">Class 22: </w:t>
      </w:r>
      <w:r w:rsidR="00334066">
        <w:t>LED lamps intended to replace existing low voltage reflector lamps (MR16 type) with typically GU5.3 bases.</w:t>
      </w:r>
    </w:p>
    <w:p w:rsidR="00334066" w:rsidRDefault="00334066" w:rsidP="00E65B09">
      <w:pPr>
        <w:pStyle w:val="E3Heading4"/>
        <w:numPr>
          <w:ilvl w:val="0"/>
          <w:numId w:val="0"/>
        </w:numPr>
        <w:ind w:left="1008" w:hanging="1008"/>
        <w:rPr>
          <w:lang w:eastAsia="en-AU"/>
        </w:rPr>
      </w:pPr>
      <w:r>
        <w:rPr>
          <w:lang w:eastAsia="en-AU"/>
        </w:rPr>
        <w:t>Performance requirements</w:t>
      </w:r>
    </w:p>
    <w:p w:rsidR="00334066" w:rsidRPr="00532679" w:rsidRDefault="00334066" w:rsidP="00D54D26">
      <w:pPr>
        <w:pStyle w:val="E3BodyText"/>
        <w:rPr>
          <w:lang w:eastAsia="en-AU"/>
        </w:rPr>
      </w:pPr>
      <w:r>
        <w:rPr>
          <w:lang w:eastAsia="en-AU"/>
        </w:rPr>
        <w:t>Requirements for all Classes:</w:t>
      </w:r>
    </w:p>
    <w:tbl>
      <w:tblPr>
        <w:tblStyle w:val="TableGrid"/>
        <w:tblW w:w="9747" w:type="dxa"/>
        <w:jc w:val="center"/>
        <w:tblLook w:val="04A0" w:firstRow="1" w:lastRow="0" w:firstColumn="1" w:lastColumn="0" w:noHBand="0" w:noVBand="1"/>
      </w:tblPr>
      <w:tblGrid>
        <w:gridCol w:w="3066"/>
        <w:gridCol w:w="2313"/>
        <w:gridCol w:w="2314"/>
        <w:gridCol w:w="2054"/>
      </w:tblGrid>
      <w:tr w:rsidR="00334066" w:rsidTr="0094540D">
        <w:trPr>
          <w:cantSplit/>
          <w:tblHeader/>
          <w:jc w:val="center"/>
        </w:trPr>
        <w:tc>
          <w:tcPr>
            <w:tcW w:w="3066" w:type="dxa"/>
          </w:tcPr>
          <w:p w:rsidR="00334066" w:rsidRDefault="00334066" w:rsidP="00D54D26">
            <w:pPr>
              <w:pStyle w:val="E3TableHeading"/>
            </w:pPr>
            <w:r>
              <w:t>Parameter</w:t>
            </w:r>
          </w:p>
        </w:tc>
        <w:tc>
          <w:tcPr>
            <w:tcW w:w="4627" w:type="dxa"/>
            <w:gridSpan w:val="2"/>
          </w:tcPr>
          <w:p w:rsidR="00334066" w:rsidRDefault="00334066" w:rsidP="00D54D26">
            <w:pPr>
              <w:pStyle w:val="E3TableHeading"/>
            </w:pPr>
            <w:r>
              <w:t>Minimum requirements</w:t>
            </w:r>
          </w:p>
        </w:tc>
        <w:tc>
          <w:tcPr>
            <w:tcW w:w="2054" w:type="dxa"/>
          </w:tcPr>
          <w:p w:rsidR="00334066" w:rsidRDefault="00334066" w:rsidP="00D54D26">
            <w:pPr>
              <w:pStyle w:val="E3TableHeading"/>
            </w:pPr>
            <w:r>
              <w:t>Test Method</w:t>
            </w:r>
          </w:p>
        </w:tc>
      </w:tr>
      <w:tr w:rsidR="00D54D26" w:rsidTr="0094540D">
        <w:trPr>
          <w:cantSplit/>
          <w:jc w:val="center"/>
        </w:trPr>
        <w:tc>
          <w:tcPr>
            <w:tcW w:w="3066" w:type="dxa"/>
          </w:tcPr>
          <w:p w:rsidR="00D54D26" w:rsidRDefault="00D54D26" w:rsidP="00255AA3">
            <w:pPr>
              <w:pStyle w:val="E3Tabletext"/>
            </w:pPr>
            <w:r>
              <w:t>Colour temperature</w:t>
            </w:r>
          </w:p>
        </w:tc>
        <w:tc>
          <w:tcPr>
            <w:tcW w:w="4627" w:type="dxa"/>
            <w:gridSpan w:val="2"/>
          </w:tcPr>
          <w:p w:rsidR="00D54D26" w:rsidRDefault="00D54D26" w:rsidP="00255AA3">
            <w:pPr>
              <w:pStyle w:val="E3Tabletext"/>
            </w:pPr>
            <w:r>
              <w:t>Warm white</w:t>
            </w:r>
          </w:p>
          <w:p w:rsidR="00D54D26" w:rsidRDefault="00D54D26" w:rsidP="00255AA3">
            <w:pPr>
              <w:pStyle w:val="E3Tabletext"/>
            </w:pPr>
            <w:r>
              <w:t>2700 K ≤ CCT ≤ 3500 K</w:t>
            </w:r>
          </w:p>
          <w:p w:rsidR="00D54D26" w:rsidRDefault="00D54D26" w:rsidP="00255AA3">
            <w:pPr>
              <w:pStyle w:val="E3Tabletext"/>
            </w:pPr>
            <w:r>
              <w:t>and ≤ 5 MPCD of target chromaticity co-ordinates</w:t>
            </w:r>
          </w:p>
        </w:tc>
        <w:tc>
          <w:tcPr>
            <w:tcW w:w="2054" w:type="dxa"/>
            <w:vMerge w:val="restart"/>
          </w:tcPr>
          <w:p w:rsidR="00D54D26" w:rsidRDefault="00D54D26" w:rsidP="00235234">
            <w:pPr>
              <w:spacing w:after="0" w:line="240" w:lineRule="auto"/>
            </w:pPr>
          </w:p>
          <w:p w:rsidR="00D54D26" w:rsidRDefault="00D54D26" w:rsidP="00255AA3">
            <w:pPr>
              <w:pStyle w:val="E3Tabletext"/>
            </w:pPr>
            <w:r w:rsidRPr="00467174">
              <w:t>ANSI</w:t>
            </w:r>
            <w:r>
              <w:t>/</w:t>
            </w:r>
            <w:r w:rsidRPr="00467174">
              <w:t>NEMA/ANSLG C78.377</w:t>
            </w:r>
          </w:p>
          <w:p w:rsidR="00D54D26" w:rsidRPr="00467174" w:rsidRDefault="00D54D26" w:rsidP="00235234">
            <w:pPr>
              <w:spacing w:after="0" w:line="240" w:lineRule="auto"/>
            </w:pPr>
          </w:p>
          <w:p w:rsidR="00D54D26" w:rsidRDefault="00D54D26" w:rsidP="00235234">
            <w:pPr>
              <w:spacing w:after="0" w:line="240" w:lineRule="auto"/>
            </w:pPr>
            <w:r w:rsidRPr="00467174">
              <w:lastRenderedPageBreak/>
              <w:t>IEC/PAS 62612</w:t>
            </w:r>
          </w:p>
          <w:p w:rsidR="00D54D26" w:rsidRDefault="00D54D26" w:rsidP="00235234">
            <w:pPr>
              <w:spacing w:after="0" w:line="240" w:lineRule="auto"/>
            </w:pPr>
          </w:p>
          <w:p w:rsidR="00D54D26" w:rsidRDefault="00D54D26" w:rsidP="00235234">
            <w:pPr>
              <w:spacing w:after="0" w:line="240" w:lineRule="auto"/>
            </w:pPr>
            <w:r w:rsidRPr="00467174">
              <w:t>IEC62384</w:t>
            </w:r>
          </w:p>
          <w:p w:rsidR="00D54D26" w:rsidRDefault="00D54D26" w:rsidP="00235234">
            <w:pPr>
              <w:spacing w:after="0" w:line="240" w:lineRule="auto"/>
            </w:pPr>
          </w:p>
          <w:p w:rsidR="00D54D26" w:rsidRDefault="00D54D26" w:rsidP="00235234">
            <w:pPr>
              <w:spacing w:after="0" w:line="240" w:lineRule="auto"/>
            </w:pPr>
          </w:p>
        </w:tc>
      </w:tr>
      <w:tr w:rsidR="00D54D26" w:rsidTr="0094540D">
        <w:trPr>
          <w:cantSplit/>
          <w:jc w:val="center"/>
        </w:trPr>
        <w:tc>
          <w:tcPr>
            <w:tcW w:w="3066" w:type="dxa"/>
          </w:tcPr>
          <w:p w:rsidR="00D54D26" w:rsidRDefault="00D54D26" w:rsidP="00255AA3">
            <w:pPr>
              <w:pStyle w:val="E3Tabletext"/>
            </w:pPr>
            <w:r>
              <w:t>Earlier failure</w:t>
            </w:r>
          </w:p>
        </w:tc>
        <w:tc>
          <w:tcPr>
            <w:tcW w:w="4627" w:type="dxa"/>
            <w:gridSpan w:val="2"/>
          </w:tcPr>
          <w:p w:rsidR="00D54D26" w:rsidRDefault="00D54D26" w:rsidP="00255AA3">
            <w:pPr>
              <w:pStyle w:val="E3Tabletext"/>
            </w:pPr>
            <w:r>
              <w:t>No lamps at 3,000 h</w:t>
            </w:r>
          </w:p>
        </w:tc>
        <w:tc>
          <w:tcPr>
            <w:tcW w:w="2054" w:type="dxa"/>
            <w:vMerge/>
          </w:tcPr>
          <w:p w:rsidR="00D54D26" w:rsidRDefault="00D54D26" w:rsidP="00235234">
            <w:pPr>
              <w:spacing w:after="0" w:line="240" w:lineRule="auto"/>
            </w:pPr>
          </w:p>
        </w:tc>
      </w:tr>
      <w:tr w:rsidR="00D54D26" w:rsidTr="0094540D">
        <w:trPr>
          <w:cantSplit/>
          <w:jc w:val="center"/>
        </w:trPr>
        <w:tc>
          <w:tcPr>
            <w:tcW w:w="3066" w:type="dxa"/>
          </w:tcPr>
          <w:p w:rsidR="00D54D26" w:rsidRDefault="00D54D26" w:rsidP="00255AA3">
            <w:pPr>
              <w:pStyle w:val="E3Tabletext"/>
            </w:pPr>
            <w:r>
              <w:lastRenderedPageBreak/>
              <w:t>Lamp life</w:t>
            </w:r>
          </w:p>
        </w:tc>
        <w:tc>
          <w:tcPr>
            <w:tcW w:w="4627" w:type="dxa"/>
            <w:gridSpan w:val="2"/>
          </w:tcPr>
          <w:p w:rsidR="00D54D26" w:rsidRPr="00532679" w:rsidRDefault="00D54D26" w:rsidP="00255AA3">
            <w:pPr>
              <w:pStyle w:val="E3Tabletext"/>
            </w:pPr>
            <w:r>
              <w:t>L</w:t>
            </w:r>
            <w:r w:rsidRPr="00532679">
              <w:rPr>
                <w:vertAlign w:val="subscript"/>
              </w:rPr>
              <w:t>70</w:t>
            </w:r>
            <w:r>
              <w:t>F</w:t>
            </w:r>
            <w:r w:rsidRPr="00532679">
              <w:rPr>
                <w:vertAlign w:val="subscript"/>
              </w:rPr>
              <w:t>50</w:t>
            </w:r>
            <w:r>
              <w:t xml:space="preserve"> ≥ 15,000 h</w:t>
            </w:r>
          </w:p>
        </w:tc>
        <w:tc>
          <w:tcPr>
            <w:tcW w:w="2054" w:type="dxa"/>
            <w:vMerge/>
          </w:tcPr>
          <w:p w:rsidR="00D54D26" w:rsidRDefault="00D54D26" w:rsidP="00235234">
            <w:pPr>
              <w:spacing w:after="0" w:line="240" w:lineRule="auto"/>
            </w:pPr>
          </w:p>
        </w:tc>
      </w:tr>
      <w:tr w:rsidR="00D54D26" w:rsidTr="0094540D">
        <w:trPr>
          <w:cantSplit/>
          <w:jc w:val="center"/>
        </w:trPr>
        <w:tc>
          <w:tcPr>
            <w:tcW w:w="3066" w:type="dxa"/>
          </w:tcPr>
          <w:p w:rsidR="00D54D26" w:rsidRDefault="00D54D26" w:rsidP="00255AA3">
            <w:pPr>
              <w:pStyle w:val="E3Tabletext"/>
            </w:pPr>
            <w:r>
              <w:lastRenderedPageBreak/>
              <w:t>Lamp Power, L</w:t>
            </w:r>
            <w:r w:rsidRPr="00456EC6">
              <w:rPr>
                <w:vertAlign w:val="subscript"/>
              </w:rPr>
              <w:t>w</w:t>
            </w:r>
          </w:p>
        </w:tc>
        <w:tc>
          <w:tcPr>
            <w:tcW w:w="4627" w:type="dxa"/>
            <w:gridSpan w:val="2"/>
          </w:tcPr>
          <w:p w:rsidR="00D54D26" w:rsidRDefault="00D54D26" w:rsidP="00255AA3">
            <w:pPr>
              <w:pStyle w:val="E3Tabletext"/>
            </w:pPr>
            <w:r>
              <w:t>Directional lamps as per EU Reg No 244/2009):</w:t>
            </w:r>
          </w:p>
          <w:p w:rsidR="00D54D26" w:rsidRPr="00456EC6" w:rsidRDefault="00D54D26" w:rsidP="00255AA3">
            <w:pPr>
              <w:pStyle w:val="E3Tabletext"/>
            </w:pPr>
            <w:r>
              <w:t>L</w:t>
            </w:r>
            <w:r w:rsidRPr="00456EC6">
              <w:rPr>
                <w:vertAlign w:val="subscript"/>
              </w:rPr>
              <w:t>w</w:t>
            </w:r>
            <w:r>
              <w:t xml:space="preserve"> ≤ 25% of power of lamp claimed to replace</w:t>
            </w:r>
          </w:p>
        </w:tc>
        <w:tc>
          <w:tcPr>
            <w:tcW w:w="2054" w:type="dxa"/>
            <w:vMerge/>
          </w:tcPr>
          <w:p w:rsidR="00D54D26" w:rsidRDefault="00D54D26" w:rsidP="00235234">
            <w:pPr>
              <w:spacing w:after="0" w:line="240" w:lineRule="auto"/>
            </w:pPr>
          </w:p>
        </w:tc>
      </w:tr>
      <w:tr w:rsidR="00D54D26" w:rsidTr="0094540D">
        <w:trPr>
          <w:cantSplit/>
          <w:trHeight w:val="143"/>
          <w:jc w:val="center"/>
        </w:trPr>
        <w:tc>
          <w:tcPr>
            <w:tcW w:w="3066" w:type="dxa"/>
            <w:vMerge w:val="restart"/>
          </w:tcPr>
          <w:p w:rsidR="00D54D26" w:rsidRDefault="00D54D26" w:rsidP="00255AA3">
            <w:pPr>
              <w:pStyle w:val="E3Tabletext"/>
            </w:pPr>
            <w:r>
              <w:t>Power factor</w:t>
            </w:r>
          </w:p>
        </w:tc>
        <w:tc>
          <w:tcPr>
            <w:tcW w:w="2313" w:type="dxa"/>
          </w:tcPr>
          <w:p w:rsidR="00D54D26" w:rsidRDefault="00D54D26" w:rsidP="00255AA3">
            <w:pPr>
              <w:pStyle w:val="E3Tabletext"/>
            </w:pPr>
            <w:r>
              <w:t>Class 1, 2, 3, 4</w:t>
            </w:r>
          </w:p>
        </w:tc>
        <w:tc>
          <w:tcPr>
            <w:tcW w:w="2314" w:type="dxa"/>
          </w:tcPr>
          <w:p w:rsidR="00D54D26" w:rsidRDefault="00D54D26" w:rsidP="00255AA3">
            <w:pPr>
              <w:pStyle w:val="E3Tabletext"/>
            </w:pPr>
            <w:r>
              <w:t>≤ 0.7</w:t>
            </w:r>
          </w:p>
        </w:tc>
        <w:tc>
          <w:tcPr>
            <w:tcW w:w="2054" w:type="dxa"/>
            <w:vMerge/>
          </w:tcPr>
          <w:p w:rsidR="00D54D26" w:rsidRDefault="00D54D26" w:rsidP="00235234">
            <w:pPr>
              <w:spacing w:after="0" w:line="240" w:lineRule="auto"/>
            </w:pPr>
          </w:p>
        </w:tc>
      </w:tr>
      <w:tr w:rsidR="00D54D26" w:rsidTr="0094540D">
        <w:trPr>
          <w:cantSplit/>
          <w:trHeight w:val="142"/>
          <w:jc w:val="center"/>
        </w:trPr>
        <w:tc>
          <w:tcPr>
            <w:tcW w:w="3066" w:type="dxa"/>
            <w:vMerge/>
          </w:tcPr>
          <w:p w:rsidR="00D54D26" w:rsidRDefault="00D54D26" w:rsidP="00255AA3">
            <w:pPr>
              <w:pStyle w:val="E3Tabletext"/>
            </w:pPr>
          </w:p>
        </w:tc>
        <w:tc>
          <w:tcPr>
            <w:tcW w:w="2313" w:type="dxa"/>
          </w:tcPr>
          <w:p w:rsidR="00D54D26" w:rsidRDefault="00D54D26" w:rsidP="00255AA3">
            <w:pPr>
              <w:pStyle w:val="E3Tabletext"/>
            </w:pPr>
            <w:r>
              <w:t>Class 21, 22</w:t>
            </w:r>
          </w:p>
        </w:tc>
        <w:tc>
          <w:tcPr>
            <w:tcW w:w="2314" w:type="dxa"/>
          </w:tcPr>
          <w:p w:rsidR="00D54D26" w:rsidRDefault="00D54D26" w:rsidP="00255AA3">
            <w:pPr>
              <w:pStyle w:val="E3Tabletext"/>
            </w:pPr>
            <w:r>
              <w:t>≤ 0.9</w:t>
            </w:r>
          </w:p>
        </w:tc>
        <w:tc>
          <w:tcPr>
            <w:tcW w:w="2054" w:type="dxa"/>
            <w:vMerge/>
          </w:tcPr>
          <w:p w:rsidR="00D54D26" w:rsidRDefault="00D54D26" w:rsidP="00235234">
            <w:pPr>
              <w:spacing w:after="0" w:line="240" w:lineRule="auto"/>
            </w:pPr>
          </w:p>
        </w:tc>
      </w:tr>
      <w:tr w:rsidR="00D54D26" w:rsidTr="0094540D">
        <w:trPr>
          <w:cantSplit/>
          <w:jc w:val="center"/>
        </w:trPr>
        <w:tc>
          <w:tcPr>
            <w:tcW w:w="3066" w:type="dxa"/>
          </w:tcPr>
          <w:p w:rsidR="00D54D26" w:rsidRDefault="00D54D26" w:rsidP="00255AA3">
            <w:pPr>
              <w:pStyle w:val="E3Tabletext"/>
            </w:pPr>
            <w:r>
              <w:t>Colour rendering</w:t>
            </w:r>
          </w:p>
        </w:tc>
        <w:tc>
          <w:tcPr>
            <w:tcW w:w="4627" w:type="dxa"/>
            <w:gridSpan w:val="2"/>
          </w:tcPr>
          <w:p w:rsidR="00D54D26" w:rsidRDefault="00D54D26" w:rsidP="00255AA3">
            <w:pPr>
              <w:pStyle w:val="E3Tabletext"/>
            </w:pPr>
            <w:r>
              <w:t>&gt; 80</w:t>
            </w:r>
          </w:p>
        </w:tc>
        <w:tc>
          <w:tcPr>
            <w:tcW w:w="2054" w:type="dxa"/>
            <w:vMerge/>
          </w:tcPr>
          <w:p w:rsidR="00D54D26" w:rsidRDefault="00D54D26" w:rsidP="00235234">
            <w:pPr>
              <w:spacing w:after="0" w:line="240" w:lineRule="auto"/>
            </w:pPr>
          </w:p>
        </w:tc>
      </w:tr>
    </w:tbl>
    <w:p w:rsidR="00334066" w:rsidRPr="00456EC6" w:rsidRDefault="00334066" w:rsidP="00E42B8F">
      <w:pPr>
        <w:pStyle w:val="E3BodyText"/>
        <w:rPr>
          <w:lang w:eastAsia="en-AU"/>
        </w:rPr>
      </w:pPr>
    </w:p>
    <w:p w:rsidR="00334066" w:rsidRDefault="00334066" w:rsidP="00E42B8F">
      <w:pPr>
        <w:pStyle w:val="E3BodyText"/>
        <w:rPr>
          <w:lang w:eastAsia="en-AU"/>
        </w:rPr>
      </w:pPr>
      <w:r>
        <w:rPr>
          <w:lang w:eastAsia="en-AU"/>
        </w:rPr>
        <w:t xml:space="preserve">Requirements for specific classes: </w:t>
      </w:r>
    </w:p>
    <w:tbl>
      <w:tblPr>
        <w:tblStyle w:val="TableGrid"/>
        <w:tblW w:w="9889" w:type="dxa"/>
        <w:jc w:val="center"/>
        <w:tblLayout w:type="fixed"/>
        <w:tblLook w:val="0000" w:firstRow="0" w:lastRow="0" w:firstColumn="0" w:lastColumn="0" w:noHBand="0" w:noVBand="0"/>
      </w:tblPr>
      <w:tblGrid>
        <w:gridCol w:w="3479"/>
        <w:gridCol w:w="1488"/>
        <w:gridCol w:w="1418"/>
        <w:gridCol w:w="1818"/>
        <w:gridCol w:w="1686"/>
      </w:tblGrid>
      <w:tr w:rsidR="00334066" w:rsidRPr="00865D14" w:rsidTr="0094540D">
        <w:trPr>
          <w:cantSplit/>
          <w:trHeight w:val="998"/>
          <w:tblHeader/>
          <w:jc w:val="center"/>
        </w:trPr>
        <w:tc>
          <w:tcPr>
            <w:tcW w:w="3479" w:type="dxa"/>
            <w:vAlign w:val="center"/>
          </w:tcPr>
          <w:p w:rsidR="00334066" w:rsidRDefault="00334066" w:rsidP="00235234">
            <w:pPr>
              <w:widowControl w:val="0"/>
              <w:autoSpaceDE w:val="0"/>
              <w:autoSpaceDN w:val="0"/>
              <w:adjustRightInd w:val="0"/>
              <w:spacing w:after="0" w:line="240" w:lineRule="auto"/>
              <w:jc w:val="center"/>
              <w:rPr>
                <w:rFonts w:ascii="Arial" w:hAnsi="Arial" w:cs="Arial"/>
                <w:color w:val="282828"/>
                <w:spacing w:val="-1"/>
                <w:sz w:val="20"/>
                <w:szCs w:val="20"/>
              </w:rPr>
            </w:pPr>
          </w:p>
          <w:p w:rsidR="00334066" w:rsidRPr="008E2C1F" w:rsidRDefault="00334066" w:rsidP="00235234">
            <w:pPr>
              <w:widowControl w:val="0"/>
              <w:autoSpaceDE w:val="0"/>
              <w:autoSpaceDN w:val="0"/>
              <w:adjustRightInd w:val="0"/>
              <w:spacing w:after="0" w:line="240" w:lineRule="auto"/>
              <w:jc w:val="center"/>
              <w:rPr>
                <w:rFonts w:asciiTheme="minorHAnsi" w:hAnsiTheme="minorHAnsi"/>
                <w:szCs w:val="12"/>
              </w:rPr>
            </w:pPr>
          </w:p>
        </w:tc>
        <w:tc>
          <w:tcPr>
            <w:tcW w:w="1488" w:type="dxa"/>
          </w:tcPr>
          <w:p w:rsidR="00334066" w:rsidRPr="00E42B8F" w:rsidRDefault="00334066" w:rsidP="00E42B8F">
            <w:pPr>
              <w:pStyle w:val="E3TableHeading"/>
            </w:pPr>
          </w:p>
          <w:p w:rsidR="00334066" w:rsidRPr="00E42B8F" w:rsidRDefault="00334066" w:rsidP="00E42B8F">
            <w:pPr>
              <w:pStyle w:val="E3TableHeading"/>
            </w:pPr>
            <w:r w:rsidRPr="00E42B8F">
              <w:t>Minimum Peak Beam Intensity</w:t>
            </w:r>
            <w:r w:rsidRPr="00E42B8F">
              <w:br/>
              <w:t>(cd/lux)</w:t>
            </w:r>
          </w:p>
        </w:tc>
        <w:tc>
          <w:tcPr>
            <w:tcW w:w="1418" w:type="dxa"/>
          </w:tcPr>
          <w:p w:rsidR="00334066" w:rsidRPr="00E42B8F" w:rsidRDefault="00334066" w:rsidP="00E42B8F">
            <w:pPr>
              <w:pStyle w:val="E3TableHeading"/>
            </w:pPr>
          </w:p>
          <w:p w:rsidR="00334066" w:rsidRPr="00E42B8F" w:rsidRDefault="00334066" w:rsidP="00E42B8F">
            <w:pPr>
              <w:pStyle w:val="E3TableHeading"/>
            </w:pPr>
            <w:r w:rsidRPr="00E42B8F">
              <w:t xml:space="preserve">Half peak beam angle </w:t>
            </w:r>
            <w:r w:rsidRPr="00E42B8F">
              <w:br/>
              <w:t>(deg)</w:t>
            </w:r>
          </w:p>
        </w:tc>
        <w:tc>
          <w:tcPr>
            <w:tcW w:w="1818" w:type="dxa"/>
          </w:tcPr>
          <w:p w:rsidR="00334066" w:rsidRPr="00E42B8F" w:rsidRDefault="00334066" w:rsidP="00E42B8F">
            <w:pPr>
              <w:pStyle w:val="E3TableHeading"/>
            </w:pPr>
            <w:r w:rsidRPr="00E42B8F">
              <w:t xml:space="preserve">Beam angle to 10% of peak beam intensity </w:t>
            </w:r>
          </w:p>
          <w:p w:rsidR="00334066" w:rsidRPr="00E42B8F" w:rsidRDefault="00334066" w:rsidP="00E42B8F">
            <w:pPr>
              <w:pStyle w:val="E3TableHeading"/>
            </w:pPr>
            <w:r w:rsidRPr="00E42B8F">
              <w:t>(deg)</w:t>
            </w:r>
          </w:p>
        </w:tc>
        <w:tc>
          <w:tcPr>
            <w:tcW w:w="1686" w:type="dxa"/>
          </w:tcPr>
          <w:p w:rsidR="00334066" w:rsidRPr="00E42B8F" w:rsidRDefault="00334066" w:rsidP="00E42B8F">
            <w:pPr>
              <w:pStyle w:val="E3TableHeading"/>
            </w:pPr>
            <w:r w:rsidRPr="00E42B8F">
              <w:t>Test Method</w:t>
            </w:r>
          </w:p>
        </w:tc>
      </w:tr>
      <w:tr w:rsidR="00E42B8F" w:rsidRPr="00865D14" w:rsidTr="0094540D">
        <w:trPr>
          <w:cantSplit/>
          <w:trHeight w:hRule="exact" w:val="250"/>
          <w:jc w:val="center"/>
        </w:trPr>
        <w:tc>
          <w:tcPr>
            <w:tcW w:w="8203" w:type="dxa"/>
            <w:gridSpan w:val="4"/>
          </w:tcPr>
          <w:p w:rsidR="00E42B8F" w:rsidRPr="00865D14" w:rsidRDefault="00E42B8F" w:rsidP="00E42B8F">
            <w:pPr>
              <w:pStyle w:val="E3TableSubHeading"/>
              <w:rPr>
                <w:rFonts w:ascii="Times New Roman" w:hAnsi="Times New Roman"/>
                <w:sz w:val="24"/>
              </w:rPr>
            </w:pPr>
            <w:r w:rsidRPr="0038253D">
              <w:t>Class 1 GU10 reflector</w:t>
            </w:r>
            <w:r w:rsidR="001C7E9A">
              <w:t xml:space="preserve"> </w:t>
            </w:r>
            <w:r w:rsidRPr="0038253D">
              <w:t>lamps</w:t>
            </w:r>
          </w:p>
        </w:tc>
        <w:tc>
          <w:tcPr>
            <w:tcW w:w="1686" w:type="dxa"/>
            <w:vMerge w:val="restart"/>
          </w:tcPr>
          <w:p w:rsidR="00E42B8F" w:rsidRPr="00363827" w:rsidRDefault="00E42B8F" w:rsidP="00255AA3">
            <w:pPr>
              <w:pStyle w:val="E3Tabletext"/>
              <w:rPr>
                <w:sz w:val="24"/>
              </w:rPr>
            </w:pPr>
            <w:r w:rsidRPr="00363827">
              <w:t>IEC 61341</w:t>
            </w:r>
            <w:r w:rsidRPr="00363827">
              <w:tab/>
            </w:r>
          </w:p>
        </w:tc>
      </w:tr>
      <w:tr w:rsidR="00334066" w:rsidRPr="00865D14" w:rsidTr="0094540D">
        <w:trPr>
          <w:cantSplit/>
          <w:trHeight w:hRule="exact" w:val="448"/>
          <w:jc w:val="center"/>
        </w:trPr>
        <w:tc>
          <w:tcPr>
            <w:tcW w:w="3479" w:type="dxa"/>
          </w:tcPr>
          <w:p w:rsidR="00334066" w:rsidRPr="00FC1DBF" w:rsidRDefault="00334066" w:rsidP="00255AA3">
            <w:pPr>
              <w:pStyle w:val="E3Tabletext"/>
              <w:rPr>
                <w:w w:val="99"/>
              </w:rPr>
            </w:pPr>
            <w:r w:rsidRPr="00FC1DBF">
              <w:t>20W h</w:t>
            </w:r>
            <w:r w:rsidRPr="00FC1DBF">
              <w:rPr>
                <w:spacing w:val="-2"/>
              </w:rPr>
              <w:t>a</w:t>
            </w:r>
            <w:r w:rsidRPr="00FC1DBF">
              <w:rPr>
                <w:spacing w:val="-5"/>
              </w:rPr>
              <w:t>l</w:t>
            </w:r>
            <w:r w:rsidRPr="00FC1DBF">
              <w:rPr>
                <w:spacing w:val="-2"/>
              </w:rPr>
              <w:t>og</w:t>
            </w:r>
            <w:r w:rsidRPr="00FC1DBF">
              <w:t>en</w:t>
            </w:r>
            <w:r w:rsidRPr="00FC1DBF">
              <w:rPr>
                <w:spacing w:val="3"/>
              </w:rPr>
              <w:t xml:space="preserve"> e</w:t>
            </w:r>
            <w:r w:rsidRPr="00FC1DBF">
              <w:rPr>
                <w:spacing w:val="-2"/>
              </w:rPr>
              <w:t>q</w:t>
            </w:r>
            <w:r w:rsidRPr="00FC1DBF">
              <w:t>u</w:t>
            </w:r>
            <w:r w:rsidRPr="00FC1DBF">
              <w:rPr>
                <w:spacing w:val="-6"/>
              </w:rPr>
              <w:t>i</w:t>
            </w:r>
            <w:r w:rsidRPr="00FC1DBF">
              <w:t>va</w:t>
            </w:r>
            <w:r w:rsidRPr="00FC1DBF">
              <w:rPr>
                <w:spacing w:val="-6"/>
              </w:rPr>
              <w:t>l</w:t>
            </w:r>
            <w:r w:rsidRPr="00FC1DBF">
              <w:t>e</w:t>
            </w:r>
            <w:r w:rsidRPr="00FC1DBF">
              <w:rPr>
                <w:spacing w:val="-2"/>
              </w:rPr>
              <w:t>n</w:t>
            </w:r>
            <w:r w:rsidRPr="00FC1DBF">
              <w:t>t</w:t>
            </w:r>
          </w:p>
        </w:tc>
        <w:tc>
          <w:tcPr>
            <w:tcW w:w="1488" w:type="dxa"/>
          </w:tcPr>
          <w:p w:rsidR="00334066" w:rsidRPr="00865D14" w:rsidRDefault="00334066" w:rsidP="00255AA3">
            <w:pPr>
              <w:pStyle w:val="E3Tabletext"/>
              <w:rPr>
                <w:rFonts w:ascii="Times New Roman" w:hAnsi="Times New Roman"/>
                <w:sz w:val="24"/>
              </w:rPr>
            </w:pPr>
            <w:r w:rsidRPr="00865D14">
              <w:rPr>
                <w:w w:val="99"/>
              </w:rPr>
              <w:t>200</w:t>
            </w:r>
          </w:p>
        </w:tc>
        <w:tc>
          <w:tcPr>
            <w:tcW w:w="1418" w:type="dxa"/>
          </w:tcPr>
          <w:p w:rsidR="00334066" w:rsidRPr="00865D14" w:rsidRDefault="00334066" w:rsidP="00255AA3">
            <w:pPr>
              <w:pStyle w:val="E3Tabletext"/>
              <w:rPr>
                <w:rFonts w:ascii="Times New Roman" w:hAnsi="Times New Roman"/>
                <w:sz w:val="24"/>
              </w:rPr>
            </w:pPr>
            <w:r w:rsidRPr="00865D14">
              <w:rPr>
                <w:w w:val="99"/>
              </w:rPr>
              <w:t>30</w:t>
            </w:r>
            <w:r w:rsidRPr="00865D14">
              <w:rPr>
                <w:spacing w:val="3"/>
                <w:w w:val="99"/>
              </w:rPr>
              <w:t>-</w:t>
            </w:r>
            <w:r w:rsidRPr="00865D14">
              <w:rPr>
                <w:w w:val="99"/>
              </w:rPr>
              <w:t>40</w:t>
            </w:r>
          </w:p>
        </w:tc>
        <w:tc>
          <w:tcPr>
            <w:tcW w:w="1818" w:type="dxa"/>
          </w:tcPr>
          <w:p w:rsidR="00334066" w:rsidRPr="00865D14" w:rsidRDefault="00334066" w:rsidP="00255AA3">
            <w:pPr>
              <w:pStyle w:val="E3Tabletext"/>
              <w:rPr>
                <w:rFonts w:ascii="Times New Roman" w:hAnsi="Times New Roman"/>
                <w:sz w:val="24"/>
              </w:rPr>
            </w:pPr>
            <w:r w:rsidRPr="00865D14">
              <w:t>60-</w:t>
            </w:r>
            <w:r w:rsidRPr="00865D14">
              <w:rPr>
                <w:spacing w:val="-2"/>
                <w:w w:val="99"/>
              </w:rPr>
              <w:t>7</w:t>
            </w:r>
            <w:r w:rsidRPr="00865D14">
              <w:rPr>
                <w:w w:val="99"/>
              </w:rPr>
              <w:t>5</w:t>
            </w:r>
          </w:p>
        </w:tc>
        <w:tc>
          <w:tcPr>
            <w:tcW w:w="1686" w:type="dxa"/>
            <w:vMerge/>
          </w:tcPr>
          <w:p w:rsidR="00334066" w:rsidRPr="00865D14" w:rsidRDefault="00334066" w:rsidP="00235234">
            <w:pPr>
              <w:widowControl w:val="0"/>
              <w:autoSpaceDE w:val="0"/>
              <w:autoSpaceDN w:val="0"/>
              <w:adjustRightInd w:val="0"/>
              <w:spacing w:before="1" w:after="0" w:line="240" w:lineRule="auto"/>
              <w:ind w:left="15" w:hanging="15"/>
              <w:jc w:val="center"/>
              <w:rPr>
                <w:rFonts w:ascii="Arial" w:hAnsi="Arial" w:cs="Arial"/>
                <w:color w:val="282828"/>
                <w:spacing w:val="-1"/>
                <w:sz w:val="20"/>
                <w:szCs w:val="20"/>
              </w:rPr>
            </w:pPr>
          </w:p>
        </w:tc>
      </w:tr>
      <w:tr w:rsidR="00334066" w:rsidRPr="00865D14" w:rsidTr="0094540D">
        <w:trPr>
          <w:cantSplit/>
          <w:trHeight w:hRule="exact" w:val="250"/>
          <w:jc w:val="center"/>
        </w:trPr>
        <w:tc>
          <w:tcPr>
            <w:tcW w:w="3479" w:type="dxa"/>
          </w:tcPr>
          <w:p w:rsidR="00334066" w:rsidRPr="00FC1DBF" w:rsidRDefault="00334066" w:rsidP="00255AA3">
            <w:pPr>
              <w:pStyle w:val="E3Tabletext"/>
              <w:rPr>
                <w:w w:val="99"/>
              </w:rPr>
            </w:pPr>
            <w:r>
              <w:t xml:space="preserve">35 </w:t>
            </w:r>
            <w:r w:rsidRPr="00FC1DBF">
              <w:t>W h</w:t>
            </w:r>
            <w:r w:rsidRPr="00FC1DBF">
              <w:rPr>
                <w:spacing w:val="-2"/>
              </w:rPr>
              <w:t>a</w:t>
            </w:r>
            <w:r w:rsidRPr="00FC1DBF">
              <w:rPr>
                <w:spacing w:val="-5"/>
              </w:rPr>
              <w:t>l</w:t>
            </w:r>
            <w:r w:rsidRPr="00FC1DBF">
              <w:rPr>
                <w:spacing w:val="-2"/>
              </w:rPr>
              <w:t>og</w:t>
            </w:r>
            <w:r w:rsidRPr="00FC1DBF">
              <w:t>en</w:t>
            </w:r>
            <w:r w:rsidRPr="00FC1DBF">
              <w:rPr>
                <w:spacing w:val="3"/>
              </w:rPr>
              <w:t xml:space="preserve"> e</w:t>
            </w:r>
            <w:r w:rsidRPr="00FC1DBF">
              <w:rPr>
                <w:spacing w:val="-2"/>
              </w:rPr>
              <w:t>q</w:t>
            </w:r>
            <w:r w:rsidRPr="00FC1DBF">
              <w:t>u</w:t>
            </w:r>
            <w:r w:rsidRPr="00FC1DBF">
              <w:rPr>
                <w:spacing w:val="-6"/>
              </w:rPr>
              <w:t>i</w:t>
            </w:r>
            <w:r w:rsidRPr="00FC1DBF">
              <w:t>va</w:t>
            </w:r>
            <w:r w:rsidRPr="00FC1DBF">
              <w:rPr>
                <w:spacing w:val="-6"/>
              </w:rPr>
              <w:t>l</w:t>
            </w:r>
            <w:r w:rsidRPr="00FC1DBF">
              <w:t>e</w:t>
            </w:r>
            <w:r w:rsidRPr="00FC1DBF">
              <w:rPr>
                <w:spacing w:val="-2"/>
              </w:rPr>
              <w:t>n</w:t>
            </w:r>
            <w:r w:rsidRPr="00FC1DBF">
              <w:t>t</w:t>
            </w:r>
          </w:p>
        </w:tc>
        <w:tc>
          <w:tcPr>
            <w:tcW w:w="1488" w:type="dxa"/>
          </w:tcPr>
          <w:p w:rsidR="00334066" w:rsidRPr="00865D14" w:rsidRDefault="00334066" w:rsidP="00255AA3">
            <w:pPr>
              <w:pStyle w:val="E3Tabletext"/>
              <w:rPr>
                <w:rFonts w:ascii="Times New Roman" w:hAnsi="Times New Roman"/>
                <w:sz w:val="24"/>
              </w:rPr>
            </w:pPr>
            <w:r w:rsidRPr="00865D14">
              <w:rPr>
                <w:w w:val="99"/>
              </w:rPr>
              <w:t>400</w:t>
            </w:r>
          </w:p>
        </w:tc>
        <w:tc>
          <w:tcPr>
            <w:tcW w:w="1418" w:type="dxa"/>
          </w:tcPr>
          <w:p w:rsidR="00334066" w:rsidRPr="00865D14" w:rsidRDefault="00334066" w:rsidP="00255AA3">
            <w:pPr>
              <w:pStyle w:val="E3Tabletext"/>
              <w:rPr>
                <w:rFonts w:ascii="Times New Roman" w:hAnsi="Times New Roman"/>
                <w:sz w:val="24"/>
              </w:rPr>
            </w:pPr>
            <w:r w:rsidRPr="00865D14">
              <w:rPr>
                <w:w w:val="99"/>
              </w:rPr>
              <w:t>30</w:t>
            </w:r>
            <w:r w:rsidRPr="00865D14">
              <w:rPr>
                <w:spacing w:val="3"/>
                <w:w w:val="99"/>
              </w:rPr>
              <w:t>-</w:t>
            </w:r>
            <w:r w:rsidRPr="00865D14">
              <w:rPr>
                <w:w w:val="99"/>
              </w:rPr>
              <w:t>40</w:t>
            </w:r>
          </w:p>
        </w:tc>
        <w:tc>
          <w:tcPr>
            <w:tcW w:w="1818" w:type="dxa"/>
          </w:tcPr>
          <w:p w:rsidR="00334066" w:rsidRPr="00865D14" w:rsidRDefault="00334066" w:rsidP="00255AA3">
            <w:pPr>
              <w:pStyle w:val="E3Tabletext"/>
              <w:rPr>
                <w:rFonts w:ascii="Times New Roman" w:hAnsi="Times New Roman"/>
                <w:sz w:val="24"/>
              </w:rPr>
            </w:pPr>
            <w:r w:rsidRPr="00865D14">
              <w:t>60-</w:t>
            </w:r>
            <w:r w:rsidRPr="00865D14">
              <w:rPr>
                <w:spacing w:val="-2"/>
                <w:w w:val="99"/>
              </w:rPr>
              <w:t>7</w:t>
            </w:r>
            <w:r w:rsidRPr="00865D14">
              <w:rPr>
                <w:w w:val="99"/>
              </w:rPr>
              <w:t>5</w:t>
            </w:r>
          </w:p>
        </w:tc>
        <w:tc>
          <w:tcPr>
            <w:tcW w:w="1686" w:type="dxa"/>
            <w:vMerge/>
          </w:tcPr>
          <w:p w:rsidR="00334066" w:rsidRPr="00865D14" w:rsidRDefault="00334066" w:rsidP="00235234">
            <w:pPr>
              <w:widowControl w:val="0"/>
              <w:autoSpaceDE w:val="0"/>
              <w:autoSpaceDN w:val="0"/>
              <w:adjustRightInd w:val="0"/>
              <w:spacing w:before="1" w:after="0" w:line="240" w:lineRule="auto"/>
              <w:ind w:left="15" w:hanging="15"/>
              <w:jc w:val="center"/>
              <w:rPr>
                <w:rFonts w:ascii="Arial" w:hAnsi="Arial" w:cs="Arial"/>
                <w:color w:val="282828"/>
                <w:spacing w:val="-1"/>
                <w:sz w:val="20"/>
                <w:szCs w:val="20"/>
              </w:rPr>
            </w:pPr>
          </w:p>
        </w:tc>
      </w:tr>
      <w:tr w:rsidR="00334066" w:rsidRPr="00865D14" w:rsidTr="0094540D">
        <w:trPr>
          <w:cantSplit/>
          <w:trHeight w:hRule="exact" w:val="270"/>
          <w:jc w:val="center"/>
        </w:trPr>
        <w:tc>
          <w:tcPr>
            <w:tcW w:w="3479" w:type="dxa"/>
          </w:tcPr>
          <w:p w:rsidR="00334066" w:rsidRPr="00FC1DBF" w:rsidRDefault="00334066" w:rsidP="00255AA3">
            <w:pPr>
              <w:pStyle w:val="E3Tabletext"/>
              <w:rPr>
                <w:w w:val="99"/>
              </w:rPr>
            </w:pPr>
            <w:r>
              <w:t xml:space="preserve">50 </w:t>
            </w:r>
            <w:r w:rsidRPr="00FC1DBF">
              <w:t>W h</w:t>
            </w:r>
            <w:r w:rsidRPr="00FC1DBF">
              <w:rPr>
                <w:spacing w:val="-2"/>
              </w:rPr>
              <w:t>a</w:t>
            </w:r>
            <w:r w:rsidRPr="00FC1DBF">
              <w:rPr>
                <w:spacing w:val="-5"/>
              </w:rPr>
              <w:t>l</w:t>
            </w:r>
            <w:r w:rsidRPr="00FC1DBF">
              <w:rPr>
                <w:spacing w:val="-2"/>
              </w:rPr>
              <w:t>og</w:t>
            </w:r>
            <w:r w:rsidRPr="00FC1DBF">
              <w:t>en</w:t>
            </w:r>
            <w:r w:rsidRPr="00FC1DBF">
              <w:rPr>
                <w:spacing w:val="3"/>
              </w:rPr>
              <w:t xml:space="preserve"> e</w:t>
            </w:r>
            <w:r w:rsidRPr="00FC1DBF">
              <w:rPr>
                <w:spacing w:val="-2"/>
              </w:rPr>
              <w:t>q</w:t>
            </w:r>
            <w:r w:rsidRPr="00FC1DBF">
              <w:t>u</w:t>
            </w:r>
            <w:r w:rsidRPr="00FC1DBF">
              <w:rPr>
                <w:spacing w:val="-6"/>
              </w:rPr>
              <w:t>i</w:t>
            </w:r>
            <w:r w:rsidRPr="00FC1DBF">
              <w:t>va</w:t>
            </w:r>
            <w:r w:rsidRPr="00FC1DBF">
              <w:rPr>
                <w:spacing w:val="-6"/>
              </w:rPr>
              <w:t>l</w:t>
            </w:r>
            <w:r w:rsidRPr="00FC1DBF">
              <w:t>e</w:t>
            </w:r>
            <w:r w:rsidRPr="00FC1DBF">
              <w:rPr>
                <w:spacing w:val="-2"/>
              </w:rPr>
              <w:t>n</w:t>
            </w:r>
            <w:r w:rsidRPr="00FC1DBF">
              <w:t>t</w:t>
            </w:r>
          </w:p>
        </w:tc>
        <w:tc>
          <w:tcPr>
            <w:tcW w:w="1488" w:type="dxa"/>
          </w:tcPr>
          <w:p w:rsidR="00334066" w:rsidRPr="00865D14" w:rsidRDefault="00334066" w:rsidP="00255AA3">
            <w:pPr>
              <w:pStyle w:val="E3Tabletext"/>
              <w:rPr>
                <w:rFonts w:ascii="Times New Roman" w:hAnsi="Times New Roman"/>
                <w:sz w:val="24"/>
              </w:rPr>
            </w:pPr>
            <w:r w:rsidRPr="00865D14">
              <w:rPr>
                <w:w w:val="99"/>
              </w:rPr>
              <w:t>600</w:t>
            </w:r>
          </w:p>
        </w:tc>
        <w:tc>
          <w:tcPr>
            <w:tcW w:w="1418" w:type="dxa"/>
          </w:tcPr>
          <w:p w:rsidR="00334066" w:rsidRPr="00865D14" w:rsidRDefault="00334066" w:rsidP="00255AA3">
            <w:pPr>
              <w:pStyle w:val="E3Tabletext"/>
              <w:rPr>
                <w:rFonts w:ascii="Times New Roman" w:hAnsi="Times New Roman"/>
                <w:sz w:val="24"/>
              </w:rPr>
            </w:pPr>
            <w:r w:rsidRPr="00865D14">
              <w:rPr>
                <w:w w:val="99"/>
              </w:rPr>
              <w:t>30</w:t>
            </w:r>
            <w:r w:rsidRPr="00865D14">
              <w:rPr>
                <w:spacing w:val="3"/>
                <w:w w:val="99"/>
              </w:rPr>
              <w:t>-</w:t>
            </w:r>
            <w:r w:rsidRPr="00865D14">
              <w:rPr>
                <w:w w:val="99"/>
              </w:rPr>
              <w:t>40</w:t>
            </w:r>
          </w:p>
        </w:tc>
        <w:tc>
          <w:tcPr>
            <w:tcW w:w="1818" w:type="dxa"/>
          </w:tcPr>
          <w:p w:rsidR="00334066" w:rsidRPr="00865D14" w:rsidRDefault="00334066" w:rsidP="00255AA3">
            <w:pPr>
              <w:pStyle w:val="E3Tabletext"/>
              <w:rPr>
                <w:rFonts w:ascii="Times New Roman" w:hAnsi="Times New Roman"/>
                <w:sz w:val="24"/>
              </w:rPr>
            </w:pPr>
            <w:r w:rsidRPr="00865D14">
              <w:t>60-</w:t>
            </w:r>
            <w:r w:rsidRPr="00865D14">
              <w:rPr>
                <w:spacing w:val="-2"/>
                <w:w w:val="99"/>
              </w:rPr>
              <w:t>7</w:t>
            </w:r>
            <w:r w:rsidRPr="00865D14">
              <w:rPr>
                <w:w w:val="99"/>
              </w:rPr>
              <w:t>5</w:t>
            </w:r>
          </w:p>
        </w:tc>
        <w:tc>
          <w:tcPr>
            <w:tcW w:w="1686" w:type="dxa"/>
            <w:vMerge/>
          </w:tcPr>
          <w:p w:rsidR="00334066" w:rsidRPr="00865D14" w:rsidRDefault="00334066" w:rsidP="00235234">
            <w:pPr>
              <w:widowControl w:val="0"/>
              <w:autoSpaceDE w:val="0"/>
              <w:autoSpaceDN w:val="0"/>
              <w:adjustRightInd w:val="0"/>
              <w:spacing w:before="1" w:after="0" w:line="240" w:lineRule="auto"/>
              <w:ind w:left="15" w:hanging="15"/>
              <w:jc w:val="center"/>
              <w:rPr>
                <w:rFonts w:ascii="Arial" w:hAnsi="Arial" w:cs="Arial"/>
                <w:color w:val="282828"/>
                <w:spacing w:val="-1"/>
                <w:sz w:val="20"/>
                <w:szCs w:val="20"/>
              </w:rPr>
            </w:pPr>
          </w:p>
        </w:tc>
      </w:tr>
      <w:tr w:rsidR="00E42B8F" w:rsidRPr="00865D14" w:rsidTr="0094540D">
        <w:trPr>
          <w:cantSplit/>
          <w:trHeight w:hRule="exact" w:val="250"/>
          <w:jc w:val="center"/>
        </w:trPr>
        <w:tc>
          <w:tcPr>
            <w:tcW w:w="8203" w:type="dxa"/>
            <w:gridSpan w:val="4"/>
          </w:tcPr>
          <w:p w:rsidR="00E42B8F" w:rsidRPr="0038253D" w:rsidRDefault="00E42B8F" w:rsidP="00E42B8F">
            <w:pPr>
              <w:pStyle w:val="E3TableSubHeading"/>
              <w:rPr>
                <w:rFonts w:ascii="Arial" w:hAnsi="Arial" w:cs="Arial"/>
                <w:color w:val="282828"/>
                <w:spacing w:val="-1"/>
                <w:w w:val="99"/>
                <w:sz w:val="20"/>
                <w:szCs w:val="20"/>
              </w:rPr>
            </w:pPr>
            <w:r w:rsidRPr="0038253D">
              <w:t xml:space="preserve">Class </w:t>
            </w:r>
            <w:r>
              <w:t xml:space="preserve">4PAR16 &amp; R50 </w:t>
            </w:r>
            <w:r w:rsidRPr="0038253D">
              <w:t>lamps</w:t>
            </w:r>
          </w:p>
        </w:tc>
        <w:tc>
          <w:tcPr>
            <w:tcW w:w="1686" w:type="dxa"/>
            <w:vMerge/>
          </w:tcPr>
          <w:p w:rsidR="00E42B8F" w:rsidRPr="0038253D" w:rsidRDefault="00E42B8F" w:rsidP="00235234">
            <w:pPr>
              <w:widowControl w:val="0"/>
              <w:autoSpaceDE w:val="0"/>
              <w:autoSpaceDN w:val="0"/>
              <w:adjustRightInd w:val="0"/>
              <w:spacing w:before="1" w:after="0" w:line="240" w:lineRule="auto"/>
              <w:ind w:left="15" w:hanging="15"/>
              <w:jc w:val="center"/>
              <w:rPr>
                <w:rFonts w:ascii="Arial" w:hAnsi="Arial" w:cs="Arial"/>
                <w:color w:val="282828"/>
                <w:spacing w:val="-1"/>
                <w:w w:val="99"/>
                <w:sz w:val="20"/>
                <w:szCs w:val="20"/>
              </w:rPr>
            </w:pPr>
          </w:p>
        </w:tc>
      </w:tr>
      <w:tr w:rsidR="00334066" w:rsidRPr="00865D14" w:rsidTr="0094540D">
        <w:trPr>
          <w:cantSplit/>
          <w:trHeight w:hRule="exact" w:val="250"/>
          <w:jc w:val="center"/>
        </w:trPr>
        <w:tc>
          <w:tcPr>
            <w:tcW w:w="3479" w:type="dxa"/>
          </w:tcPr>
          <w:p w:rsidR="00334066" w:rsidRPr="00FC1DBF" w:rsidRDefault="00334066" w:rsidP="00255AA3">
            <w:pPr>
              <w:pStyle w:val="E3Tabletext"/>
              <w:rPr>
                <w:w w:val="99"/>
              </w:rPr>
            </w:pPr>
            <w:r>
              <w:t xml:space="preserve">25 </w:t>
            </w:r>
            <w:r w:rsidRPr="00FC1DBF">
              <w:t xml:space="preserve">W </w:t>
            </w:r>
            <w:r>
              <w:t>incandescent</w:t>
            </w:r>
            <w:r w:rsidR="001C7E9A">
              <w:t xml:space="preserve"> </w:t>
            </w:r>
            <w:r>
              <w:rPr>
                <w:spacing w:val="3"/>
              </w:rPr>
              <w:t>replacem</w:t>
            </w:r>
            <w:r w:rsidRPr="00FC1DBF">
              <w:t>e</w:t>
            </w:r>
            <w:r w:rsidRPr="00FC1DBF">
              <w:rPr>
                <w:spacing w:val="-2"/>
              </w:rPr>
              <w:t>n</w:t>
            </w:r>
            <w:r w:rsidRPr="00FC1DBF">
              <w:t>t</w:t>
            </w:r>
          </w:p>
        </w:tc>
        <w:tc>
          <w:tcPr>
            <w:tcW w:w="1488" w:type="dxa"/>
          </w:tcPr>
          <w:p w:rsidR="00334066" w:rsidRPr="0038253D" w:rsidRDefault="00334066" w:rsidP="00255AA3">
            <w:pPr>
              <w:pStyle w:val="E3Tabletext"/>
              <w:rPr>
                <w:w w:val="99"/>
              </w:rPr>
            </w:pPr>
            <w:r w:rsidRPr="0038253D">
              <w:rPr>
                <w:w w:val="99"/>
              </w:rPr>
              <w:t>200</w:t>
            </w:r>
          </w:p>
        </w:tc>
        <w:tc>
          <w:tcPr>
            <w:tcW w:w="1418" w:type="dxa"/>
          </w:tcPr>
          <w:p w:rsidR="00334066" w:rsidRPr="0038253D" w:rsidRDefault="00334066" w:rsidP="00255AA3">
            <w:pPr>
              <w:pStyle w:val="E3Tabletext"/>
              <w:rPr>
                <w:w w:val="99"/>
              </w:rPr>
            </w:pPr>
            <w:r>
              <w:rPr>
                <w:w w:val="99"/>
              </w:rPr>
              <w:t xml:space="preserve">26 </w:t>
            </w:r>
            <w:r w:rsidRPr="00865D14">
              <w:rPr>
                <w:spacing w:val="3"/>
                <w:w w:val="99"/>
              </w:rPr>
              <w:t>-</w:t>
            </w:r>
            <w:r>
              <w:rPr>
                <w:spacing w:val="3"/>
                <w:w w:val="99"/>
              </w:rPr>
              <w:t xml:space="preserve"> 36</w:t>
            </w:r>
          </w:p>
        </w:tc>
        <w:tc>
          <w:tcPr>
            <w:tcW w:w="1818" w:type="dxa"/>
          </w:tcPr>
          <w:p w:rsidR="00334066" w:rsidRPr="0038253D" w:rsidRDefault="00334066" w:rsidP="00255AA3">
            <w:pPr>
              <w:pStyle w:val="E3Tabletext"/>
              <w:rPr>
                <w:w w:val="99"/>
              </w:rPr>
            </w:pPr>
            <w:r>
              <w:rPr>
                <w:w w:val="99"/>
              </w:rPr>
              <w:t>N/A</w:t>
            </w:r>
          </w:p>
        </w:tc>
        <w:tc>
          <w:tcPr>
            <w:tcW w:w="1686" w:type="dxa"/>
            <w:vMerge/>
          </w:tcPr>
          <w:p w:rsidR="00334066" w:rsidRDefault="00334066" w:rsidP="00235234">
            <w:pPr>
              <w:widowControl w:val="0"/>
              <w:autoSpaceDE w:val="0"/>
              <w:autoSpaceDN w:val="0"/>
              <w:adjustRightInd w:val="0"/>
              <w:spacing w:before="1" w:after="0" w:line="240" w:lineRule="auto"/>
              <w:ind w:left="15" w:hanging="15"/>
              <w:jc w:val="center"/>
              <w:rPr>
                <w:rFonts w:ascii="Arial" w:hAnsi="Arial" w:cs="Arial"/>
                <w:color w:val="282828"/>
                <w:spacing w:val="-1"/>
                <w:w w:val="99"/>
                <w:sz w:val="20"/>
                <w:szCs w:val="20"/>
              </w:rPr>
            </w:pPr>
          </w:p>
        </w:tc>
      </w:tr>
      <w:tr w:rsidR="00334066" w:rsidRPr="00865D14" w:rsidTr="0094540D">
        <w:trPr>
          <w:cantSplit/>
          <w:trHeight w:hRule="exact" w:val="250"/>
          <w:jc w:val="center"/>
        </w:trPr>
        <w:tc>
          <w:tcPr>
            <w:tcW w:w="3479" w:type="dxa"/>
          </w:tcPr>
          <w:p w:rsidR="00334066" w:rsidRPr="00FC1DBF" w:rsidRDefault="00334066" w:rsidP="00255AA3">
            <w:pPr>
              <w:pStyle w:val="E3Tabletext"/>
              <w:rPr>
                <w:w w:val="99"/>
              </w:rPr>
            </w:pPr>
            <w:r>
              <w:t xml:space="preserve">40 </w:t>
            </w:r>
            <w:r w:rsidRPr="00FC1DBF">
              <w:t xml:space="preserve">W </w:t>
            </w:r>
            <w:r>
              <w:t>incandescent</w:t>
            </w:r>
            <w:r w:rsidR="001C7E9A">
              <w:t xml:space="preserve"> </w:t>
            </w:r>
            <w:r>
              <w:rPr>
                <w:spacing w:val="3"/>
              </w:rPr>
              <w:t>replacem</w:t>
            </w:r>
            <w:r w:rsidRPr="00FC1DBF">
              <w:t>e</w:t>
            </w:r>
            <w:r w:rsidRPr="00FC1DBF">
              <w:rPr>
                <w:spacing w:val="-2"/>
              </w:rPr>
              <w:t>n</w:t>
            </w:r>
            <w:r w:rsidRPr="00FC1DBF">
              <w:t>t</w:t>
            </w:r>
          </w:p>
        </w:tc>
        <w:tc>
          <w:tcPr>
            <w:tcW w:w="1488" w:type="dxa"/>
          </w:tcPr>
          <w:p w:rsidR="00334066" w:rsidRPr="0038253D" w:rsidRDefault="00334066" w:rsidP="00255AA3">
            <w:pPr>
              <w:pStyle w:val="E3Tabletext"/>
              <w:rPr>
                <w:w w:val="99"/>
              </w:rPr>
            </w:pPr>
            <w:r w:rsidRPr="0038253D">
              <w:rPr>
                <w:w w:val="99"/>
              </w:rPr>
              <w:t>320</w:t>
            </w:r>
          </w:p>
        </w:tc>
        <w:tc>
          <w:tcPr>
            <w:tcW w:w="1418" w:type="dxa"/>
          </w:tcPr>
          <w:p w:rsidR="00334066" w:rsidRPr="0038253D" w:rsidRDefault="00334066" w:rsidP="00255AA3">
            <w:pPr>
              <w:pStyle w:val="E3Tabletext"/>
              <w:rPr>
                <w:w w:val="99"/>
              </w:rPr>
            </w:pPr>
            <w:r>
              <w:rPr>
                <w:w w:val="99"/>
              </w:rPr>
              <w:t xml:space="preserve">26 </w:t>
            </w:r>
            <w:r w:rsidRPr="00865D14">
              <w:rPr>
                <w:spacing w:val="3"/>
                <w:w w:val="99"/>
              </w:rPr>
              <w:t>-</w:t>
            </w:r>
            <w:r>
              <w:rPr>
                <w:spacing w:val="3"/>
                <w:w w:val="99"/>
              </w:rPr>
              <w:t xml:space="preserve"> 36</w:t>
            </w:r>
          </w:p>
        </w:tc>
        <w:tc>
          <w:tcPr>
            <w:tcW w:w="1818" w:type="dxa"/>
          </w:tcPr>
          <w:p w:rsidR="00334066" w:rsidRPr="0038253D" w:rsidRDefault="00334066" w:rsidP="00255AA3">
            <w:pPr>
              <w:pStyle w:val="E3Tabletext"/>
              <w:rPr>
                <w:w w:val="99"/>
              </w:rPr>
            </w:pPr>
            <w:r>
              <w:rPr>
                <w:w w:val="99"/>
              </w:rPr>
              <w:t>N/A</w:t>
            </w:r>
          </w:p>
        </w:tc>
        <w:tc>
          <w:tcPr>
            <w:tcW w:w="1686" w:type="dxa"/>
            <w:vMerge/>
          </w:tcPr>
          <w:p w:rsidR="00334066" w:rsidRDefault="00334066" w:rsidP="00235234">
            <w:pPr>
              <w:widowControl w:val="0"/>
              <w:autoSpaceDE w:val="0"/>
              <w:autoSpaceDN w:val="0"/>
              <w:adjustRightInd w:val="0"/>
              <w:spacing w:before="1" w:after="0" w:line="240" w:lineRule="auto"/>
              <w:ind w:left="15" w:hanging="15"/>
              <w:jc w:val="center"/>
              <w:rPr>
                <w:rFonts w:ascii="Arial" w:hAnsi="Arial" w:cs="Arial"/>
                <w:color w:val="282828"/>
                <w:spacing w:val="-1"/>
                <w:w w:val="99"/>
                <w:sz w:val="20"/>
                <w:szCs w:val="20"/>
              </w:rPr>
            </w:pPr>
          </w:p>
        </w:tc>
      </w:tr>
      <w:tr w:rsidR="00E42B8F" w:rsidRPr="00865D14" w:rsidTr="0094540D">
        <w:trPr>
          <w:cantSplit/>
          <w:trHeight w:hRule="exact" w:val="269"/>
          <w:jc w:val="center"/>
        </w:trPr>
        <w:tc>
          <w:tcPr>
            <w:tcW w:w="8203" w:type="dxa"/>
            <w:gridSpan w:val="4"/>
          </w:tcPr>
          <w:p w:rsidR="00E42B8F" w:rsidRPr="0038253D" w:rsidRDefault="00E42B8F" w:rsidP="00E42B8F">
            <w:pPr>
              <w:pStyle w:val="E3TableSubHeading"/>
              <w:rPr>
                <w:rFonts w:ascii="Arial" w:hAnsi="Arial" w:cs="Arial"/>
                <w:color w:val="282828"/>
                <w:spacing w:val="-1"/>
                <w:w w:val="99"/>
                <w:sz w:val="20"/>
                <w:szCs w:val="20"/>
              </w:rPr>
            </w:pPr>
            <w:r w:rsidRPr="0038253D">
              <w:t xml:space="preserve">Class </w:t>
            </w:r>
            <w:r>
              <w:t xml:space="preserve">4PAR20 &amp; R63 </w:t>
            </w:r>
            <w:r w:rsidRPr="0038253D">
              <w:t>lamps</w:t>
            </w:r>
          </w:p>
        </w:tc>
        <w:tc>
          <w:tcPr>
            <w:tcW w:w="1686" w:type="dxa"/>
            <w:vMerge/>
          </w:tcPr>
          <w:p w:rsidR="00E42B8F" w:rsidRPr="0038253D" w:rsidRDefault="00E42B8F" w:rsidP="00235234">
            <w:pPr>
              <w:widowControl w:val="0"/>
              <w:autoSpaceDE w:val="0"/>
              <w:autoSpaceDN w:val="0"/>
              <w:adjustRightInd w:val="0"/>
              <w:spacing w:after="0" w:line="226" w:lineRule="exact"/>
              <w:ind w:left="15" w:hanging="15"/>
              <w:jc w:val="center"/>
              <w:rPr>
                <w:rFonts w:ascii="Arial" w:hAnsi="Arial" w:cs="Arial"/>
                <w:color w:val="282828"/>
                <w:spacing w:val="-1"/>
                <w:w w:val="99"/>
                <w:sz w:val="20"/>
                <w:szCs w:val="20"/>
              </w:rPr>
            </w:pPr>
          </w:p>
        </w:tc>
      </w:tr>
      <w:tr w:rsidR="00334066" w:rsidRPr="00865D14" w:rsidTr="0094540D">
        <w:trPr>
          <w:cantSplit/>
          <w:trHeight w:hRule="exact" w:val="251"/>
          <w:jc w:val="center"/>
        </w:trPr>
        <w:tc>
          <w:tcPr>
            <w:tcW w:w="3479" w:type="dxa"/>
          </w:tcPr>
          <w:p w:rsidR="00334066" w:rsidRPr="00FC1DBF" w:rsidRDefault="00334066" w:rsidP="00255AA3">
            <w:pPr>
              <w:pStyle w:val="E3Tabletext"/>
              <w:rPr>
                <w:w w:val="99"/>
              </w:rPr>
            </w:pPr>
            <w:r>
              <w:t xml:space="preserve">25 </w:t>
            </w:r>
            <w:r w:rsidRPr="00FC1DBF">
              <w:t xml:space="preserve">W </w:t>
            </w:r>
            <w:r>
              <w:t>incandescent</w:t>
            </w:r>
            <w:r w:rsidR="001C7E9A">
              <w:t xml:space="preserve"> </w:t>
            </w:r>
            <w:r>
              <w:rPr>
                <w:spacing w:val="3"/>
              </w:rPr>
              <w:t>replacem</w:t>
            </w:r>
            <w:r w:rsidRPr="00FC1DBF">
              <w:t>e</w:t>
            </w:r>
            <w:r w:rsidRPr="00FC1DBF">
              <w:rPr>
                <w:spacing w:val="-2"/>
              </w:rPr>
              <w:t>n</w:t>
            </w:r>
            <w:r w:rsidRPr="00FC1DBF">
              <w:t>t</w:t>
            </w:r>
          </w:p>
        </w:tc>
        <w:tc>
          <w:tcPr>
            <w:tcW w:w="1488" w:type="dxa"/>
          </w:tcPr>
          <w:p w:rsidR="00334066" w:rsidRPr="0038253D" w:rsidRDefault="00334066" w:rsidP="00255AA3">
            <w:pPr>
              <w:pStyle w:val="E3Tabletext"/>
              <w:rPr>
                <w:w w:val="99"/>
              </w:rPr>
            </w:pPr>
            <w:r>
              <w:rPr>
                <w:w w:val="99"/>
              </w:rPr>
              <w:t>250</w:t>
            </w:r>
          </w:p>
        </w:tc>
        <w:tc>
          <w:tcPr>
            <w:tcW w:w="1418" w:type="dxa"/>
          </w:tcPr>
          <w:p w:rsidR="00334066" w:rsidRPr="0038253D" w:rsidRDefault="00334066" w:rsidP="00255AA3">
            <w:pPr>
              <w:pStyle w:val="E3Tabletext"/>
              <w:rPr>
                <w:w w:val="99"/>
              </w:rPr>
            </w:pPr>
            <w:r>
              <w:rPr>
                <w:w w:val="99"/>
              </w:rPr>
              <w:t xml:space="preserve">26 </w:t>
            </w:r>
            <w:r w:rsidRPr="00865D14">
              <w:rPr>
                <w:spacing w:val="3"/>
                <w:w w:val="99"/>
              </w:rPr>
              <w:t>-</w:t>
            </w:r>
            <w:r>
              <w:rPr>
                <w:spacing w:val="3"/>
                <w:w w:val="99"/>
              </w:rPr>
              <w:t xml:space="preserve"> 36</w:t>
            </w:r>
          </w:p>
        </w:tc>
        <w:tc>
          <w:tcPr>
            <w:tcW w:w="1818" w:type="dxa"/>
          </w:tcPr>
          <w:p w:rsidR="00334066" w:rsidRPr="0038253D" w:rsidRDefault="00334066" w:rsidP="00255AA3">
            <w:pPr>
              <w:pStyle w:val="E3Tabletext"/>
              <w:rPr>
                <w:w w:val="99"/>
              </w:rPr>
            </w:pPr>
            <w:r>
              <w:rPr>
                <w:w w:val="99"/>
              </w:rPr>
              <w:t>N/A</w:t>
            </w:r>
          </w:p>
        </w:tc>
        <w:tc>
          <w:tcPr>
            <w:tcW w:w="1686" w:type="dxa"/>
            <w:vMerge/>
          </w:tcPr>
          <w:p w:rsidR="00334066" w:rsidRDefault="00334066" w:rsidP="00235234">
            <w:pPr>
              <w:widowControl w:val="0"/>
              <w:autoSpaceDE w:val="0"/>
              <w:autoSpaceDN w:val="0"/>
              <w:adjustRightInd w:val="0"/>
              <w:spacing w:before="1" w:after="0" w:line="240" w:lineRule="auto"/>
              <w:ind w:left="15" w:hanging="15"/>
              <w:jc w:val="center"/>
              <w:rPr>
                <w:rFonts w:ascii="Arial" w:hAnsi="Arial" w:cs="Arial"/>
                <w:color w:val="282828"/>
                <w:spacing w:val="-1"/>
                <w:w w:val="99"/>
                <w:sz w:val="20"/>
                <w:szCs w:val="20"/>
              </w:rPr>
            </w:pPr>
          </w:p>
        </w:tc>
      </w:tr>
      <w:tr w:rsidR="00334066" w:rsidRPr="00865D14" w:rsidTr="0094540D">
        <w:trPr>
          <w:cantSplit/>
          <w:trHeight w:hRule="exact" w:val="250"/>
          <w:jc w:val="center"/>
        </w:trPr>
        <w:tc>
          <w:tcPr>
            <w:tcW w:w="3479" w:type="dxa"/>
          </w:tcPr>
          <w:p w:rsidR="00334066" w:rsidRPr="00FC1DBF" w:rsidRDefault="00334066" w:rsidP="00255AA3">
            <w:pPr>
              <w:pStyle w:val="E3Tabletext"/>
              <w:rPr>
                <w:w w:val="99"/>
              </w:rPr>
            </w:pPr>
            <w:r>
              <w:t xml:space="preserve">40 </w:t>
            </w:r>
            <w:r w:rsidRPr="00FC1DBF">
              <w:t xml:space="preserve">W </w:t>
            </w:r>
            <w:r>
              <w:t>incandescent</w:t>
            </w:r>
            <w:r w:rsidR="001C7E9A">
              <w:t xml:space="preserve"> </w:t>
            </w:r>
            <w:r>
              <w:rPr>
                <w:spacing w:val="3"/>
              </w:rPr>
              <w:t>replacem</w:t>
            </w:r>
            <w:r w:rsidRPr="00FC1DBF">
              <w:t>e</w:t>
            </w:r>
            <w:r w:rsidRPr="00FC1DBF">
              <w:rPr>
                <w:spacing w:val="-2"/>
              </w:rPr>
              <w:t>n</w:t>
            </w:r>
            <w:r w:rsidRPr="00FC1DBF">
              <w:t>t</w:t>
            </w:r>
          </w:p>
        </w:tc>
        <w:tc>
          <w:tcPr>
            <w:tcW w:w="1488" w:type="dxa"/>
          </w:tcPr>
          <w:p w:rsidR="00334066" w:rsidRPr="0038253D" w:rsidRDefault="00334066" w:rsidP="00255AA3">
            <w:pPr>
              <w:pStyle w:val="E3Tabletext"/>
              <w:rPr>
                <w:w w:val="99"/>
              </w:rPr>
            </w:pPr>
            <w:r>
              <w:rPr>
                <w:w w:val="99"/>
              </w:rPr>
              <w:t>390</w:t>
            </w:r>
          </w:p>
        </w:tc>
        <w:tc>
          <w:tcPr>
            <w:tcW w:w="1418" w:type="dxa"/>
          </w:tcPr>
          <w:p w:rsidR="00334066" w:rsidRPr="0038253D" w:rsidRDefault="00334066" w:rsidP="00255AA3">
            <w:pPr>
              <w:pStyle w:val="E3Tabletext"/>
              <w:rPr>
                <w:w w:val="99"/>
              </w:rPr>
            </w:pPr>
            <w:r>
              <w:rPr>
                <w:w w:val="99"/>
              </w:rPr>
              <w:t xml:space="preserve">26 </w:t>
            </w:r>
            <w:r w:rsidRPr="00865D14">
              <w:rPr>
                <w:spacing w:val="3"/>
                <w:w w:val="99"/>
              </w:rPr>
              <w:t>-</w:t>
            </w:r>
            <w:r>
              <w:rPr>
                <w:spacing w:val="3"/>
                <w:w w:val="99"/>
              </w:rPr>
              <w:t xml:space="preserve"> 36</w:t>
            </w:r>
          </w:p>
        </w:tc>
        <w:tc>
          <w:tcPr>
            <w:tcW w:w="1818" w:type="dxa"/>
          </w:tcPr>
          <w:p w:rsidR="00334066" w:rsidRPr="0038253D" w:rsidRDefault="00334066" w:rsidP="00255AA3">
            <w:pPr>
              <w:pStyle w:val="E3Tabletext"/>
              <w:rPr>
                <w:w w:val="99"/>
              </w:rPr>
            </w:pPr>
            <w:r>
              <w:rPr>
                <w:w w:val="99"/>
              </w:rPr>
              <w:t>N/A</w:t>
            </w:r>
          </w:p>
        </w:tc>
        <w:tc>
          <w:tcPr>
            <w:tcW w:w="1686" w:type="dxa"/>
            <w:vMerge/>
          </w:tcPr>
          <w:p w:rsidR="00334066" w:rsidRDefault="00334066" w:rsidP="00235234">
            <w:pPr>
              <w:widowControl w:val="0"/>
              <w:autoSpaceDE w:val="0"/>
              <w:autoSpaceDN w:val="0"/>
              <w:adjustRightInd w:val="0"/>
              <w:spacing w:before="1" w:after="0" w:line="240" w:lineRule="auto"/>
              <w:ind w:left="15" w:hanging="15"/>
              <w:jc w:val="center"/>
              <w:rPr>
                <w:rFonts w:ascii="Arial" w:hAnsi="Arial" w:cs="Arial"/>
                <w:color w:val="282828"/>
                <w:spacing w:val="-1"/>
                <w:w w:val="99"/>
                <w:sz w:val="20"/>
                <w:szCs w:val="20"/>
              </w:rPr>
            </w:pPr>
          </w:p>
        </w:tc>
      </w:tr>
      <w:tr w:rsidR="00334066" w:rsidRPr="00865D14" w:rsidTr="0094540D">
        <w:trPr>
          <w:cantSplit/>
          <w:trHeight w:hRule="exact" w:val="250"/>
          <w:jc w:val="center"/>
        </w:trPr>
        <w:tc>
          <w:tcPr>
            <w:tcW w:w="3479" w:type="dxa"/>
          </w:tcPr>
          <w:p w:rsidR="00334066" w:rsidRPr="00FC1DBF" w:rsidRDefault="00334066" w:rsidP="00255AA3">
            <w:pPr>
              <w:pStyle w:val="E3Tabletext"/>
              <w:rPr>
                <w:w w:val="99"/>
              </w:rPr>
            </w:pPr>
            <w:r>
              <w:t xml:space="preserve">60 </w:t>
            </w:r>
            <w:r w:rsidRPr="00FC1DBF">
              <w:t xml:space="preserve">W </w:t>
            </w:r>
            <w:r>
              <w:t>incandescent</w:t>
            </w:r>
            <w:r w:rsidR="001C7E9A">
              <w:t xml:space="preserve"> </w:t>
            </w:r>
            <w:r>
              <w:rPr>
                <w:spacing w:val="3"/>
              </w:rPr>
              <w:t>replacem</w:t>
            </w:r>
            <w:r w:rsidRPr="00FC1DBF">
              <w:t>e</w:t>
            </w:r>
            <w:r w:rsidRPr="00FC1DBF">
              <w:rPr>
                <w:spacing w:val="-2"/>
              </w:rPr>
              <w:t>n</w:t>
            </w:r>
            <w:r w:rsidRPr="00FC1DBF">
              <w:t>t</w:t>
            </w:r>
          </w:p>
        </w:tc>
        <w:tc>
          <w:tcPr>
            <w:tcW w:w="1488" w:type="dxa"/>
          </w:tcPr>
          <w:p w:rsidR="00334066" w:rsidRPr="0038253D" w:rsidRDefault="00334066" w:rsidP="00255AA3">
            <w:pPr>
              <w:pStyle w:val="E3Tabletext"/>
              <w:rPr>
                <w:w w:val="99"/>
              </w:rPr>
            </w:pPr>
            <w:r>
              <w:rPr>
                <w:w w:val="99"/>
              </w:rPr>
              <w:t>670</w:t>
            </w:r>
          </w:p>
        </w:tc>
        <w:tc>
          <w:tcPr>
            <w:tcW w:w="1418" w:type="dxa"/>
          </w:tcPr>
          <w:p w:rsidR="00334066" w:rsidRPr="0038253D" w:rsidRDefault="00334066" w:rsidP="00255AA3">
            <w:pPr>
              <w:pStyle w:val="E3Tabletext"/>
              <w:rPr>
                <w:w w:val="99"/>
              </w:rPr>
            </w:pPr>
            <w:r>
              <w:rPr>
                <w:w w:val="99"/>
              </w:rPr>
              <w:t xml:space="preserve">26 </w:t>
            </w:r>
            <w:r w:rsidRPr="00865D14">
              <w:rPr>
                <w:spacing w:val="3"/>
                <w:w w:val="99"/>
              </w:rPr>
              <w:t>-</w:t>
            </w:r>
            <w:r>
              <w:rPr>
                <w:spacing w:val="3"/>
                <w:w w:val="99"/>
              </w:rPr>
              <w:t xml:space="preserve"> 36</w:t>
            </w:r>
          </w:p>
        </w:tc>
        <w:tc>
          <w:tcPr>
            <w:tcW w:w="1818" w:type="dxa"/>
          </w:tcPr>
          <w:p w:rsidR="00334066" w:rsidRPr="0038253D" w:rsidRDefault="00334066" w:rsidP="00255AA3">
            <w:pPr>
              <w:pStyle w:val="E3Tabletext"/>
              <w:rPr>
                <w:w w:val="99"/>
              </w:rPr>
            </w:pPr>
            <w:r>
              <w:rPr>
                <w:w w:val="99"/>
              </w:rPr>
              <w:t>N/A</w:t>
            </w:r>
          </w:p>
        </w:tc>
        <w:tc>
          <w:tcPr>
            <w:tcW w:w="1686" w:type="dxa"/>
            <w:vMerge/>
          </w:tcPr>
          <w:p w:rsidR="00334066" w:rsidRDefault="00334066" w:rsidP="00235234">
            <w:pPr>
              <w:widowControl w:val="0"/>
              <w:autoSpaceDE w:val="0"/>
              <w:autoSpaceDN w:val="0"/>
              <w:adjustRightInd w:val="0"/>
              <w:spacing w:before="1" w:after="0" w:line="240" w:lineRule="auto"/>
              <w:ind w:left="15" w:hanging="15"/>
              <w:jc w:val="center"/>
              <w:rPr>
                <w:rFonts w:ascii="Arial" w:hAnsi="Arial" w:cs="Arial"/>
                <w:color w:val="282828"/>
                <w:spacing w:val="-1"/>
                <w:w w:val="99"/>
                <w:sz w:val="20"/>
                <w:szCs w:val="20"/>
              </w:rPr>
            </w:pPr>
          </w:p>
        </w:tc>
      </w:tr>
      <w:tr w:rsidR="00E42B8F" w:rsidRPr="00865D14" w:rsidTr="0094540D">
        <w:trPr>
          <w:cantSplit/>
          <w:trHeight w:hRule="exact" w:val="250"/>
          <w:jc w:val="center"/>
        </w:trPr>
        <w:tc>
          <w:tcPr>
            <w:tcW w:w="8203" w:type="dxa"/>
            <w:gridSpan w:val="4"/>
          </w:tcPr>
          <w:p w:rsidR="00E42B8F" w:rsidRDefault="00E42B8F" w:rsidP="00E42B8F">
            <w:pPr>
              <w:pStyle w:val="E3TableSubHeading"/>
              <w:rPr>
                <w:rFonts w:ascii="Arial" w:hAnsi="Arial" w:cs="Arial"/>
                <w:color w:val="282828"/>
                <w:spacing w:val="-1"/>
                <w:w w:val="99"/>
                <w:sz w:val="20"/>
                <w:szCs w:val="20"/>
              </w:rPr>
            </w:pPr>
            <w:r w:rsidRPr="0038253D">
              <w:t xml:space="preserve">Class </w:t>
            </w:r>
            <w:r>
              <w:t>2</w:t>
            </w:r>
            <w:r w:rsidRPr="0038253D">
              <w:t xml:space="preserve">1 </w:t>
            </w:r>
            <w:r>
              <w:t>MR16reflector modules</w:t>
            </w:r>
          </w:p>
        </w:tc>
        <w:tc>
          <w:tcPr>
            <w:tcW w:w="1686" w:type="dxa"/>
            <w:vMerge/>
          </w:tcPr>
          <w:p w:rsidR="00E42B8F" w:rsidRDefault="00E42B8F" w:rsidP="00235234">
            <w:pPr>
              <w:widowControl w:val="0"/>
              <w:autoSpaceDE w:val="0"/>
              <w:autoSpaceDN w:val="0"/>
              <w:adjustRightInd w:val="0"/>
              <w:spacing w:before="1" w:after="0" w:line="240" w:lineRule="auto"/>
              <w:ind w:left="15" w:hanging="15"/>
              <w:jc w:val="center"/>
              <w:rPr>
                <w:rFonts w:ascii="Arial" w:hAnsi="Arial" w:cs="Arial"/>
                <w:color w:val="282828"/>
                <w:spacing w:val="-1"/>
                <w:w w:val="99"/>
                <w:sz w:val="20"/>
                <w:szCs w:val="20"/>
              </w:rPr>
            </w:pPr>
          </w:p>
        </w:tc>
      </w:tr>
      <w:tr w:rsidR="00334066" w:rsidRPr="00865D14" w:rsidTr="0094540D">
        <w:trPr>
          <w:cantSplit/>
          <w:trHeight w:hRule="exact" w:val="250"/>
          <w:jc w:val="center"/>
        </w:trPr>
        <w:tc>
          <w:tcPr>
            <w:tcW w:w="3479" w:type="dxa"/>
          </w:tcPr>
          <w:p w:rsidR="00334066" w:rsidRPr="00FC1DBF" w:rsidRDefault="00334066" w:rsidP="00255AA3">
            <w:pPr>
              <w:pStyle w:val="E3Tabletext"/>
              <w:rPr>
                <w:w w:val="99"/>
              </w:rPr>
            </w:pPr>
            <w:r w:rsidRPr="00FC1DBF">
              <w:t>20W h</w:t>
            </w:r>
            <w:r w:rsidRPr="00FC1DBF">
              <w:rPr>
                <w:spacing w:val="-2"/>
              </w:rPr>
              <w:t>a</w:t>
            </w:r>
            <w:r w:rsidRPr="00FC1DBF">
              <w:rPr>
                <w:spacing w:val="-5"/>
              </w:rPr>
              <w:t>l</w:t>
            </w:r>
            <w:r w:rsidRPr="00FC1DBF">
              <w:rPr>
                <w:spacing w:val="-2"/>
              </w:rPr>
              <w:t>og</w:t>
            </w:r>
            <w:r w:rsidRPr="00FC1DBF">
              <w:t>en</w:t>
            </w:r>
            <w:r w:rsidRPr="00FC1DBF">
              <w:rPr>
                <w:spacing w:val="3"/>
              </w:rPr>
              <w:t xml:space="preserve"> e</w:t>
            </w:r>
            <w:r w:rsidRPr="00FC1DBF">
              <w:rPr>
                <w:spacing w:val="-2"/>
              </w:rPr>
              <w:t>q</w:t>
            </w:r>
            <w:r w:rsidRPr="00FC1DBF">
              <w:t>u</w:t>
            </w:r>
            <w:r w:rsidRPr="00FC1DBF">
              <w:rPr>
                <w:spacing w:val="-6"/>
              </w:rPr>
              <w:t>i</w:t>
            </w:r>
            <w:r w:rsidRPr="00FC1DBF">
              <w:t>va</w:t>
            </w:r>
            <w:r w:rsidRPr="00FC1DBF">
              <w:rPr>
                <w:spacing w:val="-6"/>
              </w:rPr>
              <w:t>l</w:t>
            </w:r>
            <w:r w:rsidRPr="00FC1DBF">
              <w:t>e</w:t>
            </w:r>
            <w:r w:rsidRPr="00FC1DBF">
              <w:rPr>
                <w:spacing w:val="-2"/>
              </w:rPr>
              <w:t>n</w:t>
            </w:r>
            <w:r w:rsidRPr="00FC1DBF">
              <w:t>t</w:t>
            </w:r>
          </w:p>
        </w:tc>
        <w:tc>
          <w:tcPr>
            <w:tcW w:w="1488" w:type="dxa"/>
          </w:tcPr>
          <w:p w:rsidR="00334066" w:rsidRDefault="00334066" w:rsidP="00255AA3">
            <w:pPr>
              <w:pStyle w:val="E3Tabletext"/>
              <w:rPr>
                <w:w w:val="99"/>
              </w:rPr>
            </w:pPr>
            <w:r>
              <w:rPr>
                <w:w w:val="99"/>
              </w:rPr>
              <w:t>405</w:t>
            </w:r>
          </w:p>
        </w:tc>
        <w:tc>
          <w:tcPr>
            <w:tcW w:w="1418" w:type="dxa"/>
          </w:tcPr>
          <w:p w:rsidR="00334066" w:rsidRPr="00865D14" w:rsidRDefault="00334066" w:rsidP="00255AA3">
            <w:pPr>
              <w:pStyle w:val="E3Tabletext"/>
              <w:rPr>
                <w:rFonts w:ascii="Times New Roman" w:hAnsi="Times New Roman"/>
                <w:sz w:val="24"/>
              </w:rPr>
            </w:pPr>
            <w:r w:rsidRPr="00865D14">
              <w:rPr>
                <w:w w:val="99"/>
              </w:rPr>
              <w:t>30</w:t>
            </w:r>
            <w:r w:rsidRPr="00865D14">
              <w:rPr>
                <w:spacing w:val="3"/>
                <w:w w:val="99"/>
              </w:rPr>
              <w:t>-</w:t>
            </w:r>
            <w:r w:rsidRPr="00865D14">
              <w:rPr>
                <w:w w:val="99"/>
              </w:rPr>
              <w:t>40</w:t>
            </w:r>
          </w:p>
        </w:tc>
        <w:tc>
          <w:tcPr>
            <w:tcW w:w="1818" w:type="dxa"/>
          </w:tcPr>
          <w:p w:rsidR="00334066" w:rsidRPr="00865D14" w:rsidRDefault="00334066" w:rsidP="00255AA3">
            <w:pPr>
              <w:pStyle w:val="E3Tabletext"/>
              <w:rPr>
                <w:rFonts w:ascii="Times New Roman" w:hAnsi="Times New Roman"/>
                <w:sz w:val="24"/>
              </w:rPr>
            </w:pPr>
            <w:r w:rsidRPr="00865D14">
              <w:t>60-</w:t>
            </w:r>
            <w:r w:rsidRPr="00865D14">
              <w:rPr>
                <w:spacing w:val="-2"/>
                <w:w w:val="99"/>
              </w:rPr>
              <w:t>7</w:t>
            </w:r>
            <w:r w:rsidRPr="00865D14">
              <w:rPr>
                <w:w w:val="99"/>
              </w:rPr>
              <w:t>5</w:t>
            </w:r>
          </w:p>
        </w:tc>
        <w:tc>
          <w:tcPr>
            <w:tcW w:w="1686" w:type="dxa"/>
            <w:vMerge/>
          </w:tcPr>
          <w:p w:rsidR="00334066" w:rsidRPr="00865D14" w:rsidRDefault="00334066" w:rsidP="00235234">
            <w:pPr>
              <w:widowControl w:val="0"/>
              <w:autoSpaceDE w:val="0"/>
              <w:autoSpaceDN w:val="0"/>
              <w:adjustRightInd w:val="0"/>
              <w:spacing w:before="1" w:after="0" w:line="240" w:lineRule="auto"/>
              <w:ind w:left="15" w:hanging="15"/>
              <w:jc w:val="center"/>
              <w:rPr>
                <w:rFonts w:ascii="Arial" w:hAnsi="Arial" w:cs="Arial"/>
                <w:color w:val="282828"/>
                <w:spacing w:val="-1"/>
                <w:sz w:val="20"/>
                <w:szCs w:val="20"/>
              </w:rPr>
            </w:pPr>
          </w:p>
        </w:tc>
      </w:tr>
      <w:tr w:rsidR="00334066" w:rsidRPr="00865D14" w:rsidTr="0094540D">
        <w:trPr>
          <w:cantSplit/>
          <w:trHeight w:hRule="exact" w:val="260"/>
          <w:jc w:val="center"/>
        </w:trPr>
        <w:tc>
          <w:tcPr>
            <w:tcW w:w="3479" w:type="dxa"/>
          </w:tcPr>
          <w:p w:rsidR="00334066" w:rsidRPr="00FC1DBF" w:rsidRDefault="00334066" w:rsidP="00255AA3">
            <w:pPr>
              <w:pStyle w:val="E3Tabletext"/>
              <w:rPr>
                <w:w w:val="99"/>
              </w:rPr>
            </w:pPr>
            <w:r>
              <w:t xml:space="preserve">35 </w:t>
            </w:r>
            <w:r w:rsidRPr="00FC1DBF">
              <w:t>W h</w:t>
            </w:r>
            <w:r w:rsidRPr="00FC1DBF">
              <w:rPr>
                <w:spacing w:val="-2"/>
              </w:rPr>
              <w:t>a</w:t>
            </w:r>
            <w:r w:rsidRPr="00FC1DBF">
              <w:rPr>
                <w:spacing w:val="-5"/>
              </w:rPr>
              <w:t>l</w:t>
            </w:r>
            <w:r w:rsidRPr="00FC1DBF">
              <w:rPr>
                <w:spacing w:val="-2"/>
              </w:rPr>
              <w:t>og</w:t>
            </w:r>
            <w:r w:rsidRPr="00FC1DBF">
              <w:t>en</w:t>
            </w:r>
            <w:r w:rsidRPr="00FC1DBF">
              <w:rPr>
                <w:spacing w:val="3"/>
              </w:rPr>
              <w:t xml:space="preserve"> e</w:t>
            </w:r>
            <w:r w:rsidRPr="00FC1DBF">
              <w:rPr>
                <w:spacing w:val="-2"/>
              </w:rPr>
              <w:t>q</w:t>
            </w:r>
            <w:r w:rsidRPr="00FC1DBF">
              <w:t>u</w:t>
            </w:r>
            <w:r w:rsidRPr="00FC1DBF">
              <w:rPr>
                <w:spacing w:val="-6"/>
              </w:rPr>
              <w:t>i</w:t>
            </w:r>
            <w:r w:rsidRPr="00FC1DBF">
              <w:t>va</w:t>
            </w:r>
            <w:r w:rsidRPr="00FC1DBF">
              <w:rPr>
                <w:spacing w:val="-6"/>
              </w:rPr>
              <w:t>l</w:t>
            </w:r>
            <w:r w:rsidRPr="00FC1DBF">
              <w:t>e</w:t>
            </w:r>
            <w:r w:rsidRPr="00FC1DBF">
              <w:rPr>
                <w:spacing w:val="-2"/>
              </w:rPr>
              <w:t>n</w:t>
            </w:r>
            <w:r w:rsidRPr="00FC1DBF">
              <w:t>t</w:t>
            </w:r>
          </w:p>
        </w:tc>
        <w:tc>
          <w:tcPr>
            <w:tcW w:w="1488" w:type="dxa"/>
          </w:tcPr>
          <w:p w:rsidR="00334066" w:rsidRPr="0038253D" w:rsidRDefault="00334066" w:rsidP="00255AA3">
            <w:pPr>
              <w:pStyle w:val="E3Tabletext"/>
              <w:rPr>
                <w:w w:val="99"/>
              </w:rPr>
            </w:pPr>
            <w:r>
              <w:rPr>
                <w:w w:val="99"/>
              </w:rPr>
              <w:t>745</w:t>
            </w:r>
          </w:p>
        </w:tc>
        <w:tc>
          <w:tcPr>
            <w:tcW w:w="1418" w:type="dxa"/>
          </w:tcPr>
          <w:p w:rsidR="00334066" w:rsidRPr="00865D14" w:rsidRDefault="00334066" w:rsidP="00255AA3">
            <w:pPr>
              <w:pStyle w:val="E3Tabletext"/>
              <w:rPr>
                <w:rFonts w:ascii="Times New Roman" w:hAnsi="Times New Roman"/>
                <w:sz w:val="24"/>
              </w:rPr>
            </w:pPr>
            <w:r w:rsidRPr="00865D14">
              <w:rPr>
                <w:w w:val="99"/>
              </w:rPr>
              <w:t>30</w:t>
            </w:r>
            <w:r w:rsidRPr="00865D14">
              <w:rPr>
                <w:spacing w:val="3"/>
                <w:w w:val="99"/>
              </w:rPr>
              <w:t>-</w:t>
            </w:r>
            <w:r w:rsidRPr="00865D14">
              <w:rPr>
                <w:w w:val="99"/>
              </w:rPr>
              <w:t>40</w:t>
            </w:r>
          </w:p>
        </w:tc>
        <w:tc>
          <w:tcPr>
            <w:tcW w:w="1818" w:type="dxa"/>
          </w:tcPr>
          <w:p w:rsidR="00334066" w:rsidRPr="00865D14" w:rsidRDefault="00334066" w:rsidP="00255AA3">
            <w:pPr>
              <w:pStyle w:val="E3Tabletext"/>
              <w:rPr>
                <w:rFonts w:ascii="Times New Roman" w:hAnsi="Times New Roman"/>
                <w:sz w:val="24"/>
              </w:rPr>
            </w:pPr>
            <w:r w:rsidRPr="00865D14">
              <w:t>60-</w:t>
            </w:r>
            <w:r w:rsidRPr="00865D14">
              <w:rPr>
                <w:spacing w:val="-2"/>
                <w:w w:val="99"/>
              </w:rPr>
              <w:t>7</w:t>
            </w:r>
            <w:r w:rsidRPr="00865D14">
              <w:rPr>
                <w:w w:val="99"/>
              </w:rPr>
              <w:t>5</w:t>
            </w:r>
          </w:p>
        </w:tc>
        <w:tc>
          <w:tcPr>
            <w:tcW w:w="1686" w:type="dxa"/>
            <w:vMerge/>
          </w:tcPr>
          <w:p w:rsidR="00334066" w:rsidRPr="00865D14" w:rsidRDefault="00334066" w:rsidP="00235234">
            <w:pPr>
              <w:widowControl w:val="0"/>
              <w:autoSpaceDE w:val="0"/>
              <w:autoSpaceDN w:val="0"/>
              <w:adjustRightInd w:val="0"/>
              <w:spacing w:before="1" w:after="0" w:line="240" w:lineRule="auto"/>
              <w:ind w:left="15" w:hanging="15"/>
              <w:jc w:val="center"/>
              <w:rPr>
                <w:rFonts w:ascii="Arial" w:hAnsi="Arial" w:cs="Arial"/>
                <w:color w:val="282828"/>
                <w:spacing w:val="-1"/>
                <w:sz w:val="20"/>
                <w:szCs w:val="20"/>
              </w:rPr>
            </w:pPr>
          </w:p>
        </w:tc>
      </w:tr>
      <w:tr w:rsidR="00334066" w:rsidRPr="00865D14" w:rsidTr="0094540D">
        <w:trPr>
          <w:cantSplit/>
          <w:trHeight w:hRule="exact" w:val="260"/>
          <w:jc w:val="center"/>
        </w:trPr>
        <w:tc>
          <w:tcPr>
            <w:tcW w:w="3479" w:type="dxa"/>
          </w:tcPr>
          <w:p w:rsidR="00334066" w:rsidRPr="00FC1DBF" w:rsidRDefault="00334066" w:rsidP="00255AA3">
            <w:pPr>
              <w:pStyle w:val="E3Tabletext"/>
              <w:rPr>
                <w:w w:val="99"/>
              </w:rPr>
            </w:pPr>
            <w:r>
              <w:t xml:space="preserve">50 </w:t>
            </w:r>
            <w:r w:rsidRPr="00FC1DBF">
              <w:t>W h</w:t>
            </w:r>
            <w:r w:rsidRPr="00FC1DBF">
              <w:rPr>
                <w:spacing w:val="-2"/>
              </w:rPr>
              <w:t>a</w:t>
            </w:r>
            <w:r w:rsidRPr="00FC1DBF">
              <w:rPr>
                <w:spacing w:val="-5"/>
              </w:rPr>
              <w:t>l</w:t>
            </w:r>
            <w:r w:rsidRPr="00FC1DBF">
              <w:rPr>
                <w:spacing w:val="-2"/>
              </w:rPr>
              <w:t>og</w:t>
            </w:r>
            <w:r w:rsidRPr="00FC1DBF">
              <w:t>en</w:t>
            </w:r>
            <w:r w:rsidRPr="00FC1DBF">
              <w:rPr>
                <w:spacing w:val="3"/>
              </w:rPr>
              <w:t xml:space="preserve"> e</w:t>
            </w:r>
            <w:r w:rsidRPr="00FC1DBF">
              <w:rPr>
                <w:spacing w:val="-2"/>
              </w:rPr>
              <w:t>q</w:t>
            </w:r>
            <w:r w:rsidRPr="00FC1DBF">
              <w:t>u</w:t>
            </w:r>
            <w:r w:rsidRPr="00FC1DBF">
              <w:rPr>
                <w:spacing w:val="-6"/>
              </w:rPr>
              <w:t>i</w:t>
            </w:r>
            <w:r w:rsidRPr="00FC1DBF">
              <w:t>va</w:t>
            </w:r>
            <w:r w:rsidRPr="00FC1DBF">
              <w:rPr>
                <w:spacing w:val="-6"/>
              </w:rPr>
              <w:t>l</w:t>
            </w:r>
            <w:r w:rsidRPr="00FC1DBF">
              <w:t>e</w:t>
            </w:r>
            <w:r w:rsidRPr="00FC1DBF">
              <w:rPr>
                <w:spacing w:val="-2"/>
              </w:rPr>
              <w:t>n</w:t>
            </w:r>
            <w:r w:rsidRPr="00FC1DBF">
              <w:t>t</w:t>
            </w:r>
          </w:p>
        </w:tc>
        <w:tc>
          <w:tcPr>
            <w:tcW w:w="1488" w:type="dxa"/>
          </w:tcPr>
          <w:p w:rsidR="00334066" w:rsidRPr="0038253D" w:rsidRDefault="00334066" w:rsidP="00255AA3">
            <w:pPr>
              <w:pStyle w:val="E3Tabletext"/>
              <w:rPr>
                <w:w w:val="99"/>
              </w:rPr>
            </w:pPr>
            <w:r>
              <w:rPr>
                <w:w w:val="99"/>
              </w:rPr>
              <w:t>1,215</w:t>
            </w:r>
          </w:p>
        </w:tc>
        <w:tc>
          <w:tcPr>
            <w:tcW w:w="1418" w:type="dxa"/>
          </w:tcPr>
          <w:p w:rsidR="00334066" w:rsidRPr="00865D14" w:rsidRDefault="00334066" w:rsidP="00255AA3">
            <w:pPr>
              <w:pStyle w:val="E3Tabletext"/>
              <w:rPr>
                <w:rFonts w:ascii="Times New Roman" w:hAnsi="Times New Roman"/>
                <w:sz w:val="24"/>
              </w:rPr>
            </w:pPr>
            <w:r w:rsidRPr="00865D14">
              <w:rPr>
                <w:w w:val="99"/>
              </w:rPr>
              <w:t>30</w:t>
            </w:r>
            <w:r w:rsidRPr="00865D14">
              <w:rPr>
                <w:spacing w:val="3"/>
                <w:w w:val="99"/>
              </w:rPr>
              <w:t>-</w:t>
            </w:r>
            <w:r w:rsidRPr="00865D14">
              <w:rPr>
                <w:w w:val="99"/>
              </w:rPr>
              <w:t>40</w:t>
            </w:r>
          </w:p>
        </w:tc>
        <w:tc>
          <w:tcPr>
            <w:tcW w:w="1818" w:type="dxa"/>
          </w:tcPr>
          <w:p w:rsidR="00334066" w:rsidRPr="00865D14" w:rsidRDefault="00334066" w:rsidP="00255AA3">
            <w:pPr>
              <w:pStyle w:val="E3Tabletext"/>
              <w:rPr>
                <w:rFonts w:ascii="Times New Roman" w:hAnsi="Times New Roman"/>
                <w:sz w:val="24"/>
              </w:rPr>
            </w:pPr>
            <w:r w:rsidRPr="00865D14">
              <w:t>60-</w:t>
            </w:r>
            <w:r w:rsidRPr="00865D14">
              <w:rPr>
                <w:spacing w:val="-2"/>
                <w:w w:val="99"/>
              </w:rPr>
              <w:t>7</w:t>
            </w:r>
            <w:r w:rsidRPr="00865D14">
              <w:rPr>
                <w:w w:val="99"/>
              </w:rPr>
              <w:t>5</w:t>
            </w:r>
          </w:p>
        </w:tc>
        <w:tc>
          <w:tcPr>
            <w:tcW w:w="1686" w:type="dxa"/>
            <w:vMerge/>
          </w:tcPr>
          <w:p w:rsidR="00334066" w:rsidRPr="00865D14" w:rsidRDefault="00334066" w:rsidP="00235234">
            <w:pPr>
              <w:widowControl w:val="0"/>
              <w:autoSpaceDE w:val="0"/>
              <w:autoSpaceDN w:val="0"/>
              <w:adjustRightInd w:val="0"/>
              <w:spacing w:before="1" w:after="0" w:line="240" w:lineRule="auto"/>
              <w:ind w:left="15" w:hanging="15"/>
              <w:jc w:val="center"/>
              <w:rPr>
                <w:rFonts w:ascii="Arial" w:hAnsi="Arial" w:cs="Arial"/>
                <w:color w:val="282828"/>
                <w:spacing w:val="-1"/>
                <w:sz w:val="20"/>
                <w:szCs w:val="20"/>
              </w:rPr>
            </w:pPr>
          </w:p>
        </w:tc>
      </w:tr>
      <w:tr w:rsidR="00E42B8F" w:rsidRPr="00865D14" w:rsidTr="0094540D">
        <w:trPr>
          <w:cantSplit/>
          <w:trHeight w:hRule="exact" w:val="258"/>
          <w:jc w:val="center"/>
        </w:trPr>
        <w:tc>
          <w:tcPr>
            <w:tcW w:w="8203" w:type="dxa"/>
            <w:gridSpan w:val="4"/>
          </w:tcPr>
          <w:p w:rsidR="00E42B8F" w:rsidRDefault="00E42B8F" w:rsidP="00E42B8F">
            <w:pPr>
              <w:pStyle w:val="E3TableSubHeading"/>
              <w:rPr>
                <w:rFonts w:ascii="Arial" w:hAnsi="Arial" w:cs="Arial"/>
                <w:color w:val="282828"/>
                <w:spacing w:val="-1"/>
                <w:w w:val="99"/>
                <w:sz w:val="20"/>
                <w:szCs w:val="20"/>
              </w:rPr>
            </w:pPr>
            <w:r w:rsidRPr="0038253D">
              <w:t xml:space="preserve">Class </w:t>
            </w:r>
            <w:r>
              <w:t>22MR16reflector lamps</w:t>
            </w:r>
          </w:p>
        </w:tc>
        <w:tc>
          <w:tcPr>
            <w:tcW w:w="1686" w:type="dxa"/>
            <w:vMerge/>
          </w:tcPr>
          <w:p w:rsidR="00E42B8F" w:rsidRDefault="00E42B8F" w:rsidP="00235234">
            <w:pPr>
              <w:widowControl w:val="0"/>
              <w:autoSpaceDE w:val="0"/>
              <w:autoSpaceDN w:val="0"/>
              <w:adjustRightInd w:val="0"/>
              <w:spacing w:before="1" w:after="0" w:line="240" w:lineRule="auto"/>
              <w:ind w:left="15" w:hanging="15"/>
              <w:jc w:val="center"/>
              <w:rPr>
                <w:rFonts w:ascii="Arial" w:hAnsi="Arial" w:cs="Arial"/>
                <w:color w:val="282828"/>
                <w:spacing w:val="-1"/>
                <w:w w:val="99"/>
                <w:sz w:val="20"/>
                <w:szCs w:val="20"/>
              </w:rPr>
            </w:pPr>
          </w:p>
        </w:tc>
      </w:tr>
      <w:tr w:rsidR="00334066" w:rsidRPr="00865D14" w:rsidTr="0094540D">
        <w:trPr>
          <w:cantSplit/>
          <w:trHeight w:hRule="exact" w:val="258"/>
          <w:jc w:val="center"/>
        </w:trPr>
        <w:tc>
          <w:tcPr>
            <w:tcW w:w="3479" w:type="dxa"/>
          </w:tcPr>
          <w:p w:rsidR="00334066" w:rsidRPr="00FC1DBF" w:rsidRDefault="00334066" w:rsidP="00255AA3">
            <w:pPr>
              <w:pStyle w:val="E3Tabletext"/>
              <w:rPr>
                <w:w w:val="99"/>
              </w:rPr>
            </w:pPr>
            <w:r w:rsidRPr="00FC1DBF">
              <w:t>20W h</w:t>
            </w:r>
            <w:r w:rsidRPr="00FC1DBF">
              <w:rPr>
                <w:spacing w:val="-2"/>
              </w:rPr>
              <w:t>a</w:t>
            </w:r>
            <w:r w:rsidRPr="00FC1DBF">
              <w:rPr>
                <w:spacing w:val="-5"/>
              </w:rPr>
              <w:t>l</w:t>
            </w:r>
            <w:r w:rsidRPr="00FC1DBF">
              <w:rPr>
                <w:spacing w:val="-2"/>
              </w:rPr>
              <w:t>og</w:t>
            </w:r>
            <w:r w:rsidRPr="00FC1DBF">
              <w:t>en</w:t>
            </w:r>
            <w:r w:rsidRPr="00FC1DBF">
              <w:rPr>
                <w:spacing w:val="3"/>
              </w:rPr>
              <w:t xml:space="preserve"> e</w:t>
            </w:r>
            <w:r w:rsidRPr="00FC1DBF">
              <w:rPr>
                <w:spacing w:val="-2"/>
              </w:rPr>
              <w:t>q</w:t>
            </w:r>
            <w:r w:rsidRPr="00FC1DBF">
              <w:t>u</w:t>
            </w:r>
            <w:r w:rsidRPr="00FC1DBF">
              <w:rPr>
                <w:spacing w:val="-6"/>
              </w:rPr>
              <w:t>i</w:t>
            </w:r>
            <w:r w:rsidRPr="00FC1DBF">
              <w:t>va</w:t>
            </w:r>
            <w:r w:rsidRPr="00FC1DBF">
              <w:rPr>
                <w:spacing w:val="-6"/>
              </w:rPr>
              <w:t>l</w:t>
            </w:r>
            <w:r w:rsidRPr="00FC1DBF">
              <w:t>e</w:t>
            </w:r>
            <w:r w:rsidRPr="00FC1DBF">
              <w:rPr>
                <w:spacing w:val="-2"/>
              </w:rPr>
              <w:t>n</w:t>
            </w:r>
            <w:r w:rsidRPr="00FC1DBF">
              <w:t>t</w:t>
            </w:r>
          </w:p>
        </w:tc>
        <w:tc>
          <w:tcPr>
            <w:tcW w:w="1488" w:type="dxa"/>
          </w:tcPr>
          <w:p w:rsidR="00334066" w:rsidRDefault="00334066" w:rsidP="00255AA3">
            <w:pPr>
              <w:pStyle w:val="E3Tabletext"/>
              <w:rPr>
                <w:w w:val="99"/>
              </w:rPr>
            </w:pPr>
            <w:r>
              <w:rPr>
                <w:w w:val="99"/>
              </w:rPr>
              <w:t>360</w:t>
            </w:r>
          </w:p>
        </w:tc>
        <w:tc>
          <w:tcPr>
            <w:tcW w:w="1418" w:type="dxa"/>
          </w:tcPr>
          <w:p w:rsidR="00334066" w:rsidRPr="00865D14" w:rsidRDefault="00334066" w:rsidP="00255AA3">
            <w:pPr>
              <w:pStyle w:val="E3Tabletext"/>
              <w:rPr>
                <w:rFonts w:ascii="Times New Roman" w:hAnsi="Times New Roman"/>
                <w:sz w:val="24"/>
              </w:rPr>
            </w:pPr>
            <w:r w:rsidRPr="00865D14">
              <w:rPr>
                <w:w w:val="99"/>
              </w:rPr>
              <w:t>30</w:t>
            </w:r>
            <w:r w:rsidRPr="00865D14">
              <w:rPr>
                <w:spacing w:val="3"/>
                <w:w w:val="99"/>
              </w:rPr>
              <w:t>-</w:t>
            </w:r>
            <w:r w:rsidRPr="00865D14">
              <w:rPr>
                <w:w w:val="99"/>
              </w:rPr>
              <w:t>40</w:t>
            </w:r>
          </w:p>
        </w:tc>
        <w:tc>
          <w:tcPr>
            <w:tcW w:w="1818" w:type="dxa"/>
          </w:tcPr>
          <w:p w:rsidR="00334066" w:rsidRPr="00865D14" w:rsidRDefault="00334066" w:rsidP="00255AA3">
            <w:pPr>
              <w:pStyle w:val="E3Tabletext"/>
              <w:rPr>
                <w:rFonts w:ascii="Times New Roman" w:hAnsi="Times New Roman"/>
                <w:sz w:val="24"/>
              </w:rPr>
            </w:pPr>
            <w:r w:rsidRPr="00865D14">
              <w:t>60-</w:t>
            </w:r>
            <w:r w:rsidRPr="00865D14">
              <w:rPr>
                <w:spacing w:val="-2"/>
                <w:w w:val="99"/>
              </w:rPr>
              <w:t>7</w:t>
            </w:r>
            <w:r w:rsidRPr="00865D14">
              <w:rPr>
                <w:w w:val="99"/>
              </w:rPr>
              <w:t>5</w:t>
            </w:r>
          </w:p>
        </w:tc>
        <w:tc>
          <w:tcPr>
            <w:tcW w:w="1686" w:type="dxa"/>
            <w:vMerge/>
          </w:tcPr>
          <w:p w:rsidR="00334066" w:rsidRPr="00865D14" w:rsidRDefault="00334066" w:rsidP="00235234">
            <w:pPr>
              <w:widowControl w:val="0"/>
              <w:autoSpaceDE w:val="0"/>
              <w:autoSpaceDN w:val="0"/>
              <w:adjustRightInd w:val="0"/>
              <w:spacing w:before="1" w:after="0" w:line="240" w:lineRule="auto"/>
              <w:ind w:left="15" w:hanging="15"/>
              <w:jc w:val="center"/>
              <w:rPr>
                <w:rFonts w:ascii="Arial" w:hAnsi="Arial" w:cs="Arial"/>
                <w:color w:val="282828"/>
                <w:spacing w:val="-1"/>
                <w:sz w:val="20"/>
                <w:szCs w:val="20"/>
              </w:rPr>
            </w:pPr>
          </w:p>
        </w:tc>
      </w:tr>
      <w:tr w:rsidR="00334066" w:rsidRPr="00865D14" w:rsidTr="0094540D">
        <w:trPr>
          <w:cantSplit/>
          <w:trHeight w:hRule="exact" w:val="258"/>
          <w:jc w:val="center"/>
        </w:trPr>
        <w:tc>
          <w:tcPr>
            <w:tcW w:w="3479" w:type="dxa"/>
          </w:tcPr>
          <w:p w:rsidR="00334066" w:rsidRPr="00FC1DBF" w:rsidRDefault="00334066" w:rsidP="00255AA3">
            <w:pPr>
              <w:pStyle w:val="E3Tabletext"/>
              <w:rPr>
                <w:w w:val="99"/>
              </w:rPr>
            </w:pPr>
            <w:r>
              <w:t xml:space="preserve">35 </w:t>
            </w:r>
            <w:r w:rsidRPr="00FC1DBF">
              <w:t>W h</w:t>
            </w:r>
            <w:r w:rsidRPr="00FC1DBF">
              <w:rPr>
                <w:spacing w:val="-2"/>
              </w:rPr>
              <w:t>a</w:t>
            </w:r>
            <w:r w:rsidRPr="00FC1DBF">
              <w:rPr>
                <w:spacing w:val="-5"/>
              </w:rPr>
              <w:t>l</w:t>
            </w:r>
            <w:r w:rsidRPr="00FC1DBF">
              <w:rPr>
                <w:spacing w:val="-2"/>
              </w:rPr>
              <w:t>og</w:t>
            </w:r>
            <w:r w:rsidRPr="00FC1DBF">
              <w:t>en</w:t>
            </w:r>
            <w:r w:rsidRPr="00FC1DBF">
              <w:rPr>
                <w:spacing w:val="3"/>
              </w:rPr>
              <w:t xml:space="preserve"> e</w:t>
            </w:r>
            <w:r w:rsidRPr="00FC1DBF">
              <w:rPr>
                <w:spacing w:val="-2"/>
              </w:rPr>
              <w:t>q</w:t>
            </w:r>
            <w:r w:rsidRPr="00FC1DBF">
              <w:t>u</w:t>
            </w:r>
            <w:r w:rsidRPr="00FC1DBF">
              <w:rPr>
                <w:spacing w:val="-6"/>
              </w:rPr>
              <w:t>i</w:t>
            </w:r>
            <w:r w:rsidRPr="00FC1DBF">
              <w:t>va</w:t>
            </w:r>
            <w:r w:rsidRPr="00FC1DBF">
              <w:rPr>
                <w:spacing w:val="-6"/>
              </w:rPr>
              <w:t>l</w:t>
            </w:r>
            <w:r w:rsidRPr="00FC1DBF">
              <w:t>e</w:t>
            </w:r>
            <w:r w:rsidRPr="00FC1DBF">
              <w:rPr>
                <w:spacing w:val="-2"/>
              </w:rPr>
              <w:t>n</w:t>
            </w:r>
            <w:r w:rsidRPr="00FC1DBF">
              <w:t>t</w:t>
            </w:r>
          </w:p>
        </w:tc>
        <w:tc>
          <w:tcPr>
            <w:tcW w:w="1488" w:type="dxa"/>
          </w:tcPr>
          <w:p w:rsidR="00334066" w:rsidRPr="0038253D" w:rsidRDefault="00334066" w:rsidP="00255AA3">
            <w:pPr>
              <w:pStyle w:val="E3Tabletext"/>
              <w:rPr>
                <w:w w:val="99"/>
              </w:rPr>
            </w:pPr>
            <w:r>
              <w:rPr>
                <w:w w:val="99"/>
              </w:rPr>
              <w:t>660</w:t>
            </w:r>
          </w:p>
        </w:tc>
        <w:tc>
          <w:tcPr>
            <w:tcW w:w="1418" w:type="dxa"/>
          </w:tcPr>
          <w:p w:rsidR="00334066" w:rsidRPr="00865D14" w:rsidRDefault="00334066" w:rsidP="00255AA3">
            <w:pPr>
              <w:pStyle w:val="E3Tabletext"/>
              <w:rPr>
                <w:rFonts w:ascii="Times New Roman" w:hAnsi="Times New Roman"/>
                <w:sz w:val="24"/>
              </w:rPr>
            </w:pPr>
            <w:r w:rsidRPr="00865D14">
              <w:rPr>
                <w:w w:val="99"/>
              </w:rPr>
              <w:t>30</w:t>
            </w:r>
            <w:r w:rsidRPr="00865D14">
              <w:rPr>
                <w:spacing w:val="3"/>
                <w:w w:val="99"/>
              </w:rPr>
              <w:t>-</w:t>
            </w:r>
            <w:r w:rsidRPr="00865D14">
              <w:rPr>
                <w:w w:val="99"/>
              </w:rPr>
              <w:t>40</w:t>
            </w:r>
          </w:p>
        </w:tc>
        <w:tc>
          <w:tcPr>
            <w:tcW w:w="1818" w:type="dxa"/>
          </w:tcPr>
          <w:p w:rsidR="00334066" w:rsidRPr="00865D14" w:rsidRDefault="00334066" w:rsidP="00255AA3">
            <w:pPr>
              <w:pStyle w:val="E3Tabletext"/>
              <w:rPr>
                <w:rFonts w:ascii="Times New Roman" w:hAnsi="Times New Roman"/>
                <w:sz w:val="24"/>
              </w:rPr>
            </w:pPr>
            <w:r w:rsidRPr="00865D14">
              <w:t>60-</w:t>
            </w:r>
            <w:r w:rsidRPr="00865D14">
              <w:rPr>
                <w:spacing w:val="-2"/>
                <w:w w:val="99"/>
              </w:rPr>
              <w:t>7</w:t>
            </w:r>
            <w:r w:rsidRPr="00865D14">
              <w:rPr>
                <w:w w:val="99"/>
              </w:rPr>
              <w:t>5</w:t>
            </w:r>
          </w:p>
        </w:tc>
        <w:tc>
          <w:tcPr>
            <w:tcW w:w="1686" w:type="dxa"/>
            <w:vMerge/>
          </w:tcPr>
          <w:p w:rsidR="00334066" w:rsidRPr="00865D14" w:rsidRDefault="00334066" w:rsidP="00235234">
            <w:pPr>
              <w:widowControl w:val="0"/>
              <w:autoSpaceDE w:val="0"/>
              <w:autoSpaceDN w:val="0"/>
              <w:adjustRightInd w:val="0"/>
              <w:spacing w:before="1" w:after="0" w:line="240" w:lineRule="auto"/>
              <w:ind w:left="15" w:hanging="15"/>
              <w:jc w:val="center"/>
              <w:rPr>
                <w:rFonts w:ascii="Arial" w:hAnsi="Arial" w:cs="Arial"/>
                <w:color w:val="282828"/>
                <w:spacing w:val="-1"/>
                <w:sz w:val="20"/>
                <w:szCs w:val="20"/>
              </w:rPr>
            </w:pPr>
          </w:p>
        </w:tc>
      </w:tr>
      <w:tr w:rsidR="00334066" w:rsidRPr="00865D14" w:rsidTr="0094540D">
        <w:trPr>
          <w:cantSplit/>
          <w:trHeight w:hRule="exact" w:val="258"/>
          <w:jc w:val="center"/>
        </w:trPr>
        <w:tc>
          <w:tcPr>
            <w:tcW w:w="3479" w:type="dxa"/>
          </w:tcPr>
          <w:p w:rsidR="00334066" w:rsidRPr="00FC1DBF" w:rsidRDefault="00334066" w:rsidP="00255AA3">
            <w:pPr>
              <w:pStyle w:val="E3Tabletext"/>
              <w:rPr>
                <w:w w:val="99"/>
              </w:rPr>
            </w:pPr>
            <w:r>
              <w:t xml:space="preserve">50 </w:t>
            </w:r>
            <w:r w:rsidRPr="00FC1DBF">
              <w:t>W h</w:t>
            </w:r>
            <w:r w:rsidRPr="00FC1DBF">
              <w:rPr>
                <w:spacing w:val="-2"/>
              </w:rPr>
              <w:t>a</w:t>
            </w:r>
            <w:r w:rsidRPr="00FC1DBF">
              <w:rPr>
                <w:spacing w:val="-5"/>
              </w:rPr>
              <w:t>l</w:t>
            </w:r>
            <w:r w:rsidRPr="00FC1DBF">
              <w:rPr>
                <w:spacing w:val="-2"/>
              </w:rPr>
              <w:t>og</w:t>
            </w:r>
            <w:r w:rsidRPr="00FC1DBF">
              <w:t>en</w:t>
            </w:r>
            <w:r w:rsidRPr="00FC1DBF">
              <w:rPr>
                <w:spacing w:val="3"/>
              </w:rPr>
              <w:t xml:space="preserve"> e</w:t>
            </w:r>
            <w:r w:rsidRPr="00FC1DBF">
              <w:rPr>
                <w:spacing w:val="-2"/>
              </w:rPr>
              <w:t>q</w:t>
            </w:r>
            <w:r w:rsidRPr="00FC1DBF">
              <w:t>u</w:t>
            </w:r>
            <w:r w:rsidRPr="00FC1DBF">
              <w:rPr>
                <w:spacing w:val="-6"/>
              </w:rPr>
              <w:t>i</w:t>
            </w:r>
            <w:r w:rsidRPr="00FC1DBF">
              <w:t>va</w:t>
            </w:r>
            <w:r w:rsidRPr="00FC1DBF">
              <w:rPr>
                <w:spacing w:val="-6"/>
              </w:rPr>
              <w:t>l</w:t>
            </w:r>
            <w:r w:rsidRPr="00FC1DBF">
              <w:t>e</w:t>
            </w:r>
            <w:r w:rsidRPr="00FC1DBF">
              <w:rPr>
                <w:spacing w:val="-2"/>
              </w:rPr>
              <w:t>n</w:t>
            </w:r>
            <w:r w:rsidRPr="00FC1DBF">
              <w:t>t</w:t>
            </w:r>
          </w:p>
        </w:tc>
        <w:tc>
          <w:tcPr>
            <w:tcW w:w="1488" w:type="dxa"/>
          </w:tcPr>
          <w:p w:rsidR="00334066" w:rsidRPr="0038253D" w:rsidRDefault="00334066" w:rsidP="00255AA3">
            <w:pPr>
              <w:pStyle w:val="E3Tabletext"/>
              <w:rPr>
                <w:w w:val="99"/>
              </w:rPr>
            </w:pPr>
            <w:r>
              <w:rPr>
                <w:w w:val="99"/>
              </w:rPr>
              <w:t>1,080</w:t>
            </w:r>
          </w:p>
        </w:tc>
        <w:tc>
          <w:tcPr>
            <w:tcW w:w="1418" w:type="dxa"/>
          </w:tcPr>
          <w:p w:rsidR="00334066" w:rsidRPr="00865D14" w:rsidRDefault="00334066" w:rsidP="00255AA3">
            <w:pPr>
              <w:pStyle w:val="E3Tabletext"/>
              <w:rPr>
                <w:rFonts w:ascii="Times New Roman" w:hAnsi="Times New Roman"/>
                <w:sz w:val="24"/>
              </w:rPr>
            </w:pPr>
            <w:r w:rsidRPr="00865D14">
              <w:rPr>
                <w:w w:val="99"/>
              </w:rPr>
              <w:t>30</w:t>
            </w:r>
            <w:r w:rsidRPr="00865D14">
              <w:rPr>
                <w:spacing w:val="3"/>
                <w:w w:val="99"/>
              </w:rPr>
              <w:t>-</w:t>
            </w:r>
            <w:r w:rsidRPr="00865D14">
              <w:rPr>
                <w:w w:val="99"/>
              </w:rPr>
              <w:t>40</w:t>
            </w:r>
          </w:p>
        </w:tc>
        <w:tc>
          <w:tcPr>
            <w:tcW w:w="1818" w:type="dxa"/>
          </w:tcPr>
          <w:p w:rsidR="00334066" w:rsidRPr="00865D14" w:rsidRDefault="00334066" w:rsidP="00255AA3">
            <w:pPr>
              <w:pStyle w:val="E3Tabletext"/>
              <w:rPr>
                <w:rFonts w:ascii="Times New Roman" w:hAnsi="Times New Roman"/>
                <w:sz w:val="24"/>
              </w:rPr>
            </w:pPr>
            <w:r w:rsidRPr="00865D14">
              <w:t>60-</w:t>
            </w:r>
            <w:r w:rsidRPr="00865D14">
              <w:rPr>
                <w:spacing w:val="-2"/>
                <w:w w:val="99"/>
              </w:rPr>
              <w:t>7</w:t>
            </w:r>
            <w:r w:rsidRPr="00865D14">
              <w:rPr>
                <w:w w:val="99"/>
              </w:rPr>
              <w:t>5</w:t>
            </w:r>
          </w:p>
        </w:tc>
        <w:tc>
          <w:tcPr>
            <w:tcW w:w="1686" w:type="dxa"/>
            <w:vMerge/>
          </w:tcPr>
          <w:p w:rsidR="00334066" w:rsidRPr="00865D14" w:rsidRDefault="00334066" w:rsidP="00235234">
            <w:pPr>
              <w:widowControl w:val="0"/>
              <w:autoSpaceDE w:val="0"/>
              <w:autoSpaceDN w:val="0"/>
              <w:adjustRightInd w:val="0"/>
              <w:spacing w:before="1" w:after="0" w:line="240" w:lineRule="auto"/>
              <w:ind w:left="15" w:hanging="15"/>
              <w:jc w:val="center"/>
              <w:rPr>
                <w:rFonts w:ascii="Arial" w:hAnsi="Arial" w:cs="Arial"/>
                <w:color w:val="282828"/>
                <w:spacing w:val="-1"/>
                <w:sz w:val="20"/>
                <w:szCs w:val="20"/>
              </w:rPr>
            </w:pPr>
          </w:p>
        </w:tc>
      </w:tr>
    </w:tbl>
    <w:p w:rsidR="00334066" w:rsidRDefault="00334066" w:rsidP="00E42B8F">
      <w:pPr>
        <w:pStyle w:val="E3BodyText"/>
        <w:rPr>
          <w:lang w:eastAsia="en-AU"/>
        </w:rPr>
      </w:pPr>
    </w:p>
    <w:tbl>
      <w:tblPr>
        <w:tblStyle w:val="TableGrid"/>
        <w:tblW w:w="9923" w:type="dxa"/>
        <w:jc w:val="center"/>
        <w:tblLayout w:type="fixed"/>
        <w:tblLook w:val="04A0" w:firstRow="1" w:lastRow="0" w:firstColumn="1" w:lastColumn="0" w:noHBand="0" w:noVBand="1"/>
      </w:tblPr>
      <w:tblGrid>
        <w:gridCol w:w="822"/>
        <w:gridCol w:w="822"/>
        <w:gridCol w:w="822"/>
        <w:gridCol w:w="822"/>
        <w:gridCol w:w="257"/>
        <w:gridCol w:w="566"/>
        <w:gridCol w:w="822"/>
        <w:gridCol w:w="822"/>
        <w:gridCol w:w="822"/>
        <w:gridCol w:w="822"/>
        <w:gridCol w:w="823"/>
        <w:gridCol w:w="1701"/>
      </w:tblGrid>
      <w:tr w:rsidR="00DB273D" w:rsidTr="0094540D">
        <w:trPr>
          <w:cantSplit/>
          <w:tblHeader/>
          <w:jc w:val="center"/>
        </w:trPr>
        <w:tc>
          <w:tcPr>
            <w:tcW w:w="3545" w:type="dxa"/>
            <w:gridSpan w:val="5"/>
          </w:tcPr>
          <w:p w:rsidR="00DB273D" w:rsidRPr="008E2C1F" w:rsidRDefault="00DB273D" w:rsidP="00235234">
            <w:pPr>
              <w:rPr>
                <w:b/>
              </w:rPr>
            </w:pPr>
          </w:p>
        </w:tc>
        <w:tc>
          <w:tcPr>
            <w:tcW w:w="4677" w:type="dxa"/>
            <w:gridSpan w:val="6"/>
          </w:tcPr>
          <w:p w:rsidR="00DB273D" w:rsidRDefault="00DB273D" w:rsidP="00DB273D">
            <w:pPr>
              <w:pStyle w:val="E3TableHeading"/>
            </w:pPr>
            <w:r>
              <w:t>Minimum requirements</w:t>
            </w:r>
          </w:p>
        </w:tc>
        <w:tc>
          <w:tcPr>
            <w:tcW w:w="1701" w:type="dxa"/>
          </w:tcPr>
          <w:p w:rsidR="00DB273D" w:rsidRDefault="00DB273D" w:rsidP="00DB273D">
            <w:pPr>
              <w:pStyle w:val="E3TableHeading"/>
            </w:pPr>
            <w:r>
              <w:t>Test Method</w:t>
            </w:r>
          </w:p>
        </w:tc>
      </w:tr>
      <w:tr w:rsidR="00DB273D" w:rsidTr="0094540D">
        <w:trPr>
          <w:cantSplit/>
          <w:jc w:val="center"/>
        </w:trPr>
        <w:tc>
          <w:tcPr>
            <w:tcW w:w="9923" w:type="dxa"/>
            <w:gridSpan w:val="12"/>
          </w:tcPr>
          <w:p w:rsidR="00DB273D" w:rsidRDefault="00DB273D" w:rsidP="00DB273D">
            <w:pPr>
              <w:pStyle w:val="E3TableSubHeading"/>
            </w:pPr>
            <w:r w:rsidRPr="008E2C1F">
              <w:t xml:space="preserve">Class </w:t>
            </w:r>
            <w:r>
              <w:t xml:space="preserve">3GLS style </w:t>
            </w:r>
            <w:r w:rsidRPr="008E2C1F">
              <w:t>directional lamps</w:t>
            </w:r>
          </w:p>
        </w:tc>
      </w:tr>
      <w:tr w:rsidR="00334066" w:rsidTr="0094540D">
        <w:trPr>
          <w:cantSplit/>
          <w:jc w:val="center"/>
        </w:trPr>
        <w:tc>
          <w:tcPr>
            <w:tcW w:w="3545" w:type="dxa"/>
            <w:gridSpan w:val="5"/>
          </w:tcPr>
          <w:p w:rsidR="00334066" w:rsidRDefault="00334066" w:rsidP="00255AA3">
            <w:pPr>
              <w:pStyle w:val="E3Tabletext"/>
            </w:pPr>
            <w:r>
              <w:t>Light output and direction</w:t>
            </w:r>
          </w:p>
        </w:tc>
        <w:tc>
          <w:tcPr>
            <w:tcW w:w="4677" w:type="dxa"/>
            <w:gridSpan w:val="6"/>
          </w:tcPr>
          <w:p w:rsidR="00334066" w:rsidRDefault="00334066" w:rsidP="00255AA3">
            <w:pPr>
              <w:pStyle w:val="E3Tabletext"/>
            </w:pPr>
            <w:r>
              <w:tab/>
              <w:t>≥ 200 lm within 90</w:t>
            </w:r>
            <w:r>
              <w:sym w:font="Symbol" w:char="F0B0"/>
            </w:r>
            <w:r>
              <w:t xml:space="preserve"> cone</w:t>
            </w:r>
          </w:p>
        </w:tc>
        <w:tc>
          <w:tcPr>
            <w:tcW w:w="1701" w:type="dxa"/>
          </w:tcPr>
          <w:p w:rsidR="00334066" w:rsidRDefault="00334066" w:rsidP="00255AA3">
            <w:pPr>
              <w:pStyle w:val="E3Tabletext"/>
            </w:pPr>
            <w:r w:rsidRPr="00467174">
              <w:t>IEC/PAS 62612</w:t>
            </w:r>
          </w:p>
        </w:tc>
      </w:tr>
      <w:tr w:rsidR="00DB273D" w:rsidTr="0094540D">
        <w:trPr>
          <w:cantSplit/>
          <w:jc w:val="center"/>
        </w:trPr>
        <w:tc>
          <w:tcPr>
            <w:tcW w:w="9923" w:type="dxa"/>
            <w:gridSpan w:val="12"/>
          </w:tcPr>
          <w:p w:rsidR="00DB273D" w:rsidRDefault="00DB273D" w:rsidP="00DB273D">
            <w:pPr>
              <w:pStyle w:val="E3TableSubHeading"/>
            </w:pPr>
            <w:r w:rsidRPr="008E2C1F">
              <w:t>Class 2 Non-directional lamps</w:t>
            </w:r>
          </w:p>
        </w:tc>
      </w:tr>
      <w:tr w:rsidR="00334066" w:rsidTr="0094540D">
        <w:trPr>
          <w:cantSplit/>
          <w:jc w:val="center"/>
        </w:trPr>
        <w:tc>
          <w:tcPr>
            <w:tcW w:w="3545" w:type="dxa"/>
            <w:gridSpan w:val="5"/>
          </w:tcPr>
          <w:p w:rsidR="00334066" w:rsidRDefault="00334066" w:rsidP="00255AA3">
            <w:pPr>
              <w:pStyle w:val="E3Tabletext"/>
            </w:pPr>
            <w:r>
              <w:t>Light output direction</w:t>
            </w:r>
          </w:p>
        </w:tc>
        <w:tc>
          <w:tcPr>
            <w:tcW w:w="4677" w:type="dxa"/>
            <w:gridSpan w:val="6"/>
          </w:tcPr>
          <w:p w:rsidR="00334066" w:rsidRDefault="00334066" w:rsidP="00255AA3">
            <w:pPr>
              <w:pStyle w:val="E3Tabletext"/>
            </w:pPr>
            <w:r>
              <w:tab/>
              <w:t>Luminous flux output ≥ 2π steradians</w:t>
            </w:r>
          </w:p>
        </w:tc>
        <w:tc>
          <w:tcPr>
            <w:tcW w:w="1701" w:type="dxa"/>
            <w:vMerge w:val="restart"/>
          </w:tcPr>
          <w:p w:rsidR="00334066" w:rsidRDefault="00334066" w:rsidP="00255AA3">
            <w:pPr>
              <w:pStyle w:val="E3Tabletext"/>
            </w:pPr>
            <w:r w:rsidRPr="00467174">
              <w:t>IEC/PAS 62612</w:t>
            </w:r>
          </w:p>
        </w:tc>
      </w:tr>
      <w:tr w:rsidR="00334066" w:rsidTr="0094540D">
        <w:trPr>
          <w:cantSplit/>
          <w:jc w:val="center"/>
        </w:trPr>
        <w:tc>
          <w:tcPr>
            <w:tcW w:w="3545" w:type="dxa"/>
            <w:gridSpan w:val="5"/>
          </w:tcPr>
          <w:p w:rsidR="00334066" w:rsidRDefault="00334066" w:rsidP="00255AA3">
            <w:pPr>
              <w:pStyle w:val="E3Tabletext"/>
            </w:pPr>
            <w:r>
              <w:t>Efficacy (lm/W)</w:t>
            </w:r>
          </w:p>
        </w:tc>
        <w:tc>
          <w:tcPr>
            <w:tcW w:w="4677" w:type="dxa"/>
            <w:gridSpan w:val="6"/>
          </w:tcPr>
          <w:p w:rsidR="00334066" w:rsidRDefault="00334066" w:rsidP="00255AA3">
            <w:pPr>
              <w:pStyle w:val="E3Tabletext"/>
            </w:pPr>
            <w:r>
              <w:tab/>
              <w:t>≥ 35</w:t>
            </w:r>
          </w:p>
        </w:tc>
        <w:tc>
          <w:tcPr>
            <w:tcW w:w="1701" w:type="dxa"/>
            <w:vMerge/>
          </w:tcPr>
          <w:p w:rsidR="00334066" w:rsidRDefault="00334066" w:rsidP="00235234"/>
        </w:tc>
      </w:tr>
      <w:tr w:rsidR="00334066" w:rsidTr="0094540D">
        <w:trPr>
          <w:cantSplit/>
          <w:jc w:val="center"/>
        </w:trPr>
        <w:tc>
          <w:tcPr>
            <w:tcW w:w="3545" w:type="dxa"/>
            <w:gridSpan w:val="5"/>
          </w:tcPr>
          <w:p w:rsidR="00334066" w:rsidRDefault="00334066" w:rsidP="00255AA3">
            <w:pPr>
              <w:pStyle w:val="E3Tabletext"/>
            </w:pPr>
            <w:r>
              <w:t>Lumen output (lm)</w:t>
            </w:r>
          </w:p>
        </w:tc>
        <w:tc>
          <w:tcPr>
            <w:tcW w:w="4677" w:type="dxa"/>
            <w:gridSpan w:val="6"/>
          </w:tcPr>
          <w:p w:rsidR="00334066" w:rsidRDefault="00334066" w:rsidP="00255AA3">
            <w:pPr>
              <w:pStyle w:val="E3Tabletext"/>
            </w:pPr>
            <w:r>
              <w:tab/>
              <w:t>≥ 200</w:t>
            </w:r>
          </w:p>
        </w:tc>
        <w:tc>
          <w:tcPr>
            <w:tcW w:w="1701" w:type="dxa"/>
            <w:vMerge/>
          </w:tcPr>
          <w:p w:rsidR="00334066" w:rsidRDefault="00334066" w:rsidP="00235234"/>
        </w:tc>
      </w:tr>
      <w:tr w:rsidR="00DB273D" w:rsidTr="0094540D">
        <w:trPr>
          <w:cantSplit/>
          <w:trHeight w:val="33"/>
          <w:jc w:val="center"/>
        </w:trPr>
        <w:tc>
          <w:tcPr>
            <w:tcW w:w="8222" w:type="dxa"/>
            <w:gridSpan w:val="11"/>
          </w:tcPr>
          <w:p w:rsidR="00DB273D" w:rsidRPr="001178FA" w:rsidRDefault="00DB273D" w:rsidP="00255AA3">
            <w:pPr>
              <w:pStyle w:val="E3Tabletext"/>
              <w:rPr>
                <w:spacing w:val="-1"/>
              </w:rPr>
            </w:pPr>
            <w:r w:rsidRPr="001178FA">
              <w:rPr>
                <w:spacing w:val="-1"/>
              </w:rPr>
              <w:t>M</w:t>
            </w:r>
            <w:r w:rsidRPr="001178FA">
              <w:rPr>
                <w:spacing w:val="-4"/>
              </w:rPr>
              <w:t>i</w:t>
            </w:r>
            <w:r w:rsidRPr="001178FA">
              <w:rPr>
                <w:spacing w:val="-10"/>
              </w:rPr>
              <w:t>n</w:t>
            </w:r>
            <w:r w:rsidRPr="001178FA">
              <w:rPr>
                <w:spacing w:val="-4"/>
              </w:rPr>
              <w:t>i</w:t>
            </w:r>
            <w:r w:rsidRPr="001178FA">
              <w:rPr>
                <w:spacing w:val="-6"/>
              </w:rPr>
              <w:t>m</w:t>
            </w:r>
            <w:r w:rsidRPr="001178FA">
              <w:rPr>
                <w:spacing w:val="-10"/>
              </w:rPr>
              <w:t>u</w:t>
            </w:r>
            <w:r w:rsidRPr="001178FA">
              <w:t xml:space="preserve">m </w:t>
            </w:r>
            <w:r>
              <w:t>light output fo</w:t>
            </w:r>
            <w:r w:rsidRPr="001178FA">
              <w:t>r</w:t>
            </w:r>
            <w:r w:rsidR="001C7E9A">
              <w:t xml:space="preserve"> </w:t>
            </w:r>
            <w:r w:rsidRPr="001178FA">
              <w:rPr>
                <w:spacing w:val="-1"/>
              </w:rPr>
              <w:t>L</w:t>
            </w:r>
            <w:r w:rsidRPr="001178FA">
              <w:t xml:space="preserve">ED </w:t>
            </w:r>
            <w:r>
              <w:rPr>
                <w:spacing w:val="-1"/>
              </w:rPr>
              <w:t>lamp</w:t>
            </w:r>
            <w:r w:rsidR="001C7E9A">
              <w:rPr>
                <w:spacing w:val="-1"/>
              </w:rPr>
              <w:t xml:space="preserve"> </w:t>
            </w:r>
            <w:r w:rsidRPr="001178FA">
              <w:rPr>
                <w:spacing w:val="4"/>
              </w:rPr>
              <w:t>t</w:t>
            </w:r>
            <w:r w:rsidRPr="001178FA">
              <w:t>o</w:t>
            </w:r>
            <w:r w:rsidR="001C7E9A">
              <w:t xml:space="preserve"> </w:t>
            </w:r>
            <w:r w:rsidRPr="001178FA">
              <w:rPr>
                <w:spacing w:val="-1"/>
              </w:rPr>
              <w:t>c</w:t>
            </w:r>
            <w:r w:rsidRPr="001178FA">
              <w:rPr>
                <w:spacing w:val="-4"/>
              </w:rPr>
              <w:t>l</w:t>
            </w:r>
            <w:r w:rsidRPr="001178FA">
              <w:rPr>
                <w:spacing w:val="-1"/>
              </w:rPr>
              <w:t>a</w:t>
            </w:r>
            <w:r w:rsidRPr="001178FA">
              <w:rPr>
                <w:spacing w:val="-4"/>
              </w:rPr>
              <w:t>i</w:t>
            </w:r>
            <w:r w:rsidRPr="001178FA">
              <w:t>m</w:t>
            </w:r>
            <w:r w:rsidR="001C7E9A">
              <w:t xml:space="preserve"> </w:t>
            </w:r>
            <w:r w:rsidRPr="001178FA">
              <w:rPr>
                <w:spacing w:val="-1"/>
              </w:rPr>
              <w:t>eq</w:t>
            </w:r>
            <w:r w:rsidRPr="001178FA">
              <w:rPr>
                <w:spacing w:val="-11"/>
              </w:rPr>
              <w:t>u</w:t>
            </w:r>
            <w:r w:rsidRPr="001178FA">
              <w:rPr>
                <w:spacing w:val="-4"/>
              </w:rPr>
              <w:t>i</w:t>
            </w:r>
            <w:r w:rsidRPr="001178FA">
              <w:rPr>
                <w:spacing w:val="-8"/>
              </w:rPr>
              <w:t>v</w:t>
            </w:r>
            <w:r w:rsidRPr="001178FA">
              <w:rPr>
                <w:spacing w:val="-1"/>
              </w:rPr>
              <w:t>a</w:t>
            </w:r>
            <w:r w:rsidRPr="001178FA">
              <w:rPr>
                <w:spacing w:val="-4"/>
              </w:rPr>
              <w:t>l</w:t>
            </w:r>
            <w:r w:rsidRPr="001178FA">
              <w:rPr>
                <w:spacing w:val="-1"/>
              </w:rPr>
              <w:t>e</w:t>
            </w:r>
            <w:r w:rsidRPr="001178FA">
              <w:rPr>
                <w:spacing w:val="-11"/>
              </w:rPr>
              <w:t>n</w:t>
            </w:r>
            <w:r w:rsidRPr="001178FA">
              <w:rPr>
                <w:spacing w:val="1"/>
              </w:rPr>
              <w:t>c</w:t>
            </w:r>
            <w:r w:rsidRPr="001178FA">
              <w:t>e</w:t>
            </w:r>
            <w:r w:rsidR="001C7E9A">
              <w:t xml:space="preserve"> </w:t>
            </w:r>
            <w:r w:rsidRPr="001178FA">
              <w:rPr>
                <w:spacing w:val="4"/>
              </w:rPr>
              <w:t>t</w:t>
            </w:r>
            <w:r w:rsidRPr="001178FA">
              <w:t>o</w:t>
            </w:r>
            <w:r w:rsidR="001C7E9A">
              <w:t xml:space="preserve"> </w:t>
            </w:r>
            <w:r w:rsidRPr="001178FA">
              <w:rPr>
                <w:spacing w:val="3"/>
              </w:rPr>
              <w:t>I</w:t>
            </w:r>
            <w:r w:rsidRPr="001178FA">
              <w:rPr>
                <w:spacing w:val="-10"/>
              </w:rPr>
              <w:t>n</w:t>
            </w:r>
            <w:r w:rsidRPr="001178FA">
              <w:rPr>
                <w:spacing w:val="1"/>
              </w:rPr>
              <w:t>c</w:t>
            </w:r>
            <w:r w:rsidRPr="001178FA">
              <w:rPr>
                <w:spacing w:val="-1"/>
              </w:rPr>
              <w:t>a</w:t>
            </w:r>
            <w:r w:rsidRPr="001178FA">
              <w:rPr>
                <w:spacing w:val="-11"/>
              </w:rPr>
              <w:t>n</w:t>
            </w:r>
            <w:r w:rsidRPr="001178FA">
              <w:t>d</w:t>
            </w:r>
            <w:r w:rsidRPr="001178FA">
              <w:rPr>
                <w:spacing w:val="-1"/>
              </w:rPr>
              <w:t>es</w:t>
            </w:r>
            <w:r w:rsidRPr="001178FA">
              <w:t>c</w:t>
            </w:r>
            <w:r w:rsidRPr="001178FA">
              <w:rPr>
                <w:spacing w:val="-1"/>
              </w:rPr>
              <w:t>e</w:t>
            </w:r>
            <w:r w:rsidRPr="001178FA">
              <w:rPr>
                <w:spacing w:val="-10"/>
              </w:rPr>
              <w:t>n</w:t>
            </w:r>
            <w:r w:rsidRPr="001178FA">
              <w:t>t</w:t>
            </w:r>
            <w:r w:rsidR="001C7E9A">
              <w:t xml:space="preserve"> </w:t>
            </w:r>
            <w:r w:rsidRPr="001178FA">
              <w:rPr>
                <w:spacing w:val="1"/>
                <w:w w:val="99"/>
              </w:rPr>
              <w:t>s</w:t>
            </w:r>
            <w:r w:rsidRPr="001178FA">
              <w:rPr>
                <w:spacing w:val="-1"/>
                <w:w w:val="99"/>
              </w:rPr>
              <w:t>o</w:t>
            </w:r>
            <w:r w:rsidRPr="001178FA">
              <w:rPr>
                <w:spacing w:val="-10"/>
                <w:w w:val="99"/>
              </w:rPr>
              <w:t>u</w:t>
            </w:r>
            <w:r w:rsidRPr="001178FA">
              <w:rPr>
                <w:spacing w:val="3"/>
                <w:w w:val="99"/>
              </w:rPr>
              <w:t>r</w:t>
            </w:r>
            <w:r w:rsidRPr="001178FA">
              <w:rPr>
                <w:spacing w:val="1"/>
                <w:w w:val="99"/>
              </w:rPr>
              <w:t>c</w:t>
            </w:r>
            <w:r w:rsidRPr="001178FA">
              <w:rPr>
                <w:w w:val="99"/>
              </w:rPr>
              <w:t>e</w:t>
            </w:r>
          </w:p>
        </w:tc>
        <w:tc>
          <w:tcPr>
            <w:tcW w:w="1701" w:type="dxa"/>
            <w:vMerge w:val="restart"/>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DB273D">
            <w:pPr>
              <w:pStyle w:val="E3TableSubHeading"/>
              <w:rPr>
                <w:spacing w:val="-1"/>
              </w:rPr>
            </w:pPr>
            <w:r w:rsidRPr="00204069">
              <w:rPr>
                <w:spacing w:val="4"/>
                <w:w w:val="99"/>
              </w:rPr>
              <w:t>G</w:t>
            </w:r>
            <w:r w:rsidRPr="00204069">
              <w:rPr>
                <w:spacing w:val="-1"/>
                <w:w w:val="99"/>
              </w:rPr>
              <w:t>L</w:t>
            </w:r>
            <w:r w:rsidRPr="00204069">
              <w:rPr>
                <w:w w:val="99"/>
              </w:rPr>
              <w:t>S</w:t>
            </w:r>
            <w:r w:rsidR="001C7E9A">
              <w:rPr>
                <w:w w:val="99"/>
              </w:rPr>
              <w:t xml:space="preserve"> </w:t>
            </w:r>
            <w:r w:rsidRPr="00204069">
              <w:rPr>
                <w:spacing w:val="5"/>
                <w:w w:val="99"/>
              </w:rPr>
              <w:t>W</w:t>
            </w:r>
            <w:r w:rsidRPr="00204069">
              <w:rPr>
                <w:spacing w:val="-1"/>
                <w:w w:val="99"/>
              </w:rPr>
              <w:t>a</w:t>
            </w:r>
            <w:r w:rsidRPr="00204069">
              <w:rPr>
                <w:spacing w:val="4"/>
                <w:w w:val="99"/>
              </w:rPr>
              <w:t>tt</w:t>
            </w:r>
            <w:r>
              <w:rPr>
                <w:spacing w:val="-1"/>
                <w:w w:val="99"/>
              </w:rPr>
              <w:t xml:space="preserve">age </w:t>
            </w:r>
            <w:r w:rsidRPr="00204069">
              <w:rPr>
                <w:w w:val="99"/>
                <w:szCs w:val="20"/>
              </w:rPr>
              <w:t>(W)</w:t>
            </w:r>
          </w:p>
        </w:tc>
        <w:tc>
          <w:tcPr>
            <w:tcW w:w="822" w:type="dxa"/>
          </w:tcPr>
          <w:p w:rsidR="00DB273D" w:rsidRPr="00204069" w:rsidRDefault="00DB273D" w:rsidP="00DB273D">
            <w:pPr>
              <w:pStyle w:val="E3TableSubHeading"/>
            </w:pPr>
            <w:r w:rsidRPr="00204069">
              <w:t>LED Min</w:t>
            </w:r>
          </w:p>
          <w:p w:rsidR="00DB273D" w:rsidRPr="00204069" w:rsidRDefault="00DB273D" w:rsidP="00DB273D">
            <w:pPr>
              <w:pStyle w:val="E3TableSubHeading"/>
            </w:pPr>
            <w:r w:rsidRPr="00204069">
              <w:t>Output</w:t>
            </w:r>
          </w:p>
          <w:p w:rsidR="00DB273D" w:rsidRPr="001178FA" w:rsidRDefault="00DB273D" w:rsidP="00DB273D">
            <w:pPr>
              <w:pStyle w:val="E3TableSubHeading"/>
              <w:rPr>
                <w:spacing w:val="-1"/>
              </w:rPr>
            </w:pPr>
            <w:r w:rsidRPr="00204069">
              <w:t>(lm)</w:t>
            </w:r>
          </w:p>
        </w:tc>
        <w:tc>
          <w:tcPr>
            <w:tcW w:w="822" w:type="dxa"/>
          </w:tcPr>
          <w:p w:rsidR="00DB273D" w:rsidRPr="00204069" w:rsidRDefault="00DB273D" w:rsidP="00DB273D">
            <w:pPr>
              <w:pStyle w:val="E3TableSubHeading"/>
              <w:rPr>
                <w:color w:val="000000"/>
              </w:rPr>
            </w:pPr>
            <w:r w:rsidRPr="00204069">
              <w:rPr>
                <w:spacing w:val="4"/>
                <w:w w:val="99"/>
              </w:rPr>
              <w:t>G</w:t>
            </w:r>
            <w:r w:rsidRPr="00204069">
              <w:rPr>
                <w:spacing w:val="-1"/>
                <w:w w:val="99"/>
              </w:rPr>
              <w:t>L</w:t>
            </w:r>
            <w:r w:rsidRPr="00204069">
              <w:rPr>
                <w:w w:val="99"/>
              </w:rPr>
              <w:t>S</w:t>
            </w:r>
          </w:p>
          <w:p w:rsidR="00DB273D" w:rsidRPr="00204069" w:rsidRDefault="00DB273D" w:rsidP="00DB273D">
            <w:pPr>
              <w:pStyle w:val="E3TableSubHeading"/>
              <w:rPr>
                <w:spacing w:val="-1"/>
                <w:w w:val="99"/>
              </w:rPr>
            </w:pPr>
            <w:r w:rsidRPr="00204069">
              <w:rPr>
                <w:spacing w:val="5"/>
                <w:w w:val="99"/>
              </w:rPr>
              <w:t>W</w:t>
            </w:r>
            <w:r w:rsidRPr="00204069">
              <w:rPr>
                <w:spacing w:val="-1"/>
                <w:w w:val="99"/>
              </w:rPr>
              <w:t>a</w:t>
            </w:r>
            <w:r w:rsidRPr="00204069">
              <w:rPr>
                <w:spacing w:val="4"/>
                <w:w w:val="99"/>
              </w:rPr>
              <w:t>tt</w:t>
            </w:r>
            <w:r w:rsidRPr="00204069">
              <w:rPr>
                <w:spacing w:val="-1"/>
                <w:w w:val="99"/>
              </w:rPr>
              <w:t>age</w:t>
            </w:r>
          </w:p>
          <w:p w:rsidR="00DB273D" w:rsidRPr="001178FA" w:rsidRDefault="00DB273D" w:rsidP="00DB273D">
            <w:pPr>
              <w:pStyle w:val="E3TableSubHeading"/>
              <w:rPr>
                <w:spacing w:val="-1"/>
              </w:rPr>
            </w:pPr>
            <w:r w:rsidRPr="00204069">
              <w:rPr>
                <w:w w:val="99"/>
                <w:szCs w:val="20"/>
              </w:rPr>
              <w:t>(W)</w:t>
            </w:r>
          </w:p>
        </w:tc>
        <w:tc>
          <w:tcPr>
            <w:tcW w:w="822" w:type="dxa"/>
          </w:tcPr>
          <w:p w:rsidR="00DB273D" w:rsidRPr="00204069" w:rsidRDefault="00DB273D" w:rsidP="00DB273D">
            <w:pPr>
              <w:pStyle w:val="E3TableSubHeading"/>
            </w:pPr>
            <w:r w:rsidRPr="00204069">
              <w:t>LED Min</w:t>
            </w:r>
          </w:p>
          <w:p w:rsidR="00DB273D" w:rsidRPr="00204069" w:rsidRDefault="00DB273D" w:rsidP="00DB273D">
            <w:pPr>
              <w:pStyle w:val="E3TableSubHeading"/>
            </w:pPr>
            <w:r w:rsidRPr="00204069">
              <w:t>Output</w:t>
            </w:r>
          </w:p>
          <w:p w:rsidR="00DB273D" w:rsidRPr="001178FA" w:rsidRDefault="00DB273D" w:rsidP="00DB273D">
            <w:pPr>
              <w:pStyle w:val="E3TableSubHeading"/>
              <w:rPr>
                <w:spacing w:val="-1"/>
              </w:rPr>
            </w:pPr>
            <w:r w:rsidRPr="00204069">
              <w:t>(lm)</w:t>
            </w:r>
          </w:p>
        </w:tc>
        <w:tc>
          <w:tcPr>
            <w:tcW w:w="823" w:type="dxa"/>
            <w:gridSpan w:val="2"/>
          </w:tcPr>
          <w:p w:rsidR="00DB273D" w:rsidRPr="00204069" w:rsidRDefault="00DB273D" w:rsidP="00DB273D">
            <w:pPr>
              <w:pStyle w:val="E3TableSubHeading"/>
              <w:rPr>
                <w:color w:val="000000"/>
              </w:rPr>
            </w:pPr>
            <w:r w:rsidRPr="00204069">
              <w:rPr>
                <w:spacing w:val="4"/>
                <w:w w:val="99"/>
              </w:rPr>
              <w:t>G</w:t>
            </w:r>
            <w:r w:rsidRPr="00204069">
              <w:rPr>
                <w:spacing w:val="-1"/>
                <w:w w:val="99"/>
              </w:rPr>
              <w:t>L</w:t>
            </w:r>
            <w:r w:rsidRPr="00204069">
              <w:rPr>
                <w:w w:val="99"/>
              </w:rPr>
              <w:t>S</w:t>
            </w:r>
          </w:p>
          <w:p w:rsidR="00DB273D" w:rsidRPr="00204069" w:rsidRDefault="00DB273D" w:rsidP="00DB273D">
            <w:pPr>
              <w:pStyle w:val="E3TableSubHeading"/>
              <w:rPr>
                <w:spacing w:val="-1"/>
                <w:w w:val="99"/>
              </w:rPr>
            </w:pPr>
            <w:r w:rsidRPr="00204069">
              <w:rPr>
                <w:spacing w:val="5"/>
                <w:w w:val="99"/>
              </w:rPr>
              <w:t>W</w:t>
            </w:r>
            <w:r w:rsidRPr="00204069">
              <w:rPr>
                <w:spacing w:val="-1"/>
                <w:w w:val="99"/>
              </w:rPr>
              <w:t>a</w:t>
            </w:r>
            <w:r w:rsidRPr="00204069">
              <w:rPr>
                <w:spacing w:val="4"/>
                <w:w w:val="99"/>
              </w:rPr>
              <w:t>tt</w:t>
            </w:r>
            <w:r w:rsidRPr="00204069">
              <w:rPr>
                <w:spacing w:val="-1"/>
                <w:w w:val="99"/>
              </w:rPr>
              <w:t>age</w:t>
            </w:r>
          </w:p>
          <w:p w:rsidR="00DB273D" w:rsidRPr="001178FA" w:rsidRDefault="00DB273D" w:rsidP="00DB273D">
            <w:pPr>
              <w:pStyle w:val="E3TableSubHeading"/>
              <w:rPr>
                <w:spacing w:val="-1"/>
              </w:rPr>
            </w:pPr>
            <w:r w:rsidRPr="00204069">
              <w:rPr>
                <w:w w:val="99"/>
                <w:szCs w:val="20"/>
              </w:rPr>
              <w:t>(W)</w:t>
            </w:r>
          </w:p>
        </w:tc>
        <w:tc>
          <w:tcPr>
            <w:tcW w:w="822" w:type="dxa"/>
          </w:tcPr>
          <w:p w:rsidR="00DB273D" w:rsidRPr="00204069" w:rsidRDefault="00DB273D" w:rsidP="00DB273D">
            <w:pPr>
              <w:pStyle w:val="E3TableSubHeading"/>
            </w:pPr>
            <w:r w:rsidRPr="00204069">
              <w:t>LED Min</w:t>
            </w:r>
          </w:p>
          <w:p w:rsidR="00DB273D" w:rsidRPr="00204069" w:rsidRDefault="00DB273D" w:rsidP="00DB273D">
            <w:pPr>
              <w:pStyle w:val="E3TableSubHeading"/>
            </w:pPr>
            <w:r w:rsidRPr="00204069">
              <w:t>Output</w:t>
            </w:r>
          </w:p>
          <w:p w:rsidR="00DB273D" w:rsidRPr="001178FA" w:rsidRDefault="00DB273D" w:rsidP="00DB273D">
            <w:pPr>
              <w:pStyle w:val="E3TableSubHeading"/>
              <w:rPr>
                <w:spacing w:val="-1"/>
              </w:rPr>
            </w:pPr>
            <w:r w:rsidRPr="00204069">
              <w:t>(lm)</w:t>
            </w:r>
          </w:p>
        </w:tc>
        <w:tc>
          <w:tcPr>
            <w:tcW w:w="822" w:type="dxa"/>
          </w:tcPr>
          <w:p w:rsidR="00DB273D" w:rsidRPr="00204069" w:rsidRDefault="00DB273D" w:rsidP="00DB273D">
            <w:pPr>
              <w:pStyle w:val="E3TableSubHeading"/>
              <w:rPr>
                <w:color w:val="000000"/>
              </w:rPr>
            </w:pPr>
            <w:r w:rsidRPr="00204069">
              <w:rPr>
                <w:spacing w:val="4"/>
                <w:w w:val="99"/>
              </w:rPr>
              <w:t>G</w:t>
            </w:r>
            <w:r w:rsidRPr="00204069">
              <w:rPr>
                <w:spacing w:val="-1"/>
                <w:w w:val="99"/>
              </w:rPr>
              <w:t>L</w:t>
            </w:r>
            <w:r w:rsidRPr="00204069">
              <w:rPr>
                <w:w w:val="99"/>
              </w:rPr>
              <w:t>S</w:t>
            </w:r>
          </w:p>
          <w:p w:rsidR="00DB273D" w:rsidRPr="00204069" w:rsidRDefault="00DB273D" w:rsidP="00DB273D">
            <w:pPr>
              <w:pStyle w:val="E3TableSubHeading"/>
              <w:rPr>
                <w:spacing w:val="-1"/>
                <w:w w:val="99"/>
              </w:rPr>
            </w:pPr>
            <w:r w:rsidRPr="00204069">
              <w:rPr>
                <w:spacing w:val="5"/>
                <w:w w:val="99"/>
              </w:rPr>
              <w:t>W</w:t>
            </w:r>
            <w:r w:rsidRPr="00204069">
              <w:rPr>
                <w:spacing w:val="-1"/>
                <w:w w:val="99"/>
              </w:rPr>
              <w:t>a</w:t>
            </w:r>
            <w:r w:rsidRPr="00204069">
              <w:rPr>
                <w:spacing w:val="4"/>
                <w:w w:val="99"/>
              </w:rPr>
              <w:t>tt</w:t>
            </w:r>
            <w:r w:rsidRPr="00204069">
              <w:rPr>
                <w:spacing w:val="-1"/>
                <w:w w:val="99"/>
              </w:rPr>
              <w:t>age</w:t>
            </w:r>
          </w:p>
          <w:p w:rsidR="00DB273D" w:rsidRPr="001178FA" w:rsidRDefault="00DB273D" w:rsidP="00DB273D">
            <w:pPr>
              <w:pStyle w:val="E3TableSubHeading"/>
              <w:rPr>
                <w:spacing w:val="-1"/>
              </w:rPr>
            </w:pPr>
            <w:r w:rsidRPr="00204069">
              <w:rPr>
                <w:w w:val="99"/>
                <w:szCs w:val="20"/>
              </w:rPr>
              <w:t>(W)</w:t>
            </w:r>
          </w:p>
        </w:tc>
        <w:tc>
          <w:tcPr>
            <w:tcW w:w="822" w:type="dxa"/>
          </w:tcPr>
          <w:p w:rsidR="00DB273D" w:rsidRPr="00204069" w:rsidRDefault="00DB273D" w:rsidP="00DB273D">
            <w:pPr>
              <w:pStyle w:val="E3TableSubHeading"/>
            </w:pPr>
            <w:r w:rsidRPr="00204069">
              <w:t>LED Min</w:t>
            </w:r>
          </w:p>
          <w:p w:rsidR="00DB273D" w:rsidRPr="00204069" w:rsidRDefault="00DB273D" w:rsidP="00DB273D">
            <w:pPr>
              <w:pStyle w:val="E3TableSubHeading"/>
            </w:pPr>
            <w:r w:rsidRPr="00204069">
              <w:t>Output</w:t>
            </w:r>
          </w:p>
          <w:p w:rsidR="00DB273D" w:rsidRPr="001178FA" w:rsidRDefault="00DB273D" w:rsidP="00DB273D">
            <w:pPr>
              <w:pStyle w:val="E3TableSubHeading"/>
              <w:rPr>
                <w:spacing w:val="-1"/>
              </w:rPr>
            </w:pPr>
            <w:r w:rsidRPr="00204069">
              <w:t>(lm)</w:t>
            </w:r>
          </w:p>
        </w:tc>
        <w:tc>
          <w:tcPr>
            <w:tcW w:w="822" w:type="dxa"/>
          </w:tcPr>
          <w:p w:rsidR="00DB273D" w:rsidRPr="00204069" w:rsidRDefault="00DB273D" w:rsidP="00DB273D">
            <w:pPr>
              <w:pStyle w:val="E3TableSubHeading"/>
              <w:rPr>
                <w:color w:val="000000"/>
              </w:rPr>
            </w:pPr>
            <w:r w:rsidRPr="00204069">
              <w:rPr>
                <w:spacing w:val="4"/>
                <w:w w:val="99"/>
              </w:rPr>
              <w:t>G</w:t>
            </w:r>
            <w:r w:rsidRPr="00204069">
              <w:rPr>
                <w:spacing w:val="-1"/>
                <w:w w:val="99"/>
              </w:rPr>
              <w:t>L</w:t>
            </w:r>
            <w:r w:rsidRPr="00204069">
              <w:rPr>
                <w:w w:val="99"/>
              </w:rPr>
              <w:t>S</w:t>
            </w:r>
          </w:p>
          <w:p w:rsidR="00DB273D" w:rsidRPr="00204069" w:rsidRDefault="00DB273D" w:rsidP="00DB273D">
            <w:pPr>
              <w:pStyle w:val="E3TableSubHeading"/>
              <w:rPr>
                <w:spacing w:val="-1"/>
                <w:w w:val="99"/>
              </w:rPr>
            </w:pPr>
            <w:r w:rsidRPr="00204069">
              <w:rPr>
                <w:spacing w:val="5"/>
                <w:w w:val="99"/>
              </w:rPr>
              <w:t>W</w:t>
            </w:r>
            <w:r w:rsidRPr="00204069">
              <w:rPr>
                <w:spacing w:val="-1"/>
                <w:w w:val="99"/>
              </w:rPr>
              <w:t>a</w:t>
            </w:r>
            <w:r w:rsidRPr="00204069">
              <w:rPr>
                <w:spacing w:val="4"/>
                <w:w w:val="99"/>
              </w:rPr>
              <w:t>tt</w:t>
            </w:r>
            <w:r w:rsidRPr="00204069">
              <w:rPr>
                <w:spacing w:val="-1"/>
                <w:w w:val="99"/>
              </w:rPr>
              <w:t>age</w:t>
            </w:r>
          </w:p>
          <w:p w:rsidR="00DB273D" w:rsidRPr="001178FA" w:rsidRDefault="00DB273D" w:rsidP="00DB273D">
            <w:pPr>
              <w:pStyle w:val="E3TableSubHeading"/>
              <w:rPr>
                <w:spacing w:val="-1"/>
              </w:rPr>
            </w:pPr>
            <w:r w:rsidRPr="00204069">
              <w:rPr>
                <w:w w:val="99"/>
                <w:szCs w:val="20"/>
              </w:rPr>
              <w:t>(W)</w:t>
            </w:r>
          </w:p>
        </w:tc>
        <w:tc>
          <w:tcPr>
            <w:tcW w:w="823" w:type="dxa"/>
          </w:tcPr>
          <w:p w:rsidR="00DB273D" w:rsidRPr="00DB273D" w:rsidRDefault="00DB273D" w:rsidP="00DB273D">
            <w:pPr>
              <w:pStyle w:val="E3TableSubHeading"/>
            </w:pPr>
            <w:r w:rsidRPr="00DB273D">
              <w:t>LED Min</w:t>
            </w:r>
          </w:p>
          <w:p w:rsidR="00DB273D" w:rsidRPr="00DB273D" w:rsidRDefault="00DB273D" w:rsidP="00DB273D">
            <w:pPr>
              <w:pStyle w:val="E3TableSubHeading"/>
            </w:pPr>
            <w:r w:rsidRPr="00DB273D">
              <w:t>Output</w:t>
            </w:r>
          </w:p>
          <w:p w:rsidR="00DB273D" w:rsidRPr="001178FA" w:rsidRDefault="00DB273D" w:rsidP="00DB273D">
            <w:pPr>
              <w:pStyle w:val="E3TableSubHeading"/>
              <w:rPr>
                <w:spacing w:val="-1"/>
              </w:rPr>
            </w:pPr>
            <w:r w:rsidRPr="00DB273D">
              <w:t>(lm)</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t>15</w:t>
            </w:r>
          </w:p>
        </w:tc>
        <w:tc>
          <w:tcPr>
            <w:tcW w:w="822" w:type="dxa"/>
          </w:tcPr>
          <w:p w:rsidR="00DB273D" w:rsidRPr="001178FA" w:rsidRDefault="00DB273D" w:rsidP="00255AA3">
            <w:pPr>
              <w:pStyle w:val="E3Tabletext"/>
            </w:pPr>
            <w:r w:rsidRPr="001178FA">
              <w:rPr>
                <w:w w:val="99"/>
              </w:rPr>
              <w:t>136</w:t>
            </w:r>
          </w:p>
        </w:tc>
        <w:tc>
          <w:tcPr>
            <w:tcW w:w="822" w:type="dxa"/>
          </w:tcPr>
          <w:p w:rsidR="00DB273D" w:rsidRPr="001178FA" w:rsidRDefault="00DB273D" w:rsidP="00255AA3">
            <w:pPr>
              <w:pStyle w:val="E3Tabletext"/>
            </w:pPr>
            <w:r w:rsidRPr="001178FA">
              <w:rPr>
                <w:w w:val="99"/>
              </w:rPr>
              <w:t>42</w:t>
            </w:r>
          </w:p>
        </w:tc>
        <w:tc>
          <w:tcPr>
            <w:tcW w:w="822" w:type="dxa"/>
          </w:tcPr>
          <w:p w:rsidR="00DB273D" w:rsidRPr="001178FA" w:rsidRDefault="00DB273D" w:rsidP="00255AA3">
            <w:pPr>
              <w:pStyle w:val="E3Tabletext"/>
            </w:pPr>
            <w:r w:rsidRPr="001178FA">
              <w:rPr>
                <w:w w:val="99"/>
              </w:rPr>
              <w:t>504</w:t>
            </w:r>
          </w:p>
        </w:tc>
        <w:tc>
          <w:tcPr>
            <w:tcW w:w="823" w:type="dxa"/>
            <w:gridSpan w:val="2"/>
          </w:tcPr>
          <w:p w:rsidR="00DB273D" w:rsidRPr="001178FA" w:rsidRDefault="00DB273D" w:rsidP="00255AA3">
            <w:pPr>
              <w:pStyle w:val="E3Tabletext"/>
            </w:pPr>
            <w:r w:rsidRPr="001178FA">
              <w:rPr>
                <w:w w:val="99"/>
              </w:rPr>
              <w:t>69</w:t>
            </w:r>
          </w:p>
        </w:tc>
        <w:tc>
          <w:tcPr>
            <w:tcW w:w="822" w:type="dxa"/>
          </w:tcPr>
          <w:p w:rsidR="00DB273D" w:rsidRPr="001178FA" w:rsidRDefault="00DB273D" w:rsidP="00255AA3">
            <w:pPr>
              <w:pStyle w:val="E3Tabletext"/>
            </w:pPr>
            <w:r w:rsidRPr="001178FA">
              <w:rPr>
                <w:w w:val="99"/>
              </w:rPr>
              <w:t>955</w:t>
            </w:r>
          </w:p>
        </w:tc>
        <w:tc>
          <w:tcPr>
            <w:tcW w:w="822" w:type="dxa"/>
          </w:tcPr>
          <w:p w:rsidR="00DB273D" w:rsidRPr="001178FA" w:rsidRDefault="00DB273D" w:rsidP="00255AA3">
            <w:pPr>
              <w:pStyle w:val="E3Tabletext"/>
            </w:pPr>
            <w:r w:rsidRPr="001178FA">
              <w:rPr>
                <w:w w:val="99"/>
              </w:rPr>
              <w:t>96</w:t>
            </w:r>
          </w:p>
        </w:tc>
        <w:tc>
          <w:tcPr>
            <w:tcW w:w="822" w:type="dxa"/>
          </w:tcPr>
          <w:p w:rsidR="00DB273D" w:rsidRPr="001178FA" w:rsidRDefault="00DB273D" w:rsidP="00255AA3">
            <w:pPr>
              <w:pStyle w:val="E3Tabletext"/>
            </w:pPr>
            <w:r w:rsidRPr="001178FA">
              <w:rPr>
                <w:w w:val="99"/>
              </w:rPr>
              <w:t>1446</w:t>
            </w:r>
          </w:p>
        </w:tc>
        <w:tc>
          <w:tcPr>
            <w:tcW w:w="822" w:type="dxa"/>
          </w:tcPr>
          <w:p w:rsidR="00DB273D" w:rsidRPr="001178FA" w:rsidRDefault="00DB273D" w:rsidP="00255AA3">
            <w:pPr>
              <w:pStyle w:val="E3Tabletext"/>
            </w:pPr>
            <w:r w:rsidRPr="001178FA">
              <w:t>123</w:t>
            </w:r>
          </w:p>
        </w:tc>
        <w:tc>
          <w:tcPr>
            <w:tcW w:w="823" w:type="dxa"/>
          </w:tcPr>
          <w:p w:rsidR="00DB273D" w:rsidRPr="001178FA" w:rsidRDefault="00DB273D" w:rsidP="00255AA3">
            <w:pPr>
              <w:pStyle w:val="E3Tabletext"/>
            </w:pPr>
            <w:r w:rsidRPr="001178FA">
              <w:rPr>
                <w:w w:val="99"/>
              </w:rPr>
              <w:t>1949</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t>16</w:t>
            </w:r>
          </w:p>
        </w:tc>
        <w:tc>
          <w:tcPr>
            <w:tcW w:w="822" w:type="dxa"/>
          </w:tcPr>
          <w:p w:rsidR="00DB273D" w:rsidRPr="001178FA" w:rsidRDefault="00DB273D" w:rsidP="00255AA3">
            <w:pPr>
              <w:pStyle w:val="E3Tabletext"/>
            </w:pPr>
            <w:r w:rsidRPr="001178FA">
              <w:rPr>
                <w:w w:val="99"/>
              </w:rPr>
              <w:t>147</w:t>
            </w:r>
          </w:p>
        </w:tc>
        <w:tc>
          <w:tcPr>
            <w:tcW w:w="822" w:type="dxa"/>
          </w:tcPr>
          <w:p w:rsidR="00DB273D" w:rsidRPr="001178FA" w:rsidRDefault="00DB273D" w:rsidP="00255AA3">
            <w:pPr>
              <w:pStyle w:val="E3Tabletext"/>
            </w:pPr>
            <w:r w:rsidRPr="001178FA">
              <w:rPr>
                <w:w w:val="99"/>
              </w:rPr>
              <w:t>43</w:t>
            </w:r>
          </w:p>
        </w:tc>
        <w:tc>
          <w:tcPr>
            <w:tcW w:w="822" w:type="dxa"/>
          </w:tcPr>
          <w:p w:rsidR="00DB273D" w:rsidRPr="001178FA" w:rsidRDefault="00DB273D" w:rsidP="00255AA3">
            <w:pPr>
              <w:pStyle w:val="E3Tabletext"/>
            </w:pPr>
            <w:r w:rsidRPr="001178FA">
              <w:rPr>
                <w:w w:val="99"/>
              </w:rPr>
              <w:t>520</w:t>
            </w:r>
          </w:p>
        </w:tc>
        <w:tc>
          <w:tcPr>
            <w:tcW w:w="823" w:type="dxa"/>
            <w:gridSpan w:val="2"/>
          </w:tcPr>
          <w:p w:rsidR="00DB273D" w:rsidRPr="001178FA" w:rsidRDefault="00DB273D" w:rsidP="00255AA3">
            <w:pPr>
              <w:pStyle w:val="E3Tabletext"/>
            </w:pPr>
            <w:r w:rsidRPr="001178FA">
              <w:rPr>
                <w:w w:val="99"/>
              </w:rPr>
              <w:t>70</w:t>
            </w:r>
          </w:p>
        </w:tc>
        <w:tc>
          <w:tcPr>
            <w:tcW w:w="822" w:type="dxa"/>
          </w:tcPr>
          <w:p w:rsidR="00DB273D" w:rsidRPr="001178FA" w:rsidRDefault="00DB273D" w:rsidP="00255AA3">
            <w:pPr>
              <w:pStyle w:val="E3Tabletext"/>
            </w:pPr>
            <w:r w:rsidRPr="001178FA">
              <w:rPr>
                <w:w w:val="99"/>
              </w:rPr>
              <w:t>972</w:t>
            </w:r>
          </w:p>
        </w:tc>
        <w:tc>
          <w:tcPr>
            <w:tcW w:w="822" w:type="dxa"/>
          </w:tcPr>
          <w:p w:rsidR="00DB273D" w:rsidRPr="001178FA" w:rsidRDefault="00DB273D" w:rsidP="00255AA3">
            <w:pPr>
              <w:pStyle w:val="E3Tabletext"/>
            </w:pPr>
            <w:r w:rsidRPr="001178FA">
              <w:rPr>
                <w:w w:val="99"/>
              </w:rPr>
              <w:t>97</w:t>
            </w:r>
          </w:p>
        </w:tc>
        <w:tc>
          <w:tcPr>
            <w:tcW w:w="822" w:type="dxa"/>
          </w:tcPr>
          <w:p w:rsidR="00DB273D" w:rsidRPr="001178FA" w:rsidRDefault="00DB273D" w:rsidP="00255AA3">
            <w:pPr>
              <w:pStyle w:val="E3Tabletext"/>
            </w:pPr>
            <w:r w:rsidRPr="001178FA">
              <w:rPr>
                <w:w w:val="99"/>
              </w:rPr>
              <w:t>1465</w:t>
            </w:r>
          </w:p>
        </w:tc>
        <w:tc>
          <w:tcPr>
            <w:tcW w:w="822" w:type="dxa"/>
          </w:tcPr>
          <w:p w:rsidR="00DB273D" w:rsidRPr="001178FA" w:rsidRDefault="00DB273D" w:rsidP="00255AA3">
            <w:pPr>
              <w:pStyle w:val="E3Tabletext"/>
            </w:pPr>
            <w:r w:rsidRPr="001178FA">
              <w:t>124</w:t>
            </w:r>
          </w:p>
        </w:tc>
        <w:tc>
          <w:tcPr>
            <w:tcW w:w="823" w:type="dxa"/>
          </w:tcPr>
          <w:p w:rsidR="00DB273D" w:rsidRPr="001178FA" w:rsidRDefault="00DB273D" w:rsidP="00255AA3">
            <w:pPr>
              <w:pStyle w:val="E3Tabletext"/>
            </w:pPr>
            <w:r w:rsidRPr="001178FA">
              <w:rPr>
                <w:w w:val="99"/>
              </w:rPr>
              <w:t>1968</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t>17</w:t>
            </w:r>
          </w:p>
        </w:tc>
        <w:tc>
          <w:tcPr>
            <w:tcW w:w="822" w:type="dxa"/>
          </w:tcPr>
          <w:p w:rsidR="00DB273D" w:rsidRPr="001178FA" w:rsidRDefault="00DB273D" w:rsidP="00255AA3">
            <w:pPr>
              <w:pStyle w:val="E3Tabletext"/>
            </w:pPr>
            <w:r w:rsidRPr="001178FA">
              <w:rPr>
                <w:w w:val="99"/>
              </w:rPr>
              <w:t>159</w:t>
            </w:r>
          </w:p>
        </w:tc>
        <w:tc>
          <w:tcPr>
            <w:tcW w:w="822" w:type="dxa"/>
          </w:tcPr>
          <w:p w:rsidR="00DB273D" w:rsidRPr="001178FA" w:rsidRDefault="00DB273D" w:rsidP="00255AA3">
            <w:pPr>
              <w:pStyle w:val="E3Tabletext"/>
            </w:pPr>
            <w:r w:rsidRPr="001178FA">
              <w:rPr>
                <w:w w:val="99"/>
              </w:rPr>
              <w:t>44</w:t>
            </w:r>
          </w:p>
        </w:tc>
        <w:tc>
          <w:tcPr>
            <w:tcW w:w="822" w:type="dxa"/>
          </w:tcPr>
          <w:p w:rsidR="00DB273D" w:rsidRPr="001178FA" w:rsidRDefault="00DB273D" w:rsidP="00255AA3">
            <w:pPr>
              <w:pStyle w:val="E3Tabletext"/>
            </w:pPr>
            <w:r w:rsidRPr="001178FA">
              <w:rPr>
                <w:w w:val="99"/>
              </w:rPr>
              <w:t>537</w:t>
            </w:r>
          </w:p>
        </w:tc>
        <w:tc>
          <w:tcPr>
            <w:tcW w:w="823" w:type="dxa"/>
            <w:gridSpan w:val="2"/>
          </w:tcPr>
          <w:p w:rsidR="00DB273D" w:rsidRPr="001178FA" w:rsidRDefault="00DB273D" w:rsidP="00255AA3">
            <w:pPr>
              <w:pStyle w:val="E3Tabletext"/>
            </w:pPr>
            <w:r w:rsidRPr="001178FA">
              <w:rPr>
                <w:w w:val="99"/>
              </w:rPr>
              <w:t>71</w:t>
            </w:r>
          </w:p>
        </w:tc>
        <w:tc>
          <w:tcPr>
            <w:tcW w:w="822" w:type="dxa"/>
          </w:tcPr>
          <w:p w:rsidR="00DB273D" w:rsidRPr="001178FA" w:rsidRDefault="00DB273D" w:rsidP="00255AA3">
            <w:pPr>
              <w:pStyle w:val="E3Tabletext"/>
            </w:pPr>
            <w:r w:rsidRPr="001178FA">
              <w:rPr>
                <w:w w:val="99"/>
              </w:rPr>
              <w:t>989</w:t>
            </w:r>
          </w:p>
        </w:tc>
        <w:tc>
          <w:tcPr>
            <w:tcW w:w="822" w:type="dxa"/>
          </w:tcPr>
          <w:p w:rsidR="00DB273D" w:rsidRPr="001178FA" w:rsidRDefault="00DB273D" w:rsidP="00255AA3">
            <w:pPr>
              <w:pStyle w:val="E3Tabletext"/>
            </w:pPr>
            <w:r w:rsidRPr="001178FA">
              <w:rPr>
                <w:w w:val="99"/>
              </w:rPr>
              <w:t>98</w:t>
            </w:r>
          </w:p>
        </w:tc>
        <w:tc>
          <w:tcPr>
            <w:tcW w:w="822" w:type="dxa"/>
          </w:tcPr>
          <w:p w:rsidR="00DB273D" w:rsidRPr="001178FA" w:rsidRDefault="00DB273D" w:rsidP="00255AA3">
            <w:pPr>
              <w:pStyle w:val="E3Tabletext"/>
            </w:pPr>
            <w:r w:rsidRPr="001178FA">
              <w:rPr>
                <w:w w:val="99"/>
              </w:rPr>
              <w:t>1484</w:t>
            </w:r>
          </w:p>
        </w:tc>
        <w:tc>
          <w:tcPr>
            <w:tcW w:w="822" w:type="dxa"/>
          </w:tcPr>
          <w:p w:rsidR="00DB273D" w:rsidRPr="001178FA" w:rsidRDefault="00DB273D" w:rsidP="00255AA3">
            <w:pPr>
              <w:pStyle w:val="E3Tabletext"/>
            </w:pPr>
            <w:r w:rsidRPr="001178FA">
              <w:t>125</w:t>
            </w:r>
          </w:p>
        </w:tc>
        <w:tc>
          <w:tcPr>
            <w:tcW w:w="823" w:type="dxa"/>
          </w:tcPr>
          <w:p w:rsidR="00DB273D" w:rsidRPr="001178FA" w:rsidRDefault="00DB273D" w:rsidP="00255AA3">
            <w:pPr>
              <w:pStyle w:val="E3Tabletext"/>
            </w:pPr>
            <w:r w:rsidRPr="001178FA">
              <w:rPr>
                <w:w w:val="99"/>
              </w:rPr>
              <w:t>1987</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t>18</w:t>
            </w:r>
          </w:p>
        </w:tc>
        <w:tc>
          <w:tcPr>
            <w:tcW w:w="822" w:type="dxa"/>
          </w:tcPr>
          <w:p w:rsidR="00DB273D" w:rsidRPr="001178FA" w:rsidRDefault="00DB273D" w:rsidP="00255AA3">
            <w:pPr>
              <w:pStyle w:val="E3Tabletext"/>
            </w:pPr>
            <w:r w:rsidRPr="001178FA">
              <w:rPr>
                <w:w w:val="99"/>
              </w:rPr>
              <w:t>170</w:t>
            </w:r>
          </w:p>
        </w:tc>
        <w:tc>
          <w:tcPr>
            <w:tcW w:w="822" w:type="dxa"/>
          </w:tcPr>
          <w:p w:rsidR="00DB273D" w:rsidRPr="001178FA" w:rsidRDefault="00DB273D" w:rsidP="00255AA3">
            <w:pPr>
              <w:pStyle w:val="E3Tabletext"/>
            </w:pPr>
            <w:r w:rsidRPr="001178FA">
              <w:rPr>
                <w:w w:val="99"/>
              </w:rPr>
              <w:t>45</w:t>
            </w:r>
          </w:p>
        </w:tc>
        <w:tc>
          <w:tcPr>
            <w:tcW w:w="822" w:type="dxa"/>
          </w:tcPr>
          <w:p w:rsidR="00DB273D" w:rsidRPr="001178FA" w:rsidRDefault="00DB273D" w:rsidP="00255AA3">
            <w:pPr>
              <w:pStyle w:val="E3Tabletext"/>
            </w:pPr>
            <w:r w:rsidRPr="001178FA">
              <w:rPr>
                <w:w w:val="99"/>
              </w:rPr>
              <w:t>554</w:t>
            </w:r>
          </w:p>
        </w:tc>
        <w:tc>
          <w:tcPr>
            <w:tcW w:w="823" w:type="dxa"/>
            <w:gridSpan w:val="2"/>
          </w:tcPr>
          <w:p w:rsidR="00DB273D" w:rsidRPr="001178FA" w:rsidRDefault="00DB273D" w:rsidP="00255AA3">
            <w:pPr>
              <w:pStyle w:val="E3Tabletext"/>
            </w:pPr>
            <w:r w:rsidRPr="001178FA">
              <w:rPr>
                <w:w w:val="99"/>
              </w:rPr>
              <w:t>72</w:t>
            </w:r>
          </w:p>
        </w:tc>
        <w:tc>
          <w:tcPr>
            <w:tcW w:w="822" w:type="dxa"/>
          </w:tcPr>
          <w:p w:rsidR="00DB273D" w:rsidRPr="001178FA" w:rsidRDefault="00DB273D" w:rsidP="00255AA3">
            <w:pPr>
              <w:pStyle w:val="E3Tabletext"/>
            </w:pPr>
            <w:r w:rsidRPr="001178FA">
              <w:rPr>
                <w:w w:val="99"/>
              </w:rPr>
              <w:t>1005</w:t>
            </w:r>
          </w:p>
        </w:tc>
        <w:tc>
          <w:tcPr>
            <w:tcW w:w="822" w:type="dxa"/>
          </w:tcPr>
          <w:p w:rsidR="00DB273D" w:rsidRPr="001178FA" w:rsidRDefault="00DB273D" w:rsidP="00255AA3">
            <w:pPr>
              <w:pStyle w:val="E3Tabletext"/>
            </w:pPr>
            <w:r w:rsidRPr="001178FA">
              <w:rPr>
                <w:w w:val="99"/>
              </w:rPr>
              <w:t>99</w:t>
            </w:r>
          </w:p>
        </w:tc>
        <w:tc>
          <w:tcPr>
            <w:tcW w:w="822" w:type="dxa"/>
          </w:tcPr>
          <w:p w:rsidR="00DB273D" w:rsidRPr="001178FA" w:rsidRDefault="00DB273D" w:rsidP="00255AA3">
            <w:pPr>
              <w:pStyle w:val="E3Tabletext"/>
            </w:pPr>
            <w:r w:rsidRPr="001178FA">
              <w:rPr>
                <w:w w:val="99"/>
              </w:rPr>
              <w:t>1502</w:t>
            </w:r>
          </w:p>
        </w:tc>
        <w:tc>
          <w:tcPr>
            <w:tcW w:w="822" w:type="dxa"/>
          </w:tcPr>
          <w:p w:rsidR="00DB273D" w:rsidRPr="001178FA" w:rsidRDefault="00DB273D" w:rsidP="00255AA3">
            <w:pPr>
              <w:pStyle w:val="E3Tabletext"/>
            </w:pPr>
            <w:r w:rsidRPr="001178FA">
              <w:t>126</w:t>
            </w:r>
          </w:p>
        </w:tc>
        <w:tc>
          <w:tcPr>
            <w:tcW w:w="823" w:type="dxa"/>
          </w:tcPr>
          <w:p w:rsidR="00DB273D" w:rsidRPr="001178FA" w:rsidRDefault="00DB273D" w:rsidP="00255AA3">
            <w:pPr>
              <w:pStyle w:val="E3Tabletext"/>
            </w:pPr>
            <w:r w:rsidRPr="001178FA">
              <w:rPr>
                <w:w w:val="99"/>
              </w:rPr>
              <w:t>2005</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t>19</w:t>
            </w:r>
          </w:p>
        </w:tc>
        <w:tc>
          <w:tcPr>
            <w:tcW w:w="822" w:type="dxa"/>
          </w:tcPr>
          <w:p w:rsidR="00DB273D" w:rsidRPr="001178FA" w:rsidRDefault="00DB273D" w:rsidP="00255AA3">
            <w:pPr>
              <w:pStyle w:val="E3Tabletext"/>
            </w:pPr>
            <w:r w:rsidRPr="001178FA">
              <w:rPr>
                <w:w w:val="99"/>
              </w:rPr>
              <w:t>181</w:t>
            </w:r>
          </w:p>
        </w:tc>
        <w:tc>
          <w:tcPr>
            <w:tcW w:w="822" w:type="dxa"/>
          </w:tcPr>
          <w:p w:rsidR="00DB273D" w:rsidRPr="001178FA" w:rsidRDefault="00DB273D" w:rsidP="00255AA3">
            <w:pPr>
              <w:pStyle w:val="E3Tabletext"/>
            </w:pPr>
            <w:r w:rsidRPr="001178FA">
              <w:rPr>
                <w:w w:val="99"/>
              </w:rPr>
              <w:t>46</w:t>
            </w:r>
          </w:p>
        </w:tc>
        <w:tc>
          <w:tcPr>
            <w:tcW w:w="822" w:type="dxa"/>
          </w:tcPr>
          <w:p w:rsidR="00DB273D" w:rsidRPr="001178FA" w:rsidRDefault="00DB273D" w:rsidP="00255AA3">
            <w:pPr>
              <w:pStyle w:val="E3Tabletext"/>
            </w:pPr>
            <w:r w:rsidRPr="001178FA">
              <w:rPr>
                <w:w w:val="99"/>
              </w:rPr>
              <w:t>571</w:t>
            </w:r>
          </w:p>
        </w:tc>
        <w:tc>
          <w:tcPr>
            <w:tcW w:w="823" w:type="dxa"/>
            <w:gridSpan w:val="2"/>
          </w:tcPr>
          <w:p w:rsidR="00DB273D" w:rsidRPr="001178FA" w:rsidRDefault="00DB273D" w:rsidP="00255AA3">
            <w:pPr>
              <w:pStyle w:val="E3Tabletext"/>
            </w:pPr>
            <w:r w:rsidRPr="001178FA">
              <w:rPr>
                <w:w w:val="99"/>
              </w:rPr>
              <w:t>73</w:t>
            </w:r>
          </w:p>
        </w:tc>
        <w:tc>
          <w:tcPr>
            <w:tcW w:w="822" w:type="dxa"/>
          </w:tcPr>
          <w:p w:rsidR="00DB273D" w:rsidRPr="001178FA" w:rsidRDefault="00DB273D" w:rsidP="00255AA3">
            <w:pPr>
              <w:pStyle w:val="E3Tabletext"/>
            </w:pPr>
            <w:r w:rsidRPr="001178FA">
              <w:rPr>
                <w:w w:val="99"/>
              </w:rPr>
              <w:t>1022</w:t>
            </w:r>
          </w:p>
        </w:tc>
        <w:tc>
          <w:tcPr>
            <w:tcW w:w="822" w:type="dxa"/>
          </w:tcPr>
          <w:p w:rsidR="00DB273D" w:rsidRPr="001178FA" w:rsidRDefault="00DB273D" w:rsidP="00255AA3">
            <w:pPr>
              <w:pStyle w:val="E3Tabletext"/>
            </w:pPr>
            <w:r w:rsidRPr="001178FA">
              <w:t>100</w:t>
            </w:r>
          </w:p>
        </w:tc>
        <w:tc>
          <w:tcPr>
            <w:tcW w:w="822" w:type="dxa"/>
          </w:tcPr>
          <w:p w:rsidR="00DB273D" w:rsidRPr="001178FA" w:rsidRDefault="00DB273D" w:rsidP="00255AA3">
            <w:pPr>
              <w:pStyle w:val="E3Tabletext"/>
            </w:pPr>
            <w:r w:rsidRPr="001178FA">
              <w:rPr>
                <w:w w:val="99"/>
              </w:rPr>
              <w:t>1521</w:t>
            </w:r>
          </w:p>
        </w:tc>
        <w:tc>
          <w:tcPr>
            <w:tcW w:w="822" w:type="dxa"/>
          </w:tcPr>
          <w:p w:rsidR="00DB273D" w:rsidRPr="001178FA" w:rsidRDefault="00DB273D" w:rsidP="00255AA3">
            <w:pPr>
              <w:pStyle w:val="E3Tabletext"/>
            </w:pPr>
            <w:r w:rsidRPr="001178FA">
              <w:t>127</w:t>
            </w:r>
          </w:p>
        </w:tc>
        <w:tc>
          <w:tcPr>
            <w:tcW w:w="823" w:type="dxa"/>
          </w:tcPr>
          <w:p w:rsidR="00DB273D" w:rsidRPr="001178FA" w:rsidRDefault="00DB273D" w:rsidP="00255AA3">
            <w:pPr>
              <w:pStyle w:val="E3Tabletext"/>
            </w:pPr>
            <w:r w:rsidRPr="001178FA">
              <w:rPr>
                <w:w w:val="99"/>
              </w:rPr>
              <w:t>2024</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t>20</w:t>
            </w:r>
          </w:p>
        </w:tc>
        <w:tc>
          <w:tcPr>
            <w:tcW w:w="822" w:type="dxa"/>
          </w:tcPr>
          <w:p w:rsidR="00DB273D" w:rsidRPr="001178FA" w:rsidRDefault="00DB273D" w:rsidP="00255AA3">
            <w:pPr>
              <w:pStyle w:val="E3Tabletext"/>
            </w:pPr>
            <w:r w:rsidRPr="001178FA">
              <w:rPr>
                <w:w w:val="99"/>
              </w:rPr>
              <w:t>193</w:t>
            </w:r>
          </w:p>
        </w:tc>
        <w:tc>
          <w:tcPr>
            <w:tcW w:w="822" w:type="dxa"/>
          </w:tcPr>
          <w:p w:rsidR="00DB273D" w:rsidRPr="001178FA" w:rsidRDefault="00DB273D" w:rsidP="00255AA3">
            <w:pPr>
              <w:pStyle w:val="E3Tabletext"/>
            </w:pPr>
            <w:r w:rsidRPr="001178FA">
              <w:rPr>
                <w:w w:val="99"/>
              </w:rPr>
              <w:t>47</w:t>
            </w:r>
          </w:p>
        </w:tc>
        <w:tc>
          <w:tcPr>
            <w:tcW w:w="822" w:type="dxa"/>
          </w:tcPr>
          <w:p w:rsidR="00DB273D" w:rsidRPr="001178FA" w:rsidRDefault="00DB273D" w:rsidP="00255AA3">
            <w:pPr>
              <w:pStyle w:val="E3Tabletext"/>
            </w:pPr>
            <w:r w:rsidRPr="001178FA">
              <w:rPr>
                <w:w w:val="99"/>
              </w:rPr>
              <w:t>588</w:t>
            </w:r>
          </w:p>
        </w:tc>
        <w:tc>
          <w:tcPr>
            <w:tcW w:w="823" w:type="dxa"/>
            <w:gridSpan w:val="2"/>
          </w:tcPr>
          <w:p w:rsidR="00DB273D" w:rsidRPr="001178FA" w:rsidRDefault="00DB273D" w:rsidP="00255AA3">
            <w:pPr>
              <w:pStyle w:val="E3Tabletext"/>
            </w:pPr>
            <w:r w:rsidRPr="001178FA">
              <w:rPr>
                <w:w w:val="99"/>
              </w:rPr>
              <w:t>74</w:t>
            </w:r>
          </w:p>
        </w:tc>
        <w:tc>
          <w:tcPr>
            <w:tcW w:w="822" w:type="dxa"/>
          </w:tcPr>
          <w:p w:rsidR="00DB273D" w:rsidRPr="001178FA" w:rsidRDefault="00DB273D" w:rsidP="00255AA3">
            <w:pPr>
              <w:pStyle w:val="E3Tabletext"/>
            </w:pPr>
            <w:r w:rsidRPr="001178FA">
              <w:rPr>
                <w:w w:val="99"/>
              </w:rPr>
              <w:t>1038</w:t>
            </w:r>
          </w:p>
        </w:tc>
        <w:tc>
          <w:tcPr>
            <w:tcW w:w="822" w:type="dxa"/>
          </w:tcPr>
          <w:p w:rsidR="00DB273D" w:rsidRPr="001178FA" w:rsidRDefault="00DB273D" w:rsidP="00255AA3">
            <w:pPr>
              <w:pStyle w:val="E3Tabletext"/>
            </w:pPr>
            <w:r w:rsidRPr="001178FA">
              <w:t>101</w:t>
            </w:r>
          </w:p>
        </w:tc>
        <w:tc>
          <w:tcPr>
            <w:tcW w:w="822" w:type="dxa"/>
          </w:tcPr>
          <w:p w:rsidR="00DB273D" w:rsidRPr="001178FA" w:rsidRDefault="00DB273D" w:rsidP="00255AA3">
            <w:pPr>
              <w:pStyle w:val="E3Tabletext"/>
            </w:pPr>
            <w:r w:rsidRPr="001178FA">
              <w:rPr>
                <w:w w:val="99"/>
              </w:rPr>
              <w:t>1540</w:t>
            </w:r>
          </w:p>
        </w:tc>
        <w:tc>
          <w:tcPr>
            <w:tcW w:w="822" w:type="dxa"/>
          </w:tcPr>
          <w:p w:rsidR="00DB273D" w:rsidRPr="001178FA" w:rsidRDefault="00DB273D" w:rsidP="00255AA3">
            <w:pPr>
              <w:pStyle w:val="E3Tabletext"/>
            </w:pPr>
            <w:r w:rsidRPr="001178FA">
              <w:t>128</w:t>
            </w:r>
          </w:p>
        </w:tc>
        <w:tc>
          <w:tcPr>
            <w:tcW w:w="823" w:type="dxa"/>
          </w:tcPr>
          <w:p w:rsidR="00DB273D" w:rsidRPr="001178FA" w:rsidRDefault="00DB273D" w:rsidP="00255AA3">
            <w:pPr>
              <w:pStyle w:val="E3Tabletext"/>
            </w:pPr>
            <w:r w:rsidRPr="001178FA">
              <w:rPr>
                <w:w w:val="99"/>
              </w:rPr>
              <w:t>2042</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lastRenderedPageBreak/>
              <w:t>21</w:t>
            </w:r>
          </w:p>
        </w:tc>
        <w:tc>
          <w:tcPr>
            <w:tcW w:w="822" w:type="dxa"/>
          </w:tcPr>
          <w:p w:rsidR="00DB273D" w:rsidRPr="001178FA" w:rsidRDefault="00DB273D" w:rsidP="00255AA3">
            <w:pPr>
              <w:pStyle w:val="E3Tabletext"/>
            </w:pPr>
            <w:r w:rsidRPr="001178FA">
              <w:rPr>
                <w:w w:val="99"/>
              </w:rPr>
              <w:t>204</w:t>
            </w:r>
          </w:p>
        </w:tc>
        <w:tc>
          <w:tcPr>
            <w:tcW w:w="822" w:type="dxa"/>
          </w:tcPr>
          <w:p w:rsidR="00DB273D" w:rsidRPr="001178FA" w:rsidRDefault="00DB273D" w:rsidP="00255AA3">
            <w:pPr>
              <w:pStyle w:val="E3Tabletext"/>
            </w:pPr>
            <w:r w:rsidRPr="001178FA">
              <w:rPr>
                <w:w w:val="99"/>
              </w:rPr>
              <w:t>48</w:t>
            </w:r>
          </w:p>
        </w:tc>
        <w:tc>
          <w:tcPr>
            <w:tcW w:w="822" w:type="dxa"/>
          </w:tcPr>
          <w:p w:rsidR="00DB273D" w:rsidRPr="001178FA" w:rsidRDefault="00DB273D" w:rsidP="00255AA3">
            <w:pPr>
              <w:pStyle w:val="E3Tabletext"/>
            </w:pPr>
            <w:r w:rsidRPr="001178FA">
              <w:rPr>
                <w:w w:val="99"/>
              </w:rPr>
              <w:t>604</w:t>
            </w:r>
          </w:p>
        </w:tc>
        <w:tc>
          <w:tcPr>
            <w:tcW w:w="823" w:type="dxa"/>
            <w:gridSpan w:val="2"/>
          </w:tcPr>
          <w:p w:rsidR="00DB273D" w:rsidRPr="001178FA" w:rsidRDefault="00DB273D" w:rsidP="00255AA3">
            <w:pPr>
              <w:pStyle w:val="E3Tabletext"/>
            </w:pPr>
            <w:r w:rsidRPr="001178FA">
              <w:rPr>
                <w:w w:val="99"/>
              </w:rPr>
              <w:t>75</w:t>
            </w:r>
          </w:p>
        </w:tc>
        <w:tc>
          <w:tcPr>
            <w:tcW w:w="822" w:type="dxa"/>
          </w:tcPr>
          <w:p w:rsidR="00DB273D" w:rsidRPr="001178FA" w:rsidRDefault="00DB273D" w:rsidP="00255AA3">
            <w:pPr>
              <w:pStyle w:val="E3Tabletext"/>
            </w:pPr>
            <w:r w:rsidRPr="001178FA">
              <w:rPr>
                <w:w w:val="99"/>
              </w:rPr>
              <w:t>1055</w:t>
            </w:r>
          </w:p>
        </w:tc>
        <w:tc>
          <w:tcPr>
            <w:tcW w:w="822" w:type="dxa"/>
          </w:tcPr>
          <w:p w:rsidR="00DB273D" w:rsidRPr="001178FA" w:rsidRDefault="00DB273D" w:rsidP="00255AA3">
            <w:pPr>
              <w:pStyle w:val="E3Tabletext"/>
            </w:pPr>
            <w:r w:rsidRPr="001178FA">
              <w:t>102</w:t>
            </w:r>
          </w:p>
        </w:tc>
        <w:tc>
          <w:tcPr>
            <w:tcW w:w="822" w:type="dxa"/>
          </w:tcPr>
          <w:p w:rsidR="00DB273D" w:rsidRPr="001178FA" w:rsidRDefault="00DB273D" w:rsidP="00255AA3">
            <w:pPr>
              <w:pStyle w:val="E3Tabletext"/>
            </w:pPr>
            <w:r w:rsidRPr="001178FA">
              <w:rPr>
                <w:w w:val="99"/>
              </w:rPr>
              <w:t>1558</w:t>
            </w:r>
          </w:p>
        </w:tc>
        <w:tc>
          <w:tcPr>
            <w:tcW w:w="822" w:type="dxa"/>
          </w:tcPr>
          <w:p w:rsidR="00DB273D" w:rsidRPr="001178FA" w:rsidRDefault="00DB273D" w:rsidP="00255AA3">
            <w:pPr>
              <w:pStyle w:val="E3Tabletext"/>
            </w:pPr>
            <w:r w:rsidRPr="001178FA">
              <w:t>129</w:t>
            </w:r>
          </w:p>
        </w:tc>
        <w:tc>
          <w:tcPr>
            <w:tcW w:w="823" w:type="dxa"/>
          </w:tcPr>
          <w:p w:rsidR="00DB273D" w:rsidRPr="001178FA" w:rsidRDefault="00DB273D" w:rsidP="00255AA3">
            <w:pPr>
              <w:pStyle w:val="E3Tabletext"/>
            </w:pPr>
            <w:r w:rsidRPr="001178FA">
              <w:rPr>
                <w:w w:val="99"/>
              </w:rPr>
              <w:t>2061</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t>22</w:t>
            </w:r>
          </w:p>
        </w:tc>
        <w:tc>
          <w:tcPr>
            <w:tcW w:w="822" w:type="dxa"/>
          </w:tcPr>
          <w:p w:rsidR="00DB273D" w:rsidRPr="001178FA" w:rsidRDefault="00DB273D" w:rsidP="00255AA3">
            <w:pPr>
              <w:pStyle w:val="E3Tabletext"/>
            </w:pPr>
            <w:r w:rsidRPr="001178FA">
              <w:rPr>
                <w:w w:val="99"/>
              </w:rPr>
              <w:t>215</w:t>
            </w:r>
          </w:p>
        </w:tc>
        <w:tc>
          <w:tcPr>
            <w:tcW w:w="822" w:type="dxa"/>
          </w:tcPr>
          <w:p w:rsidR="00DB273D" w:rsidRPr="001178FA" w:rsidRDefault="00DB273D" w:rsidP="00255AA3">
            <w:pPr>
              <w:pStyle w:val="E3Tabletext"/>
            </w:pPr>
            <w:r w:rsidRPr="001178FA">
              <w:rPr>
                <w:w w:val="99"/>
              </w:rPr>
              <w:t>49</w:t>
            </w:r>
          </w:p>
        </w:tc>
        <w:tc>
          <w:tcPr>
            <w:tcW w:w="822" w:type="dxa"/>
          </w:tcPr>
          <w:p w:rsidR="00DB273D" w:rsidRPr="001178FA" w:rsidRDefault="00DB273D" w:rsidP="00255AA3">
            <w:pPr>
              <w:pStyle w:val="E3Tabletext"/>
            </w:pPr>
            <w:r w:rsidRPr="001178FA">
              <w:rPr>
                <w:w w:val="99"/>
              </w:rPr>
              <w:t>621</w:t>
            </w:r>
          </w:p>
        </w:tc>
        <w:tc>
          <w:tcPr>
            <w:tcW w:w="823" w:type="dxa"/>
            <w:gridSpan w:val="2"/>
          </w:tcPr>
          <w:p w:rsidR="00DB273D" w:rsidRPr="001178FA" w:rsidRDefault="00DB273D" w:rsidP="00255AA3">
            <w:pPr>
              <w:pStyle w:val="E3Tabletext"/>
            </w:pPr>
            <w:r w:rsidRPr="001178FA">
              <w:rPr>
                <w:w w:val="99"/>
              </w:rPr>
              <w:t>76</w:t>
            </w:r>
          </w:p>
        </w:tc>
        <w:tc>
          <w:tcPr>
            <w:tcW w:w="822" w:type="dxa"/>
          </w:tcPr>
          <w:p w:rsidR="00DB273D" w:rsidRPr="001178FA" w:rsidRDefault="00DB273D" w:rsidP="00255AA3">
            <w:pPr>
              <w:pStyle w:val="E3Tabletext"/>
            </w:pPr>
            <w:r w:rsidRPr="001178FA">
              <w:rPr>
                <w:w w:val="99"/>
              </w:rPr>
              <w:t>1074</w:t>
            </w:r>
          </w:p>
        </w:tc>
        <w:tc>
          <w:tcPr>
            <w:tcW w:w="822" w:type="dxa"/>
          </w:tcPr>
          <w:p w:rsidR="00DB273D" w:rsidRPr="001178FA" w:rsidRDefault="00DB273D" w:rsidP="00255AA3">
            <w:pPr>
              <w:pStyle w:val="E3Tabletext"/>
            </w:pPr>
            <w:r w:rsidRPr="001178FA">
              <w:t>103</w:t>
            </w:r>
          </w:p>
        </w:tc>
        <w:tc>
          <w:tcPr>
            <w:tcW w:w="822" w:type="dxa"/>
          </w:tcPr>
          <w:p w:rsidR="00DB273D" w:rsidRPr="001178FA" w:rsidRDefault="00DB273D" w:rsidP="00255AA3">
            <w:pPr>
              <w:pStyle w:val="E3Tabletext"/>
            </w:pPr>
            <w:r w:rsidRPr="001178FA">
              <w:rPr>
                <w:w w:val="99"/>
              </w:rPr>
              <w:t>1577</w:t>
            </w:r>
          </w:p>
        </w:tc>
        <w:tc>
          <w:tcPr>
            <w:tcW w:w="822" w:type="dxa"/>
          </w:tcPr>
          <w:p w:rsidR="00DB273D" w:rsidRPr="001178FA" w:rsidRDefault="00DB273D" w:rsidP="00255AA3">
            <w:pPr>
              <w:pStyle w:val="E3Tabletext"/>
            </w:pPr>
            <w:r w:rsidRPr="001178FA">
              <w:t>130</w:t>
            </w:r>
          </w:p>
        </w:tc>
        <w:tc>
          <w:tcPr>
            <w:tcW w:w="823" w:type="dxa"/>
          </w:tcPr>
          <w:p w:rsidR="00DB273D" w:rsidRPr="001178FA" w:rsidRDefault="00DB273D" w:rsidP="00255AA3">
            <w:pPr>
              <w:pStyle w:val="E3Tabletext"/>
            </w:pPr>
            <w:r w:rsidRPr="001178FA">
              <w:rPr>
                <w:w w:val="99"/>
              </w:rPr>
              <w:t>2080</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t>23</w:t>
            </w:r>
          </w:p>
        </w:tc>
        <w:tc>
          <w:tcPr>
            <w:tcW w:w="822" w:type="dxa"/>
          </w:tcPr>
          <w:p w:rsidR="00DB273D" w:rsidRPr="001178FA" w:rsidRDefault="00DB273D" w:rsidP="00255AA3">
            <w:pPr>
              <w:pStyle w:val="E3Tabletext"/>
            </w:pPr>
            <w:r w:rsidRPr="001178FA">
              <w:rPr>
                <w:w w:val="99"/>
              </w:rPr>
              <w:t>226</w:t>
            </w:r>
          </w:p>
        </w:tc>
        <w:tc>
          <w:tcPr>
            <w:tcW w:w="822" w:type="dxa"/>
          </w:tcPr>
          <w:p w:rsidR="00DB273D" w:rsidRPr="001178FA" w:rsidRDefault="00DB273D" w:rsidP="00255AA3">
            <w:pPr>
              <w:pStyle w:val="E3Tabletext"/>
            </w:pPr>
            <w:r w:rsidRPr="001178FA">
              <w:rPr>
                <w:w w:val="99"/>
              </w:rPr>
              <w:t>50</w:t>
            </w:r>
          </w:p>
        </w:tc>
        <w:tc>
          <w:tcPr>
            <w:tcW w:w="822" w:type="dxa"/>
          </w:tcPr>
          <w:p w:rsidR="00DB273D" w:rsidRPr="001178FA" w:rsidRDefault="00DB273D" w:rsidP="00255AA3">
            <w:pPr>
              <w:pStyle w:val="E3Tabletext"/>
            </w:pPr>
            <w:r w:rsidRPr="001178FA">
              <w:rPr>
                <w:w w:val="99"/>
              </w:rPr>
              <w:t>638</w:t>
            </w:r>
          </w:p>
        </w:tc>
        <w:tc>
          <w:tcPr>
            <w:tcW w:w="823" w:type="dxa"/>
            <w:gridSpan w:val="2"/>
          </w:tcPr>
          <w:p w:rsidR="00DB273D" w:rsidRPr="001178FA" w:rsidRDefault="00DB273D" w:rsidP="00255AA3">
            <w:pPr>
              <w:pStyle w:val="E3Tabletext"/>
            </w:pPr>
            <w:r w:rsidRPr="001178FA">
              <w:rPr>
                <w:w w:val="99"/>
              </w:rPr>
              <w:t>77</w:t>
            </w:r>
          </w:p>
        </w:tc>
        <w:tc>
          <w:tcPr>
            <w:tcW w:w="822" w:type="dxa"/>
          </w:tcPr>
          <w:p w:rsidR="00DB273D" w:rsidRPr="001178FA" w:rsidRDefault="00DB273D" w:rsidP="00255AA3">
            <w:pPr>
              <w:pStyle w:val="E3Tabletext"/>
            </w:pPr>
            <w:r w:rsidRPr="001178FA">
              <w:rPr>
                <w:w w:val="99"/>
              </w:rPr>
              <w:t>1092</w:t>
            </w:r>
          </w:p>
        </w:tc>
        <w:tc>
          <w:tcPr>
            <w:tcW w:w="822" w:type="dxa"/>
          </w:tcPr>
          <w:p w:rsidR="00DB273D" w:rsidRPr="001178FA" w:rsidRDefault="00DB273D" w:rsidP="00255AA3">
            <w:pPr>
              <w:pStyle w:val="E3Tabletext"/>
            </w:pPr>
            <w:r w:rsidRPr="001178FA">
              <w:t>104</w:t>
            </w:r>
          </w:p>
        </w:tc>
        <w:tc>
          <w:tcPr>
            <w:tcW w:w="822" w:type="dxa"/>
          </w:tcPr>
          <w:p w:rsidR="00DB273D" w:rsidRPr="001178FA" w:rsidRDefault="00DB273D" w:rsidP="00255AA3">
            <w:pPr>
              <w:pStyle w:val="E3Tabletext"/>
            </w:pPr>
            <w:r w:rsidRPr="001178FA">
              <w:rPr>
                <w:w w:val="99"/>
              </w:rPr>
              <w:t>1595</w:t>
            </w:r>
          </w:p>
        </w:tc>
        <w:tc>
          <w:tcPr>
            <w:tcW w:w="822" w:type="dxa"/>
          </w:tcPr>
          <w:p w:rsidR="00DB273D" w:rsidRPr="001178FA" w:rsidRDefault="00DB273D" w:rsidP="00255AA3">
            <w:pPr>
              <w:pStyle w:val="E3Tabletext"/>
            </w:pPr>
            <w:r w:rsidRPr="001178FA">
              <w:t>131</w:t>
            </w:r>
          </w:p>
        </w:tc>
        <w:tc>
          <w:tcPr>
            <w:tcW w:w="823" w:type="dxa"/>
          </w:tcPr>
          <w:p w:rsidR="00DB273D" w:rsidRPr="001178FA" w:rsidRDefault="00DB273D" w:rsidP="00255AA3">
            <w:pPr>
              <w:pStyle w:val="E3Tabletext"/>
            </w:pPr>
            <w:r w:rsidRPr="001178FA">
              <w:rPr>
                <w:w w:val="99"/>
              </w:rPr>
              <w:t>2098</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t>24</w:t>
            </w:r>
          </w:p>
        </w:tc>
        <w:tc>
          <w:tcPr>
            <w:tcW w:w="822" w:type="dxa"/>
          </w:tcPr>
          <w:p w:rsidR="00DB273D" w:rsidRPr="001178FA" w:rsidRDefault="00DB273D" w:rsidP="00255AA3">
            <w:pPr>
              <w:pStyle w:val="E3Tabletext"/>
            </w:pPr>
            <w:r w:rsidRPr="001178FA">
              <w:rPr>
                <w:w w:val="99"/>
              </w:rPr>
              <w:t>238</w:t>
            </w:r>
          </w:p>
        </w:tc>
        <w:tc>
          <w:tcPr>
            <w:tcW w:w="822" w:type="dxa"/>
          </w:tcPr>
          <w:p w:rsidR="00DB273D" w:rsidRPr="001178FA" w:rsidRDefault="00DB273D" w:rsidP="00255AA3">
            <w:pPr>
              <w:pStyle w:val="E3Tabletext"/>
            </w:pPr>
            <w:r w:rsidRPr="001178FA">
              <w:rPr>
                <w:w w:val="99"/>
              </w:rPr>
              <w:t>51</w:t>
            </w:r>
          </w:p>
        </w:tc>
        <w:tc>
          <w:tcPr>
            <w:tcW w:w="822" w:type="dxa"/>
          </w:tcPr>
          <w:p w:rsidR="00DB273D" w:rsidRPr="001178FA" w:rsidRDefault="00DB273D" w:rsidP="00255AA3">
            <w:pPr>
              <w:pStyle w:val="E3Tabletext"/>
            </w:pPr>
            <w:r w:rsidRPr="001178FA">
              <w:rPr>
                <w:w w:val="99"/>
              </w:rPr>
              <w:t>655</w:t>
            </w:r>
          </w:p>
        </w:tc>
        <w:tc>
          <w:tcPr>
            <w:tcW w:w="823" w:type="dxa"/>
            <w:gridSpan w:val="2"/>
          </w:tcPr>
          <w:p w:rsidR="00DB273D" w:rsidRPr="001178FA" w:rsidRDefault="00DB273D" w:rsidP="00255AA3">
            <w:pPr>
              <w:pStyle w:val="E3Tabletext"/>
            </w:pPr>
            <w:r w:rsidRPr="001178FA">
              <w:rPr>
                <w:w w:val="99"/>
              </w:rPr>
              <w:t>78</w:t>
            </w:r>
          </w:p>
        </w:tc>
        <w:tc>
          <w:tcPr>
            <w:tcW w:w="822" w:type="dxa"/>
          </w:tcPr>
          <w:p w:rsidR="00DB273D" w:rsidRPr="001178FA" w:rsidRDefault="00DB273D" w:rsidP="00255AA3">
            <w:pPr>
              <w:pStyle w:val="E3Tabletext"/>
            </w:pPr>
            <w:r w:rsidRPr="001178FA">
              <w:rPr>
                <w:w w:val="99"/>
              </w:rPr>
              <w:t>1111</w:t>
            </w:r>
          </w:p>
        </w:tc>
        <w:tc>
          <w:tcPr>
            <w:tcW w:w="822" w:type="dxa"/>
          </w:tcPr>
          <w:p w:rsidR="00DB273D" w:rsidRPr="001178FA" w:rsidRDefault="00DB273D" w:rsidP="00255AA3">
            <w:pPr>
              <w:pStyle w:val="E3Tabletext"/>
            </w:pPr>
            <w:r w:rsidRPr="001178FA">
              <w:t>105</w:t>
            </w:r>
          </w:p>
        </w:tc>
        <w:tc>
          <w:tcPr>
            <w:tcW w:w="822" w:type="dxa"/>
          </w:tcPr>
          <w:p w:rsidR="00DB273D" w:rsidRPr="001178FA" w:rsidRDefault="00DB273D" w:rsidP="00255AA3">
            <w:pPr>
              <w:pStyle w:val="E3Tabletext"/>
            </w:pPr>
            <w:r w:rsidRPr="001178FA">
              <w:rPr>
                <w:w w:val="99"/>
              </w:rPr>
              <w:t>1614</w:t>
            </w:r>
          </w:p>
        </w:tc>
        <w:tc>
          <w:tcPr>
            <w:tcW w:w="822" w:type="dxa"/>
          </w:tcPr>
          <w:p w:rsidR="00DB273D" w:rsidRPr="001178FA" w:rsidRDefault="00DB273D" w:rsidP="00255AA3">
            <w:pPr>
              <w:pStyle w:val="E3Tabletext"/>
            </w:pPr>
            <w:r w:rsidRPr="001178FA">
              <w:t>132</w:t>
            </w:r>
          </w:p>
        </w:tc>
        <w:tc>
          <w:tcPr>
            <w:tcW w:w="823" w:type="dxa"/>
          </w:tcPr>
          <w:p w:rsidR="00DB273D" w:rsidRPr="001178FA" w:rsidRDefault="00DB273D" w:rsidP="00255AA3">
            <w:pPr>
              <w:pStyle w:val="E3Tabletext"/>
            </w:pPr>
            <w:r w:rsidRPr="001178FA">
              <w:rPr>
                <w:w w:val="99"/>
              </w:rPr>
              <w:t>2117</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t>25</w:t>
            </w:r>
          </w:p>
        </w:tc>
        <w:tc>
          <w:tcPr>
            <w:tcW w:w="822" w:type="dxa"/>
          </w:tcPr>
          <w:p w:rsidR="00DB273D" w:rsidRPr="001178FA" w:rsidRDefault="00DB273D" w:rsidP="00255AA3">
            <w:pPr>
              <w:pStyle w:val="E3Tabletext"/>
            </w:pPr>
            <w:r w:rsidRPr="001178FA">
              <w:rPr>
                <w:w w:val="99"/>
              </w:rPr>
              <w:t>249</w:t>
            </w:r>
          </w:p>
        </w:tc>
        <w:tc>
          <w:tcPr>
            <w:tcW w:w="822" w:type="dxa"/>
          </w:tcPr>
          <w:p w:rsidR="00DB273D" w:rsidRPr="001178FA" w:rsidRDefault="00DB273D" w:rsidP="00255AA3">
            <w:pPr>
              <w:pStyle w:val="E3Tabletext"/>
            </w:pPr>
            <w:r w:rsidRPr="001178FA">
              <w:rPr>
                <w:w w:val="99"/>
              </w:rPr>
              <w:t>52</w:t>
            </w:r>
          </w:p>
        </w:tc>
        <w:tc>
          <w:tcPr>
            <w:tcW w:w="822" w:type="dxa"/>
          </w:tcPr>
          <w:p w:rsidR="00DB273D" w:rsidRPr="001178FA" w:rsidRDefault="00DB273D" w:rsidP="00255AA3">
            <w:pPr>
              <w:pStyle w:val="E3Tabletext"/>
            </w:pPr>
            <w:r w:rsidRPr="001178FA">
              <w:rPr>
                <w:w w:val="99"/>
              </w:rPr>
              <w:t>672</w:t>
            </w:r>
          </w:p>
        </w:tc>
        <w:tc>
          <w:tcPr>
            <w:tcW w:w="823" w:type="dxa"/>
            <w:gridSpan w:val="2"/>
          </w:tcPr>
          <w:p w:rsidR="00DB273D" w:rsidRPr="001178FA" w:rsidRDefault="00DB273D" w:rsidP="00255AA3">
            <w:pPr>
              <w:pStyle w:val="E3Tabletext"/>
            </w:pPr>
            <w:r w:rsidRPr="001178FA">
              <w:rPr>
                <w:w w:val="99"/>
              </w:rPr>
              <w:t>79</w:t>
            </w:r>
          </w:p>
        </w:tc>
        <w:tc>
          <w:tcPr>
            <w:tcW w:w="822" w:type="dxa"/>
          </w:tcPr>
          <w:p w:rsidR="00DB273D" w:rsidRPr="001178FA" w:rsidRDefault="00DB273D" w:rsidP="00255AA3">
            <w:pPr>
              <w:pStyle w:val="E3Tabletext"/>
            </w:pPr>
            <w:r w:rsidRPr="001178FA">
              <w:rPr>
                <w:w w:val="99"/>
              </w:rPr>
              <w:t>1130</w:t>
            </w:r>
          </w:p>
        </w:tc>
        <w:tc>
          <w:tcPr>
            <w:tcW w:w="822" w:type="dxa"/>
          </w:tcPr>
          <w:p w:rsidR="00DB273D" w:rsidRPr="001178FA" w:rsidRDefault="00DB273D" w:rsidP="00255AA3">
            <w:pPr>
              <w:pStyle w:val="E3Tabletext"/>
            </w:pPr>
            <w:r w:rsidRPr="001178FA">
              <w:t>106</w:t>
            </w:r>
          </w:p>
        </w:tc>
        <w:tc>
          <w:tcPr>
            <w:tcW w:w="822" w:type="dxa"/>
          </w:tcPr>
          <w:p w:rsidR="00DB273D" w:rsidRPr="001178FA" w:rsidRDefault="00DB273D" w:rsidP="00255AA3">
            <w:pPr>
              <w:pStyle w:val="E3Tabletext"/>
            </w:pPr>
            <w:r w:rsidRPr="001178FA">
              <w:rPr>
                <w:w w:val="99"/>
              </w:rPr>
              <w:t>1633</w:t>
            </w:r>
          </w:p>
        </w:tc>
        <w:tc>
          <w:tcPr>
            <w:tcW w:w="822" w:type="dxa"/>
          </w:tcPr>
          <w:p w:rsidR="00DB273D" w:rsidRPr="001178FA" w:rsidRDefault="00DB273D" w:rsidP="00255AA3">
            <w:pPr>
              <w:pStyle w:val="E3Tabletext"/>
            </w:pPr>
            <w:r w:rsidRPr="001178FA">
              <w:t>133</w:t>
            </w:r>
          </w:p>
        </w:tc>
        <w:tc>
          <w:tcPr>
            <w:tcW w:w="823" w:type="dxa"/>
          </w:tcPr>
          <w:p w:rsidR="00DB273D" w:rsidRPr="001178FA" w:rsidRDefault="00DB273D" w:rsidP="00255AA3">
            <w:pPr>
              <w:pStyle w:val="E3Tabletext"/>
            </w:pPr>
            <w:r w:rsidRPr="001178FA">
              <w:rPr>
                <w:w w:val="99"/>
              </w:rPr>
              <w:t>2135</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t>26</w:t>
            </w:r>
          </w:p>
        </w:tc>
        <w:tc>
          <w:tcPr>
            <w:tcW w:w="822" w:type="dxa"/>
          </w:tcPr>
          <w:p w:rsidR="00DB273D" w:rsidRPr="001178FA" w:rsidRDefault="00DB273D" w:rsidP="00255AA3">
            <w:pPr>
              <w:pStyle w:val="E3Tabletext"/>
            </w:pPr>
            <w:r w:rsidRPr="001178FA">
              <w:rPr>
                <w:w w:val="99"/>
              </w:rPr>
              <w:t>264</w:t>
            </w:r>
          </w:p>
        </w:tc>
        <w:tc>
          <w:tcPr>
            <w:tcW w:w="822" w:type="dxa"/>
          </w:tcPr>
          <w:p w:rsidR="00DB273D" w:rsidRPr="001178FA" w:rsidRDefault="00DB273D" w:rsidP="00255AA3">
            <w:pPr>
              <w:pStyle w:val="E3Tabletext"/>
            </w:pPr>
            <w:r w:rsidRPr="001178FA">
              <w:rPr>
                <w:w w:val="99"/>
              </w:rPr>
              <w:t>53</w:t>
            </w:r>
          </w:p>
        </w:tc>
        <w:tc>
          <w:tcPr>
            <w:tcW w:w="822" w:type="dxa"/>
          </w:tcPr>
          <w:p w:rsidR="00DB273D" w:rsidRPr="001178FA" w:rsidRDefault="00DB273D" w:rsidP="00255AA3">
            <w:pPr>
              <w:pStyle w:val="E3Tabletext"/>
            </w:pPr>
            <w:r w:rsidRPr="001178FA">
              <w:rPr>
                <w:w w:val="99"/>
              </w:rPr>
              <w:t>688</w:t>
            </w:r>
          </w:p>
        </w:tc>
        <w:tc>
          <w:tcPr>
            <w:tcW w:w="823" w:type="dxa"/>
            <w:gridSpan w:val="2"/>
          </w:tcPr>
          <w:p w:rsidR="00DB273D" w:rsidRPr="001178FA" w:rsidRDefault="00DB273D" w:rsidP="00255AA3">
            <w:pPr>
              <w:pStyle w:val="E3Tabletext"/>
            </w:pPr>
            <w:r w:rsidRPr="001178FA">
              <w:rPr>
                <w:w w:val="99"/>
              </w:rPr>
              <w:t>80</w:t>
            </w:r>
          </w:p>
        </w:tc>
        <w:tc>
          <w:tcPr>
            <w:tcW w:w="822" w:type="dxa"/>
          </w:tcPr>
          <w:p w:rsidR="00DB273D" w:rsidRPr="001178FA" w:rsidRDefault="00DB273D" w:rsidP="00255AA3">
            <w:pPr>
              <w:pStyle w:val="E3Tabletext"/>
            </w:pPr>
            <w:r w:rsidRPr="001178FA">
              <w:rPr>
                <w:w w:val="99"/>
              </w:rPr>
              <w:t>1148</w:t>
            </w:r>
          </w:p>
        </w:tc>
        <w:tc>
          <w:tcPr>
            <w:tcW w:w="822" w:type="dxa"/>
          </w:tcPr>
          <w:p w:rsidR="00DB273D" w:rsidRPr="001178FA" w:rsidRDefault="00DB273D" w:rsidP="00255AA3">
            <w:pPr>
              <w:pStyle w:val="E3Tabletext"/>
            </w:pPr>
            <w:r w:rsidRPr="001178FA">
              <w:t>107</w:t>
            </w:r>
          </w:p>
        </w:tc>
        <w:tc>
          <w:tcPr>
            <w:tcW w:w="822" w:type="dxa"/>
          </w:tcPr>
          <w:p w:rsidR="00DB273D" w:rsidRPr="001178FA" w:rsidRDefault="00DB273D" w:rsidP="00255AA3">
            <w:pPr>
              <w:pStyle w:val="E3Tabletext"/>
            </w:pPr>
            <w:r w:rsidRPr="001178FA">
              <w:rPr>
                <w:w w:val="99"/>
              </w:rPr>
              <w:t>1651</w:t>
            </w:r>
          </w:p>
        </w:tc>
        <w:tc>
          <w:tcPr>
            <w:tcW w:w="822" w:type="dxa"/>
          </w:tcPr>
          <w:p w:rsidR="00DB273D" w:rsidRPr="001178FA" w:rsidRDefault="00DB273D" w:rsidP="00255AA3">
            <w:pPr>
              <w:pStyle w:val="E3Tabletext"/>
            </w:pPr>
            <w:r w:rsidRPr="001178FA">
              <w:t>134</w:t>
            </w:r>
          </w:p>
        </w:tc>
        <w:tc>
          <w:tcPr>
            <w:tcW w:w="823" w:type="dxa"/>
          </w:tcPr>
          <w:p w:rsidR="00DB273D" w:rsidRPr="001178FA" w:rsidRDefault="00DB273D" w:rsidP="00255AA3">
            <w:pPr>
              <w:pStyle w:val="E3Tabletext"/>
            </w:pPr>
            <w:r w:rsidRPr="001178FA">
              <w:rPr>
                <w:w w:val="99"/>
              </w:rPr>
              <w:t>2154</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t>27</w:t>
            </w:r>
          </w:p>
        </w:tc>
        <w:tc>
          <w:tcPr>
            <w:tcW w:w="822" w:type="dxa"/>
          </w:tcPr>
          <w:p w:rsidR="00DB273D" w:rsidRPr="001178FA" w:rsidRDefault="00DB273D" w:rsidP="00255AA3">
            <w:pPr>
              <w:pStyle w:val="E3Tabletext"/>
            </w:pPr>
            <w:r w:rsidRPr="001178FA">
              <w:rPr>
                <w:w w:val="99"/>
              </w:rPr>
              <w:t>278</w:t>
            </w:r>
          </w:p>
        </w:tc>
        <w:tc>
          <w:tcPr>
            <w:tcW w:w="822" w:type="dxa"/>
          </w:tcPr>
          <w:p w:rsidR="00DB273D" w:rsidRPr="001178FA" w:rsidRDefault="00DB273D" w:rsidP="00255AA3">
            <w:pPr>
              <w:pStyle w:val="E3Tabletext"/>
            </w:pPr>
            <w:r w:rsidRPr="001178FA">
              <w:rPr>
                <w:w w:val="99"/>
              </w:rPr>
              <w:t>54</w:t>
            </w:r>
          </w:p>
        </w:tc>
        <w:tc>
          <w:tcPr>
            <w:tcW w:w="822" w:type="dxa"/>
          </w:tcPr>
          <w:p w:rsidR="00DB273D" w:rsidRPr="001178FA" w:rsidRDefault="00DB273D" w:rsidP="00255AA3">
            <w:pPr>
              <w:pStyle w:val="E3Tabletext"/>
            </w:pPr>
            <w:r w:rsidRPr="001178FA">
              <w:rPr>
                <w:w w:val="99"/>
              </w:rPr>
              <w:t>705</w:t>
            </w:r>
          </w:p>
        </w:tc>
        <w:tc>
          <w:tcPr>
            <w:tcW w:w="823" w:type="dxa"/>
            <w:gridSpan w:val="2"/>
          </w:tcPr>
          <w:p w:rsidR="00DB273D" w:rsidRPr="001178FA" w:rsidRDefault="00DB273D" w:rsidP="00255AA3">
            <w:pPr>
              <w:pStyle w:val="E3Tabletext"/>
            </w:pPr>
            <w:r w:rsidRPr="001178FA">
              <w:rPr>
                <w:w w:val="99"/>
              </w:rPr>
              <w:t>81</w:t>
            </w:r>
          </w:p>
        </w:tc>
        <w:tc>
          <w:tcPr>
            <w:tcW w:w="822" w:type="dxa"/>
          </w:tcPr>
          <w:p w:rsidR="00DB273D" w:rsidRPr="001178FA" w:rsidRDefault="00DB273D" w:rsidP="00255AA3">
            <w:pPr>
              <w:pStyle w:val="E3Tabletext"/>
            </w:pPr>
            <w:r w:rsidRPr="001178FA">
              <w:rPr>
                <w:w w:val="99"/>
              </w:rPr>
              <w:t>1167</w:t>
            </w:r>
          </w:p>
        </w:tc>
        <w:tc>
          <w:tcPr>
            <w:tcW w:w="822" w:type="dxa"/>
          </w:tcPr>
          <w:p w:rsidR="00DB273D" w:rsidRPr="001178FA" w:rsidRDefault="00DB273D" w:rsidP="00255AA3">
            <w:pPr>
              <w:pStyle w:val="E3Tabletext"/>
            </w:pPr>
            <w:r w:rsidRPr="001178FA">
              <w:t>108</w:t>
            </w:r>
          </w:p>
        </w:tc>
        <w:tc>
          <w:tcPr>
            <w:tcW w:w="822" w:type="dxa"/>
          </w:tcPr>
          <w:p w:rsidR="00DB273D" w:rsidRPr="001178FA" w:rsidRDefault="00DB273D" w:rsidP="00255AA3">
            <w:pPr>
              <w:pStyle w:val="E3Tabletext"/>
            </w:pPr>
            <w:r w:rsidRPr="001178FA">
              <w:rPr>
                <w:w w:val="99"/>
              </w:rPr>
              <w:t>1670</w:t>
            </w:r>
          </w:p>
        </w:tc>
        <w:tc>
          <w:tcPr>
            <w:tcW w:w="822" w:type="dxa"/>
          </w:tcPr>
          <w:p w:rsidR="00DB273D" w:rsidRPr="001178FA" w:rsidRDefault="00DB273D" w:rsidP="00255AA3">
            <w:pPr>
              <w:pStyle w:val="E3Tabletext"/>
            </w:pPr>
            <w:r w:rsidRPr="001178FA">
              <w:t>135</w:t>
            </w:r>
          </w:p>
        </w:tc>
        <w:tc>
          <w:tcPr>
            <w:tcW w:w="823" w:type="dxa"/>
          </w:tcPr>
          <w:p w:rsidR="00DB273D" w:rsidRPr="001178FA" w:rsidRDefault="00DB273D" w:rsidP="00255AA3">
            <w:pPr>
              <w:pStyle w:val="E3Tabletext"/>
            </w:pPr>
            <w:r w:rsidRPr="001178FA">
              <w:rPr>
                <w:w w:val="99"/>
              </w:rPr>
              <w:t>2173</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t>28</w:t>
            </w:r>
          </w:p>
        </w:tc>
        <w:tc>
          <w:tcPr>
            <w:tcW w:w="822" w:type="dxa"/>
          </w:tcPr>
          <w:p w:rsidR="00DB273D" w:rsidRPr="001178FA" w:rsidRDefault="00DB273D" w:rsidP="00255AA3">
            <w:pPr>
              <w:pStyle w:val="E3Tabletext"/>
            </w:pPr>
            <w:r w:rsidRPr="001178FA">
              <w:rPr>
                <w:w w:val="99"/>
              </w:rPr>
              <w:t>293</w:t>
            </w:r>
          </w:p>
        </w:tc>
        <w:tc>
          <w:tcPr>
            <w:tcW w:w="822" w:type="dxa"/>
          </w:tcPr>
          <w:p w:rsidR="00DB273D" w:rsidRPr="001178FA" w:rsidRDefault="00DB273D" w:rsidP="00255AA3">
            <w:pPr>
              <w:pStyle w:val="E3Tabletext"/>
            </w:pPr>
            <w:r w:rsidRPr="001178FA">
              <w:rPr>
                <w:w w:val="99"/>
              </w:rPr>
              <w:t>55</w:t>
            </w:r>
          </w:p>
        </w:tc>
        <w:tc>
          <w:tcPr>
            <w:tcW w:w="822" w:type="dxa"/>
          </w:tcPr>
          <w:p w:rsidR="00DB273D" w:rsidRPr="001178FA" w:rsidRDefault="00DB273D" w:rsidP="00255AA3">
            <w:pPr>
              <w:pStyle w:val="E3Tabletext"/>
            </w:pPr>
            <w:r w:rsidRPr="001178FA">
              <w:rPr>
                <w:w w:val="99"/>
              </w:rPr>
              <w:t>722</w:t>
            </w:r>
          </w:p>
        </w:tc>
        <w:tc>
          <w:tcPr>
            <w:tcW w:w="823" w:type="dxa"/>
            <w:gridSpan w:val="2"/>
          </w:tcPr>
          <w:p w:rsidR="00DB273D" w:rsidRPr="001178FA" w:rsidRDefault="00DB273D" w:rsidP="00255AA3">
            <w:pPr>
              <w:pStyle w:val="E3Tabletext"/>
            </w:pPr>
            <w:r w:rsidRPr="001178FA">
              <w:rPr>
                <w:w w:val="99"/>
              </w:rPr>
              <w:t>82</w:t>
            </w:r>
          </w:p>
        </w:tc>
        <w:tc>
          <w:tcPr>
            <w:tcW w:w="822" w:type="dxa"/>
          </w:tcPr>
          <w:p w:rsidR="00DB273D" w:rsidRPr="001178FA" w:rsidRDefault="00DB273D" w:rsidP="00255AA3">
            <w:pPr>
              <w:pStyle w:val="E3Tabletext"/>
            </w:pPr>
            <w:r w:rsidRPr="001178FA">
              <w:rPr>
                <w:w w:val="99"/>
              </w:rPr>
              <w:t>1185</w:t>
            </w:r>
          </w:p>
        </w:tc>
        <w:tc>
          <w:tcPr>
            <w:tcW w:w="822" w:type="dxa"/>
          </w:tcPr>
          <w:p w:rsidR="00DB273D" w:rsidRPr="001178FA" w:rsidRDefault="00DB273D" w:rsidP="00255AA3">
            <w:pPr>
              <w:pStyle w:val="E3Tabletext"/>
            </w:pPr>
            <w:r w:rsidRPr="001178FA">
              <w:t>109</w:t>
            </w:r>
          </w:p>
        </w:tc>
        <w:tc>
          <w:tcPr>
            <w:tcW w:w="822" w:type="dxa"/>
          </w:tcPr>
          <w:p w:rsidR="00DB273D" w:rsidRPr="001178FA" w:rsidRDefault="00DB273D" w:rsidP="00255AA3">
            <w:pPr>
              <w:pStyle w:val="E3Tabletext"/>
            </w:pPr>
            <w:r w:rsidRPr="001178FA">
              <w:rPr>
                <w:w w:val="99"/>
              </w:rPr>
              <w:t>1689</w:t>
            </w:r>
          </w:p>
        </w:tc>
        <w:tc>
          <w:tcPr>
            <w:tcW w:w="822" w:type="dxa"/>
          </w:tcPr>
          <w:p w:rsidR="00DB273D" w:rsidRPr="001178FA" w:rsidRDefault="00DB273D" w:rsidP="00255AA3">
            <w:pPr>
              <w:pStyle w:val="E3Tabletext"/>
            </w:pPr>
            <w:r w:rsidRPr="001178FA">
              <w:t>136</w:t>
            </w:r>
          </w:p>
        </w:tc>
        <w:tc>
          <w:tcPr>
            <w:tcW w:w="823" w:type="dxa"/>
          </w:tcPr>
          <w:p w:rsidR="00DB273D" w:rsidRPr="001178FA" w:rsidRDefault="00DB273D" w:rsidP="00255AA3">
            <w:pPr>
              <w:pStyle w:val="E3Tabletext"/>
            </w:pPr>
            <w:r w:rsidRPr="001178FA">
              <w:rPr>
                <w:w w:val="99"/>
              </w:rPr>
              <w:t>2191</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t>29</w:t>
            </w:r>
          </w:p>
        </w:tc>
        <w:tc>
          <w:tcPr>
            <w:tcW w:w="822" w:type="dxa"/>
          </w:tcPr>
          <w:p w:rsidR="00DB273D" w:rsidRPr="001178FA" w:rsidRDefault="00DB273D" w:rsidP="00255AA3">
            <w:pPr>
              <w:pStyle w:val="E3Tabletext"/>
            </w:pPr>
            <w:r w:rsidRPr="001178FA">
              <w:rPr>
                <w:w w:val="99"/>
              </w:rPr>
              <w:t>308</w:t>
            </w:r>
          </w:p>
        </w:tc>
        <w:tc>
          <w:tcPr>
            <w:tcW w:w="822" w:type="dxa"/>
          </w:tcPr>
          <w:p w:rsidR="00DB273D" w:rsidRPr="001178FA" w:rsidRDefault="00DB273D" w:rsidP="00255AA3">
            <w:pPr>
              <w:pStyle w:val="E3Tabletext"/>
            </w:pPr>
            <w:r w:rsidRPr="001178FA">
              <w:rPr>
                <w:w w:val="99"/>
              </w:rPr>
              <w:t>56</w:t>
            </w:r>
          </w:p>
        </w:tc>
        <w:tc>
          <w:tcPr>
            <w:tcW w:w="822" w:type="dxa"/>
          </w:tcPr>
          <w:p w:rsidR="00DB273D" w:rsidRPr="001178FA" w:rsidRDefault="00DB273D" w:rsidP="00255AA3">
            <w:pPr>
              <w:pStyle w:val="E3Tabletext"/>
            </w:pPr>
            <w:r w:rsidRPr="001178FA">
              <w:rPr>
                <w:w w:val="99"/>
              </w:rPr>
              <w:t>739</w:t>
            </w:r>
          </w:p>
        </w:tc>
        <w:tc>
          <w:tcPr>
            <w:tcW w:w="823" w:type="dxa"/>
            <w:gridSpan w:val="2"/>
          </w:tcPr>
          <w:p w:rsidR="00DB273D" w:rsidRPr="001178FA" w:rsidRDefault="00DB273D" w:rsidP="00255AA3">
            <w:pPr>
              <w:pStyle w:val="E3Tabletext"/>
            </w:pPr>
            <w:r w:rsidRPr="001178FA">
              <w:rPr>
                <w:w w:val="99"/>
              </w:rPr>
              <w:t>83</w:t>
            </w:r>
          </w:p>
        </w:tc>
        <w:tc>
          <w:tcPr>
            <w:tcW w:w="822" w:type="dxa"/>
          </w:tcPr>
          <w:p w:rsidR="00DB273D" w:rsidRPr="001178FA" w:rsidRDefault="00DB273D" w:rsidP="00255AA3">
            <w:pPr>
              <w:pStyle w:val="E3Tabletext"/>
            </w:pPr>
            <w:r w:rsidRPr="001178FA">
              <w:rPr>
                <w:w w:val="99"/>
              </w:rPr>
              <w:t>1204</w:t>
            </w:r>
          </w:p>
        </w:tc>
        <w:tc>
          <w:tcPr>
            <w:tcW w:w="822" w:type="dxa"/>
          </w:tcPr>
          <w:p w:rsidR="00DB273D" w:rsidRPr="001178FA" w:rsidRDefault="00DB273D" w:rsidP="00255AA3">
            <w:pPr>
              <w:pStyle w:val="E3Tabletext"/>
            </w:pPr>
            <w:r w:rsidRPr="001178FA">
              <w:t>110</w:t>
            </w:r>
          </w:p>
        </w:tc>
        <w:tc>
          <w:tcPr>
            <w:tcW w:w="822" w:type="dxa"/>
          </w:tcPr>
          <w:p w:rsidR="00DB273D" w:rsidRPr="001178FA" w:rsidRDefault="00DB273D" w:rsidP="00255AA3">
            <w:pPr>
              <w:pStyle w:val="E3Tabletext"/>
            </w:pPr>
            <w:r w:rsidRPr="001178FA">
              <w:rPr>
                <w:w w:val="99"/>
              </w:rPr>
              <w:t>1707</w:t>
            </w:r>
          </w:p>
        </w:tc>
        <w:tc>
          <w:tcPr>
            <w:tcW w:w="822" w:type="dxa"/>
          </w:tcPr>
          <w:p w:rsidR="00DB273D" w:rsidRPr="001178FA" w:rsidRDefault="00DB273D" w:rsidP="00255AA3">
            <w:pPr>
              <w:pStyle w:val="E3Tabletext"/>
            </w:pPr>
            <w:r w:rsidRPr="001178FA">
              <w:t>137</w:t>
            </w:r>
          </w:p>
        </w:tc>
        <w:tc>
          <w:tcPr>
            <w:tcW w:w="823" w:type="dxa"/>
          </w:tcPr>
          <w:p w:rsidR="00DB273D" w:rsidRPr="001178FA" w:rsidRDefault="00DB273D" w:rsidP="00255AA3">
            <w:pPr>
              <w:pStyle w:val="E3Tabletext"/>
            </w:pPr>
            <w:r w:rsidRPr="001178FA">
              <w:rPr>
                <w:w w:val="99"/>
              </w:rPr>
              <w:t>2210</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t>30</w:t>
            </w:r>
          </w:p>
        </w:tc>
        <w:tc>
          <w:tcPr>
            <w:tcW w:w="822" w:type="dxa"/>
          </w:tcPr>
          <w:p w:rsidR="00DB273D" w:rsidRPr="001178FA" w:rsidRDefault="00DB273D" w:rsidP="00255AA3">
            <w:pPr>
              <w:pStyle w:val="E3Tabletext"/>
            </w:pPr>
            <w:r w:rsidRPr="001178FA">
              <w:rPr>
                <w:w w:val="99"/>
              </w:rPr>
              <w:t>323</w:t>
            </w:r>
          </w:p>
        </w:tc>
        <w:tc>
          <w:tcPr>
            <w:tcW w:w="822" w:type="dxa"/>
          </w:tcPr>
          <w:p w:rsidR="00DB273D" w:rsidRPr="001178FA" w:rsidRDefault="00DB273D" w:rsidP="00255AA3">
            <w:pPr>
              <w:pStyle w:val="E3Tabletext"/>
            </w:pPr>
            <w:r w:rsidRPr="001178FA">
              <w:rPr>
                <w:w w:val="99"/>
              </w:rPr>
              <w:t>57</w:t>
            </w:r>
          </w:p>
        </w:tc>
        <w:tc>
          <w:tcPr>
            <w:tcW w:w="822" w:type="dxa"/>
          </w:tcPr>
          <w:p w:rsidR="00DB273D" w:rsidRPr="001178FA" w:rsidRDefault="00DB273D" w:rsidP="00255AA3">
            <w:pPr>
              <w:pStyle w:val="E3Tabletext"/>
            </w:pPr>
            <w:r w:rsidRPr="001178FA">
              <w:rPr>
                <w:w w:val="99"/>
              </w:rPr>
              <w:t>756</w:t>
            </w:r>
          </w:p>
        </w:tc>
        <w:tc>
          <w:tcPr>
            <w:tcW w:w="823" w:type="dxa"/>
            <w:gridSpan w:val="2"/>
          </w:tcPr>
          <w:p w:rsidR="00DB273D" w:rsidRPr="001178FA" w:rsidRDefault="00DB273D" w:rsidP="00255AA3">
            <w:pPr>
              <w:pStyle w:val="E3Tabletext"/>
            </w:pPr>
            <w:r w:rsidRPr="001178FA">
              <w:rPr>
                <w:w w:val="99"/>
              </w:rPr>
              <w:t>84</w:t>
            </w:r>
          </w:p>
        </w:tc>
        <w:tc>
          <w:tcPr>
            <w:tcW w:w="822" w:type="dxa"/>
          </w:tcPr>
          <w:p w:rsidR="00DB273D" w:rsidRPr="001178FA" w:rsidRDefault="00DB273D" w:rsidP="00255AA3">
            <w:pPr>
              <w:pStyle w:val="E3Tabletext"/>
            </w:pPr>
            <w:r w:rsidRPr="001178FA">
              <w:rPr>
                <w:w w:val="99"/>
              </w:rPr>
              <w:t>1223</w:t>
            </w:r>
          </w:p>
        </w:tc>
        <w:tc>
          <w:tcPr>
            <w:tcW w:w="822" w:type="dxa"/>
          </w:tcPr>
          <w:p w:rsidR="00DB273D" w:rsidRPr="001178FA" w:rsidRDefault="00DB273D" w:rsidP="00255AA3">
            <w:pPr>
              <w:pStyle w:val="E3Tabletext"/>
            </w:pPr>
            <w:r w:rsidRPr="001178FA">
              <w:t>111</w:t>
            </w:r>
          </w:p>
        </w:tc>
        <w:tc>
          <w:tcPr>
            <w:tcW w:w="822" w:type="dxa"/>
          </w:tcPr>
          <w:p w:rsidR="00DB273D" w:rsidRPr="001178FA" w:rsidRDefault="00DB273D" w:rsidP="00255AA3">
            <w:pPr>
              <w:pStyle w:val="E3Tabletext"/>
            </w:pPr>
            <w:r w:rsidRPr="001178FA">
              <w:rPr>
                <w:w w:val="99"/>
              </w:rPr>
              <w:t>1726</w:t>
            </w:r>
          </w:p>
        </w:tc>
        <w:tc>
          <w:tcPr>
            <w:tcW w:w="822" w:type="dxa"/>
          </w:tcPr>
          <w:p w:rsidR="00DB273D" w:rsidRPr="001178FA" w:rsidRDefault="00DB273D" w:rsidP="00255AA3">
            <w:pPr>
              <w:pStyle w:val="E3Tabletext"/>
            </w:pPr>
            <w:r w:rsidRPr="001178FA">
              <w:t>138</w:t>
            </w:r>
          </w:p>
        </w:tc>
        <w:tc>
          <w:tcPr>
            <w:tcW w:w="823" w:type="dxa"/>
          </w:tcPr>
          <w:p w:rsidR="00DB273D" w:rsidRPr="001178FA" w:rsidRDefault="00DB273D" w:rsidP="00255AA3">
            <w:pPr>
              <w:pStyle w:val="E3Tabletext"/>
            </w:pPr>
            <w:r w:rsidRPr="001178FA">
              <w:rPr>
                <w:w w:val="99"/>
              </w:rPr>
              <w:t>2229</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t>31</w:t>
            </w:r>
          </w:p>
        </w:tc>
        <w:tc>
          <w:tcPr>
            <w:tcW w:w="822" w:type="dxa"/>
          </w:tcPr>
          <w:p w:rsidR="00DB273D" w:rsidRPr="001178FA" w:rsidRDefault="00DB273D" w:rsidP="00255AA3">
            <w:pPr>
              <w:pStyle w:val="E3Tabletext"/>
            </w:pPr>
            <w:r w:rsidRPr="001178FA">
              <w:rPr>
                <w:w w:val="99"/>
              </w:rPr>
              <w:t>337</w:t>
            </w:r>
          </w:p>
        </w:tc>
        <w:tc>
          <w:tcPr>
            <w:tcW w:w="822" w:type="dxa"/>
          </w:tcPr>
          <w:p w:rsidR="00DB273D" w:rsidRPr="001178FA" w:rsidRDefault="00DB273D" w:rsidP="00255AA3">
            <w:pPr>
              <w:pStyle w:val="E3Tabletext"/>
            </w:pPr>
            <w:r w:rsidRPr="001178FA">
              <w:rPr>
                <w:w w:val="99"/>
              </w:rPr>
              <w:t>58</w:t>
            </w:r>
          </w:p>
        </w:tc>
        <w:tc>
          <w:tcPr>
            <w:tcW w:w="822" w:type="dxa"/>
          </w:tcPr>
          <w:p w:rsidR="00DB273D" w:rsidRPr="001178FA" w:rsidRDefault="00DB273D" w:rsidP="00255AA3">
            <w:pPr>
              <w:pStyle w:val="E3Tabletext"/>
            </w:pPr>
            <w:r w:rsidRPr="001178FA">
              <w:rPr>
                <w:w w:val="99"/>
              </w:rPr>
              <w:t>772</w:t>
            </w:r>
          </w:p>
        </w:tc>
        <w:tc>
          <w:tcPr>
            <w:tcW w:w="823" w:type="dxa"/>
            <w:gridSpan w:val="2"/>
          </w:tcPr>
          <w:p w:rsidR="00DB273D" w:rsidRPr="001178FA" w:rsidRDefault="00DB273D" w:rsidP="00255AA3">
            <w:pPr>
              <w:pStyle w:val="E3Tabletext"/>
            </w:pPr>
            <w:r w:rsidRPr="001178FA">
              <w:rPr>
                <w:w w:val="99"/>
              </w:rPr>
              <w:t>85</w:t>
            </w:r>
          </w:p>
        </w:tc>
        <w:tc>
          <w:tcPr>
            <w:tcW w:w="822" w:type="dxa"/>
          </w:tcPr>
          <w:p w:rsidR="00DB273D" w:rsidRPr="001178FA" w:rsidRDefault="00DB273D" w:rsidP="00255AA3">
            <w:pPr>
              <w:pStyle w:val="E3Tabletext"/>
            </w:pPr>
            <w:r w:rsidRPr="001178FA">
              <w:rPr>
                <w:w w:val="99"/>
              </w:rPr>
              <w:t>1241</w:t>
            </w:r>
          </w:p>
        </w:tc>
        <w:tc>
          <w:tcPr>
            <w:tcW w:w="822" w:type="dxa"/>
          </w:tcPr>
          <w:p w:rsidR="00DB273D" w:rsidRPr="001178FA" w:rsidRDefault="00DB273D" w:rsidP="00255AA3">
            <w:pPr>
              <w:pStyle w:val="E3Tabletext"/>
            </w:pPr>
            <w:r w:rsidRPr="001178FA">
              <w:t>112</w:t>
            </w:r>
          </w:p>
        </w:tc>
        <w:tc>
          <w:tcPr>
            <w:tcW w:w="822" w:type="dxa"/>
          </w:tcPr>
          <w:p w:rsidR="00DB273D" w:rsidRPr="001178FA" w:rsidRDefault="00DB273D" w:rsidP="00255AA3">
            <w:pPr>
              <w:pStyle w:val="E3Tabletext"/>
            </w:pPr>
            <w:r w:rsidRPr="001178FA">
              <w:rPr>
                <w:w w:val="99"/>
              </w:rPr>
              <w:t>1744</w:t>
            </w:r>
          </w:p>
        </w:tc>
        <w:tc>
          <w:tcPr>
            <w:tcW w:w="822" w:type="dxa"/>
          </w:tcPr>
          <w:p w:rsidR="00DB273D" w:rsidRPr="001178FA" w:rsidRDefault="00DB273D" w:rsidP="00255AA3">
            <w:pPr>
              <w:pStyle w:val="E3Tabletext"/>
            </w:pPr>
            <w:r w:rsidRPr="001178FA">
              <w:t>139</w:t>
            </w:r>
          </w:p>
        </w:tc>
        <w:tc>
          <w:tcPr>
            <w:tcW w:w="823" w:type="dxa"/>
          </w:tcPr>
          <w:p w:rsidR="00DB273D" w:rsidRPr="001178FA" w:rsidRDefault="00DB273D" w:rsidP="00255AA3">
            <w:pPr>
              <w:pStyle w:val="E3Tabletext"/>
            </w:pPr>
            <w:r w:rsidRPr="001178FA">
              <w:rPr>
                <w:w w:val="99"/>
              </w:rPr>
              <w:t>2247</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t>32</w:t>
            </w:r>
          </w:p>
        </w:tc>
        <w:tc>
          <w:tcPr>
            <w:tcW w:w="822" w:type="dxa"/>
          </w:tcPr>
          <w:p w:rsidR="00DB273D" w:rsidRPr="001178FA" w:rsidRDefault="00DB273D" w:rsidP="00255AA3">
            <w:pPr>
              <w:pStyle w:val="E3Tabletext"/>
            </w:pPr>
            <w:r w:rsidRPr="001178FA">
              <w:rPr>
                <w:w w:val="99"/>
              </w:rPr>
              <w:t>352</w:t>
            </w:r>
          </w:p>
        </w:tc>
        <w:tc>
          <w:tcPr>
            <w:tcW w:w="822" w:type="dxa"/>
          </w:tcPr>
          <w:p w:rsidR="00DB273D" w:rsidRPr="001178FA" w:rsidRDefault="00DB273D" w:rsidP="00255AA3">
            <w:pPr>
              <w:pStyle w:val="E3Tabletext"/>
            </w:pPr>
            <w:r w:rsidRPr="001178FA">
              <w:rPr>
                <w:w w:val="99"/>
              </w:rPr>
              <w:t>59</w:t>
            </w:r>
          </w:p>
        </w:tc>
        <w:tc>
          <w:tcPr>
            <w:tcW w:w="822" w:type="dxa"/>
          </w:tcPr>
          <w:p w:rsidR="00DB273D" w:rsidRPr="001178FA" w:rsidRDefault="00DB273D" w:rsidP="00255AA3">
            <w:pPr>
              <w:pStyle w:val="E3Tabletext"/>
            </w:pPr>
            <w:r w:rsidRPr="001178FA">
              <w:rPr>
                <w:w w:val="99"/>
              </w:rPr>
              <w:t>789</w:t>
            </w:r>
          </w:p>
        </w:tc>
        <w:tc>
          <w:tcPr>
            <w:tcW w:w="823" w:type="dxa"/>
            <w:gridSpan w:val="2"/>
          </w:tcPr>
          <w:p w:rsidR="00DB273D" w:rsidRPr="001178FA" w:rsidRDefault="00DB273D" w:rsidP="00255AA3">
            <w:pPr>
              <w:pStyle w:val="E3Tabletext"/>
            </w:pPr>
            <w:r w:rsidRPr="001178FA">
              <w:rPr>
                <w:w w:val="99"/>
              </w:rPr>
              <w:t>86</w:t>
            </w:r>
          </w:p>
        </w:tc>
        <w:tc>
          <w:tcPr>
            <w:tcW w:w="822" w:type="dxa"/>
          </w:tcPr>
          <w:p w:rsidR="00DB273D" w:rsidRPr="001178FA" w:rsidRDefault="00DB273D" w:rsidP="00255AA3">
            <w:pPr>
              <w:pStyle w:val="E3Tabletext"/>
            </w:pPr>
            <w:r w:rsidRPr="001178FA">
              <w:rPr>
                <w:w w:val="99"/>
              </w:rPr>
              <w:t>1260</w:t>
            </w:r>
          </w:p>
        </w:tc>
        <w:tc>
          <w:tcPr>
            <w:tcW w:w="822" w:type="dxa"/>
          </w:tcPr>
          <w:p w:rsidR="00DB273D" w:rsidRPr="001178FA" w:rsidRDefault="00DB273D" w:rsidP="00255AA3">
            <w:pPr>
              <w:pStyle w:val="E3Tabletext"/>
            </w:pPr>
            <w:r w:rsidRPr="001178FA">
              <w:t>113</w:t>
            </w:r>
          </w:p>
        </w:tc>
        <w:tc>
          <w:tcPr>
            <w:tcW w:w="822" w:type="dxa"/>
          </w:tcPr>
          <w:p w:rsidR="00DB273D" w:rsidRPr="001178FA" w:rsidRDefault="00DB273D" w:rsidP="00255AA3">
            <w:pPr>
              <w:pStyle w:val="E3Tabletext"/>
            </w:pPr>
            <w:r w:rsidRPr="001178FA">
              <w:rPr>
                <w:w w:val="99"/>
              </w:rPr>
              <w:t>1763</w:t>
            </w:r>
          </w:p>
        </w:tc>
        <w:tc>
          <w:tcPr>
            <w:tcW w:w="822" w:type="dxa"/>
          </w:tcPr>
          <w:p w:rsidR="00DB273D" w:rsidRPr="001178FA" w:rsidRDefault="00DB273D" w:rsidP="00255AA3">
            <w:pPr>
              <w:pStyle w:val="E3Tabletext"/>
            </w:pPr>
            <w:r w:rsidRPr="001178FA">
              <w:t>140</w:t>
            </w:r>
          </w:p>
        </w:tc>
        <w:tc>
          <w:tcPr>
            <w:tcW w:w="823" w:type="dxa"/>
          </w:tcPr>
          <w:p w:rsidR="00DB273D" w:rsidRPr="001178FA" w:rsidRDefault="00DB273D" w:rsidP="00255AA3">
            <w:pPr>
              <w:pStyle w:val="E3Tabletext"/>
            </w:pPr>
            <w:r w:rsidRPr="001178FA">
              <w:rPr>
                <w:w w:val="99"/>
              </w:rPr>
              <w:t>2266</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t>33</w:t>
            </w:r>
          </w:p>
        </w:tc>
        <w:tc>
          <w:tcPr>
            <w:tcW w:w="822" w:type="dxa"/>
          </w:tcPr>
          <w:p w:rsidR="00DB273D" w:rsidRPr="001178FA" w:rsidRDefault="00DB273D" w:rsidP="00255AA3">
            <w:pPr>
              <w:pStyle w:val="E3Tabletext"/>
            </w:pPr>
            <w:r w:rsidRPr="001178FA">
              <w:rPr>
                <w:w w:val="99"/>
              </w:rPr>
              <w:t>367</w:t>
            </w:r>
          </w:p>
        </w:tc>
        <w:tc>
          <w:tcPr>
            <w:tcW w:w="822" w:type="dxa"/>
          </w:tcPr>
          <w:p w:rsidR="00DB273D" w:rsidRPr="001178FA" w:rsidRDefault="00DB273D" w:rsidP="00255AA3">
            <w:pPr>
              <w:pStyle w:val="E3Tabletext"/>
            </w:pPr>
            <w:r w:rsidRPr="001178FA">
              <w:rPr>
                <w:w w:val="99"/>
              </w:rPr>
              <w:t>60</w:t>
            </w:r>
          </w:p>
        </w:tc>
        <w:tc>
          <w:tcPr>
            <w:tcW w:w="822" w:type="dxa"/>
          </w:tcPr>
          <w:p w:rsidR="00DB273D" w:rsidRPr="001178FA" w:rsidRDefault="00DB273D" w:rsidP="00255AA3">
            <w:pPr>
              <w:pStyle w:val="E3Tabletext"/>
            </w:pPr>
            <w:r w:rsidRPr="001178FA">
              <w:rPr>
                <w:w w:val="99"/>
              </w:rPr>
              <w:t>806</w:t>
            </w:r>
          </w:p>
        </w:tc>
        <w:tc>
          <w:tcPr>
            <w:tcW w:w="823" w:type="dxa"/>
            <w:gridSpan w:val="2"/>
          </w:tcPr>
          <w:p w:rsidR="00DB273D" w:rsidRPr="001178FA" w:rsidRDefault="00DB273D" w:rsidP="00255AA3">
            <w:pPr>
              <w:pStyle w:val="E3Tabletext"/>
            </w:pPr>
            <w:r w:rsidRPr="001178FA">
              <w:rPr>
                <w:w w:val="99"/>
              </w:rPr>
              <w:t>87</w:t>
            </w:r>
          </w:p>
        </w:tc>
        <w:tc>
          <w:tcPr>
            <w:tcW w:w="822" w:type="dxa"/>
          </w:tcPr>
          <w:p w:rsidR="00DB273D" w:rsidRPr="001178FA" w:rsidRDefault="00DB273D" w:rsidP="00255AA3">
            <w:pPr>
              <w:pStyle w:val="E3Tabletext"/>
            </w:pPr>
            <w:r w:rsidRPr="001178FA">
              <w:rPr>
                <w:w w:val="99"/>
              </w:rPr>
              <w:t>1279</w:t>
            </w:r>
          </w:p>
        </w:tc>
        <w:tc>
          <w:tcPr>
            <w:tcW w:w="822" w:type="dxa"/>
          </w:tcPr>
          <w:p w:rsidR="00DB273D" w:rsidRPr="001178FA" w:rsidRDefault="00DB273D" w:rsidP="00255AA3">
            <w:pPr>
              <w:pStyle w:val="E3Tabletext"/>
            </w:pPr>
            <w:r w:rsidRPr="001178FA">
              <w:t>114</w:t>
            </w:r>
          </w:p>
        </w:tc>
        <w:tc>
          <w:tcPr>
            <w:tcW w:w="822" w:type="dxa"/>
          </w:tcPr>
          <w:p w:rsidR="00DB273D" w:rsidRPr="001178FA" w:rsidRDefault="00DB273D" w:rsidP="00255AA3">
            <w:pPr>
              <w:pStyle w:val="E3Tabletext"/>
            </w:pPr>
            <w:r w:rsidRPr="001178FA">
              <w:rPr>
                <w:w w:val="99"/>
              </w:rPr>
              <w:t>1782</w:t>
            </w:r>
          </w:p>
        </w:tc>
        <w:tc>
          <w:tcPr>
            <w:tcW w:w="822" w:type="dxa"/>
          </w:tcPr>
          <w:p w:rsidR="00DB273D" w:rsidRPr="001178FA" w:rsidRDefault="00DB273D" w:rsidP="00255AA3">
            <w:pPr>
              <w:pStyle w:val="E3Tabletext"/>
            </w:pPr>
            <w:r w:rsidRPr="001178FA">
              <w:t>141</w:t>
            </w:r>
          </w:p>
        </w:tc>
        <w:tc>
          <w:tcPr>
            <w:tcW w:w="823" w:type="dxa"/>
          </w:tcPr>
          <w:p w:rsidR="00DB273D" w:rsidRPr="001178FA" w:rsidRDefault="00DB273D" w:rsidP="00255AA3">
            <w:pPr>
              <w:pStyle w:val="E3Tabletext"/>
            </w:pPr>
            <w:r w:rsidRPr="001178FA">
              <w:rPr>
                <w:w w:val="99"/>
              </w:rPr>
              <w:t>2284</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t>34</w:t>
            </w:r>
          </w:p>
        </w:tc>
        <w:tc>
          <w:tcPr>
            <w:tcW w:w="822" w:type="dxa"/>
          </w:tcPr>
          <w:p w:rsidR="00DB273D" w:rsidRPr="001178FA" w:rsidRDefault="00DB273D" w:rsidP="00255AA3">
            <w:pPr>
              <w:pStyle w:val="E3Tabletext"/>
            </w:pPr>
            <w:r w:rsidRPr="001178FA">
              <w:rPr>
                <w:w w:val="99"/>
              </w:rPr>
              <w:t>382</w:t>
            </w:r>
          </w:p>
        </w:tc>
        <w:tc>
          <w:tcPr>
            <w:tcW w:w="822" w:type="dxa"/>
          </w:tcPr>
          <w:p w:rsidR="00DB273D" w:rsidRPr="001178FA" w:rsidRDefault="00DB273D" w:rsidP="00255AA3">
            <w:pPr>
              <w:pStyle w:val="E3Tabletext"/>
            </w:pPr>
            <w:r w:rsidRPr="001178FA">
              <w:rPr>
                <w:w w:val="99"/>
              </w:rPr>
              <w:t>61</w:t>
            </w:r>
          </w:p>
        </w:tc>
        <w:tc>
          <w:tcPr>
            <w:tcW w:w="822" w:type="dxa"/>
          </w:tcPr>
          <w:p w:rsidR="00DB273D" w:rsidRPr="001178FA" w:rsidRDefault="00DB273D" w:rsidP="00255AA3">
            <w:pPr>
              <w:pStyle w:val="E3Tabletext"/>
            </w:pPr>
            <w:r w:rsidRPr="001178FA">
              <w:rPr>
                <w:w w:val="99"/>
              </w:rPr>
              <w:t>823</w:t>
            </w:r>
          </w:p>
        </w:tc>
        <w:tc>
          <w:tcPr>
            <w:tcW w:w="823" w:type="dxa"/>
            <w:gridSpan w:val="2"/>
          </w:tcPr>
          <w:p w:rsidR="00DB273D" w:rsidRPr="001178FA" w:rsidRDefault="00DB273D" w:rsidP="00255AA3">
            <w:pPr>
              <w:pStyle w:val="E3Tabletext"/>
            </w:pPr>
            <w:r w:rsidRPr="001178FA">
              <w:rPr>
                <w:w w:val="99"/>
              </w:rPr>
              <w:t>88</w:t>
            </w:r>
          </w:p>
        </w:tc>
        <w:tc>
          <w:tcPr>
            <w:tcW w:w="822" w:type="dxa"/>
          </w:tcPr>
          <w:p w:rsidR="00DB273D" w:rsidRPr="001178FA" w:rsidRDefault="00DB273D" w:rsidP="00255AA3">
            <w:pPr>
              <w:pStyle w:val="E3Tabletext"/>
            </w:pPr>
            <w:r w:rsidRPr="001178FA">
              <w:rPr>
                <w:w w:val="99"/>
              </w:rPr>
              <w:t>1297</w:t>
            </w:r>
          </w:p>
        </w:tc>
        <w:tc>
          <w:tcPr>
            <w:tcW w:w="822" w:type="dxa"/>
          </w:tcPr>
          <w:p w:rsidR="00DB273D" w:rsidRPr="001178FA" w:rsidRDefault="00DB273D" w:rsidP="00255AA3">
            <w:pPr>
              <w:pStyle w:val="E3Tabletext"/>
            </w:pPr>
            <w:r w:rsidRPr="001178FA">
              <w:t>115</w:t>
            </w:r>
          </w:p>
        </w:tc>
        <w:tc>
          <w:tcPr>
            <w:tcW w:w="822" w:type="dxa"/>
          </w:tcPr>
          <w:p w:rsidR="00DB273D" w:rsidRPr="001178FA" w:rsidRDefault="00DB273D" w:rsidP="00255AA3">
            <w:pPr>
              <w:pStyle w:val="E3Tabletext"/>
            </w:pPr>
            <w:r w:rsidRPr="001178FA">
              <w:rPr>
                <w:w w:val="99"/>
              </w:rPr>
              <w:t>1800</w:t>
            </w:r>
          </w:p>
        </w:tc>
        <w:tc>
          <w:tcPr>
            <w:tcW w:w="822" w:type="dxa"/>
          </w:tcPr>
          <w:p w:rsidR="00DB273D" w:rsidRPr="001178FA" w:rsidRDefault="00DB273D" w:rsidP="00255AA3">
            <w:pPr>
              <w:pStyle w:val="E3Tabletext"/>
            </w:pPr>
            <w:r w:rsidRPr="001178FA">
              <w:t>142</w:t>
            </w:r>
          </w:p>
        </w:tc>
        <w:tc>
          <w:tcPr>
            <w:tcW w:w="823" w:type="dxa"/>
          </w:tcPr>
          <w:p w:rsidR="00DB273D" w:rsidRPr="001178FA" w:rsidRDefault="00DB273D" w:rsidP="00255AA3">
            <w:pPr>
              <w:pStyle w:val="E3Tabletext"/>
            </w:pPr>
            <w:r w:rsidRPr="001178FA">
              <w:rPr>
                <w:w w:val="99"/>
              </w:rPr>
              <w:t>2303</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t>35</w:t>
            </w:r>
          </w:p>
        </w:tc>
        <w:tc>
          <w:tcPr>
            <w:tcW w:w="822" w:type="dxa"/>
          </w:tcPr>
          <w:p w:rsidR="00DB273D" w:rsidRPr="001178FA" w:rsidRDefault="00DB273D" w:rsidP="00255AA3">
            <w:pPr>
              <w:pStyle w:val="E3Tabletext"/>
            </w:pPr>
            <w:r w:rsidRPr="001178FA">
              <w:rPr>
                <w:w w:val="99"/>
              </w:rPr>
              <w:t>396</w:t>
            </w:r>
          </w:p>
        </w:tc>
        <w:tc>
          <w:tcPr>
            <w:tcW w:w="822" w:type="dxa"/>
          </w:tcPr>
          <w:p w:rsidR="00DB273D" w:rsidRPr="001178FA" w:rsidRDefault="00DB273D" w:rsidP="00255AA3">
            <w:pPr>
              <w:pStyle w:val="E3Tabletext"/>
            </w:pPr>
            <w:r w:rsidRPr="001178FA">
              <w:rPr>
                <w:w w:val="99"/>
              </w:rPr>
              <w:t>62</w:t>
            </w:r>
          </w:p>
        </w:tc>
        <w:tc>
          <w:tcPr>
            <w:tcW w:w="822" w:type="dxa"/>
          </w:tcPr>
          <w:p w:rsidR="00DB273D" w:rsidRPr="001178FA" w:rsidRDefault="00DB273D" w:rsidP="00255AA3">
            <w:pPr>
              <w:pStyle w:val="E3Tabletext"/>
            </w:pPr>
            <w:r w:rsidRPr="001178FA">
              <w:rPr>
                <w:w w:val="99"/>
              </w:rPr>
              <w:t>839</w:t>
            </w:r>
          </w:p>
        </w:tc>
        <w:tc>
          <w:tcPr>
            <w:tcW w:w="823" w:type="dxa"/>
            <w:gridSpan w:val="2"/>
          </w:tcPr>
          <w:p w:rsidR="00DB273D" w:rsidRPr="001178FA" w:rsidRDefault="00DB273D" w:rsidP="00255AA3">
            <w:pPr>
              <w:pStyle w:val="E3Tabletext"/>
            </w:pPr>
            <w:r w:rsidRPr="001178FA">
              <w:rPr>
                <w:w w:val="99"/>
              </w:rPr>
              <w:t>89</w:t>
            </w:r>
          </w:p>
        </w:tc>
        <w:tc>
          <w:tcPr>
            <w:tcW w:w="822" w:type="dxa"/>
          </w:tcPr>
          <w:p w:rsidR="00DB273D" w:rsidRPr="001178FA" w:rsidRDefault="00DB273D" w:rsidP="00255AA3">
            <w:pPr>
              <w:pStyle w:val="E3Tabletext"/>
            </w:pPr>
            <w:r w:rsidRPr="001178FA">
              <w:rPr>
                <w:w w:val="99"/>
              </w:rPr>
              <w:t>1316</w:t>
            </w:r>
          </w:p>
        </w:tc>
        <w:tc>
          <w:tcPr>
            <w:tcW w:w="822" w:type="dxa"/>
          </w:tcPr>
          <w:p w:rsidR="00DB273D" w:rsidRPr="001178FA" w:rsidRDefault="00DB273D" w:rsidP="00255AA3">
            <w:pPr>
              <w:pStyle w:val="E3Tabletext"/>
            </w:pPr>
            <w:r w:rsidRPr="001178FA">
              <w:t>116</w:t>
            </w:r>
          </w:p>
        </w:tc>
        <w:tc>
          <w:tcPr>
            <w:tcW w:w="822" w:type="dxa"/>
          </w:tcPr>
          <w:p w:rsidR="00DB273D" w:rsidRPr="001178FA" w:rsidRDefault="00DB273D" w:rsidP="00255AA3">
            <w:pPr>
              <w:pStyle w:val="E3Tabletext"/>
            </w:pPr>
            <w:r w:rsidRPr="001178FA">
              <w:rPr>
                <w:w w:val="99"/>
              </w:rPr>
              <w:t>1819</w:t>
            </w:r>
          </w:p>
        </w:tc>
        <w:tc>
          <w:tcPr>
            <w:tcW w:w="822" w:type="dxa"/>
          </w:tcPr>
          <w:p w:rsidR="00DB273D" w:rsidRPr="001178FA" w:rsidRDefault="00DB273D" w:rsidP="00255AA3">
            <w:pPr>
              <w:pStyle w:val="E3Tabletext"/>
            </w:pPr>
            <w:r w:rsidRPr="001178FA">
              <w:t>143</w:t>
            </w:r>
          </w:p>
        </w:tc>
        <w:tc>
          <w:tcPr>
            <w:tcW w:w="823" w:type="dxa"/>
          </w:tcPr>
          <w:p w:rsidR="00DB273D" w:rsidRPr="001178FA" w:rsidRDefault="00DB273D" w:rsidP="00255AA3">
            <w:pPr>
              <w:pStyle w:val="E3Tabletext"/>
            </w:pPr>
            <w:r w:rsidRPr="001178FA">
              <w:rPr>
                <w:w w:val="99"/>
              </w:rPr>
              <w:t>2322</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t>36</w:t>
            </w:r>
          </w:p>
        </w:tc>
        <w:tc>
          <w:tcPr>
            <w:tcW w:w="822" w:type="dxa"/>
          </w:tcPr>
          <w:p w:rsidR="00DB273D" w:rsidRPr="001178FA" w:rsidRDefault="00DB273D" w:rsidP="00255AA3">
            <w:pPr>
              <w:pStyle w:val="E3Tabletext"/>
            </w:pPr>
            <w:r w:rsidRPr="001178FA">
              <w:rPr>
                <w:w w:val="99"/>
              </w:rPr>
              <w:t>411</w:t>
            </w:r>
          </w:p>
        </w:tc>
        <w:tc>
          <w:tcPr>
            <w:tcW w:w="822" w:type="dxa"/>
          </w:tcPr>
          <w:p w:rsidR="00DB273D" w:rsidRPr="001178FA" w:rsidRDefault="00DB273D" w:rsidP="00255AA3">
            <w:pPr>
              <w:pStyle w:val="E3Tabletext"/>
            </w:pPr>
            <w:r w:rsidRPr="001178FA">
              <w:rPr>
                <w:w w:val="99"/>
              </w:rPr>
              <w:t>63</w:t>
            </w:r>
          </w:p>
        </w:tc>
        <w:tc>
          <w:tcPr>
            <w:tcW w:w="822" w:type="dxa"/>
          </w:tcPr>
          <w:p w:rsidR="00DB273D" w:rsidRPr="001178FA" w:rsidRDefault="00DB273D" w:rsidP="00255AA3">
            <w:pPr>
              <w:pStyle w:val="E3Tabletext"/>
            </w:pPr>
            <w:r w:rsidRPr="001178FA">
              <w:rPr>
                <w:w w:val="99"/>
              </w:rPr>
              <w:t>856</w:t>
            </w:r>
          </w:p>
        </w:tc>
        <w:tc>
          <w:tcPr>
            <w:tcW w:w="823" w:type="dxa"/>
            <w:gridSpan w:val="2"/>
          </w:tcPr>
          <w:p w:rsidR="00DB273D" w:rsidRPr="001178FA" w:rsidRDefault="00DB273D" w:rsidP="00255AA3">
            <w:pPr>
              <w:pStyle w:val="E3Tabletext"/>
            </w:pPr>
            <w:r w:rsidRPr="001178FA">
              <w:rPr>
                <w:w w:val="99"/>
              </w:rPr>
              <w:t>90</w:t>
            </w:r>
          </w:p>
        </w:tc>
        <w:tc>
          <w:tcPr>
            <w:tcW w:w="822" w:type="dxa"/>
          </w:tcPr>
          <w:p w:rsidR="00DB273D" w:rsidRPr="001178FA" w:rsidRDefault="00DB273D" w:rsidP="00255AA3">
            <w:pPr>
              <w:pStyle w:val="E3Tabletext"/>
            </w:pPr>
            <w:r w:rsidRPr="001178FA">
              <w:rPr>
                <w:w w:val="99"/>
              </w:rPr>
              <w:t>1335</w:t>
            </w:r>
          </w:p>
        </w:tc>
        <w:tc>
          <w:tcPr>
            <w:tcW w:w="822" w:type="dxa"/>
          </w:tcPr>
          <w:p w:rsidR="00DB273D" w:rsidRPr="001178FA" w:rsidRDefault="00DB273D" w:rsidP="00255AA3">
            <w:pPr>
              <w:pStyle w:val="E3Tabletext"/>
            </w:pPr>
            <w:r w:rsidRPr="001178FA">
              <w:t>117</w:t>
            </w:r>
          </w:p>
        </w:tc>
        <w:tc>
          <w:tcPr>
            <w:tcW w:w="822" w:type="dxa"/>
          </w:tcPr>
          <w:p w:rsidR="00DB273D" w:rsidRPr="001178FA" w:rsidRDefault="00DB273D" w:rsidP="00255AA3">
            <w:pPr>
              <w:pStyle w:val="E3Tabletext"/>
            </w:pPr>
            <w:r w:rsidRPr="001178FA">
              <w:rPr>
                <w:w w:val="99"/>
              </w:rPr>
              <w:t>1838</w:t>
            </w:r>
          </w:p>
        </w:tc>
        <w:tc>
          <w:tcPr>
            <w:tcW w:w="822" w:type="dxa"/>
          </w:tcPr>
          <w:p w:rsidR="00DB273D" w:rsidRPr="001178FA" w:rsidRDefault="00DB273D" w:rsidP="00255AA3">
            <w:pPr>
              <w:pStyle w:val="E3Tabletext"/>
            </w:pPr>
            <w:r w:rsidRPr="001178FA">
              <w:t>144</w:t>
            </w:r>
          </w:p>
        </w:tc>
        <w:tc>
          <w:tcPr>
            <w:tcW w:w="823" w:type="dxa"/>
          </w:tcPr>
          <w:p w:rsidR="00DB273D" w:rsidRPr="001178FA" w:rsidRDefault="00DB273D" w:rsidP="00255AA3">
            <w:pPr>
              <w:pStyle w:val="E3Tabletext"/>
            </w:pPr>
            <w:r w:rsidRPr="001178FA">
              <w:rPr>
                <w:w w:val="99"/>
              </w:rPr>
              <w:t>2340</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t>37</w:t>
            </w:r>
          </w:p>
        </w:tc>
        <w:tc>
          <w:tcPr>
            <w:tcW w:w="822" w:type="dxa"/>
          </w:tcPr>
          <w:p w:rsidR="00DB273D" w:rsidRPr="001178FA" w:rsidRDefault="00DB273D" w:rsidP="00255AA3">
            <w:pPr>
              <w:pStyle w:val="E3Tabletext"/>
            </w:pPr>
            <w:r w:rsidRPr="001178FA">
              <w:rPr>
                <w:w w:val="99"/>
              </w:rPr>
              <w:t>426</w:t>
            </w:r>
          </w:p>
        </w:tc>
        <w:tc>
          <w:tcPr>
            <w:tcW w:w="822" w:type="dxa"/>
          </w:tcPr>
          <w:p w:rsidR="00DB273D" w:rsidRPr="001178FA" w:rsidRDefault="00DB273D" w:rsidP="00255AA3">
            <w:pPr>
              <w:pStyle w:val="E3Tabletext"/>
            </w:pPr>
            <w:r w:rsidRPr="001178FA">
              <w:rPr>
                <w:w w:val="99"/>
              </w:rPr>
              <w:t>64</w:t>
            </w:r>
          </w:p>
        </w:tc>
        <w:tc>
          <w:tcPr>
            <w:tcW w:w="822" w:type="dxa"/>
          </w:tcPr>
          <w:p w:rsidR="00DB273D" w:rsidRPr="001178FA" w:rsidRDefault="00DB273D" w:rsidP="00255AA3">
            <w:pPr>
              <w:pStyle w:val="E3Tabletext"/>
            </w:pPr>
            <w:r w:rsidRPr="001178FA">
              <w:rPr>
                <w:w w:val="99"/>
              </w:rPr>
              <w:t>872</w:t>
            </w:r>
          </w:p>
        </w:tc>
        <w:tc>
          <w:tcPr>
            <w:tcW w:w="823" w:type="dxa"/>
            <w:gridSpan w:val="2"/>
          </w:tcPr>
          <w:p w:rsidR="00DB273D" w:rsidRPr="001178FA" w:rsidRDefault="00DB273D" w:rsidP="00255AA3">
            <w:pPr>
              <w:pStyle w:val="E3Tabletext"/>
            </w:pPr>
            <w:r w:rsidRPr="001178FA">
              <w:rPr>
                <w:w w:val="99"/>
              </w:rPr>
              <w:t>91</w:t>
            </w:r>
          </w:p>
        </w:tc>
        <w:tc>
          <w:tcPr>
            <w:tcW w:w="822" w:type="dxa"/>
          </w:tcPr>
          <w:p w:rsidR="00DB273D" w:rsidRPr="001178FA" w:rsidRDefault="00DB273D" w:rsidP="00255AA3">
            <w:pPr>
              <w:pStyle w:val="E3Tabletext"/>
            </w:pPr>
            <w:r w:rsidRPr="001178FA">
              <w:rPr>
                <w:w w:val="99"/>
              </w:rPr>
              <w:t>1353</w:t>
            </w:r>
          </w:p>
        </w:tc>
        <w:tc>
          <w:tcPr>
            <w:tcW w:w="822" w:type="dxa"/>
          </w:tcPr>
          <w:p w:rsidR="00DB273D" w:rsidRPr="001178FA" w:rsidRDefault="00DB273D" w:rsidP="00255AA3">
            <w:pPr>
              <w:pStyle w:val="E3Tabletext"/>
            </w:pPr>
            <w:r w:rsidRPr="001178FA">
              <w:t>118</w:t>
            </w:r>
          </w:p>
        </w:tc>
        <w:tc>
          <w:tcPr>
            <w:tcW w:w="822" w:type="dxa"/>
          </w:tcPr>
          <w:p w:rsidR="00DB273D" w:rsidRPr="001178FA" w:rsidRDefault="00DB273D" w:rsidP="00255AA3">
            <w:pPr>
              <w:pStyle w:val="E3Tabletext"/>
            </w:pPr>
            <w:r w:rsidRPr="001178FA">
              <w:rPr>
                <w:w w:val="99"/>
              </w:rPr>
              <w:t>1856</w:t>
            </w:r>
          </w:p>
        </w:tc>
        <w:tc>
          <w:tcPr>
            <w:tcW w:w="822" w:type="dxa"/>
          </w:tcPr>
          <w:p w:rsidR="00DB273D" w:rsidRPr="001178FA" w:rsidRDefault="00DB273D" w:rsidP="00255AA3">
            <w:pPr>
              <w:pStyle w:val="E3Tabletext"/>
            </w:pPr>
            <w:r w:rsidRPr="001178FA">
              <w:t>145</w:t>
            </w:r>
          </w:p>
        </w:tc>
        <w:tc>
          <w:tcPr>
            <w:tcW w:w="823" w:type="dxa"/>
          </w:tcPr>
          <w:p w:rsidR="00DB273D" w:rsidRPr="001178FA" w:rsidRDefault="00DB273D" w:rsidP="00255AA3">
            <w:pPr>
              <w:pStyle w:val="E3Tabletext"/>
            </w:pPr>
            <w:r w:rsidRPr="001178FA">
              <w:rPr>
                <w:w w:val="99"/>
              </w:rPr>
              <w:t>2359</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t>38</w:t>
            </w:r>
          </w:p>
        </w:tc>
        <w:tc>
          <w:tcPr>
            <w:tcW w:w="822" w:type="dxa"/>
          </w:tcPr>
          <w:p w:rsidR="00DB273D" w:rsidRPr="001178FA" w:rsidRDefault="00DB273D" w:rsidP="00255AA3">
            <w:pPr>
              <w:pStyle w:val="E3Tabletext"/>
            </w:pPr>
            <w:r w:rsidRPr="001178FA">
              <w:rPr>
                <w:w w:val="99"/>
              </w:rPr>
              <w:t>441</w:t>
            </w:r>
          </w:p>
        </w:tc>
        <w:tc>
          <w:tcPr>
            <w:tcW w:w="822" w:type="dxa"/>
          </w:tcPr>
          <w:p w:rsidR="00DB273D" w:rsidRPr="001178FA" w:rsidRDefault="00DB273D" w:rsidP="00255AA3">
            <w:pPr>
              <w:pStyle w:val="E3Tabletext"/>
            </w:pPr>
            <w:r w:rsidRPr="001178FA">
              <w:rPr>
                <w:w w:val="99"/>
              </w:rPr>
              <w:t>65</w:t>
            </w:r>
          </w:p>
        </w:tc>
        <w:tc>
          <w:tcPr>
            <w:tcW w:w="822" w:type="dxa"/>
          </w:tcPr>
          <w:p w:rsidR="00DB273D" w:rsidRPr="001178FA" w:rsidRDefault="00DB273D" w:rsidP="00255AA3">
            <w:pPr>
              <w:pStyle w:val="E3Tabletext"/>
            </w:pPr>
            <w:r w:rsidRPr="001178FA">
              <w:rPr>
                <w:w w:val="99"/>
              </w:rPr>
              <w:t>889</w:t>
            </w:r>
          </w:p>
        </w:tc>
        <w:tc>
          <w:tcPr>
            <w:tcW w:w="823" w:type="dxa"/>
            <w:gridSpan w:val="2"/>
          </w:tcPr>
          <w:p w:rsidR="00DB273D" w:rsidRPr="001178FA" w:rsidRDefault="00DB273D" w:rsidP="00255AA3">
            <w:pPr>
              <w:pStyle w:val="E3Tabletext"/>
            </w:pPr>
            <w:r w:rsidRPr="001178FA">
              <w:rPr>
                <w:w w:val="99"/>
              </w:rPr>
              <w:t>92</w:t>
            </w:r>
          </w:p>
        </w:tc>
        <w:tc>
          <w:tcPr>
            <w:tcW w:w="822" w:type="dxa"/>
          </w:tcPr>
          <w:p w:rsidR="00DB273D" w:rsidRPr="001178FA" w:rsidRDefault="00DB273D" w:rsidP="00255AA3">
            <w:pPr>
              <w:pStyle w:val="E3Tabletext"/>
            </w:pPr>
            <w:r w:rsidRPr="001178FA">
              <w:rPr>
                <w:w w:val="99"/>
              </w:rPr>
              <w:t>1372</w:t>
            </w:r>
          </w:p>
        </w:tc>
        <w:tc>
          <w:tcPr>
            <w:tcW w:w="822" w:type="dxa"/>
          </w:tcPr>
          <w:p w:rsidR="00DB273D" w:rsidRPr="001178FA" w:rsidRDefault="00DB273D" w:rsidP="00255AA3">
            <w:pPr>
              <w:pStyle w:val="E3Tabletext"/>
            </w:pPr>
            <w:r w:rsidRPr="001178FA">
              <w:t>119</w:t>
            </w:r>
          </w:p>
        </w:tc>
        <w:tc>
          <w:tcPr>
            <w:tcW w:w="822" w:type="dxa"/>
          </w:tcPr>
          <w:p w:rsidR="00DB273D" w:rsidRPr="001178FA" w:rsidRDefault="00DB273D" w:rsidP="00255AA3">
            <w:pPr>
              <w:pStyle w:val="E3Tabletext"/>
            </w:pPr>
            <w:r w:rsidRPr="001178FA">
              <w:rPr>
                <w:w w:val="99"/>
              </w:rPr>
              <w:t>1875</w:t>
            </w:r>
          </w:p>
        </w:tc>
        <w:tc>
          <w:tcPr>
            <w:tcW w:w="822" w:type="dxa"/>
          </w:tcPr>
          <w:p w:rsidR="00DB273D" w:rsidRPr="001178FA" w:rsidRDefault="00DB273D" w:rsidP="00255AA3">
            <w:pPr>
              <w:pStyle w:val="E3Tabletext"/>
            </w:pPr>
            <w:r w:rsidRPr="001178FA">
              <w:t>146</w:t>
            </w:r>
          </w:p>
        </w:tc>
        <w:tc>
          <w:tcPr>
            <w:tcW w:w="823" w:type="dxa"/>
          </w:tcPr>
          <w:p w:rsidR="00DB273D" w:rsidRPr="001178FA" w:rsidRDefault="00DB273D" w:rsidP="00255AA3">
            <w:pPr>
              <w:pStyle w:val="E3Tabletext"/>
            </w:pPr>
            <w:r w:rsidRPr="001178FA">
              <w:rPr>
                <w:w w:val="99"/>
              </w:rPr>
              <w:t>2378</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t>39</w:t>
            </w:r>
          </w:p>
        </w:tc>
        <w:tc>
          <w:tcPr>
            <w:tcW w:w="822" w:type="dxa"/>
          </w:tcPr>
          <w:p w:rsidR="00DB273D" w:rsidRPr="001178FA" w:rsidRDefault="00DB273D" w:rsidP="00255AA3">
            <w:pPr>
              <w:pStyle w:val="E3Tabletext"/>
            </w:pPr>
            <w:r w:rsidRPr="001178FA">
              <w:rPr>
                <w:w w:val="99"/>
              </w:rPr>
              <w:t>455</w:t>
            </w:r>
          </w:p>
        </w:tc>
        <w:tc>
          <w:tcPr>
            <w:tcW w:w="822" w:type="dxa"/>
          </w:tcPr>
          <w:p w:rsidR="00DB273D" w:rsidRPr="001178FA" w:rsidRDefault="00DB273D" w:rsidP="00255AA3">
            <w:pPr>
              <w:pStyle w:val="E3Tabletext"/>
            </w:pPr>
            <w:r w:rsidRPr="001178FA">
              <w:rPr>
                <w:w w:val="99"/>
              </w:rPr>
              <w:t>66</w:t>
            </w:r>
          </w:p>
        </w:tc>
        <w:tc>
          <w:tcPr>
            <w:tcW w:w="822" w:type="dxa"/>
          </w:tcPr>
          <w:p w:rsidR="00DB273D" w:rsidRPr="001178FA" w:rsidRDefault="00DB273D" w:rsidP="00255AA3">
            <w:pPr>
              <w:pStyle w:val="E3Tabletext"/>
            </w:pPr>
            <w:r w:rsidRPr="001178FA">
              <w:rPr>
                <w:w w:val="99"/>
              </w:rPr>
              <w:t>906</w:t>
            </w:r>
          </w:p>
        </w:tc>
        <w:tc>
          <w:tcPr>
            <w:tcW w:w="823" w:type="dxa"/>
            <w:gridSpan w:val="2"/>
          </w:tcPr>
          <w:p w:rsidR="00DB273D" w:rsidRPr="001178FA" w:rsidRDefault="00DB273D" w:rsidP="00255AA3">
            <w:pPr>
              <w:pStyle w:val="E3Tabletext"/>
            </w:pPr>
            <w:r w:rsidRPr="001178FA">
              <w:rPr>
                <w:w w:val="99"/>
              </w:rPr>
              <w:t>93</w:t>
            </w:r>
          </w:p>
        </w:tc>
        <w:tc>
          <w:tcPr>
            <w:tcW w:w="822" w:type="dxa"/>
          </w:tcPr>
          <w:p w:rsidR="00DB273D" w:rsidRPr="001178FA" w:rsidRDefault="00DB273D" w:rsidP="00255AA3">
            <w:pPr>
              <w:pStyle w:val="E3Tabletext"/>
            </w:pPr>
            <w:r w:rsidRPr="001178FA">
              <w:rPr>
                <w:w w:val="99"/>
              </w:rPr>
              <w:t>1391</w:t>
            </w:r>
          </w:p>
        </w:tc>
        <w:tc>
          <w:tcPr>
            <w:tcW w:w="822" w:type="dxa"/>
          </w:tcPr>
          <w:p w:rsidR="00DB273D" w:rsidRPr="001178FA" w:rsidRDefault="00DB273D" w:rsidP="00255AA3">
            <w:pPr>
              <w:pStyle w:val="E3Tabletext"/>
            </w:pPr>
            <w:r w:rsidRPr="001178FA">
              <w:t>120</w:t>
            </w:r>
          </w:p>
        </w:tc>
        <w:tc>
          <w:tcPr>
            <w:tcW w:w="822" w:type="dxa"/>
          </w:tcPr>
          <w:p w:rsidR="00DB273D" w:rsidRPr="001178FA" w:rsidRDefault="00DB273D" w:rsidP="00255AA3">
            <w:pPr>
              <w:pStyle w:val="E3Tabletext"/>
            </w:pPr>
            <w:r w:rsidRPr="001178FA">
              <w:rPr>
                <w:w w:val="99"/>
              </w:rPr>
              <w:t>1893</w:t>
            </w:r>
          </w:p>
        </w:tc>
        <w:tc>
          <w:tcPr>
            <w:tcW w:w="822" w:type="dxa"/>
          </w:tcPr>
          <w:p w:rsidR="00DB273D" w:rsidRPr="001178FA" w:rsidRDefault="00DB273D" w:rsidP="00255AA3">
            <w:pPr>
              <w:pStyle w:val="E3Tabletext"/>
            </w:pPr>
            <w:r w:rsidRPr="001178FA">
              <w:t>147</w:t>
            </w:r>
          </w:p>
        </w:tc>
        <w:tc>
          <w:tcPr>
            <w:tcW w:w="823" w:type="dxa"/>
          </w:tcPr>
          <w:p w:rsidR="00DB273D" w:rsidRPr="001178FA" w:rsidRDefault="00DB273D" w:rsidP="00255AA3">
            <w:pPr>
              <w:pStyle w:val="E3Tabletext"/>
            </w:pPr>
            <w:r w:rsidRPr="001178FA">
              <w:rPr>
                <w:w w:val="99"/>
              </w:rPr>
              <w:t>2396</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t>40</w:t>
            </w:r>
          </w:p>
        </w:tc>
        <w:tc>
          <w:tcPr>
            <w:tcW w:w="822" w:type="dxa"/>
          </w:tcPr>
          <w:p w:rsidR="00DB273D" w:rsidRPr="001178FA" w:rsidRDefault="00DB273D" w:rsidP="00255AA3">
            <w:pPr>
              <w:pStyle w:val="E3Tabletext"/>
            </w:pPr>
            <w:r w:rsidRPr="001178FA">
              <w:rPr>
                <w:w w:val="99"/>
              </w:rPr>
              <w:t>470</w:t>
            </w:r>
          </w:p>
        </w:tc>
        <w:tc>
          <w:tcPr>
            <w:tcW w:w="822" w:type="dxa"/>
          </w:tcPr>
          <w:p w:rsidR="00DB273D" w:rsidRPr="001178FA" w:rsidRDefault="00DB273D" w:rsidP="00255AA3">
            <w:pPr>
              <w:pStyle w:val="E3Tabletext"/>
            </w:pPr>
            <w:r w:rsidRPr="001178FA">
              <w:rPr>
                <w:w w:val="99"/>
              </w:rPr>
              <w:t>67</w:t>
            </w:r>
          </w:p>
        </w:tc>
        <w:tc>
          <w:tcPr>
            <w:tcW w:w="822" w:type="dxa"/>
          </w:tcPr>
          <w:p w:rsidR="00DB273D" w:rsidRPr="001178FA" w:rsidRDefault="00DB273D" w:rsidP="00255AA3">
            <w:pPr>
              <w:pStyle w:val="E3Tabletext"/>
            </w:pPr>
            <w:r w:rsidRPr="001178FA">
              <w:rPr>
                <w:w w:val="99"/>
              </w:rPr>
              <w:t>922</w:t>
            </w:r>
          </w:p>
        </w:tc>
        <w:tc>
          <w:tcPr>
            <w:tcW w:w="823" w:type="dxa"/>
            <w:gridSpan w:val="2"/>
          </w:tcPr>
          <w:p w:rsidR="00DB273D" w:rsidRPr="001178FA" w:rsidRDefault="00DB273D" w:rsidP="00255AA3">
            <w:pPr>
              <w:pStyle w:val="E3Tabletext"/>
            </w:pPr>
            <w:r w:rsidRPr="001178FA">
              <w:rPr>
                <w:w w:val="99"/>
              </w:rPr>
              <w:t>94</w:t>
            </w:r>
          </w:p>
        </w:tc>
        <w:tc>
          <w:tcPr>
            <w:tcW w:w="822" w:type="dxa"/>
          </w:tcPr>
          <w:p w:rsidR="00DB273D" w:rsidRPr="001178FA" w:rsidRDefault="00DB273D" w:rsidP="00255AA3">
            <w:pPr>
              <w:pStyle w:val="E3Tabletext"/>
            </w:pPr>
            <w:r w:rsidRPr="001178FA">
              <w:rPr>
                <w:w w:val="99"/>
              </w:rPr>
              <w:t>1409</w:t>
            </w:r>
          </w:p>
        </w:tc>
        <w:tc>
          <w:tcPr>
            <w:tcW w:w="822" w:type="dxa"/>
          </w:tcPr>
          <w:p w:rsidR="00DB273D" w:rsidRPr="001178FA" w:rsidRDefault="00DB273D" w:rsidP="00255AA3">
            <w:pPr>
              <w:pStyle w:val="E3Tabletext"/>
            </w:pPr>
            <w:r w:rsidRPr="001178FA">
              <w:t>121</w:t>
            </w:r>
          </w:p>
        </w:tc>
        <w:tc>
          <w:tcPr>
            <w:tcW w:w="822" w:type="dxa"/>
          </w:tcPr>
          <w:p w:rsidR="00DB273D" w:rsidRPr="001178FA" w:rsidRDefault="00DB273D" w:rsidP="00255AA3">
            <w:pPr>
              <w:pStyle w:val="E3Tabletext"/>
            </w:pPr>
            <w:r w:rsidRPr="001178FA">
              <w:rPr>
                <w:w w:val="99"/>
              </w:rPr>
              <w:t>1912</w:t>
            </w:r>
          </w:p>
        </w:tc>
        <w:tc>
          <w:tcPr>
            <w:tcW w:w="822" w:type="dxa"/>
          </w:tcPr>
          <w:p w:rsidR="00DB273D" w:rsidRPr="001178FA" w:rsidRDefault="00DB273D" w:rsidP="00255AA3">
            <w:pPr>
              <w:pStyle w:val="E3Tabletext"/>
            </w:pPr>
            <w:r w:rsidRPr="001178FA">
              <w:t>148</w:t>
            </w:r>
          </w:p>
        </w:tc>
        <w:tc>
          <w:tcPr>
            <w:tcW w:w="823" w:type="dxa"/>
          </w:tcPr>
          <w:p w:rsidR="00DB273D" w:rsidRPr="001178FA" w:rsidRDefault="00DB273D" w:rsidP="00255AA3">
            <w:pPr>
              <w:pStyle w:val="E3Tabletext"/>
            </w:pPr>
            <w:r w:rsidRPr="001178FA">
              <w:rPr>
                <w:w w:val="99"/>
              </w:rPr>
              <w:t>2415</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r w:rsidRPr="001178FA">
              <w:rPr>
                <w:w w:val="99"/>
              </w:rPr>
              <w:t>41</w:t>
            </w:r>
          </w:p>
        </w:tc>
        <w:tc>
          <w:tcPr>
            <w:tcW w:w="822" w:type="dxa"/>
          </w:tcPr>
          <w:p w:rsidR="00DB273D" w:rsidRPr="001178FA" w:rsidRDefault="00DB273D" w:rsidP="00255AA3">
            <w:pPr>
              <w:pStyle w:val="E3Tabletext"/>
            </w:pPr>
            <w:r w:rsidRPr="001178FA">
              <w:rPr>
                <w:w w:val="99"/>
              </w:rPr>
              <w:t>487</w:t>
            </w:r>
          </w:p>
        </w:tc>
        <w:tc>
          <w:tcPr>
            <w:tcW w:w="822" w:type="dxa"/>
          </w:tcPr>
          <w:p w:rsidR="00DB273D" w:rsidRPr="001178FA" w:rsidRDefault="00DB273D" w:rsidP="00255AA3">
            <w:pPr>
              <w:pStyle w:val="E3Tabletext"/>
            </w:pPr>
            <w:r w:rsidRPr="001178FA">
              <w:rPr>
                <w:w w:val="99"/>
              </w:rPr>
              <w:t>68</w:t>
            </w:r>
          </w:p>
        </w:tc>
        <w:tc>
          <w:tcPr>
            <w:tcW w:w="822" w:type="dxa"/>
          </w:tcPr>
          <w:p w:rsidR="00DB273D" w:rsidRPr="001178FA" w:rsidRDefault="00DB273D" w:rsidP="00255AA3">
            <w:pPr>
              <w:pStyle w:val="E3Tabletext"/>
            </w:pPr>
            <w:r w:rsidRPr="001178FA">
              <w:rPr>
                <w:w w:val="99"/>
              </w:rPr>
              <w:t>939</w:t>
            </w:r>
          </w:p>
        </w:tc>
        <w:tc>
          <w:tcPr>
            <w:tcW w:w="823" w:type="dxa"/>
            <w:gridSpan w:val="2"/>
          </w:tcPr>
          <w:p w:rsidR="00DB273D" w:rsidRPr="001178FA" w:rsidRDefault="00DB273D" w:rsidP="00255AA3">
            <w:pPr>
              <w:pStyle w:val="E3Tabletext"/>
            </w:pPr>
            <w:r w:rsidRPr="001178FA">
              <w:rPr>
                <w:w w:val="99"/>
              </w:rPr>
              <w:t>95</w:t>
            </w:r>
          </w:p>
        </w:tc>
        <w:tc>
          <w:tcPr>
            <w:tcW w:w="822" w:type="dxa"/>
          </w:tcPr>
          <w:p w:rsidR="00DB273D" w:rsidRPr="001178FA" w:rsidRDefault="00DB273D" w:rsidP="00255AA3">
            <w:pPr>
              <w:pStyle w:val="E3Tabletext"/>
            </w:pPr>
            <w:r w:rsidRPr="001178FA">
              <w:rPr>
                <w:w w:val="99"/>
              </w:rPr>
              <w:t>1428</w:t>
            </w:r>
          </w:p>
        </w:tc>
        <w:tc>
          <w:tcPr>
            <w:tcW w:w="822" w:type="dxa"/>
          </w:tcPr>
          <w:p w:rsidR="00DB273D" w:rsidRPr="001178FA" w:rsidRDefault="00DB273D" w:rsidP="00255AA3">
            <w:pPr>
              <w:pStyle w:val="E3Tabletext"/>
            </w:pPr>
            <w:r w:rsidRPr="001178FA">
              <w:t>122</w:t>
            </w:r>
          </w:p>
        </w:tc>
        <w:tc>
          <w:tcPr>
            <w:tcW w:w="822" w:type="dxa"/>
          </w:tcPr>
          <w:p w:rsidR="00DB273D" w:rsidRPr="001178FA" w:rsidRDefault="00DB273D" w:rsidP="00255AA3">
            <w:pPr>
              <w:pStyle w:val="E3Tabletext"/>
            </w:pPr>
            <w:r w:rsidRPr="001178FA">
              <w:rPr>
                <w:w w:val="99"/>
              </w:rPr>
              <w:t>1931</w:t>
            </w:r>
          </w:p>
        </w:tc>
        <w:tc>
          <w:tcPr>
            <w:tcW w:w="822" w:type="dxa"/>
          </w:tcPr>
          <w:p w:rsidR="00DB273D" w:rsidRPr="001178FA" w:rsidRDefault="00DB273D" w:rsidP="00255AA3">
            <w:pPr>
              <w:pStyle w:val="E3Tabletext"/>
            </w:pPr>
            <w:r w:rsidRPr="001178FA">
              <w:t>149</w:t>
            </w:r>
          </w:p>
        </w:tc>
        <w:tc>
          <w:tcPr>
            <w:tcW w:w="823" w:type="dxa"/>
          </w:tcPr>
          <w:p w:rsidR="00DB273D" w:rsidRPr="001178FA" w:rsidRDefault="00DB273D" w:rsidP="00255AA3">
            <w:pPr>
              <w:pStyle w:val="E3Tabletext"/>
            </w:pPr>
            <w:r w:rsidRPr="001178FA">
              <w:rPr>
                <w:w w:val="99"/>
              </w:rPr>
              <w:t>2433</w:t>
            </w:r>
          </w:p>
        </w:tc>
        <w:tc>
          <w:tcPr>
            <w:tcW w:w="1701" w:type="dxa"/>
            <w:vMerge/>
          </w:tcPr>
          <w:p w:rsidR="00DB273D" w:rsidRPr="001178FA" w:rsidRDefault="00DB273D" w:rsidP="00235234">
            <w:pPr>
              <w:rPr>
                <w:spacing w:val="-1"/>
              </w:rPr>
            </w:pPr>
          </w:p>
        </w:tc>
      </w:tr>
      <w:tr w:rsidR="00DB273D" w:rsidTr="0094540D">
        <w:trPr>
          <w:cantSplit/>
          <w:trHeight w:val="31"/>
          <w:jc w:val="center"/>
        </w:trPr>
        <w:tc>
          <w:tcPr>
            <w:tcW w:w="822" w:type="dxa"/>
          </w:tcPr>
          <w:p w:rsidR="00DB273D" w:rsidRPr="001178FA" w:rsidRDefault="00DB273D" w:rsidP="00255AA3">
            <w:pPr>
              <w:pStyle w:val="E3Tabletext"/>
            </w:pPr>
          </w:p>
        </w:tc>
        <w:tc>
          <w:tcPr>
            <w:tcW w:w="822" w:type="dxa"/>
          </w:tcPr>
          <w:p w:rsidR="00DB273D" w:rsidRPr="001178FA" w:rsidRDefault="00DB273D" w:rsidP="00255AA3">
            <w:pPr>
              <w:pStyle w:val="E3Tabletext"/>
            </w:pPr>
          </w:p>
        </w:tc>
        <w:tc>
          <w:tcPr>
            <w:tcW w:w="822" w:type="dxa"/>
          </w:tcPr>
          <w:p w:rsidR="00DB273D" w:rsidRPr="001178FA" w:rsidRDefault="00DB273D" w:rsidP="00255AA3">
            <w:pPr>
              <w:pStyle w:val="E3Tabletext"/>
            </w:pPr>
          </w:p>
        </w:tc>
        <w:tc>
          <w:tcPr>
            <w:tcW w:w="822" w:type="dxa"/>
          </w:tcPr>
          <w:p w:rsidR="00DB273D" w:rsidRPr="001178FA" w:rsidRDefault="00DB273D" w:rsidP="00255AA3">
            <w:pPr>
              <w:pStyle w:val="E3Tabletext"/>
            </w:pPr>
          </w:p>
        </w:tc>
        <w:tc>
          <w:tcPr>
            <w:tcW w:w="823" w:type="dxa"/>
            <w:gridSpan w:val="2"/>
          </w:tcPr>
          <w:p w:rsidR="00DB273D" w:rsidRPr="001178FA" w:rsidRDefault="00DB273D" w:rsidP="00255AA3">
            <w:pPr>
              <w:pStyle w:val="E3Tabletext"/>
            </w:pPr>
          </w:p>
        </w:tc>
        <w:tc>
          <w:tcPr>
            <w:tcW w:w="822" w:type="dxa"/>
          </w:tcPr>
          <w:p w:rsidR="00DB273D" w:rsidRPr="001178FA" w:rsidRDefault="00DB273D" w:rsidP="00255AA3">
            <w:pPr>
              <w:pStyle w:val="E3Tabletext"/>
            </w:pPr>
          </w:p>
        </w:tc>
        <w:tc>
          <w:tcPr>
            <w:tcW w:w="822" w:type="dxa"/>
          </w:tcPr>
          <w:p w:rsidR="00DB273D" w:rsidRPr="001178FA" w:rsidRDefault="00DB273D" w:rsidP="00255AA3">
            <w:pPr>
              <w:pStyle w:val="E3Tabletext"/>
            </w:pPr>
          </w:p>
        </w:tc>
        <w:tc>
          <w:tcPr>
            <w:tcW w:w="822" w:type="dxa"/>
          </w:tcPr>
          <w:p w:rsidR="00DB273D" w:rsidRPr="001178FA" w:rsidRDefault="00DB273D" w:rsidP="00255AA3">
            <w:pPr>
              <w:pStyle w:val="E3Tabletext"/>
            </w:pPr>
          </w:p>
        </w:tc>
        <w:tc>
          <w:tcPr>
            <w:tcW w:w="822" w:type="dxa"/>
          </w:tcPr>
          <w:p w:rsidR="00DB273D" w:rsidRPr="001178FA" w:rsidRDefault="00DB273D" w:rsidP="00255AA3">
            <w:pPr>
              <w:pStyle w:val="E3Tabletext"/>
            </w:pPr>
            <w:r w:rsidRPr="001178FA">
              <w:t>150</w:t>
            </w:r>
          </w:p>
        </w:tc>
        <w:tc>
          <w:tcPr>
            <w:tcW w:w="823" w:type="dxa"/>
          </w:tcPr>
          <w:p w:rsidR="00DB273D" w:rsidRPr="001178FA" w:rsidRDefault="00DB273D" w:rsidP="00255AA3">
            <w:pPr>
              <w:pStyle w:val="E3Tabletext"/>
            </w:pPr>
            <w:r w:rsidRPr="001178FA">
              <w:rPr>
                <w:w w:val="99"/>
              </w:rPr>
              <w:t>2452</w:t>
            </w:r>
          </w:p>
        </w:tc>
        <w:tc>
          <w:tcPr>
            <w:tcW w:w="1701" w:type="dxa"/>
            <w:vMerge/>
          </w:tcPr>
          <w:p w:rsidR="00DB273D" w:rsidRPr="001178FA" w:rsidRDefault="00DB273D" w:rsidP="00235234">
            <w:pPr>
              <w:rPr>
                <w:spacing w:val="-1"/>
              </w:rPr>
            </w:pPr>
          </w:p>
        </w:tc>
      </w:tr>
    </w:tbl>
    <w:p w:rsidR="00334066" w:rsidRPr="00CF5098" w:rsidRDefault="00334066" w:rsidP="00334066">
      <w:pPr>
        <w:rPr>
          <w:lang w:eastAsia="en-AU"/>
        </w:rPr>
      </w:pPr>
    </w:p>
    <w:p w:rsidR="00334066" w:rsidRDefault="00334066" w:rsidP="00334066">
      <w:pPr>
        <w:spacing w:after="0" w:line="240" w:lineRule="auto"/>
        <w:rPr>
          <w:rFonts w:asciiTheme="majorHAnsi" w:eastAsia="Times New Roman" w:hAnsiTheme="majorHAnsi" w:cstheme="majorBidi"/>
          <w:b/>
          <w:bCs/>
          <w:color w:val="4F81BD" w:themeColor="accent1"/>
          <w:sz w:val="26"/>
          <w:szCs w:val="26"/>
          <w:lang w:eastAsia="en-AU"/>
        </w:rPr>
      </w:pPr>
      <w:r>
        <w:rPr>
          <w:rFonts w:eastAsia="Times New Roman"/>
          <w:lang w:eastAsia="en-AU"/>
        </w:rPr>
        <w:br w:type="page"/>
      </w:r>
    </w:p>
    <w:p w:rsidR="00334066" w:rsidRDefault="00334066" w:rsidP="00E65B09">
      <w:pPr>
        <w:pStyle w:val="E3Heading3"/>
        <w:numPr>
          <w:ilvl w:val="0"/>
          <w:numId w:val="0"/>
        </w:numPr>
        <w:ind w:left="864" w:hanging="864"/>
      </w:pPr>
      <w:bookmarkStart w:id="327" w:name="_Toc389123378"/>
      <w:r>
        <w:t>United States of America</w:t>
      </w:r>
      <w:bookmarkEnd w:id="327"/>
    </w:p>
    <w:p w:rsidR="00334066" w:rsidRPr="00CF5098" w:rsidRDefault="0094540D" w:rsidP="0094540D">
      <w:pPr>
        <w:pStyle w:val="E3BodyText"/>
        <w:jc w:val="center"/>
        <w:rPr>
          <w:lang w:eastAsia="en-AU"/>
        </w:rPr>
      </w:pPr>
      <w:r>
        <w:rPr>
          <w:noProof/>
          <w:lang w:eastAsia="en-AU"/>
        </w:rPr>
        <w:drawing>
          <wp:inline distT="0" distB="0" distL="0" distR="0" wp14:anchorId="27FA0DCD" wp14:editId="3EF028FF">
            <wp:extent cx="6120765" cy="5786120"/>
            <wp:effectExtent l="0" t="0" r="0" b="0"/>
            <wp:docPr id="289" name="Picture 289" descr="Diagram displaying the Flow of HEPS, Endorsement Label, MEPS, Comparative Labe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6120765" cy="5786120"/>
                    </a:xfrm>
                    <a:prstGeom prst="rect">
                      <a:avLst/>
                    </a:prstGeom>
                  </pic:spPr>
                </pic:pic>
              </a:graphicData>
            </a:graphic>
          </wp:inline>
        </w:drawing>
      </w:r>
    </w:p>
    <w:p w:rsidR="00334066" w:rsidRDefault="00334066" w:rsidP="00E65B09">
      <w:pPr>
        <w:pStyle w:val="E3Heading4"/>
        <w:numPr>
          <w:ilvl w:val="0"/>
          <w:numId w:val="0"/>
        </w:numPr>
        <w:ind w:left="1008" w:hanging="1008"/>
      </w:pPr>
      <w:bookmarkStart w:id="328" w:name="_Toc389123379"/>
      <w:r w:rsidRPr="007058D2">
        <w:t>E</w:t>
      </w:r>
      <w:r>
        <w:t>nergy Star - Integral LED Lamps</w:t>
      </w:r>
      <w:bookmarkEnd w:id="328"/>
    </w:p>
    <w:p w:rsidR="00334066" w:rsidRPr="00871116" w:rsidRDefault="00334066" w:rsidP="00E65B09">
      <w:pPr>
        <w:pStyle w:val="E3Heading4"/>
        <w:numPr>
          <w:ilvl w:val="0"/>
          <w:numId w:val="0"/>
        </w:numPr>
        <w:ind w:left="1008" w:hanging="1008"/>
        <w:rPr>
          <w:lang w:eastAsia="en-AU"/>
        </w:rPr>
      </w:pPr>
      <w:r w:rsidRPr="00871116">
        <w:rPr>
          <w:lang w:eastAsia="en-AU"/>
        </w:rPr>
        <w:t>Scope</w:t>
      </w:r>
    </w:p>
    <w:p w:rsidR="00334066" w:rsidRDefault="00334066" w:rsidP="005B4217">
      <w:pPr>
        <w:pStyle w:val="E3BodyText"/>
        <w:rPr>
          <w:lang w:eastAsia="en-AU"/>
        </w:rPr>
      </w:pPr>
      <w:r>
        <w:rPr>
          <w:lang w:eastAsia="en-AU"/>
        </w:rPr>
        <w:t xml:space="preserve">The scope of this program is integral LED lamps defined as </w:t>
      </w:r>
      <w:r w:rsidR="00F966C3">
        <w:rPr>
          <w:lang w:eastAsia="en-AU"/>
        </w:rPr>
        <w:t>having:</w:t>
      </w:r>
    </w:p>
    <w:p w:rsidR="00334066" w:rsidRDefault="00334066" w:rsidP="005B4217">
      <w:pPr>
        <w:pStyle w:val="E3Bullets"/>
      </w:pPr>
      <w:r>
        <w:t xml:space="preserve">a lamp with LEDs, </w:t>
      </w:r>
    </w:p>
    <w:p w:rsidR="00334066" w:rsidRDefault="00334066" w:rsidP="005B4217">
      <w:pPr>
        <w:pStyle w:val="E3Bullets"/>
      </w:pPr>
      <w:r>
        <w:t xml:space="preserve">an integrated LED driver, </w:t>
      </w:r>
    </w:p>
    <w:p w:rsidR="00334066" w:rsidRDefault="00334066" w:rsidP="005B4217">
      <w:pPr>
        <w:pStyle w:val="E3Bullets"/>
      </w:pPr>
      <w:r>
        <w:t>an ANSI standardized base designed to connect to the branch circuit via an ANSI standardized lamp</w:t>
      </w:r>
      <w:r w:rsidR="001C7E9A">
        <w:t xml:space="preserve"> </w:t>
      </w:r>
      <w:r>
        <w:t xml:space="preserve">holder/socket.  </w:t>
      </w:r>
    </w:p>
    <w:p w:rsidR="00334066" w:rsidRPr="005B4217" w:rsidRDefault="00334066" w:rsidP="005B4217">
      <w:pPr>
        <w:pStyle w:val="E3BodyText"/>
      </w:pPr>
      <w:r w:rsidRPr="005B4217">
        <w:t>These criteria include integral LED lamps of non-standard form, and those intended to replace standard general service incandescent lamps, decorative (candelabra style) lamps, and reflector lamps.</w:t>
      </w:r>
    </w:p>
    <w:p w:rsidR="00334066" w:rsidRDefault="00334066" w:rsidP="00E65B09">
      <w:pPr>
        <w:pStyle w:val="E3Heading4"/>
        <w:numPr>
          <w:ilvl w:val="0"/>
          <w:numId w:val="0"/>
        </w:numPr>
        <w:ind w:left="1008" w:hanging="1008"/>
        <w:rPr>
          <w:lang w:eastAsia="en-AU"/>
        </w:rPr>
      </w:pPr>
      <w:bookmarkStart w:id="329" w:name="_Ref361302921"/>
      <w:r>
        <w:rPr>
          <w:lang w:eastAsia="en-AU"/>
        </w:rPr>
        <w:t>Performance</w:t>
      </w:r>
      <w:bookmarkEnd w:id="329"/>
      <w:r w:rsidR="00D01D3A">
        <w:rPr>
          <w:lang w:eastAsia="en-AU"/>
        </w:rPr>
        <w:t xml:space="preserve"> Requirements</w:t>
      </w:r>
    </w:p>
    <w:tbl>
      <w:tblPr>
        <w:tblStyle w:val="TableGrid"/>
        <w:tblW w:w="0" w:type="auto"/>
        <w:jc w:val="center"/>
        <w:tblLayout w:type="fixed"/>
        <w:tblLook w:val="04A0" w:firstRow="1" w:lastRow="0" w:firstColumn="1" w:lastColumn="0" w:noHBand="0" w:noVBand="1"/>
      </w:tblPr>
      <w:tblGrid>
        <w:gridCol w:w="1480"/>
        <w:gridCol w:w="1870"/>
        <w:gridCol w:w="936"/>
        <w:gridCol w:w="935"/>
        <w:gridCol w:w="1871"/>
        <w:gridCol w:w="2484"/>
      </w:tblGrid>
      <w:tr w:rsidR="00334066" w:rsidTr="0094540D">
        <w:trPr>
          <w:cantSplit/>
          <w:tblHeader/>
          <w:jc w:val="center"/>
        </w:trPr>
        <w:tc>
          <w:tcPr>
            <w:tcW w:w="1480" w:type="dxa"/>
          </w:tcPr>
          <w:p w:rsidR="00334066" w:rsidRDefault="00334066" w:rsidP="005B4217">
            <w:pPr>
              <w:pStyle w:val="E3TableHeading"/>
            </w:pPr>
            <w:r>
              <w:t>Parameter</w:t>
            </w:r>
          </w:p>
        </w:tc>
        <w:tc>
          <w:tcPr>
            <w:tcW w:w="5612" w:type="dxa"/>
            <w:gridSpan w:val="4"/>
          </w:tcPr>
          <w:p w:rsidR="00334066" w:rsidRDefault="00334066" w:rsidP="005B4217">
            <w:pPr>
              <w:pStyle w:val="E3TableHeading"/>
            </w:pPr>
            <w:r>
              <w:t>Minimum requirements</w:t>
            </w:r>
          </w:p>
        </w:tc>
        <w:tc>
          <w:tcPr>
            <w:tcW w:w="2484" w:type="dxa"/>
          </w:tcPr>
          <w:p w:rsidR="00334066" w:rsidRDefault="00334066" w:rsidP="005B4217">
            <w:pPr>
              <w:pStyle w:val="E3TableHeading"/>
            </w:pPr>
            <w:r>
              <w:t>Test Method</w:t>
            </w:r>
          </w:p>
        </w:tc>
      </w:tr>
      <w:tr w:rsidR="005B4217" w:rsidTr="0094540D">
        <w:trPr>
          <w:cantSplit/>
          <w:trHeight w:val="45"/>
          <w:jc w:val="center"/>
        </w:trPr>
        <w:tc>
          <w:tcPr>
            <w:tcW w:w="1480" w:type="dxa"/>
            <w:vMerge w:val="restart"/>
          </w:tcPr>
          <w:p w:rsidR="005B4217" w:rsidRPr="00CD2261" w:rsidRDefault="005B4217" w:rsidP="00255AA3">
            <w:pPr>
              <w:pStyle w:val="E3Tabletext"/>
            </w:pPr>
            <w:r w:rsidRPr="00CD2261">
              <w:t>Efficacy</w:t>
            </w:r>
          </w:p>
        </w:tc>
        <w:tc>
          <w:tcPr>
            <w:tcW w:w="5612" w:type="dxa"/>
            <w:gridSpan w:val="4"/>
          </w:tcPr>
          <w:p w:rsidR="005B4217" w:rsidRDefault="005B4217" w:rsidP="00255AA3">
            <w:pPr>
              <w:pStyle w:val="E3Tabletext"/>
            </w:pPr>
            <w:r>
              <w:t>Omni-directional Lamps &amp; Non-standard lamps. Non-standard lamps may not state equivalency to existing standard electric lamps in terms of wattage or type/shape.</w:t>
            </w:r>
          </w:p>
        </w:tc>
        <w:tc>
          <w:tcPr>
            <w:tcW w:w="2484" w:type="dxa"/>
            <w:vMerge w:val="restart"/>
          </w:tcPr>
          <w:p w:rsidR="005B4217" w:rsidRDefault="005B4217" w:rsidP="00255AA3">
            <w:pPr>
              <w:pStyle w:val="E3Tabletext"/>
            </w:pPr>
            <w:r>
              <w:t>IES LM-79-08</w:t>
            </w:r>
          </w:p>
          <w:p w:rsidR="005B4217" w:rsidRDefault="005B4217" w:rsidP="00235234"/>
        </w:tc>
      </w:tr>
      <w:tr w:rsidR="005B4217" w:rsidTr="0094540D">
        <w:trPr>
          <w:cantSplit/>
          <w:trHeight w:val="45"/>
          <w:jc w:val="center"/>
        </w:trPr>
        <w:tc>
          <w:tcPr>
            <w:tcW w:w="1480" w:type="dxa"/>
            <w:vMerge/>
          </w:tcPr>
          <w:p w:rsidR="005B4217" w:rsidRPr="00CD2261" w:rsidRDefault="005B4217" w:rsidP="00255AA3">
            <w:pPr>
              <w:pStyle w:val="E3Tabletext"/>
            </w:pPr>
          </w:p>
        </w:tc>
        <w:tc>
          <w:tcPr>
            <w:tcW w:w="2806" w:type="dxa"/>
            <w:gridSpan w:val="2"/>
          </w:tcPr>
          <w:p w:rsidR="005B4217" w:rsidRDefault="005B4217" w:rsidP="00255AA3">
            <w:pPr>
              <w:pStyle w:val="E3Tabletext"/>
            </w:pPr>
            <w:r>
              <w:t>Rated Lamp Wattage (Lw)</w:t>
            </w:r>
          </w:p>
        </w:tc>
        <w:tc>
          <w:tcPr>
            <w:tcW w:w="2806" w:type="dxa"/>
            <w:gridSpan w:val="2"/>
          </w:tcPr>
          <w:p w:rsidR="005B4217" w:rsidRDefault="005B4217" w:rsidP="00255AA3">
            <w:pPr>
              <w:pStyle w:val="E3Tabletext"/>
            </w:pPr>
            <w:r>
              <w:t>Efficacy (lm/W)</w:t>
            </w:r>
          </w:p>
        </w:tc>
        <w:tc>
          <w:tcPr>
            <w:tcW w:w="2484" w:type="dxa"/>
            <w:vMerge/>
          </w:tcPr>
          <w:p w:rsidR="005B4217" w:rsidRDefault="005B4217" w:rsidP="00235234"/>
        </w:tc>
      </w:tr>
      <w:tr w:rsidR="005B4217" w:rsidTr="0094540D">
        <w:trPr>
          <w:cantSplit/>
          <w:trHeight w:val="45"/>
          <w:jc w:val="center"/>
        </w:trPr>
        <w:tc>
          <w:tcPr>
            <w:tcW w:w="1480" w:type="dxa"/>
            <w:vMerge/>
          </w:tcPr>
          <w:p w:rsidR="005B4217" w:rsidRPr="00CD2261" w:rsidRDefault="005B4217" w:rsidP="00255AA3">
            <w:pPr>
              <w:pStyle w:val="E3Tabletext"/>
            </w:pPr>
          </w:p>
        </w:tc>
        <w:tc>
          <w:tcPr>
            <w:tcW w:w="2806" w:type="dxa"/>
            <w:gridSpan w:val="2"/>
          </w:tcPr>
          <w:p w:rsidR="005B4217" w:rsidRDefault="005B4217" w:rsidP="00255AA3">
            <w:pPr>
              <w:pStyle w:val="E3Tabletext"/>
            </w:pPr>
            <w:r>
              <w:t>Lw&lt; 10W</w:t>
            </w:r>
          </w:p>
        </w:tc>
        <w:tc>
          <w:tcPr>
            <w:tcW w:w="2806" w:type="dxa"/>
            <w:gridSpan w:val="2"/>
          </w:tcPr>
          <w:p w:rsidR="005B4217" w:rsidRDefault="005B4217" w:rsidP="00255AA3">
            <w:pPr>
              <w:pStyle w:val="E3Tabletext"/>
            </w:pPr>
            <w:r>
              <w:t>50</w:t>
            </w:r>
          </w:p>
        </w:tc>
        <w:tc>
          <w:tcPr>
            <w:tcW w:w="2484" w:type="dxa"/>
            <w:vMerge/>
          </w:tcPr>
          <w:p w:rsidR="005B4217" w:rsidRDefault="005B4217" w:rsidP="00235234"/>
        </w:tc>
      </w:tr>
      <w:tr w:rsidR="005B4217" w:rsidTr="0094540D">
        <w:trPr>
          <w:cantSplit/>
          <w:trHeight w:val="45"/>
          <w:jc w:val="center"/>
        </w:trPr>
        <w:tc>
          <w:tcPr>
            <w:tcW w:w="1480" w:type="dxa"/>
            <w:vMerge/>
          </w:tcPr>
          <w:p w:rsidR="005B4217" w:rsidRPr="00CD2261" w:rsidRDefault="005B4217" w:rsidP="00255AA3">
            <w:pPr>
              <w:pStyle w:val="E3Tabletext"/>
            </w:pPr>
          </w:p>
        </w:tc>
        <w:tc>
          <w:tcPr>
            <w:tcW w:w="2806" w:type="dxa"/>
            <w:gridSpan w:val="2"/>
          </w:tcPr>
          <w:p w:rsidR="005B4217" w:rsidRDefault="005B4217" w:rsidP="00255AA3">
            <w:pPr>
              <w:pStyle w:val="E3Tabletext"/>
            </w:pPr>
            <w:r>
              <w:t>10W ≤ Lw</w:t>
            </w:r>
          </w:p>
        </w:tc>
        <w:tc>
          <w:tcPr>
            <w:tcW w:w="2806" w:type="dxa"/>
            <w:gridSpan w:val="2"/>
          </w:tcPr>
          <w:p w:rsidR="005B4217" w:rsidRDefault="005B4217" w:rsidP="00255AA3">
            <w:pPr>
              <w:pStyle w:val="E3Tabletext"/>
            </w:pPr>
            <w:r>
              <w:t>55</w:t>
            </w:r>
          </w:p>
        </w:tc>
        <w:tc>
          <w:tcPr>
            <w:tcW w:w="2484" w:type="dxa"/>
            <w:vMerge/>
          </w:tcPr>
          <w:p w:rsidR="005B4217" w:rsidRDefault="005B4217" w:rsidP="00235234"/>
        </w:tc>
      </w:tr>
      <w:tr w:rsidR="005B4217" w:rsidTr="0094540D">
        <w:trPr>
          <w:cantSplit/>
          <w:trHeight w:val="45"/>
          <w:jc w:val="center"/>
        </w:trPr>
        <w:tc>
          <w:tcPr>
            <w:tcW w:w="1480" w:type="dxa"/>
            <w:vMerge/>
          </w:tcPr>
          <w:p w:rsidR="005B4217" w:rsidRPr="00CD2261" w:rsidRDefault="005B4217" w:rsidP="00255AA3">
            <w:pPr>
              <w:pStyle w:val="E3Tabletext"/>
            </w:pPr>
          </w:p>
        </w:tc>
        <w:tc>
          <w:tcPr>
            <w:tcW w:w="5612" w:type="dxa"/>
            <w:gridSpan w:val="4"/>
          </w:tcPr>
          <w:p w:rsidR="005B4217" w:rsidRDefault="005B4217" w:rsidP="00255AA3">
            <w:pPr>
              <w:pStyle w:val="E3Tabletext"/>
            </w:pPr>
            <w:r>
              <w:t>Directional Lamps</w:t>
            </w:r>
          </w:p>
        </w:tc>
        <w:tc>
          <w:tcPr>
            <w:tcW w:w="2484" w:type="dxa"/>
            <w:vMerge/>
          </w:tcPr>
          <w:p w:rsidR="005B4217" w:rsidRDefault="005B4217" w:rsidP="00235234"/>
        </w:tc>
      </w:tr>
      <w:tr w:rsidR="005B4217" w:rsidTr="0094540D">
        <w:trPr>
          <w:cantSplit/>
          <w:trHeight w:val="45"/>
          <w:jc w:val="center"/>
        </w:trPr>
        <w:tc>
          <w:tcPr>
            <w:tcW w:w="1480" w:type="dxa"/>
            <w:vMerge/>
          </w:tcPr>
          <w:p w:rsidR="005B4217" w:rsidRPr="00CD2261" w:rsidRDefault="005B4217" w:rsidP="00255AA3">
            <w:pPr>
              <w:pStyle w:val="E3Tabletext"/>
            </w:pPr>
          </w:p>
        </w:tc>
        <w:tc>
          <w:tcPr>
            <w:tcW w:w="2806" w:type="dxa"/>
            <w:gridSpan w:val="2"/>
          </w:tcPr>
          <w:p w:rsidR="005B4217" w:rsidRDefault="005B4217" w:rsidP="00255AA3">
            <w:pPr>
              <w:pStyle w:val="E3Tabletext"/>
            </w:pPr>
            <w:r>
              <w:t>Lamp Diameter (Ld mm)</w:t>
            </w:r>
          </w:p>
        </w:tc>
        <w:tc>
          <w:tcPr>
            <w:tcW w:w="2806" w:type="dxa"/>
            <w:gridSpan w:val="2"/>
          </w:tcPr>
          <w:p w:rsidR="005B4217" w:rsidRDefault="005B4217" w:rsidP="00255AA3">
            <w:pPr>
              <w:pStyle w:val="E3Tabletext"/>
            </w:pPr>
            <w:r>
              <w:t>Efficacy (lm/W)</w:t>
            </w:r>
          </w:p>
        </w:tc>
        <w:tc>
          <w:tcPr>
            <w:tcW w:w="2484" w:type="dxa"/>
            <w:vMerge/>
          </w:tcPr>
          <w:p w:rsidR="005B4217" w:rsidRDefault="005B4217" w:rsidP="00235234"/>
        </w:tc>
      </w:tr>
      <w:tr w:rsidR="005B4217" w:rsidTr="0094540D">
        <w:trPr>
          <w:cantSplit/>
          <w:trHeight w:val="45"/>
          <w:jc w:val="center"/>
        </w:trPr>
        <w:tc>
          <w:tcPr>
            <w:tcW w:w="1480" w:type="dxa"/>
            <w:vMerge/>
          </w:tcPr>
          <w:p w:rsidR="005B4217" w:rsidRPr="00CD2261" w:rsidRDefault="005B4217" w:rsidP="00255AA3">
            <w:pPr>
              <w:pStyle w:val="E3Tabletext"/>
            </w:pPr>
          </w:p>
        </w:tc>
        <w:tc>
          <w:tcPr>
            <w:tcW w:w="2806" w:type="dxa"/>
            <w:gridSpan w:val="2"/>
          </w:tcPr>
          <w:p w:rsidR="005B4217" w:rsidRDefault="005B4217" w:rsidP="00255AA3">
            <w:pPr>
              <w:pStyle w:val="E3Tabletext"/>
            </w:pPr>
            <w:r>
              <w:t>Ld ≤ 63.5</w:t>
            </w:r>
          </w:p>
        </w:tc>
        <w:tc>
          <w:tcPr>
            <w:tcW w:w="2806" w:type="dxa"/>
            <w:gridSpan w:val="2"/>
          </w:tcPr>
          <w:p w:rsidR="005B4217" w:rsidRDefault="005B4217" w:rsidP="00255AA3">
            <w:pPr>
              <w:pStyle w:val="E3Tabletext"/>
            </w:pPr>
            <w:r>
              <w:t>40</w:t>
            </w:r>
          </w:p>
        </w:tc>
        <w:tc>
          <w:tcPr>
            <w:tcW w:w="2484" w:type="dxa"/>
            <w:vMerge/>
          </w:tcPr>
          <w:p w:rsidR="005B4217" w:rsidRDefault="005B4217" w:rsidP="00235234"/>
        </w:tc>
      </w:tr>
      <w:tr w:rsidR="005B4217" w:rsidTr="0094540D">
        <w:trPr>
          <w:cantSplit/>
          <w:trHeight w:val="45"/>
          <w:jc w:val="center"/>
        </w:trPr>
        <w:tc>
          <w:tcPr>
            <w:tcW w:w="1480" w:type="dxa"/>
            <w:vMerge/>
          </w:tcPr>
          <w:p w:rsidR="005B4217" w:rsidRPr="00CD2261" w:rsidRDefault="005B4217" w:rsidP="00255AA3">
            <w:pPr>
              <w:pStyle w:val="E3Tabletext"/>
            </w:pPr>
          </w:p>
        </w:tc>
        <w:tc>
          <w:tcPr>
            <w:tcW w:w="2806" w:type="dxa"/>
            <w:gridSpan w:val="2"/>
          </w:tcPr>
          <w:p w:rsidR="005B4217" w:rsidRDefault="005B4217" w:rsidP="00255AA3">
            <w:pPr>
              <w:pStyle w:val="E3Tabletext"/>
            </w:pPr>
            <w:r>
              <w:t>Ld&gt; 63.5</w:t>
            </w:r>
          </w:p>
        </w:tc>
        <w:tc>
          <w:tcPr>
            <w:tcW w:w="2806" w:type="dxa"/>
            <w:gridSpan w:val="2"/>
          </w:tcPr>
          <w:p w:rsidR="005B4217" w:rsidRDefault="005B4217" w:rsidP="00255AA3">
            <w:pPr>
              <w:pStyle w:val="E3Tabletext"/>
            </w:pPr>
            <w:r>
              <w:t>45</w:t>
            </w:r>
          </w:p>
        </w:tc>
        <w:tc>
          <w:tcPr>
            <w:tcW w:w="2484" w:type="dxa"/>
            <w:vMerge/>
          </w:tcPr>
          <w:p w:rsidR="005B4217" w:rsidRDefault="005B4217" w:rsidP="00235234"/>
        </w:tc>
      </w:tr>
      <w:tr w:rsidR="005B4217" w:rsidTr="0094540D">
        <w:trPr>
          <w:cantSplit/>
          <w:trHeight w:val="45"/>
          <w:jc w:val="center"/>
        </w:trPr>
        <w:tc>
          <w:tcPr>
            <w:tcW w:w="1480" w:type="dxa"/>
            <w:vMerge/>
          </w:tcPr>
          <w:p w:rsidR="005B4217" w:rsidRPr="00CD2261" w:rsidRDefault="005B4217" w:rsidP="00255AA3">
            <w:pPr>
              <w:pStyle w:val="E3Tabletext"/>
            </w:pPr>
          </w:p>
        </w:tc>
        <w:tc>
          <w:tcPr>
            <w:tcW w:w="5612" w:type="dxa"/>
            <w:gridSpan w:val="4"/>
          </w:tcPr>
          <w:p w:rsidR="005B4217" w:rsidRDefault="005B4217" w:rsidP="00255AA3">
            <w:pPr>
              <w:pStyle w:val="E3Tabletext"/>
            </w:pPr>
            <w:r>
              <w:t>Decorative lamps: efficacy ≤ 40 lm/W</w:t>
            </w:r>
          </w:p>
        </w:tc>
        <w:tc>
          <w:tcPr>
            <w:tcW w:w="2484" w:type="dxa"/>
            <w:vMerge/>
          </w:tcPr>
          <w:p w:rsidR="005B4217" w:rsidRDefault="005B4217" w:rsidP="00235234"/>
        </w:tc>
      </w:tr>
      <w:tr w:rsidR="009C7C2A" w:rsidTr="0094540D">
        <w:trPr>
          <w:cantSplit/>
          <w:trHeight w:val="33"/>
          <w:jc w:val="center"/>
        </w:trPr>
        <w:tc>
          <w:tcPr>
            <w:tcW w:w="1480" w:type="dxa"/>
            <w:vMerge w:val="restart"/>
          </w:tcPr>
          <w:p w:rsidR="009C7C2A" w:rsidRPr="00CD2261" w:rsidRDefault="009C7C2A" w:rsidP="00255AA3">
            <w:pPr>
              <w:pStyle w:val="E3Tabletext"/>
              <w:rPr>
                <w:highlight w:val="red"/>
              </w:rPr>
            </w:pPr>
            <w:r>
              <w:t>Luminous flux</w:t>
            </w:r>
          </w:p>
        </w:tc>
        <w:tc>
          <w:tcPr>
            <w:tcW w:w="5612" w:type="dxa"/>
            <w:gridSpan w:val="4"/>
          </w:tcPr>
          <w:p w:rsidR="009C7C2A" w:rsidRDefault="009C7C2A" w:rsidP="00255AA3">
            <w:pPr>
              <w:pStyle w:val="E3Tabletext"/>
            </w:pPr>
            <w:r>
              <w:t xml:space="preserve">Non-standard lamps: Total luminous flux ≥ 200 lm </w:t>
            </w:r>
          </w:p>
          <w:p w:rsidR="009C7C2A" w:rsidRDefault="009C7C2A" w:rsidP="00255AA3">
            <w:pPr>
              <w:pStyle w:val="E3Tabletext"/>
            </w:pPr>
            <w:r>
              <w:t xml:space="preserve">Omni-directional lamps: </w:t>
            </w:r>
            <w:r w:rsidRPr="00852440">
              <w:t xml:space="preserve">≥ </w:t>
            </w:r>
            <w:r>
              <w:t>5</w:t>
            </w:r>
            <w:r w:rsidRPr="00852440">
              <w:t xml:space="preserve">% of </w:t>
            </w:r>
            <w:r>
              <w:t xml:space="preserve">total </w:t>
            </w:r>
            <w:r w:rsidRPr="00852440">
              <w:t xml:space="preserve">measured light output is </w:t>
            </w:r>
            <w:r>
              <w:t>emitted in the 135</w:t>
            </w:r>
            <w:r w:rsidRPr="00852440">
              <w:sym w:font="Symbol" w:char="F0B0"/>
            </w:r>
            <w:r>
              <w:t>to 180</w:t>
            </w:r>
            <w:r w:rsidRPr="00852440">
              <w:sym w:font="Symbol" w:char="F0B0"/>
            </w:r>
            <w:r>
              <w:t>zone</w:t>
            </w:r>
          </w:p>
          <w:p w:rsidR="009C7C2A" w:rsidRDefault="009C7C2A" w:rsidP="00255AA3">
            <w:pPr>
              <w:pStyle w:val="E3Tabletext"/>
            </w:pPr>
            <w:r w:rsidRPr="00852440">
              <w:t>If claiming equivalence</w:t>
            </w:r>
            <w:r>
              <w:t xml:space="preserve"> total luminous flux must exceed</w:t>
            </w:r>
          </w:p>
        </w:tc>
        <w:tc>
          <w:tcPr>
            <w:tcW w:w="2484" w:type="dxa"/>
            <w:vMerge w:val="restart"/>
          </w:tcPr>
          <w:p w:rsidR="009C7C2A" w:rsidRDefault="009C7C2A" w:rsidP="00235234"/>
          <w:p w:rsidR="009C7C2A" w:rsidRDefault="009C7C2A" w:rsidP="00235234"/>
          <w:p w:rsidR="009C7C2A" w:rsidRDefault="009C7C2A" w:rsidP="00235234"/>
        </w:tc>
      </w:tr>
      <w:tr w:rsidR="009C7C2A" w:rsidTr="0094540D">
        <w:trPr>
          <w:cantSplit/>
          <w:trHeight w:val="31"/>
          <w:jc w:val="center"/>
        </w:trPr>
        <w:tc>
          <w:tcPr>
            <w:tcW w:w="1480" w:type="dxa"/>
            <w:vMerge/>
          </w:tcPr>
          <w:p w:rsidR="009C7C2A" w:rsidRDefault="009C7C2A" w:rsidP="00235234"/>
        </w:tc>
        <w:tc>
          <w:tcPr>
            <w:tcW w:w="2806" w:type="dxa"/>
            <w:gridSpan w:val="2"/>
          </w:tcPr>
          <w:p w:rsidR="009C7C2A" w:rsidRDefault="009C7C2A" w:rsidP="00255AA3">
            <w:pPr>
              <w:pStyle w:val="E3Tabletext"/>
            </w:pPr>
            <w:r>
              <w:t>Claimed equivalent wattage incandescent lamp (W)</w:t>
            </w:r>
          </w:p>
        </w:tc>
        <w:tc>
          <w:tcPr>
            <w:tcW w:w="2806" w:type="dxa"/>
            <w:gridSpan w:val="2"/>
          </w:tcPr>
          <w:p w:rsidR="009C7C2A" w:rsidRDefault="009C7C2A" w:rsidP="00255AA3">
            <w:pPr>
              <w:pStyle w:val="E3Tabletext"/>
            </w:pPr>
            <w:r>
              <w:t>Minimum luminous flux of LED lamp (lm)</w:t>
            </w:r>
          </w:p>
        </w:tc>
        <w:tc>
          <w:tcPr>
            <w:tcW w:w="2484" w:type="dxa"/>
            <w:vMerge/>
          </w:tcPr>
          <w:p w:rsidR="009C7C2A" w:rsidRDefault="009C7C2A" w:rsidP="00235234"/>
        </w:tc>
      </w:tr>
      <w:tr w:rsidR="009C7C2A" w:rsidTr="0094540D">
        <w:trPr>
          <w:cantSplit/>
          <w:trHeight w:val="31"/>
          <w:jc w:val="center"/>
        </w:trPr>
        <w:tc>
          <w:tcPr>
            <w:tcW w:w="1480" w:type="dxa"/>
            <w:vMerge/>
          </w:tcPr>
          <w:p w:rsidR="009C7C2A" w:rsidRDefault="009C7C2A" w:rsidP="00235234"/>
        </w:tc>
        <w:tc>
          <w:tcPr>
            <w:tcW w:w="2806" w:type="dxa"/>
            <w:gridSpan w:val="2"/>
          </w:tcPr>
          <w:p w:rsidR="009C7C2A" w:rsidRDefault="009C7C2A" w:rsidP="00255AA3">
            <w:pPr>
              <w:pStyle w:val="E3Tabletext"/>
            </w:pPr>
            <w:r>
              <w:t>25</w:t>
            </w:r>
          </w:p>
        </w:tc>
        <w:tc>
          <w:tcPr>
            <w:tcW w:w="2806" w:type="dxa"/>
            <w:gridSpan w:val="2"/>
          </w:tcPr>
          <w:p w:rsidR="009C7C2A" w:rsidRDefault="009C7C2A" w:rsidP="00255AA3">
            <w:pPr>
              <w:pStyle w:val="E3Tabletext"/>
            </w:pPr>
            <w:r>
              <w:t>200</w:t>
            </w:r>
          </w:p>
        </w:tc>
        <w:tc>
          <w:tcPr>
            <w:tcW w:w="2484" w:type="dxa"/>
            <w:vMerge/>
          </w:tcPr>
          <w:p w:rsidR="009C7C2A" w:rsidRDefault="009C7C2A" w:rsidP="00235234"/>
        </w:tc>
      </w:tr>
      <w:tr w:rsidR="009C7C2A" w:rsidTr="0094540D">
        <w:trPr>
          <w:cantSplit/>
          <w:trHeight w:val="31"/>
          <w:jc w:val="center"/>
        </w:trPr>
        <w:tc>
          <w:tcPr>
            <w:tcW w:w="1480" w:type="dxa"/>
            <w:vMerge/>
          </w:tcPr>
          <w:p w:rsidR="009C7C2A" w:rsidRDefault="009C7C2A" w:rsidP="00235234"/>
        </w:tc>
        <w:tc>
          <w:tcPr>
            <w:tcW w:w="2806" w:type="dxa"/>
            <w:gridSpan w:val="2"/>
          </w:tcPr>
          <w:p w:rsidR="009C7C2A" w:rsidRDefault="009C7C2A" w:rsidP="00255AA3">
            <w:pPr>
              <w:pStyle w:val="E3Tabletext"/>
            </w:pPr>
            <w:r>
              <w:t>35</w:t>
            </w:r>
          </w:p>
        </w:tc>
        <w:tc>
          <w:tcPr>
            <w:tcW w:w="2806" w:type="dxa"/>
            <w:gridSpan w:val="2"/>
          </w:tcPr>
          <w:p w:rsidR="009C7C2A" w:rsidRDefault="009C7C2A" w:rsidP="00255AA3">
            <w:pPr>
              <w:pStyle w:val="E3Tabletext"/>
            </w:pPr>
            <w:r>
              <w:t>325</w:t>
            </w:r>
          </w:p>
        </w:tc>
        <w:tc>
          <w:tcPr>
            <w:tcW w:w="2484" w:type="dxa"/>
            <w:vMerge/>
          </w:tcPr>
          <w:p w:rsidR="009C7C2A" w:rsidRDefault="009C7C2A" w:rsidP="00235234"/>
        </w:tc>
      </w:tr>
      <w:tr w:rsidR="009C7C2A" w:rsidTr="0094540D">
        <w:trPr>
          <w:cantSplit/>
          <w:trHeight w:val="31"/>
          <w:jc w:val="center"/>
        </w:trPr>
        <w:tc>
          <w:tcPr>
            <w:tcW w:w="1480" w:type="dxa"/>
            <w:vMerge/>
          </w:tcPr>
          <w:p w:rsidR="009C7C2A" w:rsidRDefault="009C7C2A" w:rsidP="00235234"/>
        </w:tc>
        <w:tc>
          <w:tcPr>
            <w:tcW w:w="2806" w:type="dxa"/>
            <w:gridSpan w:val="2"/>
          </w:tcPr>
          <w:p w:rsidR="009C7C2A" w:rsidRDefault="009C7C2A" w:rsidP="00255AA3">
            <w:pPr>
              <w:pStyle w:val="E3Tabletext"/>
            </w:pPr>
            <w:r>
              <w:t>40</w:t>
            </w:r>
          </w:p>
        </w:tc>
        <w:tc>
          <w:tcPr>
            <w:tcW w:w="2806" w:type="dxa"/>
            <w:gridSpan w:val="2"/>
          </w:tcPr>
          <w:p w:rsidR="009C7C2A" w:rsidRDefault="009C7C2A" w:rsidP="00255AA3">
            <w:pPr>
              <w:pStyle w:val="E3Tabletext"/>
            </w:pPr>
            <w:r>
              <w:t>450</w:t>
            </w:r>
          </w:p>
        </w:tc>
        <w:tc>
          <w:tcPr>
            <w:tcW w:w="2484" w:type="dxa"/>
            <w:vMerge/>
          </w:tcPr>
          <w:p w:rsidR="009C7C2A" w:rsidRDefault="009C7C2A" w:rsidP="00235234"/>
        </w:tc>
      </w:tr>
      <w:tr w:rsidR="009C7C2A" w:rsidTr="0094540D">
        <w:trPr>
          <w:cantSplit/>
          <w:trHeight w:val="31"/>
          <w:jc w:val="center"/>
        </w:trPr>
        <w:tc>
          <w:tcPr>
            <w:tcW w:w="1480" w:type="dxa"/>
            <w:vMerge/>
          </w:tcPr>
          <w:p w:rsidR="009C7C2A" w:rsidRDefault="009C7C2A" w:rsidP="00235234"/>
        </w:tc>
        <w:tc>
          <w:tcPr>
            <w:tcW w:w="2806" w:type="dxa"/>
            <w:gridSpan w:val="2"/>
          </w:tcPr>
          <w:p w:rsidR="009C7C2A" w:rsidRDefault="009C7C2A" w:rsidP="00255AA3">
            <w:pPr>
              <w:pStyle w:val="E3Tabletext"/>
            </w:pPr>
            <w:r>
              <w:t>60</w:t>
            </w:r>
          </w:p>
        </w:tc>
        <w:tc>
          <w:tcPr>
            <w:tcW w:w="2806" w:type="dxa"/>
            <w:gridSpan w:val="2"/>
          </w:tcPr>
          <w:p w:rsidR="009C7C2A" w:rsidRDefault="009C7C2A" w:rsidP="00255AA3">
            <w:pPr>
              <w:pStyle w:val="E3Tabletext"/>
            </w:pPr>
            <w:r>
              <w:t>800</w:t>
            </w:r>
          </w:p>
        </w:tc>
        <w:tc>
          <w:tcPr>
            <w:tcW w:w="2484" w:type="dxa"/>
            <w:vMerge/>
          </w:tcPr>
          <w:p w:rsidR="009C7C2A" w:rsidRDefault="009C7C2A" w:rsidP="00235234"/>
        </w:tc>
      </w:tr>
      <w:tr w:rsidR="009C7C2A" w:rsidTr="0094540D">
        <w:trPr>
          <w:cantSplit/>
          <w:trHeight w:val="31"/>
          <w:jc w:val="center"/>
        </w:trPr>
        <w:tc>
          <w:tcPr>
            <w:tcW w:w="1480" w:type="dxa"/>
            <w:vMerge/>
          </w:tcPr>
          <w:p w:rsidR="009C7C2A" w:rsidRDefault="009C7C2A" w:rsidP="00235234"/>
        </w:tc>
        <w:tc>
          <w:tcPr>
            <w:tcW w:w="2806" w:type="dxa"/>
            <w:gridSpan w:val="2"/>
          </w:tcPr>
          <w:p w:rsidR="009C7C2A" w:rsidRDefault="009C7C2A" w:rsidP="00255AA3">
            <w:pPr>
              <w:pStyle w:val="E3Tabletext"/>
            </w:pPr>
            <w:r>
              <w:t>75</w:t>
            </w:r>
          </w:p>
        </w:tc>
        <w:tc>
          <w:tcPr>
            <w:tcW w:w="2806" w:type="dxa"/>
            <w:gridSpan w:val="2"/>
          </w:tcPr>
          <w:p w:rsidR="009C7C2A" w:rsidRDefault="009C7C2A" w:rsidP="00255AA3">
            <w:pPr>
              <w:pStyle w:val="E3Tabletext"/>
            </w:pPr>
            <w:r>
              <w:t>1100</w:t>
            </w:r>
          </w:p>
        </w:tc>
        <w:tc>
          <w:tcPr>
            <w:tcW w:w="2484" w:type="dxa"/>
            <w:vMerge/>
          </w:tcPr>
          <w:p w:rsidR="009C7C2A" w:rsidRDefault="009C7C2A" w:rsidP="00235234"/>
        </w:tc>
      </w:tr>
      <w:tr w:rsidR="009C7C2A" w:rsidTr="0094540D">
        <w:trPr>
          <w:cantSplit/>
          <w:trHeight w:val="31"/>
          <w:jc w:val="center"/>
        </w:trPr>
        <w:tc>
          <w:tcPr>
            <w:tcW w:w="1480" w:type="dxa"/>
            <w:vMerge/>
          </w:tcPr>
          <w:p w:rsidR="009C7C2A" w:rsidRDefault="009C7C2A" w:rsidP="00235234"/>
        </w:tc>
        <w:tc>
          <w:tcPr>
            <w:tcW w:w="2806" w:type="dxa"/>
            <w:gridSpan w:val="2"/>
          </w:tcPr>
          <w:p w:rsidR="009C7C2A" w:rsidRDefault="009C7C2A" w:rsidP="00255AA3">
            <w:pPr>
              <w:pStyle w:val="E3Tabletext"/>
            </w:pPr>
            <w:r>
              <w:t>100</w:t>
            </w:r>
          </w:p>
        </w:tc>
        <w:tc>
          <w:tcPr>
            <w:tcW w:w="2806" w:type="dxa"/>
            <w:gridSpan w:val="2"/>
          </w:tcPr>
          <w:p w:rsidR="009C7C2A" w:rsidRDefault="009C7C2A" w:rsidP="00255AA3">
            <w:pPr>
              <w:pStyle w:val="E3Tabletext"/>
            </w:pPr>
            <w:r>
              <w:t>1600</w:t>
            </w:r>
          </w:p>
        </w:tc>
        <w:tc>
          <w:tcPr>
            <w:tcW w:w="2484" w:type="dxa"/>
            <w:vMerge/>
          </w:tcPr>
          <w:p w:rsidR="009C7C2A" w:rsidRDefault="009C7C2A" w:rsidP="00235234"/>
        </w:tc>
      </w:tr>
      <w:tr w:rsidR="009C7C2A" w:rsidTr="0094540D">
        <w:trPr>
          <w:cantSplit/>
          <w:trHeight w:val="31"/>
          <w:jc w:val="center"/>
        </w:trPr>
        <w:tc>
          <w:tcPr>
            <w:tcW w:w="1480" w:type="dxa"/>
            <w:vMerge/>
          </w:tcPr>
          <w:p w:rsidR="009C7C2A" w:rsidRDefault="009C7C2A" w:rsidP="00235234"/>
        </w:tc>
        <w:tc>
          <w:tcPr>
            <w:tcW w:w="2806" w:type="dxa"/>
            <w:gridSpan w:val="2"/>
          </w:tcPr>
          <w:p w:rsidR="009C7C2A" w:rsidRDefault="009C7C2A" w:rsidP="00255AA3">
            <w:pPr>
              <w:pStyle w:val="E3Tabletext"/>
            </w:pPr>
            <w:r>
              <w:t>125</w:t>
            </w:r>
          </w:p>
        </w:tc>
        <w:tc>
          <w:tcPr>
            <w:tcW w:w="2806" w:type="dxa"/>
            <w:gridSpan w:val="2"/>
          </w:tcPr>
          <w:p w:rsidR="009C7C2A" w:rsidRDefault="009C7C2A" w:rsidP="00255AA3">
            <w:pPr>
              <w:pStyle w:val="E3Tabletext"/>
            </w:pPr>
            <w:r>
              <w:t>2000</w:t>
            </w:r>
          </w:p>
        </w:tc>
        <w:tc>
          <w:tcPr>
            <w:tcW w:w="2484" w:type="dxa"/>
            <w:vMerge/>
          </w:tcPr>
          <w:p w:rsidR="009C7C2A" w:rsidRDefault="009C7C2A" w:rsidP="00235234"/>
        </w:tc>
      </w:tr>
      <w:tr w:rsidR="009C7C2A" w:rsidTr="0094540D">
        <w:trPr>
          <w:cantSplit/>
          <w:trHeight w:val="31"/>
          <w:jc w:val="center"/>
        </w:trPr>
        <w:tc>
          <w:tcPr>
            <w:tcW w:w="1480" w:type="dxa"/>
            <w:vMerge/>
          </w:tcPr>
          <w:p w:rsidR="009C7C2A" w:rsidRDefault="009C7C2A" w:rsidP="00235234"/>
        </w:tc>
        <w:tc>
          <w:tcPr>
            <w:tcW w:w="2806" w:type="dxa"/>
            <w:gridSpan w:val="2"/>
          </w:tcPr>
          <w:p w:rsidR="009C7C2A" w:rsidRDefault="009C7C2A" w:rsidP="00255AA3">
            <w:pPr>
              <w:pStyle w:val="E3Tabletext"/>
            </w:pPr>
            <w:r>
              <w:t>150</w:t>
            </w:r>
          </w:p>
        </w:tc>
        <w:tc>
          <w:tcPr>
            <w:tcW w:w="2806" w:type="dxa"/>
            <w:gridSpan w:val="2"/>
          </w:tcPr>
          <w:p w:rsidR="009C7C2A" w:rsidRDefault="009C7C2A" w:rsidP="00255AA3">
            <w:pPr>
              <w:pStyle w:val="E3Tabletext"/>
            </w:pPr>
            <w:r>
              <w:t>2600</w:t>
            </w:r>
          </w:p>
        </w:tc>
        <w:tc>
          <w:tcPr>
            <w:tcW w:w="2484" w:type="dxa"/>
            <w:vMerge/>
          </w:tcPr>
          <w:p w:rsidR="009C7C2A" w:rsidRDefault="009C7C2A" w:rsidP="00235234"/>
        </w:tc>
      </w:tr>
      <w:tr w:rsidR="009C7C2A" w:rsidTr="0094540D">
        <w:trPr>
          <w:cantSplit/>
          <w:trHeight w:val="31"/>
          <w:jc w:val="center"/>
        </w:trPr>
        <w:tc>
          <w:tcPr>
            <w:tcW w:w="1480" w:type="dxa"/>
            <w:vMerge/>
          </w:tcPr>
          <w:p w:rsidR="009C7C2A" w:rsidRDefault="009C7C2A" w:rsidP="00235234"/>
        </w:tc>
        <w:tc>
          <w:tcPr>
            <w:tcW w:w="5612" w:type="dxa"/>
            <w:gridSpan w:val="4"/>
          </w:tcPr>
          <w:p w:rsidR="009C7C2A" w:rsidRDefault="009C7C2A" w:rsidP="00255AA3">
            <w:pPr>
              <w:pStyle w:val="E3Tabletext"/>
            </w:pPr>
            <w:r>
              <w:t xml:space="preserve">Decorative lamps: </w:t>
            </w:r>
            <w:r w:rsidRPr="00852440">
              <w:t>If claiming equivalence</w:t>
            </w:r>
            <w:r>
              <w:t xml:space="preserve"> luminous flux must exceed</w:t>
            </w:r>
          </w:p>
        </w:tc>
        <w:tc>
          <w:tcPr>
            <w:tcW w:w="2484" w:type="dxa"/>
            <w:vMerge/>
          </w:tcPr>
          <w:p w:rsidR="009C7C2A" w:rsidRDefault="009C7C2A" w:rsidP="00235234"/>
        </w:tc>
      </w:tr>
      <w:tr w:rsidR="009C7C2A" w:rsidTr="0094540D">
        <w:trPr>
          <w:cantSplit/>
          <w:trHeight w:val="31"/>
          <w:jc w:val="center"/>
        </w:trPr>
        <w:tc>
          <w:tcPr>
            <w:tcW w:w="1480" w:type="dxa"/>
            <w:vMerge/>
          </w:tcPr>
          <w:p w:rsidR="009C7C2A" w:rsidRDefault="009C7C2A" w:rsidP="00235234"/>
        </w:tc>
        <w:tc>
          <w:tcPr>
            <w:tcW w:w="2806" w:type="dxa"/>
            <w:gridSpan w:val="2"/>
          </w:tcPr>
          <w:p w:rsidR="009C7C2A" w:rsidRDefault="009C7C2A" w:rsidP="00255AA3">
            <w:pPr>
              <w:pStyle w:val="E3Tabletext"/>
            </w:pPr>
            <w:r>
              <w:t>Claimed equivalent wattage incandescent lamp (W)</w:t>
            </w:r>
          </w:p>
        </w:tc>
        <w:tc>
          <w:tcPr>
            <w:tcW w:w="2806" w:type="dxa"/>
            <w:gridSpan w:val="2"/>
          </w:tcPr>
          <w:p w:rsidR="009C7C2A" w:rsidRDefault="009C7C2A" w:rsidP="00255AA3">
            <w:pPr>
              <w:pStyle w:val="E3Tabletext"/>
            </w:pPr>
            <w:r>
              <w:t>Minimum luminous flux of LED lamp (lm)</w:t>
            </w:r>
          </w:p>
        </w:tc>
        <w:tc>
          <w:tcPr>
            <w:tcW w:w="2484" w:type="dxa"/>
            <w:vMerge/>
          </w:tcPr>
          <w:p w:rsidR="009C7C2A" w:rsidRDefault="009C7C2A" w:rsidP="00235234"/>
        </w:tc>
      </w:tr>
      <w:tr w:rsidR="009C7C2A" w:rsidTr="0094540D">
        <w:trPr>
          <w:cantSplit/>
          <w:trHeight w:val="31"/>
          <w:jc w:val="center"/>
        </w:trPr>
        <w:tc>
          <w:tcPr>
            <w:tcW w:w="1480" w:type="dxa"/>
            <w:vMerge/>
          </w:tcPr>
          <w:p w:rsidR="009C7C2A" w:rsidRDefault="009C7C2A" w:rsidP="00235234"/>
        </w:tc>
        <w:tc>
          <w:tcPr>
            <w:tcW w:w="2806" w:type="dxa"/>
            <w:gridSpan w:val="2"/>
          </w:tcPr>
          <w:p w:rsidR="009C7C2A" w:rsidRDefault="009C7C2A" w:rsidP="00255AA3">
            <w:pPr>
              <w:pStyle w:val="E3Tabletext"/>
            </w:pPr>
            <w:r>
              <w:t>10</w:t>
            </w:r>
          </w:p>
        </w:tc>
        <w:tc>
          <w:tcPr>
            <w:tcW w:w="2806" w:type="dxa"/>
            <w:gridSpan w:val="2"/>
          </w:tcPr>
          <w:p w:rsidR="009C7C2A" w:rsidRDefault="009C7C2A" w:rsidP="00255AA3">
            <w:pPr>
              <w:pStyle w:val="E3Tabletext"/>
            </w:pPr>
            <w:r>
              <w:t>70</w:t>
            </w:r>
          </w:p>
        </w:tc>
        <w:tc>
          <w:tcPr>
            <w:tcW w:w="2484" w:type="dxa"/>
            <w:vMerge/>
          </w:tcPr>
          <w:p w:rsidR="009C7C2A" w:rsidRDefault="009C7C2A" w:rsidP="00235234"/>
        </w:tc>
      </w:tr>
      <w:tr w:rsidR="009C7C2A" w:rsidTr="0094540D">
        <w:trPr>
          <w:cantSplit/>
          <w:trHeight w:val="31"/>
          <w:jc w:val="center"/>
        </w:trPr>
        <w:tc>
          <w:tcPr>
            <w:tcW w:w="1480" w:type="dxa"/>
            <w:vMerge/>
          </w:tcPr>
          <w:p w:rsidR="009C7C2A" w:rsidRDefault="009C7C2A" w:rsidP="00235234"/>
        </w:tc>
        <w:tc>
          <w:tcPr>
            <w:tcW w:w="2806" w:type="dxa"/>
            <w:gridSpan w:val="2"/>
          </w:tcPr>
          <w:p w:rsidR="009C7C2A" w:rsidRDefault="009C7C2A" w:rsidP="00255AA3">
            <w:pPr>
              <w:pStyle w:val="E3Tabletext"/>
            </w:pPr>
            <w:r>
              <w:t>15</w:t>
            </w:r>
          </w:p>
        </w:tc>
        <w:tc>
          <w:tcPr>
            <w:tcW w:w="2806" w:type="dxa"/>
            <w:gridSpan w:val="2"/>
          </w:tcPr>
          <w:p w:rsidR="009C7C2A" w:rsidRDefault="009C7C2A" w:rsidP="00255AA3">
            <w:pPr>
              <w:pStyle w:val="E3Tabletext"/>
            </w:pPr>
            <w:r>
              <w:t>90</w:t>
            </w:r>
          </w:p>
        </w:tc>
        <w:tc>
          <w:tcPr>
            <w:tcW w:w="2484" w:type="dxa"/>
            <w:vMerge/>
          </w:tcPr>
          <w:p w:rsidR="009C7C2A" w:rsidRDefault="009C7C2A" w:rsidP="00235234"/>
        </w:tc>
      </w:tr>
      <w:tr w:rsidR="009C7C2A" w:rsidTr="0094540D">
        <w:trPr>
          <w:cantSplit/>
          <w:trHeight w:val="31"/>
          <w:jc w:val="center"/>
        </w:trPr>
        <w:tc>
          <w:tcPr>
            <w:tcW w:w="1480" w:type="dxa"/>
            <w:vMerge/>
          </w:tcPr>
          <w:p w:rsidR="009C7C2A" w:rsidRDefault="009C7C2A" w:rsidP="00235234"/>
        </w:tc>
        <w:tc>
          <w:tcPr>
            <w:tcW w:w="2806" w:type="dxa"/>
            <w:gridSpan w:val="2"/>
          </w:tcPr>
          <w:p w:rsidR="009C7C2A" w:rsidRDefault="009C7C2A" w:rsidP="00255AA3">
            <w:pPr>
              <w:pStyle w:val="E3Tabletext"/>
            </w:pPr>
            <w:r>
              <w:t>25</w:t>
            </w:r>
          </w:p>
        </w:tc>
        <w:tc>
          <w:tcPr>
            <w:tcW w:w="2806" w:type="dxa"/>
            <w:gridSpan w:val="2"/>
          </w:tcPr>
          <w:p w:rsidR="009C7C2A" w:rsidRDefault="009C7C2A" w:rsidP="00255AA3">
            <w:pPr>
              <w:pStyle w:val="E3Tabletext"/>
            </w:pPr>
            <w:r>
              <w:t>150</w:t>
            </w:r>
          </w:p>
        </w:tc>
        <w:tc>
          <w:tcPr>
            <w:tcW w:w="2484" w:type="dxa"/>
            <w:vMerge/>
          </w:tcPr>
          <w:p w:rsidR="009C7C2A" w:rsidRDefault="009C7C2A" w:rsidP="00235234"/>
        </w:tc>
      </w:tr>
      <w:tr w:rsidR="009C7C2A" w:rsidTr="0094540D">
        <w:trPr>
          <w:cantSplit/>
          <w:trHeight w:val="31"/>
          <w:jc w:val="center"/>
        </w:trPr>
        <w:tc>
          <w:tcPr>
            <w:tcW w:w="1480" w:type="dxa"/>
            <w:vMerge/>
          </w:tcPr>
          <w:p w:rsidR="009C7C2A" w:rsidRDefault="009C7C2A" w:rsidP="00235234"/>
        </w:tc>
        <w:tc>
          <w:tcPr>
            <w:tcW w:w="2806" w:type="dxa"/>
            <w:gridSpan w:val="2"/>
          </w:tcPr>
          <w:p w:rsidR="009C7C2A" w:rsidRDefault="009C7C2A" w:rsidP="00255AA3">
            <w:pPr>
              <w:pStyle w:val="E3Tabletext"/>
            </w:pPr>
            <w:r>
              <w:t>40</w:t>
            </w:r>
          </w:p>
        </w:tc>
        <w:tc>
          <w:tcPr>
            <w:tcW w:w="2806" w:type="dxa"/>
            <w:gridSpan w:val="2"/>
          </w:tcPr>
          <w:p w:rsidR="009C7C2A" w:rsidRDefault="009C7C2A" w:rsidP="00255AA3">
            <w:pPr>
              <w:pStyle w:val="E3Tabletext"/>
            </w:pPr>
            <w:r>
              <w:t>300</w:t>
            </w:r>
          </w:p>
        </w:tc>
        <w:tc>
          <w:tcPr>
            <w:tcW w:w="2484" w:type="dxa"/>
            <w:vMerge/>
          </w:tcPr>
          <w:p w:rsidR="009C7C2A" w:rsidRDefault="009C7C2A" w:rsidP="00235234"/>
        </w:tc>
      </w:tr>
      <w:tr w:rsidR="009C7C2A" w:rsidTr="0094540D">
        <w:trPr>
          <w:cantSplit/>
          <w:trHeight w:val="31"/>
          <w:jc w:val="center"/>
        </w:trPr>
        <w:tc>
          <w:tcPr>
            <w:tcW w:w="1480" w:type="dxa"/>
            <w:vMerge/>
          </w:tcPr>
          <w:p w:rsidR="009C7C2A" w:rsidRDefault="009C7C2A" w:rsidP="00235234"/>
        </w:tc>
        <w:tc>
          <w:tcPr>
            <w:tcW w:w="2806" w:type="dxa"/>
            <w:gridSpan w:val="2"/>
          </w:tcPr>
          <w:p w:rsidR="009C7C2A" w:rsidRDefault="009C7C2A" w:rsidP="00255AA3">
            <w:pPr>
              <w:pStyle w:val="E3Tabletext"/>
            </w:pPr>
            <w:r>
              <w:t>60</w:t>
            </w:r>
          </w:p>
        </w:tc>
        <w:tc>
          <w:tcPr>
            <w:tcW w:w="2806" w:type="dxa"/>
            <w:gridSpan w:val="2"/>
          </w:tcPr>
          <w:p w:rsidR="009C7C2A" w:rsidRDefault="009C7C2A" w:rsidP="00255AA3">
            <w:pPr>
              <w:pStyle w:val="E3Tabletext"/>
            </w:pPr>
            <w:r>
              <w:t>500</w:t>
            </w:r>
          </w:p>
        </w:tc>
        <w:tc>
          <w:tcPr>
            <w:tcW w:w="2484" w:type="dxa"/>
            <w:vMerge/>
          </w:tcPr>
          <w:p w:rsidR="009C7C2A" w:rsidRDefault="009C7C2A" w:rsidP="00235234"/>
        </w:tc>
      </w:tr>
      <w:tr w:rsidR="009C7C2A" w:rsidTr="0094540D">
        <w:trPr>
          <w:cantSplit/>
          <w:trHeight w:val="31"/>
          <w:jc w:val="center"/>
        </w:trPr>
        <w:tc>
          <w:tcPr>
            <w:tcW w:w="1480" w:type="dxa"/>
            <w:vMerge/>
          </w:tcPr>
          <w:p w:rsidR="009C7C2A" w:rsidRDefault="009C7C2A" w:rsidP="00235234"/>
        </w:tc>
        <w:tc>
          <w:tcPr>
            <w:tcW w:w="5612" w:type="dxa"/>
            <w:gridSpan w:val="4"/>
          </w:tcPr>
          <w:p w:rsidR="009C7C2A" w:rsidRPr="00852440" w:rsidRDefault="009C7C2A" w:rsidP="00255AA3">
            <w:pPr>
              <w:pStyle w:val="E3Tabletext"/>
            </w:pPr>
            <w:r>
              <w:t>D</w:t>
            </w:r>
            <w:r w:rsidRPr="00852440">
              <w:t xml:space="preserve">irectional lamps: </w:t>
            </w:r>
            <w:r>
              <w:t>(lamp types BR, ER, K, R only)</w:t>
            </w:r>
          </w:p>
          <w:p w:rsidR="009C7C2A" w:rsidRDefault="009C7C2A" w:rsidP="00F1452F">
            <w:pPr>
              <w:pStyle w:val="E3Tabletext"/>
              <w:numPr>
                <w:ilvl w:val="0"/>
                <w:numId w:val="23"/>
              </w:numPr>
            </w:pPr>
            <w:r w:rsidRPr="00852440">
              <w:t xml:space="preserve">≥ 80% of </w:t>
            </w:r>
            <w:r>
              <w:t xml:space="preserve">total </w:t>
            </w:r>
            <w:r w:rsidRPr="00852440">
              <w:t>measured light output is within a 120</w:t>
            </w:r>
            <w:r w:rsidRPr="00852440">
              <w:sym w:font="Symbol" w:char="F0B0"/>
            </w:r>
            <w:r w:rsidRPr="00852440">
              <w:t xml:space="preserve"> cone (</w:t>
            </w:r>
            <w:r w:rsidR="00F966C3" w:rsidRPr="00852440">
              <w:t>i.e.</w:t>
            </w:r>
            <w:r w:rsidRPr="00852440">
              <w:t xml:space="preserve"> solid angle of π sr)</w:t>
            </w:r>
          </w:p>
          <w:p w:rsidR="009C7C2A" w:rsidRDefault="009C7C2A" w:rsidP="00F1452F">
            <w:pPr>
              <w:pStyle w:val="E3Tabletext"/>
              <w:numPr>
                <w:ilvl w:val="0"/>
                <w:numId w:val="23"/>
              </w:numPr>
            </w:pPr>
            <w:r w:rsidRPr="00852440">
              <w:t xml:space="preserve">measured </w:t>
            </w:r>
            <w:r>
              <w:t xml:space="preserve">total luminous flux </w:t>
            </w:r>
            <w:r w:rsidRPr="00852440">
              <w:t xml:space="preserve"> ≥ </w:t>
            </w:r>
            <w:r>
              <w:t>10 times the rated wattage of the target lamp</w:t>
            </w:r>
          </w:p>
        </w:tc>
        <w:tc>
          <w:tcPr>
            <w:tcW w:w="2484" w:type="dxa"/>
            <w:vMerge/>
          </w:tcPr>
          <w:p w:rsidR="009C7C2A" w:rsidRDefault="009C7C2A" w:rsidP="00235234"/>
        </w:tc>
      </w:tr>
      <w:tr w:rsidR="009C7C2A" w:rsidTr="0094540D">
        <w:trPr>
          <w:cantSplit/>
          <w:jc w:val="center"/>
        </w:trPr>
        <w:tc>
          <w:tcPr>
            <w:tcW w:w="1480" w:type="dxa"/>
          </w:tcPr>
          <w:p w:rsidR="009C7C2A" w:rsidRDefault="009C7C2A" w:rsidP="00255AA3">
            <w:pPr>
              <w:pStyle w:val="E3Tabletext"/>
            </w:pPr>
            <w:r>
              <w:t>Luminous intensity distribution</w:t>
            </w:r>
          </w:p>
        </w:tc>
        <w:tc>
          <w:tcPr>
            <w:tcW w:w="5612" w:type="dxa"/>
            <w:gridSpan w:val="4"/>
          </w:tcPr>
          <w:p w:rsidR="009C7C2A" w:rsidRDefault="009C7C2A" w:rsidP="00255AA3">
            <w:pPr>
              <w:pStyle w:val="E3Tabletext"/>
            </w:pPr>
            <w:r>
              <w:t>Omni-directional lamps:</w:t>
            </w:r>
          </w:p>
          <w:p w:rsidR="009C7C2A" w:rsidRDefault="009C7C2A" w:rsidP="00F1452F">
            <w:pPr>
              <w:pStyle w:val="E3Tabletext"/>
              <w:numPr>
                <w:ilvl w:val="0"/>
                <w:numId w:val="24"/>
              </w:numPr>
            </w:pPr>
            <w:r>
              <w:t>Luminous intensity within the 0</w:t>
            </w:r>
            <w:r w:rsidRPr="00852440">
              <w:sym w:font="Symbol" w:char="F0B0"/>
            </w:r>
            <w:r>
              <w:t>to 135</w:t>
            </w:r>
            <w:r w:rsidRPr="00852440">
              <w:sym w:font="Symbol" w:char="F0B0"/>
            </w:r>
            <w:r>
              <w:t xml:space="preserve"> zone:</w:t>
            </w:r>
          </w:p>
          <w:p w:rsidR="009C7C2A" w:rsidRDefault="009C7C2A" w:rsidP="00F1452F">
            <w:pPr>
              <w:pStyle w:val="E3Tabletext"/>
              <w:numPr>
                <w:ilvl w:val="0"/>
                <w:numId w:val="24"/>
              </w:numPr>
            </w:pPr>
            <w:r>
              <w:t>Is vertically axially symmetrical</w:t>
            </w:r>
          </w:p>
          <w:p w:rsidR="009C7C2A" w:rsidRDefault="009C7C2A" w:rsidP="00F1452F">
            <w:pPr>
              <w:pStyle w:val="E3Tabletext"/>
              <w:numPr>
                <w:ilvl w:val="0"/>
                <w:numId w:val="24"/>
              </w:numPr>
              <w:rPr>
                <w:rFonts w:cstheme="majorBidi"/>
                <w:iCs/>
                <w:color w:val="243F60" w:themeColor="accent1" w:themeShade="7F"/>
              </w:rPr>
            </w:pPr>
            <w:r>
              <w:t>At any angle has a variation ≤ 20</w:t>
            </w:r>
            <w:r w:rsidRPr="00852440">
              <w:t xml:space="preserve">% </w:t>
            </w:r>
            <w:r>
              <w:t>from the mean of the zone</w:t>
            </w:r>
          </w:p>
        </w:tc>
        <w:tc>
          <w:tcPr>
            <w:tcW w:w="2484" w:type="dxa"/>
            <w:vMerge/>
          </w:tcPr>
          <w:p w:rsidR="009C7C2A" w:rsidRDefault="009C7C2A" w:rsidP="00255AA3">
            <w:pPr>
              <w:pStyle w:val="E3Tabletext"/>
            </w:pPr>
          </w:p>
        </w:tc>
      </w:tr>
      <w:tr w:rsidR="00334066" w:rsidTr="0094540D">
        <w:trPr>
          <w:cantSplit/>
          <w:jc w:val="center"/>
        </w:trPr>
        <w:tc>
          <w:tcPr>
            <w:tcW w:w="1480" w:type="dxa"/>
          </w:tcPr>
          <w:p w:rsidR="00334066" w:rsidRDefault="00334066" w:rsidP="00255AA3">
            <w:pPr>
              <w:pStyle w:val="E3Tabletext"/>
            </w:pPr>
            <w:r>
              <w:t>Centre Beam Intensity</w:t>
            </w:r>
          </w:p>
        </w:tc>
        <w:tc>
          <w:tcPr>
            <w:tcW w:w="5612" w:type="dxa"/>
            <w:gridSpan w:val="4"/>
          </w:tcPr>
          <w:p w:rsidR="00334066" w:rsidRDefault="00334066" w:rsidP="00255AA3">
            <w:pPr>
              <w:pStyle w:val="E3Tabletext"/>
            </w:pPr>
            <w:r>
              <w:t>PAR and MR16 LED lamps:</w:t>
            </w:r>
          </w:p>
          <w:p w:rsidR="00334066" w:rsidRDefault="00334066" w:rsidP="00255AA3">
            <w:pPr>
              <w:pStyle w:val="E3Tabletext"/>
            </w:pPr>
            <w:r>
              <w:t>Minimum centre beam intensity (cd) is determined by an online tool with results based on lamp diameter, target lamp wattage and target beam angle.</w:t>
            </w:r>
          </w:p>
        </w:tc>
        <w:tc>
          <w:tcPr>
            <w:tcW w:w="2484" w:type="dxa"/>
          </w:tcPr>
          <w:p w:rsidR="00334066" w:rsidRDefault="00334066" w:rsidP="00255AA3">
            <w:pPr>
              <w:pStyle w:val="E3Tabletext"/>
            </w:pPr>
          </w:p>
        </w:tc>
      </w:tr>
      <w:tr w:rsidR="00334066" w:rsidTr="0094540D">
        <w:trPr>
          <w:cantSplit/>
          <w:jc w:val="center"/>
        </w:trPr>
        <w:tc>
          <w:tcPr>
            <w:tcW w:w="1480" w:type="dxa"/>
          </w:tcPr>
          <w:p w:rsidR="00334066" w:rsidRPr="00CF109C" w:rsidRDefault="00334066" w:rsidP="00255AA3">
            <w:pPr>
              <w:pStyle w:val="E3Tabletext"/>
            </w:pPr>
            <w:r w:rsidRPr="00CF109C">
              <w:t>Lumen maintenance</w:t>
            </w:r>
          </w:p>
        </w:tc>
        <w:tc>
          <w:tcPr>
            <w:tcW w:w="5612" w:type="dxa"/>
            <w:gridSpan w:val="4"/>
          </w:tcPr>
          <w:p w:rsidR="00334066" w:rsidRDefault="00334066" w:rsidP="00255AA3">
            <w:pPr>
              <w:pStyle w:val="E3Tabletext"/>
            </w:pPr>
            <w:r>
              <w:t>Omni-directional, Directional and Non-standard lamps:</w:t>
            </w:r>
          </w:p>
          <w:p w:rsidR="00334066" w:rsidRDefault="00334066" w:rsidP="00255AA3">
            <w:pPr>
              <w:pStyle w:val="E3Tabletext"/>
            </w:pPr>
            <w:r>
              <w:t>≥ 70% lumen maintenance at 25,000 h</w:t>
            </w:r>
          </w:p>
          <w:p w:rsidR="00334066" w:rsidRDefault="00334066" w:rsidP="00255AA3">
            <w:pPr>
              <w:pStyle w:val="E3Tabletext"/>
            </w:pPr>
            <w:r>
              <w:t>(Ambient temp of 25</w:t>
            </w:r>
            <w:r>
              <w:sym w:font="Symbol" w:char="F0B0"/>
            </w:r>
            <w:r>
              <w:t>C for lamp power &lt; 10W, and  45</w:t>
            </w:r>
            <w:r>
              <w:sym w:font="Symbol" w:char="F0B0"/>
            </w:r>
            <w:r>
              <w:t>C for lamp power ≥ 10W)</w:t>
            </w:r>
          </w:p>
          <w:p w:rsidR="00334066" w:rsidRDefault="00334066" w:rsidP="00255AA3">
            <w:pPr>
              <w:pStyle w:val="E3Tabletext"/>
            </w:pPr>
            <w:r>
              <w:t>Decorative lamps:</w:t>
            </w:r>
          </w:p>
          <w:p w:rsidR="00334066" w:rsidRDefault="00334066" w:rsidP="00255AA3">
            <w:pPr>
              <w:pStyle w:val="E3Tabletext"/>
            </w:pPr>
            <w:r>
              <w:t>≥ 70% lumen maintenance at 15,000 h</w:t>
            </w:r>
          </w:p>
          <w:p w:rsidR="00334066" w:rsidRDefault="00334066" w:rsidP="00255AA3">
            <w:pPr>
              <w:pStyle w:val="E3Tabletext"/>
            </w:pPr>
            <w:r>
              <w:t>(Ambient temp of 25</w:t>
            </w:r>
            <w:r>
              <w:sym w:font="Symbol" w:char="F0B0"/>
            </w:r>
            <w:r>
              <w:t>C for all lamps)</w:t>
            </w:r>
          </w:p>
        </w:tc>
        <w:tc>
          <w:tcPr>
            <w:tcW w:w="2484" w:type="dxa"/>
          </w:tcPr>
          <w:p w:rsidR="00334066" w:rsidRDefault="00334066" w:rsidP="00255AA3">
            <w:pPr>
              <w:pStyle w:val="E3Tabletext"/>
            </w:pPr>
            <w:r>
              <w:t>IES LM-80-08</w:t>
            </w:r>
          </w:p>
        </w:tc>
      </w:tr>
      <w:tr w:rsidR="00334066" w:rsidTr="0094540D">
        <w:trPr>
          <w:cantSplit/>
          <w:jc w:val="center"/>
        </w:trPr>
        <w:tc>
          <w:tcPr>
            <w:tcW w:w="1480" w:type="dxa"/>
          </w:tcPr>
          <w:p w:rsidR="00334066" w:rsidRPr="006A1210" w:rsidRDefault="00334066" w:rsidP="00255AA3">
            <w:pPr>
              <w:pStyle w:val="E3Tabletext"/>
              <w:rPr>
                <w:highlight w:val="yellow"/>
              </w:rPr>
            </w:pPr>
            <w:r w:rsidRPr="0005424D">
              <w:t>Colour Rendering</w:t>
            </w:r>
          </w:p>
        </w:tc>
        <w:tc>
          <w:tcPr>
            <w:tcW w:w="5612" w:type="dxa"/>
            <w:gridSpan w:val="4"/>
          </w:tcPr>
          <w:p w:rsidR="00334066" w:rsidRDefault="00334066" w:rsidP="00255AA3">
            <w:pPr>
              <w:pStyle w:val="E3Tabletext"/>
            </w:pPr>
            <w:r>
              <w:t xml:space="preserve">Ra ≥ 80, and </w:t>
            </w:r>
          </w:p>
          <w:p w:rsidR="00334066" w:rsidRDefault="00334066" w:rsidP="00255AA3">
            <w:pPr>
              <w:pStyle w:val="E3Tabletext"/>
            </w:pPr>
            <w:r>
              <w:t>R</w:t>
            </w:r>
            <w:r w:rsidRPr="0005424D">
              <w:t>9</w:t>
            </w:r>
            <w:r>
              <w:t xml:space="preserve"> ≤ 0</w:t>
            </w:r>
          </w:p>
        </w:tc>
        <w:tc>
          <w:tcPr>
            <w:tcW w:w="2484" w:type="dxa"/>
          </w:tcPr>
          <w:p w:rsidR="00334066" w:rsidRDefault="00334066" w:rsidP="00255AA3">
            <w:pPr>
              <w:pStyle w:val="E3Tabletext"/>
            </w:pPr>
            <w:r>
              <w:t>IES LM-79-08</w:t>
            </w:r>
          </w:p>
          <w:p w:rsidR="00334066" w:rsidRDefault="00334066" w:rsidP="00255AA3">
            <w:pPr>
              <w:pStyle w:val="E3Tabletext"/>
            </w:pPr>
            <w:r>
              <w:t>CIE13.3-1995</w:t>
            </w:r>
          </w:p>
        </w:tc>
      </w:tr>
      <w:tr w:rsidR="009C7C2A" w:rsidTr="0094540D">
        <w:trPr>
          <w:cantSplit/>
          <w:trHeight w:val="57"/>
          <w:jc w:val="center"/>
        </w:trPr>
        <w:tc>
          <w:tcPr>
            <w:tcW w:w="1480" w:type="dxa"/>
            <w:vMerge w:val="restart"/>
          </w:tcPr>
          <w:p w:rsidR="009C7C2A" w:rsidRPr="0005424D" w:rsidRDefault="009C7C2A" w:rsidP="00255AA3">
            <w:pPr>
              <w:pStyle w:val="E3Tabletext"/>
            </w:pPr>
            <w:r w:rsidRPr="0005424D">
              <w:t>Colour temperature</w:t>
            </w:r>
          </w:p>
        </w:tc>
        <w:tc>
          <w:tcPr>
            <w:tcW w:w="1870" w:type="dxa"/>
          </w:tcPr>
          <w:p w:rsidR="009C7C2A" w:rsidRDefault="009C7C2A" w:rsidP="00255AA3">
            <w:pPr>
              <w:pStyle w:val="E3Tabletext"/>
            </w:pPr>
            <w:r>
              <w:t>Rated CCT (K)</w:t>
            </w:r>
          </w:p>
        </w:tc>
        <w:tc>
          <w:tcPr>
            <w:tcW w:w="1871" w:type="dxa"/>
            <w:gridSpan w:val="2"/>
          </w:tcPr>
          <w:p w:rsidR="009C7C2A" w:rsidRDefault="009C7C2A" w:rsidP="00255AA3">
            <w:pPr>
              <w:pStyle w:val="E3Tabletext"/>
            </w:pPr>
            <w:r>
              <w:t>Target CCT and Tolerance (K)</w:t>
            </w:r>
          </w:p>
        </w:tc>
        <w:tc>
          <w:tcPr>
            <w:tcW w:w="1871" w:type="dxa"/>
          </w:tcPr>
          <w:p w:rsidR="009C7C2A" w:rsidRDefault="009C7C2A" w:rsidP="00255AA3">
            <w:pPr>
              <w:pStyle w:val="E3Tabletext"/>
            </w:pPr>
            <w:r>
              <w:t>Target Duv and tolerance</w:t>
            </w:r>
          </w:p>
        </w:tc>
        <w:tc>
          <w:tcPr>
            <w:tcW w:w="2484" w:type="dxa"/>
            <w:vMerge w:val="restart"/>
          </w:tcPr>
          <w:p w:rsidR="009C7C2A" w:rsidRDefault="009C7C2A" w:rsidP="00255AA3">
            <w:pPr>
              <w:pStyle w:val="E3Tabletext"/>
            </w:pPr>
          </w:p>
        </w:tc>
      </w:tr>
      <w:tr w:rsidR="009C7C2A" w:rsidTr="0094540D">
        <w:trPr>
          <w:cantSplit/>
          <w:trHeight w:val="57"/>
          <w:jc w:val="center"/>
        </w:trPr>
        <w:tc>
          <w:tcPr>
            <w:tcW w:w="1480" w:type="dxa"/>
            <w:vMerge/>
          </w:tcPr>
          <w:p w:rsidR="009C7C2A" w:rsidRPr="0005424D" w:rsidRDefault="009C7C2A" w:rsidP="00255AA3">
            <w:pPr>
              <w:pStyle w:val="E3Tabletext"/>
            </w:pPr>
          </w:p>
        </w:tc>
        <w:tc>
          <w:tcPr>
            <w:tcW w:w="1870" w:type="dxa"/>
          </w:tcPr>
          <w:p w:rsidR="009C7C2A" w:rsidRDefault="009C7C2A" w:rsidP="00255AA3">
            <w:pPr>
              <w:pStyle w:val="E3Tabletext"/>
            </w:pPr>
            <w:r>
              <w:t>2700</w:t>
            </w:r>
          </w:p>
        </w:tc>
        <w:tc>
          <w:tcPr>
            <w:tcW w:w="1871" w:type="dxa"/>
            <w:gridSpan w:val="2"/>
          </w:tcPr>
          <w:p w:rsidR="009C7C2A" w:rsidRDefault="009C7C2A" w:rsidP="00255AA3">
            <w:pPr>
              <w:pStyle w:val="E3Tabletext"/>
            </w:pPr>
            <w:r w:rsidRPr="00303D8F">
              <w:t xml:space="preserve">2725 </w:t>
            </w:r>
            <w:r>
              <w:t>±</w:t>
            </w:r>
            <w:r w:rsidRPr="00303D8F">
              <w:t xml:space="preserve"> 145</w:t>
            </w:r>
          </w:p>
        </w:tc>
        <w:tc>
          <w:tcPr>
            <w:tcW w:w="1871" w:type="dxa"/>
          </w:tcPr>
          <w:p w:rsidR="009C7C2A" w:rsidRDefault="009C7C2A" w:rsidP="00255AA3">
            <w:pPr>
              <w:pStyle w:val="E3Tabletext"/>
            </w:pPr>
            <w:r w:rsidRPr="00303D8F">
              <w:t xml:space="preserve">0.000 </w:t>
            </w:r>
            <w:r>
              <w:t>±</w:t>
            </w:r>
            <w:r w:rsidRPr="00303D8F">
              <w:t xml:space="preserve"> 0.006</w:t>
            </w:r>
          </w:p>
        </w:tc>
        <w:tc>
          <w:tcPr>
            <w:tcW w:w="2484" w:type="dxa"/>
            <w:vMerge/>
          </w:tcPr>
          <w:p w:rsidR="009C7C2A" w:rsidRDefault="009C7C2A" w:rsidP="00255AA3">
            <w:pPr>
              <w:pStyle w:val="E3Tabletext"/>
            </w:pPr>
          </w:p>
        </w:tc>
      </w:tr>
      <w:tr w:rsidR="009C7C2A" w:rsidTr="0094540D">
        <w:trPr>
          <w:cantSplit/>
          <w:trHeight w:val="57"/>
          <w:jc w:val="center"/>
        </w:trPr>
        <w:tc>
          <w:tcPr>
            <w:tcW w:w="1480" w:type="dxa"/>
            <w:vMerge/>
          </w:tcPr>
          <w:p w:rsidR="009C7C2A" w:rsidRPr="0005424D" w:rsidRDefault="009C7C2A" w:rsidP="00255AA3">
            <w:pPr>
              <w:pStyle w:val="E3Tabletext"/>
            </w:pPr>
          </w:p>
        </w:tc>
        <w:tc>
          <w:tcPr>
            <w:tcW w:w="1870" w:type="dxa"/>
          </w:tcPr>
          <w:p w:rsidR="009C7C2A" w:rsidRDefault="009C7C2A" w:rsidP="00255AA3">
            <w:pPr>
              <w:pStyle w:val="E3Tabletext"/>
            </w:pPr>
            <w:r w:rsidRPr="00303D8F">
              <w:t>3000</w:t>
            </w:r>
          </w:p>
        </w:tc>
        <w:tc>
          <w:tcPr>
            <w:tcW w:w="1871" w:type="dxa"/>
            <w:gridSpan w:val="2"/>
          </w:tcPr>
          <w:p w:rsidR="009C7C2A" w:rsidRDefault="009C7C2A" w:rsidP="00255AA3">
            <w:pPr>
              <w:pStyle w:val="E3Tabletext"/>
            </w:pPr>
            <w:r w:rsidRPr="00303D8F">
              <w:t xml:space="preserve">3045 </w:t>
            </w:r>
            <w:r>
              <w:t>±</w:t>
            </w:r>
            <w:r w:rsidRPr="00303D8F">
              <w:t xml:space="preserve"> 175</w:t>
            </w:r>
          </w:p>
        </w:tc>
        <w:tc>
          <w:tcPr>
            <w:tcW w:w="1871" w:type="dxa"/>
          </w:tcPr>
          <w:p w:rsidR="009C7C2A" w:rsidRDefault="009C7C2A" w:rsidP="00255AA3">
            <w:pPr>
              <w:pStyle w:val="E3Tabletext"/>
            </w:pPr>
            <w:r w:rsidRPr="00303D8F">
              <w:t xml:space="preserve">0.000 </w:t>
            </w:r>
            <w:r>
              <w:t>±</w:t>
            </w:r>
            <w:r w:rsidRPr="00303D8F">
              <w:t xml:space="preserve"> 0.006</w:t>
            </w:r>
          </w:p>
        </w:tc>
        <w:tc>
          <w:tcPr>
            <w:tcW w:w="2484" w:type="dxa"/>
            <w:vMerge/>
          </w:tcPr>
          <w:p w:rsidR="009C7C2A" w:rsidRDefault="009C7C2A" w:rsidP="00255AA3">
            <w:pPr>
              <w:pStyle w:val="E3Tabletext"/>
            </w:pPr>
          </w:p>
        </w:tc>
      </w:tr>
      <w:tr w:rsidR="009C7C2A" w:rsidTr="0094540D">
        <w:trPr>
          <w:cantSplit/>
          <w:trHeight w:val="57"/>
          <w:jc w:val="center"/>
        </w:trPr>
        <w:tc>
          <w:tcPr>
            <w:tcW w:w="1480" w:type="dxa"/>
            <w:vMerge/>
          </w:tcPr>
          <w:p w:rsidR="009C7C2A" w:rsidRPr="0005424D" w:rsidRDefault="009C7C2A" w:rsidP="00255AA3">
            <w:pPr>
              <w:pStyle w:val="E3Tabletext"/>
            </w:pPr>
          </w:p>
        </w:tc>
        <w:tc>
          <w:tcPr>
            <w:tcW w:w="1870" w:type="dxa"/>
          </w:tcPr>
          <w:p w:rsidR="009C7C2A" w:rsidRDefault="009C7C2A" w:rsidP="00255AA3">
            <w:pPr>
              <w:pStyle w:val="E3Tabletext"/>
            </w:pPr>
            <w:r w:rsidRPr="00303D8F">
              <w:t>3500</w:t>
            </w:r>
          </w:p>
        </w:tc>
        <w:tc>
          <w:tcPr>
            <w:tcW w:w="1871" w:type="dxa"/>
            <w:gridSpan w:val="2"/>
          </w:tcPr>
          <w:p w:rsidR="009C7C2A" w:rsidRDefault="009C7C2A" w:rsidP="00255AA3">
            <w:pPr>
              <w:pStyle w:val="E3Tabletext"/>
            </w:pPr>
            <w:r w:rsidRPr="00303D8F">
              <w:t xml:space="preserve">3465 </w:t>
            </w:r>
            <w:r>
              <w:t>±</w:t>
            </w:r>
            <w:r w:rsidRPr="00303D8F">
              <w:t xml:space="preserve"> 245</w:t>
            </w:r>
          </w:p>
        </w:tc>
        <w:tc>
          <w:tcPr>
            <w:tcW w:w="1871" w:type="dxa"/>
          </w:tcPr>
          <w:p w:rsidR="009C7C2A" w:rsidRDefault="009C7C2A" w:rsidP="00255AA3">
            <w:pPr>
              <w:pStyle w:val="E3Tabletext"/>
            </w:pPr>
            <w:r w:rsidRPr="00303D8F">
              <w:t xml:space="preserve">0.000 </w:t>
            </w:r>
            <w:r>
              <w:t>±</w:t>
            </w:r>
            <w:r w:rsidRPr="00303D8F">
              <w:t xml:space="preserve"> 0.006</w:t>
            </w:r>
          </w:p>
        </w:tc>
        <w:tc>
          <w:tcPr>
            <w:tcW w:w="2484" w:type="dxa"/>
            <w:vMerge/>
          </w:tcPr>
          <w:p w:rsidR="009C7C2A" w:rsidRDefault="009C7C2A" w:rsidP="00255AA3">
            <w:pPr>
              <w:pStyle w:val="E3Tabletext"/>
            </w:pPr>
          </w:p>
        </w:tc>
      </w:tr>
      <w:tr w:rsidR="009C7C2A" w:rsidTr="0094540D">
        <w:trPr>
          <w:cantSplit/>
          <w:trHeight w:val="57"/>
          <w:jc w:val="center"/>
        </w:trPr>
        <w:tc>
          <w:tcPr>
            <w:tcW w:w="1480" w:type="dxa"/>
            <w:vMerge/>
          </w:tcPr>
          <w:p w:rsidR="009C7C2A" w:rsidRPr="0005424D" w:rsidRDefault="009C7C2A" w:rsidP="00255AA3">
            <w:pPr>
              <w:pStyle w:val="E3Tabletext"/>
            </w:pPr>
          </w:p>
        </w:tc>
        <w:tc>
          <w:tcPr>
            <w:tcW w:w="1870" w:type="dxa"/>
          </w:tcPr>
          <w:p w:rsidR="009C7C2A" w:rsidRDefault="009C7C2A" w:rsidP="00255AA3">
            <w:pPr>
              <w:pStyle w:val="E3Tabletext"/>
            </w:pPr>
            <w:r w:rsidRPr="00303D8F">
              <w:t>4000</w:t>
            </w:r>
          </w:p>
        </w:tc>
        <w:tc>
          <w:tcPr>
            <w:tcW w:w="1871" w:type="dxa"/>
            <w:gridSpan w:val="2"/>
          </w:tcPr>
          <w:p w:rsidR="009C7C2A" w:rsidRDefault="009C7C2A" w:rsidP="00255AA3">
            <w:pPr>
              <w:pStyle w:val="E3Tabletext"/>
            </w:pPr>
            <w:r w:rsidRPr="00303D8F">
              <w:t xml:space="preserve">3985 </w:t>
            </w:r>
            <w:r>
              <w:t>±</w:t>
            </w:r>
            <w:r w:rsidRPr="00303D8F">
              <w:t xml:space="preserve"> 275</w:t>
            </w:r>
          </w:p>
        </w:tc>
        <w:tc>
          <w:tcPr>
            <w:tcW w:w="1871" w:type="dxa"/>
          </w:tcPr>
          <w:p w:rsidR="009C7C2A" w:rsidRDefault="009C7C2A" w:rsidP="00255AA3">
            <w:pPr>
              <w:pStyle w:val="E3Tabletext"/>
            </w:pPr>
            <w:r w:rsidRPr="00F32725">
              <w:t xml:space="preserve">0.001 </w:t>
            </w:r>
            <w:r>
              <w:t>±</w:t>
            </w:r>
            <w:r w:rsidRPr="00F32725">
              <w:t xml:space="preserve"> 0.006</w:t>
            </w:r>
          </w:p>
        </w:tc>
        <w:tc>
          <w:tcPr>
            <w:tcW w:w="2484" w:type="dxa"/>
            <w:vMerge/>
          </w:tcPr>
          <w:p w:rsidR="009C7C2A" w:rsidRDefault="009C7C2A" w:rsidP="00255AA3">
            <w:pPr>
              <w:pStyle w:val="E3Tabletext"/>
            </w:pPr>
          </w:p>
        </w:tc>
      </w:tr>
      <w:tr w:rsidR="009C7C2A" w:rsidTr="0094540D">
        <w:trPr>
          <w:cantSplit/>
          <w:jc w:val="center"/>
        </w:trPr>
        <w:tc>
          <w:tcPr>
            <w:tcW w:w="1480" w:type="dxa"/>
          </w:tcPr>
          <w:p w:rsidR="009C7C2A" w:rsidRPr="00F32725" w:rsidRDefault="009C7C2A" w:rsidP="00255AA3">
            <w:pPr>
              <w:pStyle w:val="E3Tabletext"/>
            </w:pPr>
            <w:r>
              <w:t>Colour maintenance</w:t>
            </w:r>
          </w:p>
        </w:tc>
        <w:tc>
          <w:tcPr>
            <w:tcW w:w="5612" w:type="dxa"/>
            <w:gridSpan w:val="4"/>
          </w:tcPr>
          <w:p w:rsidR="009C7C2A" w:rsidRDefault="009C7C2A" w:rsidP="00255AA3">
            <w:pPr>
              <w:pStyle w:val="E3Tabletext"/>
            </w:pPr>
            <w:r>
              <w:t>Chromaticity shift over 6,000 h ≤ 0.007 on the CIE 1976 u’v’ diagram</w:t>
            </w:r>
          </w:p>
        </w:tc>
        <w:tc>
          <w:tcPr>
            <w:tcW w:w="2484" w:type="dxa"/>
          </w:tcPr>
          <w:p w:rsidR="009C7C2A" w:rsidRDefault="009C7C2A" w:rsidP="00255AA3">
            <w:pPr>
              <w:pStyle w:val="E3Tabletext"/>
            </w:pPr>
          </w:p>
        </w:tc>
      </w:tr>
      <w:tr w:rsidR="009C7C2A" w:rsidTr="0094540D">
        <w:trPr>
          <w:cantSplit/>
          <w:jc w:val="center"/>
        </w:trPr>
        <w:tc>
          <w:tcPr>
            <w:tcW w:w="1480" w:type="dxa"/>
          </w:tcPr>
          <w:p w:rsidR="009C7C2A" w:rsidRPr="00E647FE" w:rsidRDefault="009C7C2A" w:rsidP="00255AA3">
            <w:pPr>
              <w:pStyle w:val="E3Tabletext"/>
              <w:rPr>
                <w:color w:val="FF0000"/>
              </w:rPr>
            </w:pPr>
            <w:r w:rsidRPr="00F32725">
              <w:t xml:space="preserve">Colour </w:t>
            </w:r>
            <w:r>
              <w:t>spatial uniformity</w:t>
            </w:r>
          </w:p>
        </w:tc>
        <w:tc>
          <w:tcPr>
            <w:tcW w:w="5612" w:type="dxa"/>
            <w:gridSpan w:val="4"/>
          </w:tcPr>
          <w:p w:rsidR="009C7C2A" w:rsidRDefault="009C7C2A" w:rsidP="00255AA3">
            <w:pPr>
              <w:pStyle w:val="E3Tabletext"/>
            </w:pPr>
            <w:r>
              <w:t>Variation in chromaticity within the beam angle ≤ 0.006 on the CIE 1976 u’v’ diagram</w:t>
            </w:r>
          </w:p>
        </w:tc>
        <w:tc>
          <w:tcPr>
            <w:tcW w:w="2484" w:type="dxa"/>
          </w:tcPr>
          <w:p w:rsidR="009C7C2A" w:rsidRDefault="009C7C2A" w:rsidP="00255AA3">
            <w:pPr>
              <w:pStyle w:val="E3Tabletext"/>
            </w:pPr>
          </w:p>
        </w:tc>
      </w:tr>
      <w:tr w:rsidR="009C7C2A" w:rsidTr="0094540D">
        <w:trPr>
          <w:cantSplit/>
          <w:trHeight w:val="135"/>
          <w:jc w:val="center"/>
        </w:trPr>
        <w:tc>
          <w:tcPr>
            <w:tcW w:w="1480" w:type="dxa"/>
            <w:vMerge w:val="restart"/>
          </w:tcPr>
          <w:p w:rsidR="009C7C2A" w:rsidRPr="00E647FE" w:rsidRDefault="009C7C2A" w:rsidP="00255AA3">
            <w:pPr>
              <w:pStyle w:val="E3Tabletext"/>
              <w:rPr>
                <w:color w:val="FF0000"/>
              </w:rPr>
            </w:pPr>
            <w:r w:rsidRPr="00CF109C">
              <w:t>Power Factor</w:t>
            </w:r>
          </w:p>
        </w:tc>
        <w:tc>
          <w:tcPr>
            <w:tcW w:w="2806" w:type="dxa"/>
            <w:gridSpan w:val="2"/>
          </w:tcPr>
          <w:p w:rsidR="009C7C2A" w:rsidRDefault="009C7C2A" w:rsidP="00255AA3">
            <w:pPr>
              <w:pStyle w:val="E3Tabletext"/>
            </w:pPr>
            <w:r>
              <w:t>Rated Lamp Wattage (Lw)</w:t>
            </w:r>
          </w:p>
        </w:tc>
        <w:tc>
          <w:tcPr>
            <w:tcW w:w="2806" w:type="dxa"/>
            <w:gridSpan w:val="2"/>
          </w:tcPr>
          <w:p w:rsidR="009C7C2A" w:rsidRDefault="009C7C2A" w:rsidP="00255AA3">
            <w:pPr>
              <w:pStyle w:val="E3Tabletext"/>
            </w:pPr>
            <w:r>
              <w:t>Minimum Power Factor</w:t>
            </w:r>
          </w:p>
        </w:tc>
        <w:tc>
          <w:tcPr>
            <w:tcW w:w="2484" w:type="dxa"/>
            <w:vMerge w:val="restart"/>
          </w:tcPr>
          <w:p w:rsidR="009C7C2A" w:rsidRDefault="009C7C2A" w:rsidP="00255AA3">
            <w:pPr>
              <w:pStyle w:val="E3Tabletext"/>
            </w:pPr>
          </w:p>
        </w:tc>
      </w:tr>
      <w:tr w:rsidR="009C7C2A" w:rsidTr="0094540D">
        <w:trPr>
          <w:cantSplit/>
          <w:trHeight w:val="135"/>
          <w:jc w:val="center"/>
        </w:trPr>
        <w:tc>
          <w:tcPr>
            <w:tcW w:w="1480" w:type="dxa"/>
            <w:vMerge/>
          </w:tcPr>
          <w:p w:rsidR="009C7C2A" w:rsidRPr="00E647FE" w:rsidRDefault="009C7C2A" w:rsidP="00255AA3">
            <w:pPr>
              <w:pStyle w:val="E3Tabletext"/>
            </w:pPr>
          </w:p>
        </w:tc>
        <w:tc>
          <w:tcPr>
            <w:tcW w:w="2806" w:type="dxa"/>
            <w:gridSpan w:val="2"/>
          </w:tcPr>
          <w:p w:rsidR="009C7C2A" w:rsidRDefault="009C7C2A" w:rsidP="00255AA3">
            <w:pPr>
              <w:pStyle w:val="E3Tabletext"/>
            </w:pPr>
            <w:r>
              <w:t>Lw ≤ 5W</w:t>
            </w:r>
          </w:p>
        </w:tc>
        <w:tc>
          <w:tcPr>
            <w:tcW w:w="2806" w:type="dxa"/>
            <w:gridSpan w:val="2"/>
          </w:tcPr>
          <w:p w:rsidR="009C7C2A" w:rsidRDefault="003004E1" w:rsidP="00255AA3">
            <w:pPr>
              <w:pStyle w:val="E3Tabletext"/>
            </w:pPr>
            <w:r>
              <w:t>N/A</w:t>
            </w:r>
          </w:p>
        </w:tc>
        <w:tc>
          <w:tcPr>
            <w:tcW w:w="2484" w:type="dxa"/>
            <w:vMerge/>
          </w:tcPr>
          <w:p w:rsidR="009C7C2A" w:rsidRDefault="009C7C2A" w:rsidP="00255AA3">
            <w:pPr>
              <w:pStyle w:val="E3Tabletext"/>
            </w:pPr>
          </w:p>
        </w:tc>
      </w:tr>
      <w:tr w:rsidR="009C7C2A" w:rsidTr="0094540D">
        <w:trPr>
          <w:cantSplit/>
          <w:trHeight w:val="135"/>
          <w:jc w:val="center"/>
        </w:trPr>
        <w:tc>
          <w:tcPr>
            <w:tcW w:w="1480" w:type="dxa"/>
            <w:vMerge/>
          </w:tcPr>
          <w:p w:rsidR="009C7C2A" w:rsidRPr="00E647FE" w:rsidRDefault="009C7C2A" w:rsidP="00255AA3">
            <w:pPr>
              <w:pStyle w:val="E3Tabletext"/>
            </w:pPr>
          </w:p>
        </w:tc>
        <w:tc>
          <w:tcPr>
            <w:tcW w:w="2806" w:type="dxa"/>
            <w:gridSpan w:val="2"/>
          </w:tcPr>
          <w:p w:rsidR="009C7C2A" w:rsidRDefault="009C7C2A" w:rsidP="00255AA3">
            <w:pPr>
              <w:pStyle w:val="E3Tabletext"/>
            </w:pPr>
            <w:r>
              <w:t>5W &lt;Lw</w:t>
            </w:r>
          </w:p>
        </w:tc>
        <w:tc>
          <w:tcPr>
            <w:tcW w:w="2806" w:type="dxa"/>
            <w:gridSpan w:val="2"/>
          </w:tcPr>
          <w:p w:rsidR="009C7C2A" w:rsidRDefault="003004E1" w:rsidP="00255AA3">
            <w:pPr>
              <w:pStyle w:val="E3Tabletext"/>
            </w:pPr>
            <w:r>
              <w:t>0.7</w:t>
            </w:r>
          </w:p>
        </w:tc>
        <w:tc>
          <w:tcPr>
            <w:tcW w:w="2484" w:type="dxa"/>
            <w:vMerge/>
          </w:tcPr>
          <w:p w:rsidR="009C7C2A" w:rsidRDefault="009C7C2A" w:rsidP="00255AA3">
            <w:pPr>
              <w:pStyle w:val="E3Tabletext"/>
            </w:pPr>
          </w:p>
        </w:tc>
      </w:tr>
      <w:tr w:rsidR="009C7C2A" w:rsidTr="0094540D">
        <w:trPr>
          <w:cantSplit/>
          <w:jc w:val="center"/>
        </w:trPr>
        <w:tc>
          <w:tcPr>
            <w:tcW w:w="1480" w:type="dxa"/>
          </w:tcPr>
          <w:p w:rsidR="009C7C2A" w:rsidRPr="00CF109C" w:rsidRDefault="009C7C2A" w:rsidP="00255AA3">
            <w:pPr>
              <w:pStyle w:val="E3Tabletext"/>
            </w:pPr>
            <w:r>
              <w:t>Switching withstand</w:t>
            </w:r>
          </w:p>
        </w:tc>
        <w:tc>
          <w:tcPr>
            <w:tcW w:w="5612" w:type="dxa"/>
            <w:gridSpan w:val="4"/>
          </w:tcPr>
          <w:p w:rsidR="009C7C2A" w:rsidRPr="00B26ABF" w:rsidRDefault="009C7C2A" w:rsidP="00255AA3">
            <w:pPr>
              <w:pStyle w:val="E3Tabletext"/>
            </w:pPr>
            <w:r w:rsidRPr="00B26ABF">
              <w:t>Switching cycles before failure &gt; half rated L70 “life” in hours</w:t>
            </w:r>
          </w:p>
        </w:tc>
        <w:tc>
          <w:tcPr>
            <w:tcW w:w="2484" w:type="dxa"/>
          </w:tcPr>
          <w:p w:rsidR="009C7C2A" w:rsidRDefault="009C7C2A" w:rsidP="00255AA3">
            <w:pPr>
              <w:pStyle w:val="E3Tabletext"/>
            </w:pPr>
            <w:r>
              <w:t>IES LM-65-01</w:t>
            </w:r>
          </w:p>
          <w:p w:rsidR="009C7C2A" w:rsidRDefault="009C7C2A" w:rsidP="00255AA3">
            <w:pPr>
              <w:pStyle w:val="E3Tabletext"/>
            </w:pPr>
            <w:r>
              <w:t>ANSIC78.5-2003</w:t>
            </w:r>
          </w:p>
        </w:tc>
      </w:tr>
    </w:tbl>
    <w:p w:rsidR="00334066" w:rsidRDefault="00334066" w:rsidP="00E65B09">
      <w:pPr>
        <w:pStyle w:val="E3Heading4"/>
        <w:numPr>
          <w:ilvl w:val="0"/>
          <w:numId w:val="0"/>
        </w:numPr>
        <w:ind w:left="1008" w:hanging="1008"/>
      </w:pPr>
      <w:bookmarkStart w:id="330" w:name="_Toc389123380"/>
      <w:r w:rsidRPr="007058D2">
        <w:t>E</w:t>
      </w:r>
      <w:r>
        <w:t>nergy Star Label - Integral LED Lamps</w:t>
      </w:r>
      <w:bookmarkEnd w:id="330"/>
    </w:p>
    <w:p w:rsidR="00334066" w:rsidRDefault="00334066" w:rsidP="00B26ABF">
      <w:pPr>
        <w:pStyle w:val="E3BodyText"/>
        <w:rPr>
          <w:lang w:eastAsia="en-AU"/>
        </w:rPr>
      </w:pPr>
      <w:r>
        <w:rPr>
          <w:lang w:eastAsia="en-AU"/>
        </w:rPr>
        <w:t>Specifications are as per stated above in section “Energy Star- Integral LED Lamps” above</w:t>
      </w:r>
      <w:r w:rsidR="00B26ABF">
        <w:rPr>
          <w:lang w:eastAsia="en-AU"/>
        </w:rPr>
        <w:t>.</w:t>
      </w:r>
    </w:p>
    <w:p w:rsidR="00334066" w:rsidRDefault="00334066" w:rsidP="00E65B09">
      <w:pPr>
        <w:pStyle w:val="E3Heading4"/>
        <w:numPr>
          <w:ilvl w:val="0"/>
          <w:numId w:val="0"/>
        </w:numPr>
        <w:ind w:left="1008" w:hanging="1008"/>
      </w:pPr>
      <w:bookmarkStart w:id="331" w:name="_Toc389123381"/>
      <w:r w:rsidRPr="007058D2">
        <w:t>Lighting Facts</w:t>
      </w:r>
      <w:r w:rsidR="001C7E9A">
        <w:t xml:space="preserve"> </w:t>
      </w:r>
      <w:r w:rsidRPr="007058D2">
        <w:t>Label</w:t>
      </w:r>
      <w:bookmarkEnd w:id="331"/>
    </w:p>
    <w:p w:rsidR="00334066" w:rsidRDefault="00334066" w:rsidP="00E65B09">
      <w:pPr>
        <w:pStyle w:val="E3Heading4"/>
        <w:numPr>
          <w:ilvl w:val="0"/>
          <w:numId w:val="0"/>
        </w:numPr>
        <w:ind w:left="1008" w:hanging="1008"/>
        <w:rPr>
          <w:lang w:eastAsia="en-AU"/>
        </w:rPr>
      </w:pPr>
      <w:r w:rsidRPr="00310986">
        <w:rPr>
          <w:lang w:eastAsia="en-AU"/>
        </w:rPr>
        <w:t>Scope</w:t>
      </w:r>
    </w:p>
    <w:p w:rsidR="00334066" w:rsidRDefault="00334066" w:rsidP="00B26ABF">
      <w:pPr>
        <w:pStyle w:val="E3BodyText"/>
        <w:rPr>
          <w:lang w:eastAsia="en-AU"/>
        </w:rPr>
      </w:pPr>
      <w:r>
        <w:rPr>
          <w:lang w:eastAsia="en-AU"/>
        </w:rPr>
        <w:t>The scope of allowable products includes:</w:t>
      </w:r>
    </w:p>
    <w:p w:rsidR="00334066" w:rsidRDefault="00334066" w:rsidP="00B26ABF">
      <w:pPr>
        <w:pStyle w:val="E3Bullets"/>
      </w:pPr>
      <w:r>
        <w:t>Complete luminaires and replacement lamps</w:t>
      </w:r>
    </w:p>
    <w:p w:rsidR="00334066" w:rsidRDefault="00334066" w:rsidP="00B26ABF">
      <w:pPr>
        <w:pStyle w:val="E3Bullets"/>
      </w:pPr>
      <w:r>
        <w:t>Low-voltage replacement lamps</w:t>
      </w:r>
    </w:p>
    <w:p w:rsidR="00334066" w:rsidRDefault="00334066" w:rsidP="00B26ABF">
      <w:pPr>
        <w:pStyle w:val="E3Bullets"/>
      </w:pPr>
      <w:r>
        <w:t>Products with separate power supplies</w:t>
      </w:r>
    </w:p>
    <w:p w:rsidR="00334066" w:rsidRDefault="00334066" w:rsidP="00B26ABF">
      <w:pPr>
        <w:pStyle w:val="E3Bullets"/>
      </w:pPr>
      <w:r>
        <w:t>Linear/modular products.</w:t>
      </w:r>
    </w:p>
    <w:p w:rsidR="00334066" w:rsidRDefault="00334066" w:rsidP="00B26ABF">
      <w:pPr>
        <w:pStyle w:val="E3BodyText"/>
      </w:pPr>
      <w:r>
        <w:t>Solar and or battery powered lighting products as well as light strips/rolls are excluded.</w:t>
      </w:r>
    </w:p>
    <w:p w:rsidR="00334066" w:rsidRPr="00310986" w:rsidRDefault="00334066" w:rsidP="00E65B09">
      <w:pPr>
        <w:pStyle w:val="E3Heading4"/>
        <w:numPr>
          <w:ilvl w:val="0"/>
          <w:numId w:val="0"/>
        </w:numPr>
        <w:ind w:left="1008" w:hanging="1008"/>
        <w:rPr>
          <w:lang w:eastAsia="en-AU"/>
        </w:rPr>
      </w:pPr>
      <w:r>
        <w:rPr>
          <w:lang w:eastAsia="en-AU"/>
        </w:rPr>
        <w:t>Performance metrics</w:t>
      </w:r>
    </w:p>
    <w:tbl>
      <w:tblPr>
        <w:tblStyle w:val="TableGrid"/>
        <w:tblW w:w="0" w:type="auto"/>
        <w:jc w:val="center"/>
        <w:tblLook w:val="04A0" w:firstRow="1" w:lastRow="0" w:firstColumn="1" w:lastColumn="0" w:noHBand="0" w:noVBand="1"/>
      </w:tblPr>
      <w:tblGrid>
        <w:gridCol w:w="2629"/>
        <w:gridCol w:w="4676"/>
        <w:gridCol w:w="2271"/>
      </w:tblGrid>
      <w:tr w:rsidR="00334066" w:rsidTr="0094540D">
        <w:trPr>
          <w:cantSplit/>
          <w:tblHeader/>
          <w:jc w:val="center"/>
        </w:trPr>
        <w:tc>
          <w:tcPr>
            <w:tcW w:w="2629" w:type="dxa"/>
          </w:tcPr>
          <w:p w:rsidR="00334066" w:rsidRDefault="00334066" w:rsidP="00921105">
            <w:pPr>
              <w:pStyle w:val="E3TableHeading"/>
            </w:pPr>
            <w:r>
              <w:t>Parameter</w:t>
            </w:r>
          </w:p>
        </w:tc>
        <w:tc>
          <w:tcPr>
            <w:tcW w:w="4676" w:type="dxa"/>
          </w:tcPr>
          <w:p w:rsidR="00334066" w:rsidRDefault="00334066" w:rsidP="00921105">
            <w:pPr>
              <w:pStyle w:val="E3TableHeading"/>
            </w:pPr>
            <w:r>
              <w:t>Allowable tolerance</w:t>
            </w:r>
          </w:p>
        </w:tc>
        <w:tc>
          <w:tcPr>
            <w:tcW w:w="2271" w:type="dxa"/>
          </w:tcPr>
          <w:p w:rsidR="00334066" w:rsidRDefault="00334066" w:rsidP="00921105">
            <w:pPr>
              <w:pStyle w:val="E3TableHeading"/>
            </w:pPr>
            <w:r>
              <w:t>Test Method</w:t>
            </w:r>
          </w:p>
        </w:tc>
      </w:tr>
      <w:tr w:rsidR="00921105" w:rsidTr="0094540D">
        <w:trPr>
          <w:cantSplit/>
          <w:jc w:val="center"/>
        </w:trPr>
        <w:tc>
          <w:tcPr>
            <w:tcW w:w="7305" w:type="dxa"/>
            <w:gridSpan w:val="2"/>
          </w:tcPr>
          <w:p w:rsidR="00921105" w:rsidRDefault="00921105" w:rsidP="00921105">
            <w:pPr>
              <w:pStyle w:val="E3TableSubHeading"/>
            </w:pPr>
            <w:r>
              <w:t>Mandatory</w:t>
            </w:r>
          </w:p>
        </w:tc>
        <w:tc>
          <w:tcPr>
            <w:tcW w:w="2271" w:type="dxa"/>
            <w:vMerge w:val="restart"/>
          </w:tcPr>
          <w:p w:rsidR="00921105" w:rsidRDefault="00921105" w:rsidP="00255AA3">
            <w:pPr>
              <w:pStyle w:val="E3Tabletext"/>
            </w:pPr>
            <w:r>
              <w:t>IES LM-79-08</w:t>
            </w:r>
          </w:p>
        </w:tc>
      </w:tr>
      <w:tr w:rsidR="00334066" w:rsidTr="0094540D">
        <w:trPr>
          <w:cantSplit/>
          <w:jc w:val="center"/>
        </w:trPr>
        <w:tc>
          <w:tcPr>
            <w:tcW w:w="2629" w:type="dxa"/>
          </w:tcPr>
          <w:p w:rsidR="00334066" w:rsidRDefault="00334066" w:rsidP="00255AA3">
            <w:pPr>
              <w:pStyle w:val="E3Tabletext"/>
            </w:pPr>
            <w:r>
              <w:t>Light output (lm)</w:t>
            </w:r>
          </w:p>
        </w:tc>
        <w:tc>
          <w:tcPr>
            <w:tcW w:w="4676" w:type="dxa"/>
          </w:tcPr>
          <w:p w:rsidR="00334066" w:rsidRDefault="00334066" w:rsidP="00255AA3">
            <w:pPr>
              <w:pStyle w:val="E3Tabletext"/>
            </w:pPr>
            <w:r>
              <w:t>± 10% of tested lumen output</w:t>
            </w:r>
          </w:p>
        </w:tc>
        <w:tc>
          <w:tcPr>
            <w:tcW w:w="2271" w:type="dxa"/>
            <w:vMerge/>
          </w:tcPr>
          <w:p w:rsidR="00334066" w:rsidRDefault="00334066" w:rsidP="00255AA3">
            <w:pPr>
              <w:pStyle w:val="E3Tabletext"/>
            </w:pPr>
          </w:p>
        </w:tc>
      </w:tr>
      <w:tr w:rsidR="00334066" w:rsidTr="0094540D">
        <w:trPr>
          <w:cantSplit/>
          <w:jc w:val="center"/>
        </w:trPr>
        <w:tc>
          <w:tcPr>
            <w:tcW w:w="2629" w:type="dxa"/>
          </w:tcPr>
          <w:p w:rsidR="00334066" w:rsidRDefault="00334066" w:rsidP="00255AA3">
            <w:pPr>
              <w:pStyle w:val="E3Tabletext"/>
            </w:pPr>
            <w:r>
              <w:t>Input power (W)</w:t>
            </w:r>
          </w:p>
        </w:tc>
        <w:tc>
          <w:tcPr>
            <w:tcW w:w="4676" w:type="dxa"/>
          </w:tcPr>
          <w:p w:rsidR="00334066" w:rsidRDefault="007C2EFC" w:rsidP="00255AA3">
            <w:pPr>
              <w:pStyle w:val="E3Tabletext"/>
            </w:pPr>
            <m:oMathPara>
              <m:oMath>
                <m:d>
                  <m:dPr>
                    <m:begChr m:val="["/>
                    <m:endChr m:val="]"/>
                    <m:ctrlPr>
                      <w:rPr>
                        <w:rFonts w:ascii="Cambria Math" w:hAnsi="Cambria Math"/>
                      </w:rPr>
                    </m:ctrlPr>
                  </m:dPr>
                  <m:e>
                    <m:sSub>
                      <m:sSubPr>
                        <m:ctrlPr>
                          <w:rPr>
                            <w:rFonts w:ascii="Cambria Math" w:hAnsi="Cambria Math"/>
                          </w:rPr>
                        </m:ctrlPr>
                      </m:sSubPr>
                      <m:e>
                        <m:r>
                          <m:rPr>
                            <m:nor/>
                          </m:rPr>
                          <m:t>P</m:t>
                        </m:r>
                      </m:e>
                      <m:sub>
                        <m:r>
                          <m:rPr>
                            <m:nor/>
                          </m:rPr>
                          <m:t>measured</m:t>
                        </m:r>
                      </m:sub>
                    </m:sSub>
                    <m:r>
                      <m:rPr>
                        <m:nor/>
                      </m:rPr>
                      <m:t>*0.9-0.5</m:t>
                    </m:r>
                  </m:e>
                </m:d>
                <m:r>
                  <m:rPr>
                    <m:nor/>
                  </m:rPr>
                  <m:t>&lt;</m:t>
                </m:r>
                <m:sSub>
                  <m:sSubPr>
                    <m:ctrlPr>
                      <w:rPr>
                        <w:rFonts w:ascii="Cambria Math" w:hAnsi="Cambria Math"/>
                      </w:rPr>
                    </m:ctrlPr>
                  </m:sSubPr>
                  <m:e>
                    <m:r>
                      <m:rPr>
                        <m:nor/>
                      </m:rPr>
                      <m:t>P</m:t>
                    </m:r>
                  </m:e>
                  <m:sub>
                    <m:r>
                      <m:rPr>
                        <m:nor/>
                      </m:rPr>
                      <m:t>stated</m:t>
                    </m:r>
                  </m:sub>
                </m:sSub>
                <m:r>
                  <m:rPr>
                    <m:nor/>
                  </m:rPr>
                  <m:t>&lt;</m:t>
                </m:r>
                <m:d>
                  <m:dPr>
                    <m:begChr m:val="["/>
                    <m:endChr m:val="]"/>
                    <m:ctrlPr>
                      <w:rPr>
                        <w:rFonts w:ascii="Cambria Math" w:hAnsi="Cambria Math"/>
                      </w:rPr>
                    </m:ctrlPr>
                  </m:dPr>
                  <m:e>
                    <m:sSub>
                      <m:sSubPr>
                        <m:ctrlPr>
                          <w:rPr>
                            <w:rFonts w:ascii="Cambria Math" w:hAnsi="Cambria Math"/>
                          </w:rPr>
                        </m:ctrlPr>
                      </m:sSubPr>
                      <m:e>
                        <m:r>
                          <m:rPr>
                            <m:nor/>
                          </m:rPr>
                          <m:t>P</m:t>
                        </m:r>
                      </m:e>
                      <m:sub>
                        <m:r>
                          <m:rPr>
                            <m:nor/>
                          </m:rPr>
                          <m:t>measured</m:t>
                        </m:r>
                      </m:sub>
                    </m:sSub>
                    <m:r>
                      <m:rPr>
                        <m:nor/>
                      </m:rPr>
                      <m:t>*1.1+0.5</m:t>
                    </m:r>
                  </m:e>
                </m:d>
              </m:oMath>
            </m:oMathPara>
          </w:p>
        </w:tc>
        <w:tc>
          <w:tcPr>
            <w:tcW w:w="2271" w:type="dxa"/>
            <w:vMerge/>
          </w:tcPr>
          <w:p w:rsidR="00334066" w:rsidRDefault="00334066" w:rsidP="00255AA3">
            <w:pPr>
              <w:pStyle w:val="E3Tabletext"/>
            </w:pPr>
          </w:p>
        </w:tc>
      </w:tr>
      <w:tr w:rsidR="00334066" w:rsidTr="0094540D">
        <w:trPr>
          <w:cantSplit/>
          <w:jc w:val="center"/>
        </w:trPr>
        <w:tc>
          <w:tcPr>
            <w:tcW w:w="2629" w:type="dxa"/>
          </w:tcPr>
          <w:p w:rsidR="00334066" w:rsidRDefault="00334066" w:rsidP="00255AA3">
            <w:pPr>
              <w:pStyle w:val="E3Tabletext"/>
            </w:pPr>
            <w:r>
              <w:t>Lamp efficacy (lm/W)</w:t>
            </w:r>
          </w:p>
        </w:tc>
        <w:tc>
          <w:tcPr>
            <w:tcW w:w="4676" w:type="dxa"/>
          </w:tcPr>
          <w:p w:rsidR="00334066" w:rsidRDefault="00334066" w:rsidP="00255AA3">
            <w:pPr>
              <w:pStyle w:val="E3Tabletext"/>
            </w:pPr>
            <w:r>
              <w:t>State either:</w:t>
            </w:r>
          </w:p>
          <w:p w:rsidR="00334066" w:rsidRDefault="00334066" w:rsidP="00255AA3">
            <w:pPr>
              <w:pStyle w:val="E3Tabletext"/>
            </w:pPr>
            <w:r>
              <w:t>Exact as measured, or</w:t>
            </w:r>
          </w:p>
          <w:p w:rsidR="00334066" w:rsidRDefault="00334066" w:rsidP="00255AA3">
            <w:pPr>
              <w:pStyle w:val="E3Tabletext"/>
            </w:pPr>
            <w:r>
              <w:t>Calculated as quotient of stated lumens to stated power</w:t>
            </w:r>
          </w:p>
        </w:tc>
        <w:tc>
          <w:tcPr>
            <w:tcW w:w="2271" w:type="dxa"/>
            <w:vMerge/>
          </w:tcPr>
          <w:p w:rsidR="00334066" w:rsidRDefault="00334066" w:rsidP="00255AA3">
            <w:pPr>
              <w:pStyle w:val="E3Tabletext"/>
            </w:pPr>
          </w:p>
        </w:tc>
      </w:tr>
      <w:tr w:rsidR="00334066" w:rsidTr="0094540D">
        <w:trPr>
          <w:cantSplit/>
          <w:jc w:val="center"/>
        </w:trPr>
        <w:tc>
          <w:tcPr>
            <w:tcW w:w="2629" w:type="dxa"/>
          </w:tcPr>
          <w:p w:rsidR="00334066" w:rsidRDefault="00334066" w:rsidP="00255AA3">
            <w:pPr>
              <w:pStyle w:val="E3Tabletext"/>
            </w:pPr>
            <w:r>
              <w:t>Colour Rendering Index</w:t>
            </w:r>
          </w:p>
        </w:tc>
        <w:tc>
          <w:tcPr>
            <w:tcW w:w="4676" w:type="dxa"/>
          </w:tcPr>
          <w:p w:rsidR="00334066" w:rsidRDefault="00334066" w:rsidP="00255AA3">
            <w:pPr>
              <w:pStyle w:val="E3Tabletext"/>
            </w:pPr>
            <w:r>
              <w:t>± 2.0</w:t>
            </w:r>
          </w:p>
        </w:tc>
        <w:tc>
          <w:tcPr>
            <w:tcW w:w="2271" w:type="dxa"/>
            <w:vMerge/>
          </w:tcPr>
          <w:p w:rsidR="00334066" w:rsidRDefault="00334066" w:rsidP="00255AA3">
            <w:pPr>
              <w:pStyle w:val="E3Tabletext"/>
            </w:pPr>
          </w:p>
        </w:tc>
      </w:tr>
      <w:tr w:rsidR="00334066" w:rsidTr="0094540D">
        <w:trPr>
          <w:cantSplit/>
          <w:jc w:val="center"/>
        </w:trPr>
        <w:tc>
          <w:tcPr>
            <w:tcW w:w="2629" w:type="dxa"/>
          </w:tcPr>
          <w:p w:rsidR="00334066" w:rsidRDefault="00334066" w:rsidP="00255AA3">
            <w:pPr>
              <w:pStyle w:val="E3Tabletext"/>
            </w:pPr>
            <w:r>
              <w:t>Colour temperature (K)</w:t>
            </w:r>
          </w:p>
        </w:tc>
        <w:tc>
          <w:tcPr>
            <w:tcW w:w="4676" w:type="dxa"/>
          </w:tcPr>
          <w:p w:rsidR="00334066" w:rsidRDefault="00334066" w:rsidP="00255AA3">
            <w:pPr>
              <w:pStyle w:val="E3Tabletext"/>
            </w:pPr>
            <w:r>
              <w:t>State either:</w:t>
            </w:r>
          </w:p>
          <w:p w:rsidR="00334066" w:rsidRDefault="00334066" w:rsidP="00F1452F">
            <w:pPr>
              <w:pStyle w:val="E3Tabletext"/>
              <w:numPr>
                <w:ilvl w:val="0"/>
                <w:numId w:val="26"/>
              </w:numPr>
            </w:pPr>
            <w:r>
              <w:t>Exact as measured, or</w:t>
            </w:r>
          </w:p>
          <w:p w:rsidR="00334066" w:rsidRDefault="00334066" w:rsidP="00F1452F">
            <w:pPr>
              <w:pStyle w:val="E3Tabletext"/>
              <w:numPr>
                <w:ilvl w:val="0"/>
                <w:numId w:val="26"/>
              </w:numPr>
            </w:pPr>
            <w:r>
              <w:t>Flexible CCT in 100 K increments</w:t>
            </w:r>
          </w:p>
          <w:p w:rsidR="00334066" w:rsidRDefault="00334066" w:rsidP="00F1452F">
            <w:pPr>
              <w:pStyle w:val="E3Tabletext"/>
              <w:numPr>
                <w:ilvl w:val="0"/>
                <w:numId w:val="26"/>
              </w:numPr>
              <w:rPr>
                <w:rFonts w:cstheme="majorBidi"/>
                <w:iCs/>
                <w:color w:val="243F60" w:themeColor="accent1" w:themeShade="7F"/>
              </w:rPr>
            </w:pPr>
            <w:r>
              <w:t>Nominal CCT</w:t>
            </w:r>
          </w:p>
        </w:tc>
        <w:tc>
          <w:tcPr>
            <w:tcW w:w="2271" w:type="dxa"/>
            <w:vMerge/>
          </w:tcPr>
          <w:p w:rsidR="00334066" w:rsidRDefault="00334066" w:rsidP="00255AA3">
            <w:pPr>
              <w:pStyle w:val="E3Tabletext"/>
            </w:pPr>
          </w:p>
        </w:tc>
      </w:tr>
      <w:tr w:rsidR="00921105" w:rsidTr="0094540D">
        <w:trPr>
          <w:cantSplit/>
          <w:jc w:val="center"/>
        </w:trPr>
        <w:tc>
          <w:tcPr>
            <w:tcW w:w="7305" w:type="dxa"/>
            <w:gridSpan w:val="2"/>
          </w:tcPr>
          <w:p w:rsidR="00921105" w:rsidRDefault="00921105" w:rsidP="00921105">
            <w:pPr>
              <w:pStyle w:val="E3TableSubHeading"/>
            </w:pPr>
            <w:r>
              <w:t>Optional</w:t>
            </w:r>
          </w:p>
        </w:tc>
        <w:tc>
          <w:tcPr>
            <w:tcW w:w="2271" w:type="dxa"/>
            <w:vMerge/>
          </w:tcPr>
          <w:p w:rsidR="00921105" w:rsidRDefault="00921105" w:rsidP="00255AA3">
            <w:pPr>
              <w:pStyle w:val="E3Tabletext"/>
            </w:pPr>
          </w:p>
        </w:tc>
      </w:tr>
      <w:tr w:rsidR="00334066" w:rsidTr="0094540D">
        <w:trPr>
          <w:cantSplit/>
          <w:jc w:val="center"/>
        </w:trPr>
        <w:tc>
          <w:tcPr>
            <w:tcW w:w="2629" w:type="dxa"/>
          </w:tcPr>
          <w:p w:rsidR="00334066" w:rsidRDefault="00334066" w:rsidP="00255AA3">
            <w:pPr>
              <w:pStyle w:val="E3Tabletext"/>
            </w:pPr>
            <w:r>
              <w:t>Power factor</w:t>
            </w:r>
          </w:p>
        </w:tc>
        <w:tc>
          <w:tcPr>
            <w:tcW w:w="4676" w:type="dxa"/>
          </w:tcPr>
          <w:p w:rsidR="00334066" w:rsidRDefault="00334066" w:rsidP="00255AA3">
            <w:pPr>
              <w:pStyle w:val="E3Tabletext"/>
            </w:pPr>
            <w:r>
              <w:t>None specified</w:t>
            </w:r>
          </w:p>
        </w:tc>
        <w:tc>
          <w:tcPr>
            <w:tcW w:w="2271" w:type="dxa"/>
            <w:vMerge/>
          </w:tcPr>
          <w:p w:rsidR="00334066" w:rsidRDefault="00334066" w:rsidP="00255AA3">
            <w:pPr>
              <w:pStyle w:val="E3Tabletext"/>
            </w:pPr>
          </w:p>
        </w:tc>
      </w:tr>
      <w:tr w:rsidR="00334066" w:rsidTr="0094540D">
        <w:trPr>
          <w:cantSplit/>
          <w:jc w:val="center"/>
        </w:trPr>
        <w:tc>
          <w:tcPr>
            <w:tcW w:w="2629" w:type="dxa"/>
          </w:tcPr>
          <w:p w:rsidR="00334066" w:rsidRDefault="00334066" w:rsidP="00255AA3">
            <w:pPr>
              <w:pStyle w:val="E3Tabletext"/>
            </w:pPr>
            <w:r>
              <w:t>Chromaticity co-ords</w:t>
            </w:r>
          </w:p>
        </w:tc>
        <w:tc>
          <w:tcPr>
            <w:tcW w:w="4676" w:type="dxa"/>
          </w:tcPr>
          <w:p w:rsidR="00334066" w:rsidRDefault="00334066" w:rsidP="00255AA3">
            <w:pPr>
              <w:pStyle w:val="E3Tabletext"/>
            </w:pPr>
            <w:r>
              <w:t>None specified</w:t>
            </w:r>
          </w:p>
        </w:tc>
        <w:tc>
          <w:tcPr>
            <w:tcW w:w="2271" w:type="dxa"/>
            <w:vMerge/>
          </w:tcPr>
          <w:p w:rsidR="00334066" w:rsidRDefault="00334066" w:rsidP="00255AA3">
            <w:pPr>
              <w:pStyle w:val="E3Tabletext"/>
            </w:pPr>
          </w:p>
        </w:tc>
      </w:tr>
      <w:tr w:rsidR="00334066" w:rsidTr="0094540D">
        <w:trPr>
          <w:cantSplit/>
          <w:jc w:val="center"/>
        </w:trPr>
        <w:tc>
          <w:tcPr>
            <w:tcW w:w="2629" w:type="dxa"/>
          </w:tcPr>
          <w:p w:rsidR="00334066" w:rsidRPr="00765CB0" w:rsidRDefault="00334066" w:rsidP="00255AA3">
            <w:pPr>
              <w:pStyle w:val="E3Tabletext"/>
            </w:pPr>
            <w:r>
              <w:t>R</w:t>
            </w:r>
            <w:r w:rsidRPr="00765CB0">
              <w:rPr>
                <w:vertAlign w:val="subscript"/>
              </w:rPr>
              <w:t>9</w:t>
            </w:r>
            <w:r>
              <w:t xml:space="preserve"> value</w:t>
            </w:r>
          </w:p>
        </w:tc>
        <w:tc>
          <w:tcPr>
            <w:tcW w:w="4676" w:type="dxa"/>
          </w:tcPr>
          <w:p w:rsidR="00334066" w:rsidRDefault="00334066" w:rsidP="00255AA3">
            <w:pPr>
              <w:pStyle w:val="E3Tabletext"/>
            </w:pPr>
            <w:r>
              <w:t>None specified</w:t>
            </w:r>
          </w:p>
        </w:tc>
        <w:tc>
          <w:tcPr>
            <w:tcW w:w="2271" w:type="dxa"/>
            <w:vMerge/>
          </w:tcPr>
          <w:p w:rsidR="00334066" w:rsidRDefault="00334066" w:rsidP="00255AA3">
            <w:pPr>
              <w:pStyle w:val="E3Tabletext"/>
            </w:pPr>
          </w:p>
        </w:tc>
      </w:tr>
      <w:tr w:rsidR="00334066" w:rsidTr="0094540D">
        <w:trPr>
          <w:cantSplit/>
          <w:jc w:val="center"/>
        </w:trPr>
        <w:tc>
          <w:tcPr>
            <w:tcW w:w="2629" w:type="dxa"/>
          </w:tcPr>
          <w:p w:rsidR="00334066" w:rsidRDefault="00334066" w:rsidP="00255AA3">
            <w:pPr>
              <w:pStyle w:val="E3Tabletext"/>
            </w:pPr>
            <w:r>
              <w:t>D</w:t>
            </w:r>
            <w:r w:rsidRPr="00765CB0">
              <w:rPr>
                <w:vertAlign w:val="subscript"/>
              </w:rPr>
              <w:t>uv</w:t>
            </w:r>
          </w:p>
        </w:tc>
        <w:tc>
          <w:tcPr>
            <w:tcW w:w="4676" w:type="dxa"/>
          </w:tcPr>
          <w:p w:rsidR="00334066" w:rsidRDefault="00334066" w:rsidP="00255AA3">
            <w:pPr>
              <w:pStyle w:val="E3Tabletext"/>
            </w:pPr>
            <w:r>
              <w:t>None specified</w:t>
            </w:r>
          </w:p>
        </w:tc>
        <w:tc>
          <w:tcPr>
            <w:tcW w:w="2271" w:type="dxa"/>
            <w:vMerge/>
          </w:tcPr>
          <w:p w:rsidR="00334066" w:rsidRDefault="00334066" w:rsidP="00255AA3">
            <w:pPr>
              <w:pStyle w:val="E3Tabletext"/>
            </w:pPr>
          </w:p>
        </w:tc>
      </w:tr>
      <w:tr w:rsidR="00334066" w:rsidTr="0094540D">
        <w:trPr>
          <w:cantSplit/>
          <w:jc w:val="center"/>
        </w:trPr>
        <w:tc>
          <w:tcPr>
            <w:tcW w:w="2629" w:type="dxa"/>
          </w:tcPr>
          <w:p w:rsidR="00334066" w:rsidRDefault="00334066" w:rsidP="00255AA3">
            <w:pPr>
              <w:pStyle w:val="E3Tabletext"/>
            </w:pPr>
            <w:r>
              <w:t>Beam angle</w:t>
            </w:r>
          </w:p>
        </w:tc>
        <w:tc>
          <w:tcPr>
            <w:tcW w:w="4676" w:type="dxa"/>
          </w:tcPr>
          <w:p w:rsidR="00334066" w:rsidRDefault="00334066" w:rsidP="00255AA3">
            <w:pPr>
              <w:pStyle w:val="E3Tabletext"/>
            </w:pPr>
            <w:r>
              <w:t>None specified</w:t>
            </w:r>
          </w:p>
        </w:tc>
        <w:tc>
          <w:tcPr>
            <w:tcW w:w="2271" w:type="dxa"/>
            <w:vMerge/>
          </w:tcPr>
          <w:p w:rsidR="00334066" w:rsidRDefault="00334066" w:rsidP="00255AA3">
            <w:pPr>
              <w:pStyle w:val="E3Tabletext"/>
            </w:pPr>
          </w:p>
        </w:tc>
      </w:tr>
      <w:tr w:rsidR="00334066" w:rsidTr="0094540D">
        <w:trPr>
          <w:cantSplit/>
          <w:jc w:val="center"/>
        </w:trPr>
        <w:tc>
          <w:tcPr>
            <w:tcW w:w="2629" w:type="dxa"/>
          </w:tcPr>
          <w:p w:rsidR="00334066" w:rsidRDefault="00334066" w:rsidP="00255AA3">
            <w:pPr>
              <w:pStyle w:val="E3Tabletext"/>
            </w:pPr>
            <w:r>
              <w:t>Centre beam intensity</w:t>
            </w:r>
          </w:p>
        </w:tc>
        <w:tc>
          <w:tcPr>
            <w:tcW w:w="4676" w:type="dxa"/>
          </w:tcPr>
          <w:p w:rsidR="00334066" w:rsidRDefault="00334066" w:rsidP="00255AA3">
            <w:pPr>
              <w:pStyle w:val="E3Tabletext"/>
            </w:pPr>
            <w:r>
              <w:t>None specified</w:t>
            </w:r>
          </w:p>
        </w:tc>
        <w:tc>
          <w:tcPr>
            <w:tcW w:w="2271" w:type="dxa"/>
            <w:vMerge/>
          </w:tcPr>
          <w:p w:rsidR="00334066" w:rsidRDefault="00334066" w:rsidP="00255AA3">
            <w:pPr>
              <w:pStyle w:val="E3Tabletext"/>
            </w:pPr>
          </w:p>
        </w:tc>
      </w:tr>
      <w:tr w:rsidR="00334066" w:rsidTr="0094540D">
        <w:trPr>
          <w:cantSplit/>
          <w:jc w:val="center"/>
        </w:trPr>
        <w:tc>
          <w:tcPr>
            <w:tcW w:w="2629" w:type="dxa"/>
          </w:tcPr>
          <w:p w:rsidR="00334066" w:rsidRDefault="00334066" w:rsidP="00255AA3">
            <w:pPr>
              <w:pStyle w:val="E3Tabletext"/>
            </w:pPr>
            <w:r>
              <w:t>Zonal lumen summaries</w:t>
            </w:r>
          </w:p>
        </w:tc>
        <w:tc>
          <w:tcPr>
            <w:tcW w:w="4676" w:type="dxa"/>
          </w:tcPr>
          <w:p w:rsidR="00334066" w:rsidRDefault="00334066" w:rsidP="00255AA3">
            <w:pPr>
              <w:pStyle w:val="E3Tabletext"/>
            </w:pPr>
            <w:r>
              <w:t>None specified</w:t>
            </w:r>
          </w:p>
        </w:tc>
        <w:tc>
          <w:tcPr>
            <w:tcW w:w="2271" w:type="dxa"/>
            <w:vMerge/>
          </w:tcPr>
          <w:p w:rsidR="00334066" w:rsidRDefault="00334066" w:rsidP="00255AA3">
            <w:pPr>
              <w:pStyle w:val="E3Tabletext"/>
            </w:pPr>
          </w:p>
        </w:tc>
      </w:tr>
      <w:tr w:rsidR="00334066" w:rsidTr="0094540D">
        <w:trPr>
          <w:cantSplit/>
          <w:jc w:val="center"/>
        </w:trPr>
        <w:tc>
          <w:tcPr>
            <w:tcW w:w="2629" w:type="dxa"/>
          </w:tcPr>
          <w:p w:rsidR="00334066" w:rsidRDefault="00334066" w:rsidP="00255AA3">
            <w:pPr>
              <w:pStyle w:val="E3Tabletext"/>
            </w:pPr>
            <w:r>
              <w:t>Lumen maintenance Stated at either:</w:t>
            </w:r>
          </w:p>
          <w:p w:rsidR="00334066" w:rsidRDefault="00334066" w:rsidP="00F1452F">
            <w:pPr>
              <w:pStyle w:val="E3Tabletext"/>
              <w:numPr>
                <w:ilvl w:val="0"/>
                <w:numId w:val="25"/>
              </w:numPr>
            </w:pPr>
            <w:r>
              <w:t>10,000 h, or</w:t>
            </w:r>
          </w:p>
          <w:p w:rsidR="00334066" w:rsidRDefault="00334066" w:rsidP="00F1452F">
            <w:pPr>
              <w:pStyle w:val="E3Tabletext"/>
              <w:numPr>
                <w:ilvl w:val="0"/>
                <w:numId w:val="25"/>
              </w:numPr>
            </w:pPr>
            <w:r>
              <w:t>15,000 h, or</w:t>
            </w:r>
          </w:p>
          <w:p w:rsidR="00334066" w:rsidRDefault="00334066" w:rsidP="00F1452F">
            <w:pPr>
              <w:pStyle w:val="E3Tabletext"/>
              <w:numPr>
                <w:ilvl w:val="0"/>
                <w:numId w:val="25"/>
              </w:numPr>
              <w:rPr>
                <w:rFonts w:cstheme="majorBidi"/>
                <w:iCs/>
                <w:color w:val="243F60" w:themeColor="accent1" w:themeShade="7F"/>
              </w:rPr>
            </w:pPr>
            <w:r>
              <w:t>25,000 h</w:t>
            </w:r>
          </w:p>
        </w:tc>
        <w:tc>
          <w:tcPr>
            <w:tcW w:w="4676" w:type="dxa"/>
          </w:tcPr>
          <w:p w:rsidR="00334066" w:rsidRDefault="00334066" w:rsidP="00255AA3">
            <w:pPr>
              <w:pStyle w:val="E3Tabletext"/>
            </w:pPr>
            <w:r>
              <w:t>None specified</w:t>
            </w:r>
          </w:p>
        </w:tc>
        <w:tc>
          <w:tcPr>
            <w:tcW w:w="2271" w:type="dxa"/>
          </w:tcPr>
          <w:p w:rsidR="00334066" w:rsidRDefault="00334066" w:rsidP="00255AA3">
            <w:pPr>
              <w:pStyle w:val="E3Tabletext"/>
            </w:pPr>
            <w:r>
              <w:t>IES LM-80-08</w:t>
            </w:r>
          </w:p>
          <w:p w:rsidR="00334066" w:rsidRDefault="00334066" w:rsidP="00255AA3">
            <w:pPr>
              <w:pStyle w:val="E3Tabletext"/>
            </w:pPr>
            <w:r>
              <w:t>IES TM-21-11</w:t>
            </w:r>
          </w:p>
        </w:tc>
      </w:tr>
    </w:tbl>
    <w:p w:rsidR="00334066" w:rsidRPr="00DB4744" w:rsidRDefault="00334066" w:rsidP="00E65B09">
      <w:pPr>
        <w:pStyle w:val="E3Heading4"/>
        <w:numPr>
          <w:ilvl w:val="0"/>
          <w:numId w:val="0"/>
        </w:numPr>
        <w:ind w:left="1008" w:hanging="1008"/>
      </w:pPr>
      <w:bookmarkStart w:id="332" w:name="_Toc389123382"/>
      <w:r>
        <w:t xml:space="preserve">Code of Federal Regulations, Title 16: Commercial Practices – Part 305: </w:t>
      </w:r>
      <w:r w:rsidRPr="00DB4744">
        <w:t xml:space="preserve">Energy and Water Use </w:t>
      </w:r>
      <w:r w:rsidR="00F966C3" w:rsidRPr="00DB4744">
        <w:t>Labelling for</w:t>
      </w:r>
      <w:r w:rsidRPr="00DB4744">
        <w:t xml:space="preserve"> Consumer Products under the Energy Policy and </w:t>
      </w:r>
      <w:r w:rsidR="00F966C3" w:rsidRPr="00DB4744">
        <w:t>Conservation Act</w:t>
      </w:r>
      <w:r>
        <w:t xml:space="preserve"> – Section 305.15: </w:t>
      </w:r>
      <w:r w:rsidR="001C7E9A">
        <w:t>Labelling</w:t>
      </w:r>
      <w:r>
        <w:t xml:space="preserve"> of lighting products</w:t>
      </w:r>
      <w:bookmarkEnd w:id="332"/>
    </w:p>
    <w:p w:rsidR="00334066" w:rsidRDefault="00334066" w:rsidP="00E65B09">
      <w:pPr>
        <w:pStyle w:val="E3Heading4"/>
        <w:numPr>
          <w:ilvl w:val="0"/>
          <w:numId w:val="0"/>
        </w:numPr>
        <w:ind w:left="1008" w:hanging="1008"/>
        <w:rPr>
          <w:lang w:eastAsia="en-AU"/>
        </w:rPr>
      </w:pPr>
      <w:r w:rsidRPr="00310986">
        <w:rPr>
          <w:lang w:eastAsia="en-AU"/>
        </w:rPr>
        <w:t>Scope</w:t>
      </w:r>
    </w:p>
    <w:p w:rsidR="00334066" w:rsidRPr="002E206C" w:rsidRDefault="00334066" w:rsidP="00E547F9">
      <w:pPr>
        <w:pStyle w:val="E3BodyText"/>
        <w:rPr>
          <w:lang w:eastAsia="en-AU"/>
        </w:rPr>
      </w:pPr>
      <w:r>
        <w:rPr>
          <w:lang w:eastAsia="en-AU"/>
        </w:rPr>
        <w:t>The scope includes fluorescent lamps ballasts and luminaires and general service lamps</w:t>
      </w:r>
    </w:p>
    <w:p w:rsidR="00334066" w:rsidRPr="00310986" w:rsidRDefault="00334066" w:rsidP="00E65B09">
      <w:pPr>
        <w:pStyle w:val="E3Heading4"/>
        <w:numPr>
          <w:ilvl w:val="0"/>
          <w:numId w:val="0"/>
        </w:numPr>
        <w:ind w:left="1008" w:hanging="1008"/>
        <w:rPr>
          <w:lang w:eastAsia="en-AU"/>
        </w:rPr>
      </w:pPr>
      <w:r>
        <w:rPr>
          <w:lang w:eastAsia="en-AU"/>
        </w:rPr>
        <w:t>Parameter requirements</w:t>
      </w:r>
    </w:p>
    <w:p w:rsidR="00334066" w:rsidRDefault="00E547F9" w:rsidP="00334066">
      <w:pPr>
        <w:rPr>
          <w:lang w:eastAsia="en-AU"/>
        </w:rPr>
      </w:pPr>
      <w:r>
        <w:rPr>
          <w:lang w:eastAsia="en-AU"/>
        </w:rPr>
        <w:t>Mandatory requirements:</w:t>
      </w:r>
    </w:p>
    <w:p w:rsidR="00E547F9" w:rsidRDefault="00E547F9" w:rsidP="00E547F9">
      <w:pPr>
        <w:pStyle w:val="E3Bullets"/>
        <w:rPr>
          <w:lang w:eastAsia="en-AU"/>
        </w:rPr>
      </w:pPr>
      <w:r>
        <w:rPr>
          <w:lang w:eastAsia="en-AU"/>
        </w:rPr>
        <w:t>Light output expressed as “Brightness”</w:t>
      </w:r>
    </w:p>
    <w:p w:rsidR="00E547F9" w:rsidRDefault="00E547F9" w:rsidP="00E547F9">
      <w:pPr>
        <w:pStyle w:val="E3Bullets"/>
        <w:rPr>
          <w:lang w:eastAsia="en-AU"/>
        </w:rPr>
      </w:pPr>
      <w:r>
        <w:rPr>
          <w:lang w:eastAsia="en-AU"/>
        </w:rPr>
        <w:t>Estimated energy cost per year (based on 3 hours per day operation and 11 cents per kilowatt hour</w:t>
      </w:r>
    </w:p>
    <w:p w:rsidR="00334066" w:rsidRDefault="00334066" w:rsidP="00E65B09">
      <w:pPr>
        <w:pStyle w:val="E3Heading4"/>
        <w:numPr>
          <w:ilvl w:val="0"/>
          <w:numId w:val="0"/>
        </w:numPr>
        <w:ind w:left="1008" w:hanging="1008"/>
      </w:pPr>
      <w:bookmarkStart w:id="333" w:name="_Toc389123383"/>
      <w:r>
        <w:t>Countries following USA</w:t>
      </w:r>
      <w:bookmarkEnd w:id="333"/>
    </w:p>
    <w:tbl>
      <w:tblPr>
        <w:tblStyle w:val="TableGrid"/>
        <w:tblW w:w="5000" w:type="pct"/>
        <w:jc w:val="center"/>
        <w:tblLayout w:type="fixed"/>
        <w:tblLook w:val="04A0" w:firstRow="1" w:lastRow="0" w:firstColumn="1" w:lastColumn="0" w:noHBand="0" w:noVBand="1"/>
      </w:tblPr>
      <w:tblGrid>
        <w:gridCol w:w="986"/>
        <w:gridCol w:w="1751"/>
        <w:gridCol w:w="1779"/>
        <w:gridCol w:w="1780"/>
        <w:gridCol w:w="1779"/>
        <w:gridCol w:w="1780"/>
      </w:tblGrid>
      <w:tr w:rsidR="00334066" w:rsidTr="00764F89">
        <w:trPr>
          <w:cantSplit/>
          <w:tblHeader/>
          <w:jc w:val="center"/>
        </w:trPr>
        <w:tc>
          <w:tcPr>
            <w:tcW w:w="986" w:type="dxa"/>
          </w:tcPr>
          <w:p w:rsidR="00334066" w:rsidRDefault="00334066" w:rsidP="000A6D6B">
            <w:pPr>
              <w:pStyle w:val="E3TableHeading"/>
            </w:pPr>
            <w:r>
              <w:t>Country</w:t>
            </w:r>
          </w:p>
        </w:tc>
        <w:tc>
          <w:tcPr>
            <w:tcW w:w="1751" w:type="dxa"/>
          </w:tcPr>
          <w:p w:rsidR="00334066" w:rsidRDefault="00334066" w:rsidP="000A6D6B">
            <w:pPr>
              <w:pStyle w:val="E3TableHeading"/>
            </w:pPr>
          </w:p>
        </w:tc>
        <w:tc>
          <w:tcPr>
            <w:tcW w:w="7118" w:type="dxa"/>
            <w:gridSpan w:val="4"/>
          </w:tcPr>
          <w:p w:rsidR="00334066" w:rsidRDefault="00334066" w:rsidP="000A6D6B">
            <w:pPr>
              <w:pStyle w:val="E3TableHeading"/>
            </w:pPr>
            <w:r>
              <w:t>Details</w:t>
            </w:r>
          </w:p>
        </w:tc>
      </w:tr>
      <w:tr w:rsidR="00334066" w:rsidTr="00764F89">
        <w:trPr>
          <w:cantSplit/>
          <w:jc w:val="center"/>
        </w:trPr>
        <w:tc>
          <w:tcPr>
            <w:tcW w:w="986" w:type="dxa"/>
          </w:tcPr>
          <w:p w:rsidR="00334066" w:rsidRDefault="00334066" w:rsidP="00255AA3">
            <w:pPr>
              <w:pStyle w:val="E3Tabletext"/>
            </w:pPr>
            <w:r>
              <w:t>Canada</w:t>
            </w:r>
          </w:p>
        </w:tc>
        <w:tc>
          <w:tcPr>
            <w:tcW w:w="1751" w:type="dxa"/>
          </w:tcPr>
          <w:p w:rsidR="00334066" w:rsidRDefault="00334066" w:rsidP="00255AA3">
            <w:pPr>
              <w:pStyle w:val="E3Tabletext"/>
            </w:pPr>
            <w:r w:rsidRPr="00C52075">
              <w:t>Energy Star for Integral LED Lamps (2010)</w:t>
            </w:r>
          </w:p>
          <w:p w:rsidR="00334066" w:rsidRDefault="00334066" w:rsidP="00255AA3">
            <w:pPr>
              <w:pStyle w:val="E3Tabletext"/>
            </w:pPr>
            <w:r w:rsidRPr="00C52075">
              <w:t>Energy Star for Solid State Lighting (SSL) Luminaire (2009)</w:t>
            </w:r>
          </w:p>
        </w:tc>
        <w:tc>
          <w:tcPr>
            <w:tcW w:w="7118" w:type="dxa"/>
            <w:gridSpan w:val="4"/>
          </w:tcPr>
          <w:p w:rsidR="00334066" w:rsidRDefault="00334066" w:rsidP="00255AA3">
            <w:pPr>
              <w:pStyle w:val="E3Tabletext"/>
            </w:pPr>
            <w:r>
              <w:t>MEPS: Specifications are as per stated</w:t>
            </w:r>
            <w:r w:rsidR="000A6D6B">
              <w:t xml:space="preserve"> for</w:t>
            </w:r>
            <w:r>
              <w:t xml:space="preserve"> the United States of America </w:t>
            </w:r>
          </w:p>
        </w:tc>
      </w:tr>
      <w:tr w:rsidR="000A6D6B" w:rsidTr="00764F89">
        <w:trPr>
          <w:cantSplit/>
          <w:trHeight w:val="81"/>
          <w:jc w:val="center"/>
        </w:trPr>
        <w:tc>
          <w:tcPr>
            <w:tcW w:w="986" w:type="dxa"/>
            <w:vMerge w:val="restart"/>
          </w:tcPr>
          <w:p w:rsidR="000A6D6B" w:rsidRDefault="000A6D6B" w:rsidP="00255AA3">
            <w:pPr>
              <w:pStyle w:val="E3Tabletext"/>
            </w:pPr>
            <w:r>
              <w:t>New Zealand</w:t>
            </w:r>
          </w:p>
        </w:tc>
        <w:tc>
          <w:tcPr>
            <w:tcW w:w="1751" w:type="dxa"/>
            <w:vMerge w:val="restart"/>
          </w:tcPr>
          <w:p w:rsidR="000A6D6B" w:rsidRDefault="000A6D6B" w:rsidP="00255AA3">
            <w:pPr>
              <w:pStyle w:val="E3Tabletext"/>
            </w:pPr>
            <w:r w:rsidRPr="00C52075">
              <w:t>Energy Star for Integral LED Lamps (2010)</w:t>
            </w:r>
          </w:p>
          <w:p w:rsidR="000A6D6B" w:rsidRPr="00C52075" w:rsidRDefault="000A6D6B" w:rsidP="00255AA3">
            <w:pPr>
              <w:pStyle w:val="E3Tabletext"/>
            </w:pPr>
            <w:r w:rsidRPr="00C52075">
              <w:t>Energy Star for Solid State Lighting (SSL) Luminaire (2009)</w:t>
            </w:r>
          </w:p>
        </w:tc>
        <w:tc>
          <w:tcPr>
            <w:tcW w:w="7118" w:type="dxa"/>
            <w:gridSpan w:val="4"/>
          </w:tcPr>
          <w:p w:rsidR="000A6D6B" w:rsidRDefault="000A6D6B" w:rsidP="00255AA3">
            <w:pPr>
              <w:pStyle w:val="E3Tabletext"/>
            </w:pPr>
            <w:r>
              <w:t>MEPS: Specifications are as per stated the United States of America with the exception:</w:t>
            </w:r>
          </w:p>
          <w:p w:rsidR="000A6D6B" w:rsidRDefault="000A6D6B" w:rsidP="00255AA3">
            <w:pPr>
              <w:pStyle w:val="E3Tabletext"/>
            </w:pPr>
            <w:r>
              <w:t xml:space="preserve">1. </w:t>
            </w:r>
            <w:r w:rsidR="00F966C3">
              <w:t>Electrical</w:t>
            </w:r>
            <w:r>
              <w:t xml:space="preserve"> Safety: Products must comply with all relevant local New Zealand Electrical (Safety) Regulation 2010 requirements.</w:t>
            </w:r>
          </w:p>
          <w:p w:rsidR="000A6D6B" w:rsidRDefault="000A6D6B" w:rsidP="00255AA3">
            <w:pPr>
              <w:pStyle w:val="E3Tabletext"/>
            </w:pPr>
            <w:r>
              <w:t xml:space="preserve">2. Specification: Products must comply with all the requirements of the US Energy Star specification for </w:t>
            </w:r>
          </w:p>
          <w:p w:rsidR="000A6D6B" w:rsidRDefault="000A6D6B" w:rsidP="00255AA3">
            <w:pPr>
              <w:pStyle w:val="E3Tabletext"/>
            </w:pPr>
            <w:r>
              <w:t>LED light Bulbs  with the following 2 changes (shown in blue) to Clause 4 Requirements for all Lamps (can be found on pages 3 &amp; 4 of the US specification):</w:t>
            </w:r>
          </w:p>
        </w:tc>
      </w:tr>
      <w:tr w:rsidR="000A6D6B" w:rsidTr="00764F89">
        <w:trPr>
          <w:cantSplit/>
          <w:trHeight w:val="81"/>
          <w:jc w:val="center"/>
        </w:trPr>
        <w:tc>
          <w:tcPr>
            <w:tcW w:w="986" w:type="dxa"/>
            <w:vMerge/>
          </w:tcPr>
          <w:p w:rsidR="000A6D6B" w:rsidRDefault="000A6D6B" w:rsidP="00255AA3">
            <w:pPr>
              <w:pStyle w:val="E3Tabletext"/>
            </w:pPr>
          </w:p>
        </w:tc>
        <w:tc>
          <w:tcPr>
            <w:tcW w:w="1751" w:type="dxa"/>
            <w:vMerge/>
          </w:tcPr>
          <w:p w:rsidR="000A6D6B" w:rsidRPr="00C52075" w:rsidRDefault="000A6D6B" w:rsidP="00255AA3">
            <w:pPr>
              <w:pStyle w:val="E3Tabletext"/>
            </w:pPr>
          </w:p>
        </w:tc>
        <w:tc>
          <w:tcPr>
            <w:tcW w:w="1779" w:type="dxa"/>
          </w:tcPr>
          <w:p w:rsidR="000A6D6B" w:rsidRDefault="000A6D6B" w:rsidP="00255AA3">
            <w:pPr>
              <w:pStyle w:val="E3Tabletext"/>
            </w:pPr>
            <w:r>
              <w:t>Criteria Item</w:t>
            </w:r>
          </w:p>
        </w:tc>
        <w:tc>
          <w:tcPr>
            <w:tcW w:w="1780" w:type="dxa"/>
          </w:tcPr>
          <w:p w:rsidR="000A6D6B" w:rsidRDefault="000A6D6B" w:rsidP="00255AA3">
            <w:pPr>
              <w:pStyle w:val="E3Tabletext"/>
            </w:pPr>
            <w:r>
              <w:t>Energy Star requirements</w:t>
            </w:r>
          </w:p>
        </w:tc>
        <w:tc>
          <w:tcPr>
            <w:tcW w:w="1779" w:type="dxa"/>
          </w:tcPr>
          <w:p w:rsidR="000A6D6B" w:rsidRDefault="000A6D6B" w:rsidP="00255AA3">
            <w:pPr>
              <w:pStyle w:val="E3Tabletext"/>
            </w:pPr>
            <w:r>
              <w:t>Reference Standard/Test Method</w:t>
            </w:r>
          </w:p>
        </w:tc>
        <w:tc>
          <w:tcPr>
            <w:tcW w:w="1780" w:type="dxa"/>
          </w:tcPr>
          <w:p w:rsidR="000A6D6B" w:rsidRDefault="000A6D6B" w:rsidP="00255AA3">
            <w:pPr>
              <w:pStyle w:val="E3Tabletext"/>
            </w:pPr>
            <w:r>
              <w:t>Sample Size/Specific Requirements</w:t>
            </w:r>
          </w:p>
        </w:tc>
      </w:tr>
      <w:tr w:rsidR="000A6D6B" w:rsidTr="00764F89">
        <w:trPr>
          <w:cantSplit/>
          <w:trHeight w:val="81"/>
          <w:jc w:val="center"/>
        </w:trPr>
        <w:tc>
          <w:tcPr>
            <w:tcW w:w="986" w:type="dxa"/>
            <w:vMerge/>
          </w:tcPr>
          <w:p w:rsidR="000A6D6B" w:rsidRDefault="000A6D6B" w:rsidP="00255AA3">
            <w:pPr>
              <w:pStyle w:val="E3Tabletext"/>
            </w:pPr>
          </w:p>
        </w:tc>
        <w:tc>
          <w:tcPr>
            <w:tcW w:w="1751" w:type="dxa"/>
            <w:vMerge/>
          </w:tcPr>
          <w:p w:rsidR="000A6D6B" w:rsidRPr="00C52075" w:rsidRDefault="000A6D6B" w:rsidP="00255AA3">
            <w:pPr>
              <w:pStyle w:val="E3Tabletext"/>
            </w:pPr>
          </w:p>
        </w:tc>
        <w:tc>
          <w:tcPr>
            <w:tcW w:w="1779" w:type="dxa"/>
          </w:tcPr>
          <w:p w:rsidR="000A6D6B" w:rsidRDefault="000A6D6B" w:rsidP="00255AA3">
            <w:pPr>
              <w:pStyle w:val="E3Tabletext"/>
            </w:pPr>
            <w:r>
              <w:t>Allowable lamp bases</w:t>
            </w:r>
          </w:p>
        </w:tc>
        <w:tc>
          <w:tcPr>
            <w:tcW w:w="1780" w:type="dxa"/>
          </w:tcPr>
          <w:p w:rsidR="000A6D6B" w:rsidRDefault="000A6D6B" w:rsidP="00255AA3">
            <w:pPr>
              <w:pStyle w:val="E3Tabletext"/>
            </w:pPr>
            <w:r>
              <w:t>Must be a lamp base listed by ANSI or</w:t>
            </w:r>
            <w:r>
              <w:br/>
              <w:t>BA 22D bayonet base as listed by IEC</w:t>
            </w:r>
          </w:p>
        </w:tc>
        <w:tc>
          <w:tcPr>
            <w:tcW w:w="1779" w:type="dxa"/>
          </w:tcPr>
          <w:p w:rsidR="000A6D6B" w:rsidRDefault="000A6D6B" w:rsidP="00255AA3">
            <w:pPr>
              <w:pStyle w:val="E3Tabletext"/>
            </w:pPr>
            <w:r>
              <w:t>ANSI/ANSLG C81.61-2009</w:t>
            </w:r>
          </w:p>
          <w:p w:rsidR="000A6D6B" w:rsidRDefault="000A6D6B" w:rsidP="00255AA3">
            <w:pPr>
              <w:pStyle w:val="E3Tabletext"/>
            </w:pPr>
            <w:r>
              <w:t>IEC 60061-1</w:t>
            </w:r>
          </w:p>
        </w:tc>
        <w:tc>
          <w:tcPr>
            <w:tcW w:w="1780" w:type="dxa"/>
          </w:tcPr>
          <w:p w:rsidR="000A6D6B" w:rsidRDefault="000A6D6B" w:rsidP="00255AA3">
            <w:pPr>
              <w:pStyle w:val="E3Tabletext"/>
            </w:pPr>
            <w:r>
              <w:t>N/A</w:t>
            </w:r>
          </w:p>
        </w:tc>
      </w:tr>
      <w:tr w:rsidR="000A6D6B" w:rsidTr="00764F89">
        <w:trPr>
          <w:cantSplit/>
          <w:trHeight w:val="81"/>
          <w:jc w:val="center"/>
        </w:trPr>
        <w:tc>
          <w:tcPr>
            <w:tcW w:w="986" w:type="dxa"/>
            <w:vMerge/>
          </w:tcPr>
          <w:p w:rsidR="000A6D6B" w:rsidRDefault="000A6D6B" w:rsidP="00255AA3">
            <w:pPr>
              <w:pStyle w:val="E3Tabletext"/>
            </w:pPr>
          </w:p>
        </w:tc>
        <w:tc>
          <w:tcPr>
            <w:tcW w:w="1751" w:type="dxa"/>
            <w:vMerge/>
          </w:tcPr>
          <w:p w:rsidR="000A6D6B" w:rsidRPr="00C52075" w:rsidRDefault="000A6D6B" w:rsidP="00255AA3">
            <w:pPr>
              <w:pStyle w:val="E3Tabletext"/>
            </w:pPr>
          </w:p>
        </w:tc>
        <w:tc>
          <w:tcPr>
            <w:tcW w:w="1779" w:type="dxa"/>
          </w:tcPr>
          <w:p w:rsidR="000A6D6B" w:rsidRDefault="000A6D6B" w:rsidP="00255AA3">
            <w:pPr>
              <w:pStyle w:val="E3Tabletext"/>
            </w:pPr>
            <w:r>
              <w:t>Operating Voltage</w:t>
            </w:r>
          </w:p>
        </w:tc>
        <w:tc>
          <w:tcPr>
            <w:tcW w:w="1780" w:type="dxa"/>
          </w:tcPr>
          <w:p w:rsidR="000A6D6B" w:rsidRDefault="000A6D6B" w:rsidP="00255AA3">
            <w:pPr>
              <w:pStyle w:val="E3Tabletext"/>
            </w:pPr>
            <w:r>
              <w:t>Lamp shall operate at rated nominal voltage of 120, 230, 240, or 277 VAC, or at 12 or 24 VAC/</w:t>
            </w:r>
            <w:r>
              <w:br/>
              <w:t>VDC</w:t>
            </w:r>
          </w:p>
        </w:tc>
        <w:tc>
          <w:tcPr>
            <w:tcW w:w="1779" w:type="dxa"/>
          </w:tcPr>
          <w:p w:rsidR="000A6D6B" w:rsidRDefault="000A6D6B" w:rsidP="00255AA3">
            <w:pPr>
              <w:pStyle w:val="E3Tabletext"/>
            </w:pPr>
            <w:r>
              <w:t>N/A</w:t>
            </w:r>
          </w:p>
        </w:tc>
        <w:tc>
          <w:tcPr>
            <w:tcW w:w="1780" w:type="dxa"/>
          </w:tcPr>
          <w:p w:rsidR="000A6D6B" w:rsidRDefault="000A6D6B" w:rsidP="00255AA3">
            <w:pPr>
              <w:pStyle w:val="E3Tabletext"/>
            </w:pPr>
            <w:r>
              <w:t>N/A</w:t>
            </w:r>
          </w:p>
        </w:tc>
      </w:tr>
      <w:tr w:rsidR="000A6D6B" w:rsidTr="00764F89">
        <w:trPr>
          <w:cantSplit/>
          <w:trHeight w:val="81"/>
          <w:jc w:val="center"/>
        </w:trPr>
        <w:tc>
          <w:tcPr>
            <w:tcW w:w="986" w:type="dxa"/>
            <w:vMerge/>
          </w:tcPr>
          <w:p w:rsidR="000A6D6B" w:rsidRDefault="000A6D6B" w:rsidP="00255AA3">
            <w:pPr>
              <w:pStyle w:val="E3Tabletext"/>
            </w:pPr>
          </w:p>
        </w:tc>
        <w:tc>
          <w:tcPr>
            <w:tcW w:w="1751" w:type="dxa"/>
            <w:vMerge/>
          </w:tcPr>
          <w:p w:rsidR="000A6D6B" w:rsidRPr="00C52075" w:rsidRDefault="000A6D6B" w:rsidP="00255AA3">
            <w:pPr>
              <w:pStyle w:val="E3Tabletext"/>
            </w:pPr>
          </w:p>
        </w:tc>
        <w:tc>
          <w:tcPr>
            <w:tcW w:w="7118" w:type="dxa"/>
            <w:gridSpan w:val="4"/>
          </w:tcPr>
          <w:p w:rsidR="000A6D6B" w:rsidRDefault="000A6D6B" w:rsidP="00255AA3">
            <w:pPr>
              <w:pStyle w:val="E3Tabletext"/>
            </w:pPr>
            <w:r>
              <w:t xml:space="preserve">Note: LED Operating Frequency – if the product is tested at an input supply frequency of 50Hz it must have an operating frequency of ≥ 100Hz. </w:t>
            </w:r>
          </w:p>
          <w:p w:rsidR="000A6D6B" w:rsidRDefault="000A6D6B" w:rsidP="00255AA3">
            <w:pPr>
              <w:pStyle w:val="E3Tabletext"/>
            </w:pPr>
            <w:r>
              <w:t>Otherwise the US ENERGY STAR criteria applies.</w:t>
            </w:r>
          </w:p>
        </w:tc>
      </w:tr>
    </w:tbl>
    <w:p w:rsidR="00334066" w:rsidRDefault="00334066" w:rsidP="00E65B09">
      <w:pPr>
        <w:pStyle w:val="E3Heading3"/>
        <w:numPr>
          <w:ilvl w:val="0"/>
          <w:numId w:val="0"/>
        </w:numPr>
        <w:ind w:left="864" w:hanging="864"/>
      </w:pPr>
      <w:bookmarkStart w:id="334" w:name="_Toc389123384"/>
      <w:r>
        <w:t>International</w:t>
      </w:r>
      <w:bookmarkEnd w:id="334"/>
    </w:p>
    <w:p w:rsidR="00334066" w:rsidRPr="00EE2DCC" w:rsidRDefault="00764F89" w:rsidP="00334066">
      <w:pPr>
        <w:rPr>
          <w:lang w:eastAsia="en-AU"/>
        </w:rPr>
      </w:pPr>
      <w:r>
        <w:rPr>
          <w:noProof/>
          <w:lang w:eastAsia="en-AU"/>
        </w:rPr>
        <w:drawing>
          <wp:inline distT="0" distB="0" distL="0" distR="0" wp14:anchorId="1E6188F8" wp14:editId="1ED04CC4">
            <wp:extent cx="6120765" cy="4191000"/>
            <wp:effectExtent l="0" t="0" r="0" b="0"/>
            <wp:docPr id="290" name="Picture 290" descr="Diagram displaying the Flow of HEPS, Endorsement Label, MEPS, Comparative Lab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6120765" cy="4191000"/>
                    </a:xfrm>
                    <a:prstGeom prst="rect">
                      <a:avLst/>
                    </a:prstGeom>
                  </pic:spPr>
                </pic:pic>
              </a:graphicData>
            </a:graphic>
          </wp:inline>
        </w:drawing>
      </w:r>
    </w:p>
    <w:p w:rsidR="00334066" w:rsidRPr="00B57139" w:rsidRDefault="00334066" w:rsidP="00E65B09">
      <w:pPr>
        <w:pStyle w:val="E3Heading4"/>
        <w:numPr>
          <w:ilvl w:val="0"/>
          <w:numId w:val="0"/>
        </w:numPr>
        <w:ind w:left="1008" w:hanging="1008"/>
      </w:pPr>
      <w:bookmarkStart w:id="335" w:name="_Toc389123385"/>
      <w:r>
        <w:t>Efficient Lighting Initiative – Self Ballasted LED Lamps for General Lighting Services</w:t>
      </w:r>
      <w:bookmarkEnd w:id="335"/>
    </w:p>
    <w:p w:rsidR="00334066" w:rsidRPr="00310986" w:rsidRDefault="00334066" w:rsidP="00E65B09">
      <w:pPr>
        <w:pStyle w:val="E3Heading4"/>
        <w:numPr>
          <w:ilvl w:val="0"/>
          <w:numId w:val="0"/>
        </w:numPr>
        <w:ind w:left="1008" w:hanging="1008"/>
        <w:rPr>
          <w:lang w:eastAsia="en-AU"/>
        </w:rPr>
      </w:pPr>
      <w:r w:rsidRPr="00310986">
        <w:rPr>
          <w:lang w:eastAsia="en-AU"/>
        </w:rPr>
        <w:t>Scope</w:t>
      </w:r>
    </w:p>
    <w:p w:rsidR="00334066" w:rsidRDefault="00334066" w:rsidP="00FD21FB">
      <w:pPr>
        <w:pStyle w:val="E3BodyText"/>
        <w:rPr>
          <w:i/>
        </w:rPr>
      </w:pPr>
      <w:r w:rsidRPr="00E378F5">
        <w:t xml:space="preserve">This specification applies exclusively to non-directional Self-Ballasted LED Lamps. These lamps have </w:t>
      </w:r>
      <w:r w:rsidR="00F966C3" w:rsidRPr="00E378F5">
        <w:t>an integrated</w:t>
      </w:r>
      <w:r w:rsidRPr="00E378F5">
        <w:t xml:space="preserve"> means for stable operation and are intended for general lighting purposes. They have screw </w:t>
      </w:r>
      <w:r w:rsidR="00F966C3" w:rsidRPr="00E378F5">
        <w:t>or bayonet</w:t>
      </w:r>
      <w:r w:rsidRPr="00E378F5">
        <w:t xml:space="preserve"> caps, a rated power up to 60W and a rated voltage of up to 250V AC or DC</w:t>
      </w:r>
      <w:r>
        <w:t>.</w:t>
      </w:r>
    </w:p>
    <w:p w:rsidR="00334066" w:rsidRDefault="00334066" w:rsidP="00E65B09">
      <w:pPr>
        <w:pStyle w:val="E3Heading4"/>
        <w:numPr>
          <w:ilvl w:val="0"/>
          <w:numId w:val="0"/>
        </w:numPr>
        <w:ind w:left="1008" w:hanging="1008"/>
        <w:rPr>
          <w:lang w:eastAsia="en-AU"/>
        </w:rPr>
      </w:pPr>
      <w:r>
        <w:rPr>
          <w:lang w:eastAsia="en-AU"/>
        </w:rPr>
        <w:t>Performance requirements</w:t>
      </w:r>
    </w:p>
    <w:tbl>
      <w:tblPr>
        <w:tblStyle w:val="TableGrid"/>
        <w:tblW w:w="0" w:type="auto"/>
        <w:jc w:val="center"/>
        <w:tblLook w:val="04A0" w:firstRow="1" w:lastRow="0" w:firstColumn="1" w:lastColumn="0" w:noHBand="0" w:noVBand="1"/>
      </w:tblPr>
      <w:tblGrid>
        <w:gridCol w:w="1670"/>
        <w:gridCol w:w="795"/>
        <w:gridCol w:w="597"/>
        <w:gridCol w:w="199"/>
        <w:gridCol w:w="795"/>
        <w:gridCol w:w="398"/>
        <w:gridCol w:w="398"/>
        <w:gridCol w:w="795"/>
        <w:gridCol w:w="199"/>
        <w:gridCol w:w="597"/>
        <w:gridCol w:w="796"/>
        <w:gridCol w:w="2341"/>
      </w:tblGrid>
      <w:tr w:rsidR="00334066" w:rsidTr="00764F89">
        <w:trPr>
          <w:cantSplit/>
          <w:tblHeader/>
          <w:jc w:val="center"/>
        </w:trPr>
        <w:tc>
          <w:tcPr>
            <w:tcW w:w="1670" w:type="dxa"/>
          </w:tcPr>
          <w:p w:rsidR="00334066" w:rsidRDefault="00334066" w:rsidP="00240B29">
            <w:pPr>
              <w:pStyle w:val="E3TableHeading"/>
            </w:pPr>
            <w:r>
              <w:t>Parameter</w:t>
            </w:r>
          </w:p>
        </w:tc>
        <w:tc>
          <w:tcPr>
            <w:tcW w:w="5569" w:type="dxa"/>
            <w:gridSpan w:val="10"/>
          </w:tcPr>
          <w:p w:rsidR="00334066" w:rsidRDefault="00334066" w:rsidP="00240B29">
            <w:pPr>
              <w:pStyle w:val="E3TableHeading"/>
            </w:pPr>
            <w:r>
              <w:t>Requirements</w:t>
            </w:r>
          </w:p>
        </w:tc>
        <w:tc>
          <w:tcPr>
            <w:tcW w:w="2341" w:type="dxa"/>
          </w:tcPr>
          <w:p w:rsidR="00334066" w:rsidRDefault="00334066" w:rsidP="00240B29">
            <w:pPr>
              <w:pStyle w:val="E3TableHeading"/>
            </w:pPr>
            <w:r>
              <w:t>Test Method</w:t>
            </w:r>
          </w:p>
        </w:tc>
      </w:tr>
      <w:tr w:rsidR="00240B29" w:rsidTr="00764F89">
        <w:trPr>
          <w:cantSplit/>
          <w:trHeight w:val="130"/>
          <w:jc w:val="center"/>
        </w:trPr>
        <w:tc>
          <w:tcPr>
            <w:tcW w:w="1670" w:type="dxa"/>
            <w:vMerge w:val="restart"/>
          </w:tcPr>
          <w:p w:rsidR="00240B29" w:rsidRDefault="00240B29" w:rsidP="00255AA3">
            <w:pPr>
              <w:pStyle w:val="E3Tabletext"/>
            </w:pPr>
            <w:r>
              <w:t>Efficacy</w:t>
            </w:r>
          </w:p>
        </w:tc>
        <w:tc>
          <w:tcPr>
            <w:tcW w:w="795" w:type="dxa"/>
            <w:vMerge w:val="restart"/>
          </w:tcPr>
          <w:p w:rsidR="00240B29" w:rsidRDefault="00240B29" w:rsidP="00255AA3">
            <w:pPr>
              <w:pStyle w:val="E3Tabletext"/>
            </w:pPr>
            <w:r>
              <w:t>Rated lamp power, P (W)</w:t>
            </w:r>
          </w:p>
        </w:tc>
        <w:tc>
          <w:tcPr>
            <w:tcW w:w="4774" w:type="dxa"/>
            <w:gridSpan w:val="9"/>
          </w:tcPr>
          <w:p w:rsidR="00240B29" w:rsidRDefault="00240B29" w:rsidP="00255AA3">
            <w:pPr>
              <w:pStyle w:val="E3Tabletext"/>
            </w:pPr>
            <w:r>
              <w:t xml:space="preserve">Efficacy (lm/W) </w:t>
            </w:r>
            <w:r>
              <w:br/>
              <w:t>for different Colour Temp (K)</w:t>
            </w:r>
          </w:p>
        </w:tc>
        <w:tc>
          <w:tcPr>
            <w:tcW w:w="2341" w:type="dxa"/>
            <w:vMerge w:val="restart"/>
          </w:tcPr>
          <w:p w:rsidR="00240B29" w:rsidRDefault="00240B29" w:rsidP="00255AA3">
            <w:pPr>
              <w:pStyle w:val="E3Tabletext"/>
            </w:pPr>
            <w:r>
              <w:t>IEC/PAS 62612</w:t>
            </w:r>
          </w:p>
          <w:p w:rsidR="00240B29" w:rsidRDefault="00240B29" w:rsidP="00235234"/>
          <w:p w:rsidR="00240B29" w:rsidRDefault="00240B29" w:rsidP="00240B29"/>
        </w:tc>
      </w:tr>
      <w:tr w:rsidR="00240B29" w:rsidTr="00764F89">
        <w:trPr>
          <w:cantSplit/>
          <w:trHeight w:val="127"/>
          <w:jc w:val="center"/>
        </w:trPr>
        <w:tc>
          <w:tcPr>
            <w:tcW w:w="1670" w:type="dxa"/>
            <w:vMerge/>
          </w:tcPr>
          <w:p w:rsidR="00240B29" w:rsidRDefault="00240B29" w:rsidP="00255AA3">
            <w:pPr>
              <w:pStyle w:val="E3Tabletext"/>
            </w:pPr>
          </w:p>
        </w:tc>
        <w:tc>
          <w:tcPr>
            <w:tcW w:w="795" w:type="dxa"/>
            <w:vMerge/>
          </w:tcPr>
          <w:p w:rsidR="00240B29" w:rsidRDefault="00240B29" w:rsidP="00255AA3">
            <w:pPr>
              <w:pStyle w:val="E3Tabletext"/>
            </w:pPr>
          </w:p>
        </w:tc>
        <w:tc>
          <w:tcPr>
            <w:tcW w:w="796" w:type="dxa"/>
            <w:gridSpan w:val="2"/>
          </w:tcPr>
          <w:p w:rsidR="00240B29" w:rsidRDefault="00240B29" w:rsidP="00255AA3">
            <w:pPr>
              <w:pStyle w:val="E3Tabletext"/>
            </w:pPr>
            <w:r w:rsidRPr="00654288">
              <w:t>6500K</w:t>
            </w:r>
          </w:p>
        </w:tc>
        <w:tc>
          <w:tcPr>
            <w:tcW w:w="795" w:type="dxa"/>
          </w:tcPr>
          <w:p w:rsidR="00240B29" w:rsidRDefault="00240B29" w:rsidP="00255AA3">
            <w:pPr>
              <w:pStyle w:val="E3Tabletext"/>
            </w:pPr>
            <w:r w:rsidRPr="00654288">
              <w:t>5000K</w:t>
            </w:r>
          </w:p>
        </w:tc>
        <w:tc>
          <w:tcPr>
            <w:tcW w:w="796" w:type="dxa"/>
            <w:gridSpan w:val="2"/>
          </w:tcPr>
          <w:p w:rsidR="00240B29" w:rsidRDefault="00240B29" w:rsidP="00255AA3">
            <w:pPr>
              <w:pStyle w:val="E3Tabletext"/>
            </w:pPr>
            <w:r w:rsidRPr="00654288">
              <w:t>4000K</w:t>
            </w:r>
          </w:p>
        </w:tc>
        <w:tc>
          <w:tcPr>
            <w:tcW w:w="795" w:type="dxa"/>
          </w:tcPr>
          <w:p w:rsidR="00240B29" w:rsidRDefault="00240B29" w:rsidP="00255AA3">
            <w:pPr>
              <w:pStyle w:val="E3Tabletext"/>
            </w:pPr>
            <w:r w:rsidRPr="00654288">
              <w:t>3500k</w:t>
            </w:r>
          </w:p>
        </w:tc>
        <w:tc>
          <w:tcPr>
            <w:tcW w:w="796" w:type="dxa"/>
            <w:gridSpan w:val="2"/>
          </w:tcPr>
          <w:p w:rsidR="00240B29" w:rsidRDefault="00240B29" w:rsidP="00255AA3">
            <w:pPr>
              <w:pStyle w:val="E3Tabletext"/>
            </w:pPr>
            <w:r w:rsidRPr="00654288">
              <w:t>3000K</w:t>
            </w:r>
          </w:p>
        </w:tc>
        <w:tc>
          <w:tcPr>
            <w:tcW w:w="796" w:type="dxa"/>
          </w:tcPr>
          <w:p w:rsidR="00240B29" w:rsidRDefault="00240B29" w:rsidP="00255AA3">
            <w:pPr>
              <w:pStyle w:val="E3Tabletext"/>
            </w:pPr>
            <w:r w:rsidRPr="00654288">
              <w:t>2700K</w:t>
            </w:r>
          </w:p>
        </w:tc>
        <w:tc>
          <w:tcPr>
            <w:tcW w:w="2341" w:type="dxa"/>
            <w:vMerge/>
          </w:tcPr>
          <w:p w:rsidR="00240B29" w:rsidRDefault="00240B29" w:rsidP="00240B29"/>
        </w:tc>
      </w:tr>
      <w:tr w:rsidR="00240B29" w:rsidTr="00764F89">
        <w:trPr>
          <w:cantSplit/>
          <w:trHeight w:val="127"/>
          <w:jc w:val="center"/>
        </w:trPr>
        <w:tc>
          <w:tcPr>
            <w:tcW w:w="1670" w:type="dxa"/>
            <w:vMerge/>
          </w:tcPr>
          <w:p w:rsidR="00240B29" w:rsidRDefault="00240B29" w:rsidP="00255AA3">
            <w:pPr>
              <w:pStyle w:val="E3Tabletext"/>
            </w:pPr>
          </w:p>
        </w:tc>
        <w:tc>
          <w:tcPr>
            <w:tcW w:w="795" w:type="dxa"/>
          </w:tcPr>
          <w:p w:rsidR="00240B29" w:rsidRDefault="00240B29" w:rsidP="00255AA3">
            <w:pPr>
              <w:pStyle w:val="E3Tabletext"/>
            </w:pPr>
            <w:r>
              <w:t>1 ≤ P ≤ 5</w:t>
            </w:r>
          </w:p>
        </w:tc>
        <w:tc>
          <w:tcPr>
            <w:tcW w:w="1591" w:type="dxa"/>
            <w:gridSpan w:val="3"/>
          </w:tcPr>
          <w:p w:rsidR="00240B29" w:rsidRDefault="00240B29" w:rsidP="00255AA3">
            <w:pPr>
              <w:pStyle w:val="E3Tabletext"/>
            </w:pPr>
            <w:r>
              <w:t>50</w:t>
            </w:r>
          </w:p>
        </w:tc>
        <w:tc>
          <w:tcPr>
            <w:tcW w:w="3183" w:type="dxa"/>
            <w:gridSpan w:val="6"/>
          </w:tcPr>
          <w:p w:rsidR="00240B29" w:rsidRDefault="00240B29" w:rsidP="00255AA3">
            <w:pPr>
              <w:pStyle w:val="E3Tabletext"/>
            </w:pPr>
            <w:r>
              <w:t>45</w:t>
            </w:r>
          </w:p>
        </w:tc>
        <w:tc>
          <w:tcPr>
            <w:tcW w:w="2341" w:type="dxa"/>
            <w:vMerge/>
          </w:tcPr>
          <w:p w:rsidR="00240B29" w:rsidRDefault="00240B29" w:rsidP="00240B29"/>
        </w:tc>
      </w:tr>
      <w:tr w:rsidR="00240B29" w:rsidTr="00764F89">
        <w:trPr>
          <w:cantSplit/>
          <w:trHeight w:val="127"/>
          <w:jc w:val="center"/>
        </w:trPr>
        <w:tc>
          <w:tcPr>
            <w:tcW w:w="1670" w:type="dxa"/>
            <w:vMerge/>
          </w:tcPr>
          <w:p w:rsidR="00240B29" w:rsidRDefault="00240B29" w:rsidP="00255AA3">
            <w:pPr>
              <w:pStyle w:val="E3Tabletext"/>
            </w:pPr>
          </w:p>
        </w:tc>
        <w:tc>
          <w:tcPr>
            <w:tcW w:w="795" w:type="dxa"/>
          </w:tcPr>
          <w:p w:rsidR="00240B29" w:rsidRDefault="00240B29" w:rsidP="00255AA3">
            <w:pPr>
              <w:pStyle w:val="E3Tabletext"/>
            </w:pPr>
            <w:r>
              <w:t>6 ≤ P ≤ 10</w:t>
            </w:r>
          </w:p>
        </w:tc>
        <w:tc>
          <w:tcPr>
            <w:tcW w:w="1591" w:type="dxa"/>
            <w:gridSpan w:val="3"/>
          </w:tcPr>
          <w:p w:rsidR="00240B29" w:rsidRDefault="00240B29" w:rsidP="00255AA3">
            <w:pPr>
              <w:pStyle w:val="E3Tabletext"/>
            </w:pPr>
            <w:r>
              <w:t>55</w:t>
            </w:r>
          </w:p>
        </w:tc>
        <w:tc>
          <w:tcPr>
            <w:tcW w:w="3183" w:type="dxa"/>
            <w:gridSpan w:val="6"/>
          </w:tcPr>
          <w:p w:rsidR="00240B29" w:rsidRDefault="00240B29" w:rsidP="00255AA3">
            <w:pPr>
              <w:pStyle w:val="E3Tabletext"/>
            </w:pPr>
            <w:r>
              <w:t>50</w:t>
            </w:r>
          </w:p>
        </w:tc>
        <w:tc>
          <w:tcPr>
            <w:tcW w:w="2341" w:type="dxa"/>
            <w:vMerge/>
          </w:tcPr>
          <w:p w:rsidR="00240B29" w:rsidRDefault="00240B29" w:rsidP="00240B29"/>
        </w:tc>
      </w:tr>
      <w:tr w:rsidR="00240B29" w:rsidTr="00764F89">
        <w:trPr>
          <w:cantSplit/>
          <w:trHeight w:val="127"/>
          <w:jc w:val="center"/>
        </w:trPr>
        <w:tc>
          <w:tcPr>
            <w:tcW w:w="1670" w:type="dxa"/>
            <w:vMerge/>
          </w:tcPr>
          <w:p w:rsidR="00240B29" w:rsidRDefault="00240B29" w:rsidP="00255AA3">
            <w:pPr>
              <w:pStyle w:val="E3Tabletext"/>
            </w:pPr>
          </w:p>
        </w:tc>
        <w:tc>
          <w:tcPr>
            <w:tcW w:w="795" w:type="dxa"/>
          </w:tcPr>
          <w:p w:rsidR="00240B29" w:rsidRDefault="00240B29" w:rsidP="00255AA3">
            <w:pPr>
              <w:pStyle w:val="E3Tabletext"/>
            </w:pPr>
            <w:r>
              <w:t>11 ≤ P ≤ 25</w:t>
            </w:r>
          </w:p>
        </w:tc>
        <w:tc>
          <w:tcPr>
            <w:tcW w:w="1591" w:type="dxa"/>
            <w:gridSpan w:val="3"/>
          </w:tcPr>
          <w:p w:rsidR="00240B29" w:rsidRDefault="00240B29" w:rsidP="00255AA3">
            <w:pPr>
              <w:pStyle w:val="E3Tabletext"/>
            </w:pPr>
            <w:r>
              <w:t>55</w:t>
            </w:r>
          </w:p>
        </w:tc>
        <w:tc>
          <w:tcPr>
            <w:tcW w:w="3183" w:type="dxa"/>
            <w:gridSpan w:val="6"/>
          </w:tcPr>
          <w:p w:rsidR="00240B29" w:rsidRDefault="00240B29" w:rsidP="00255AA3">
            <w:pPr>
              <w:pStyle w:val="E3Tabletext"/>
            </w:pPr>
            <w:r>
              <w:t>50</w:t>
            </w:r>
          </w:p>
        </w:tc>
        <w:tc>
          <w:tcPr>
            <w:tcW w:w="2341" w:type="dxa"/>
            <w:vMerge/>
          </w:tcPr>
          <w:p w:rsidR="00240B29" w:rsidRDefault="00240B29" w:rsidP="00240B29"/>
        </w:tc>
      </w:tr>
      <w:tr w:rsidR="00240B29" w:rsidTr="00764F89">
        <w:trPr>
          <w:cantSplit/>
          <w:trHeight w:val="127"/>
          <w:jc w:val="center"/>
        </w:trPr>
        <w:tc>
          <w:tcPr>
            <w:tcW w:w="1670" w:type="dxa"/>
            <w:vMerge/>
          </w:tcPr>
          <w:p w:rsidR="00240B29" w:rsidRDefault="00240B29" w:rsidP="00255AA3">
            <w:pPr>
              <w:pStyle w:val="E3Tabletext"/>
            </w:pPr>
          </w:p>
        </w:tc>
        <w:tc>
          <w:tcPr>
            <w:tcW w:w="795" w:type="dxa"/>
          </w:tcPr>
          <w:p w:rsidR="00240B29" w:rsidRDefault="00240B29" w:rsidP="00255AA3">
            <w:pPr>
              <w:pStyle w:val="E3Tabletext"/>
            </w:pPr>
            <w:r>
              <w:t>26 ≤ P ≤ 60</w:t>
            </w:r>
          </w:p>
        </w:tc>
        <w:tc>
          <w:tcPr>
            <w:tcW w:w="1591" w:type="dxa"/>
            <w:gridSpan w:val="3"/>
          </w:tcPr>
          <w:p w:rsidR="00240B29" w:rsidRDefault="00240B29" w:rsidP="00255AA3">
            <w:pPr>
              <w:pStyle w:val="E3Tabletext"/>
            </w:pPr>
            <w:r>
              <w:t>50</w:t>
            </w:r>
          </w:p>
        </w:tc>
        <w:tc>
          <w:tcPr>
            <w:tcW w:w="3183" w:type="dxa"/>
            <w:gridSpan w:val="6"/>
          </w:tcPr>
          <w:p w:rsidR="00240B29" w:rsidRDefault="00240B29" w:rsidP="00255AA3">
            <w:pPr>
              <w:pStyle w:val="E3Tabletext"/>
            </w:pPr>
            <w:r>
              <w:t>45</w:t>
            </w:r>
          </w:p>
        </w:tc>
        <w:tc>
          <w:tcPr>
            <w:tcW w:w="2341" w:type="dxa"/>
            <w:vMerge/>
          </w:tcPr>
          <w:p w:rsidR="00240B29" w:rsidRDefault="00240B29" w:rsidP="00240B29"/>
        </w:tc>
      </w:tr>
      <w:tr w:rsidR="00240B29" w:rsidTr="00764F89">
        <w:trPr>
          <w:cantSplit/>
          <w:trHeight w:val="75"/>
          <w:jc w:val="center"/>
        </w:trPr>
        <w:tc>
          <w:tcPr>
            <w:tcW w:w="1670" w:type="dxa"/>
            <w:vMerge w:val="restart"/>
          </w:tcPr>
          <w:p w:rsidR="00240B29" w:rsidRDefault="00240B29" w:rsidP="00255AA3">
            <w:pPr>
              <w:pStyle w:val="E3Tabletext"/>
            </w:pPr>
            <w:r>
              <w:t>Light output</w:t>
            </w:r>
          </w:p>
        </w:tc>
        <w:tc>
          <w:tcPr>
            <w:tcW w:w="5569" w:type="dxa"/>
            <w:gridSpan w:val="10"/>
          </w:tcPr>
          <w:p w:rsidR="00240B29" w:rsidRDefault="00240B29" w:rsidP="00255AA3">
            <w:pPr>
              <w:pStyle w:val="E3Tabletext"/>
            </w:pPr>
            <w:r>
              <w:t xml:space="preserve"> Equivalency compared to luminous flux of incandescent lamp for general lighting services.</w:t>
            </w:r>
          </w:p>
        </w:tc>
        <w:tc>
          <w:tcPr>
            <w:tcW w:w="2341" w:type="dxa"/>
            <w:vMerge/>
          </w:tcPr>
          <w:p w:rsidR="00240B29" w:rsidRDefault="00240B29" w:rsidP="00240B29"/>
        </w:tc>
      </w:tr>
      <w:tr w:rsidR="00240B29" w:rsidTr="00764F89">
        <w:trPr>
          <w:cantSplit/>
          <w:trHeight w:val="69"/>
          <w:jc w:val="center"/>
        </w:trPr>
        <w:tc>
          <w:tcPr>
            <w:tcW w:w="1670" w:type="dxa"/>
            <w:vMerge/>
          </w:tcPr>
          <w:p w:rsidR="00240B29" w:rsidRDefault="00240B29" w:rsidP="00255AA3">
            <w:pPr>
              <w:pStyle w:val="E3Tabletext"/>
            </w:pPr>
          </w:p>
        </w:tc>
        <w:tc>
          <w:tcPr>
            <w:tcW w:w="2784" w:type="dxa"/>
            <w:gridSpan w:val="5"/>
          </w:tcPr>
          <w:p w:rsidR="00240B29" w:rsidRPr="00027456" w:rsidRDefault="00240B29" w:rsidP="00255AA3">
            <w:pPr>
              <w:pStyle w:val="E3Tabletext"/>
              <w:rPr>
                <w:sz w:val="24"/>
              </w:rPr>
            </w:pPr>
            <w:r w:rsidRPr="00027456">
              <w:t>Light</w:t>
            </w:r>
            <w:r w:rsidR="001C7E9A">
              <w:t xml:space="preserve"> </w:t>
            </w:r>
            <w:r w:rsidRPr="00027456">
              <w:t>outp</w:t>
            </w:r>
            <w:r w:rsidRPr="00027456">
              <w:rPr>
                <w:spacing w:val="-6"/>
              </w:rPr>
              <w:t>u</w:t>
            </w:r>
            <w:r w:rsidRPr="00027456">
              <w:t>t</w:t>
            </w:r>
            <w:r w:rsidR="001C7E9A">
              <w:t xml:space="preserve"> </w:t>
            </w:r>
            <w:r w:rsidRPr="00027456">
              <w:rPr>
                <w:spacing w:val="-1"/>
              </w:rPr>
              <w:t>(</w:t>
            </w:r>
            <w:r w:rsidRPr="00027456">
              <w:rPr>
                <w:w w:val="101"/>
              </w:rPr>
              <w:t>l</w:t>
            </w:r>
            <w:r w:rsidRPr="00027456">
              <w:rPr>
                <w:spacing w:val="2"/>
              </w:rPr>
              <w:t>m</w:t>
            </w:r>
            <w:r w:rsidRPr="00027456">
              <w:t>)</w:t>
            </w:r>
          </w:p>
        </w:tc>
        <w:tc>
          <w:tcPr>
            <w:tcW w:w="2785" w:type="dxa"/>
            <w:gridSpan w:val="5"/>
          </w:tcPr>
          <w:p w:rsidR="00240B29" w:rsidRPr="00027456" w:rsidRDefault="00240B29" w:rsidP="00255AA3">
            <w:pPr>
              <w:pStyle w:val="E3Tabletext"/>
              <w:rPr>
                <w:sz w:val="24"/>
              </w:rPr>
            </w:pPr>
            <w:r w:rsidRPr="00027456">
              <w:t>Power</w:t>
            </w:r>
            <w:r w:rsidR="001C7E9A">
              <w:t xml:space="preserve"> </w:t>
            </w:r>
            <w:r w:rsidRPr="00027456">
              <w:rPr>
                <w:spacing w:val="-5"/>
              </w:rPr>
              <w:t>o</w:t>
            </w:r>
            <w:r w:rsidRPr="00027456">
              <w:t>f</w:t>
            </w:r>
            <w:r w:rsidR="001C7E9A">
              <w:t xml:space="preserve"> </w:t>
            </w:r>
            <w:r w:rsidRPr="00027456">
              <w:t>sta</w:t>
            </w:r>
            <w:r w:rsidRPr="00027456">
              <w:rPr>
                <w:spacing w:val="5"/>
              </w:rPr>
              <w:t>n</w:t>
            </w:r>
            <w:r w:rsidRPr="00027456">
              <w:rPr>
                <w:spacing w:val="-5"/>
              </w:rPr>
              <w:t>d</w:t>
            </w:r>
            <w:r w:rsidRPr="00027456">
              <w:t>a</w:t>
            </w:r>
            <w:r w:rsidRPr="00027456">
              <w:rPr>
                <w:spacing w:val="5"/>
              </w:rPr>
              <w:t>r</w:t>
            </w:r>
            <w:r w:rsidRPr="00027456">
              <w:t>d</w:t>
            </w:r>
            <w:r w:rsidR="001C7E9A">
              <w:t xml:space="preserve"> </w:t>
            </w:r>
            <w:r w:rsidRPr="00027456">
              <w:t>G</w:t>
            </w:r>
            <w:r w:rsidRPr="00027456">
              <w:rPr>
                <w:spacing w:val="-5"/>
              </w:rPr>
              <w:t>L</w:t>
            </w:r>
            <w:r w:rsidRPr="00027456">
              <w:t xml:space="preserve">S </w:t>
            </w:r>
            <w:r w:rsidRPr="00027456">
              <w:rPr>
                <w:spacing w:val="1"/>
              </w:rPr>
              <w:t>(</w:t>
            </w:r>
            <w:r w:rsidRPr="00027456">
              <w:t>W)</w:t>
            </w:r>
          </w:p>
        </w:tc>
        <w:tc>
          <w:tcPr>
            <w:tcW w:w="2341" w:type="dxa"/>
            <w:vMerge/>
          </w:tcPr>
          <w:p w:rsidR="00240B29" w:rsidRDefault="00240B29" w:rsidP="00235234"/>
        </w:tc>
      </w:tr>
      <w:tr w:rsidR="00240B29" w:rsidTr="00764F89">
        <w:trPr>
          <w:cantSplit/>
          <w:trHeight w:val="69"/>
          <w:jc w:val="center"/>
        </w:trPr>
        <w:tc>
          <w:tcPr>
            <w:tcW w:w="1670" w:type="dxa"/>
            <w:vMerge/>
          </w:tcPr>
          <w:p w:rsidR="00240B29" w:rsidRDefault="00240B29" w:rsidP="00255AA3">
            <w:pPr>
              <w:pStyle w:val="E3Tabletext"/>
            </w:pPr>
          </w:p>
        </w:tc>
        <w:tc>
          <w:tcPr>
            <w:tcW w:w="2784" w:type="dxa"/>
            <w:gridSpan w:val="5"/>
          </w:tcPr>
          <w:p w:rsidR="00240B29" w:rsidRPr="00027456" w:rsidRDefault="00240B29" w:rsidP="00255AA3">
            <w:pPr>
              <w:pStyle w:val="E3Tabletext"/>
              <w:rPr>
                <w:sz w:val="24"/>
              </w:rPr>
            </w:pPr>
            <w:r w:rsidRPr="00027456">
              <w:t>≥230</w:t>
            </w:r>
          </w:p>
        </w:tc>
        <w:tc>
          <w:tcPr>
            <w:tcW w:w="2785" w:type="dxa"/>
            <w:gridSpan w:val="5"/>
          </w:tcPr>
          <w:p w:rsidR="00240B29" w:rsidRPr="00027456" w:rsidRDefault="00240B29" w:rsidP="00255AA3">
            <w:pPr>
              <w:pStyle w:val="E3Tabletext"/>
              <w:rPr>
                <w:sz w:val="24"/>
              </w:rPr>
            </w:pPr>
            <w:r w:rsidRPr="00027456">
              <w:t>25</w:t>
            </w:r>
          </w:p>
        </w:tc>
        <w:tc>
          <w:tcPr>
            <w:tcW w:w="2341" w:type="dxa"/>
            <w:vMerge/>
          </w:tcPr>
          <w:p w:rsidR="00240B29" w:rsidRDefault="00240B29" w:rsidP="00235234"/>
        </w:tc>
      </w:tr>
      <w:tr w:rsidR="00240B29" w:rsidTr="00764F89">
        <w:trPr>
          <w:cantSplit/>
          <w:trHeight w:val="69"/>
          <w:jc w:val="center"/>
        </w:trPr>
        <w:tc>
          <w:tcPr>
            <w:tcW w:w="1670" w:type="dxa"/>
            <w:vMerge/>
          </w:tcPr>
          <w:p w:rsidR="00240B29" w:rsidRDefault="00240B29" w:rsidP="00255AA3">
            <w:pPr>
              <w:pStyle w:val="E3Tabletext"/>
            </w:pPr>
          </w:p>
        </w:tc>
        <w:tc>
          <w:tcPr>
            <w:tcW w:w="2784" w:type="dxa"/>
            <w:gridSpan w:val="5"/>
          </w:tcPr>
          <w:p w:rsidR="00240B29" w:rsidRPr="00027456" w:rsidRDefault="00240B29" w:rsidP="00255AA3">
            <w:pPr>
              <w:pStyle w:val="E3Tabletext"/>
              <w:rPr>
                <w:sz w:val="24"/>
              </w:rPr>
            </w:pPr>
            <w:r w:rsidRPr="00027456">
              <w:t>≥415</w:t>
            </w:r>
          </w:p>
        </w:tc>
        <w:tc>
          <w:tcPr>
            <w:tcW w:w="2785" w:type="dxa"/>
            <w:gridSpan w:val="5"/>
          </w:tcPr>
          <w:p w:rsidR="00240B29" w:rsidRPr="00027456" w:rsidRDefault="00240B29" w:rsidP="00255AA3">
            <w:pPr>
              <w:pStyle w:val="E3Tabletext"/>
              <w:rPr>
                <w:sz w:val="24"/>
              </w:rPr>
            </w:pPr>
            <w:r w:rsidRPr="00027456">
              <w:t>40</w:t>
            </w:r>
          </w:p>
        </w:tc>
        <w:tc>
          <w:tcPr>
            <w:tcW w:w="2341" w:type="dxa"/>
            <w:vMerge/>
          </w:tcPr>
          <w:p w:rsidR="00240B29" w:rsidRDefault="00240B29" w:rsidP="00235234"/>
        </w:tc>
      </w:tr>
      <w:tr w:rsidR="00240B29" w:rsidTr="00764F89">
        <w:trPr>
          <w:cantSplit/>
          <w:trHeight w:val="69"/>
          <w:jc w:val="center"/>
        </w:trPr>
        <w:tc>
          <w:tcPr>
            <w:tcW w:w="1670" w:type="dxa"/>
            <w:vMerge/>
          </w:tcPr>
          <w:p w:rsidR="00240B29" w:rsidRDefault="00240B29" w:rsidP="00255AA3">
            <w:pPr>
              <w:pStyle w:val="E3Tabletext"/>
            </w:pPr>
          </w:p>
        </w:tc>
        <w:tc>
          <w:tcPr>
            <w:tcW w:w="2784" w:type="dxa"/>
            <w:gridSpan w:val="5"/>
          </w:tcPr>
          <w:p w:rsidR="00240B29" w:rsidRPr="00027456" w:rsidRDefault="00240B29" w:rsidP="00255AA3">
            <w:pPr>
              <w:pStyle w:val="E3Tabletext"/>
              <w:rPr>
                <w:sz w:val="24"/>
              </w:rPr>
            </w:pPr>
            <w:r w:rsidRPr="00027456">
              <w:t>≥570</w:t>
            </w:r>
          </w:p>
        </w:tc>
        <w:tc>
          <w:tcPr>
            <w:tcW w:w="2785" w:type="dxa"/>
            <w:gridSpan w:val="5"/>
          </w:tcPr>
          <w:p w:rsidR="00240B29" w:rsidRPr="00027456" w:rsidRDefault="00240B29" w:rsidP="00255AA3">
            <w:pPr>
              <w:pStyle w:val="E3Tabletext"/>
              <w:rPr>
                <w:sz w:val="24"/>
              </w:rPr>
            </w:pPr>
            <w:r w:rsidRPr="00027456">
              <w:t>50</w:t>
            </w:r>
          </w:p>
        </w:tc>
        <w:tc>
          <w:tcPr>
            <w:tcW w:w="2341" w:type="dxa"/>
            <w:vMerge/>
          </w:tcPr>
          <w:p w:rsidR="00240B29" w:rsidRDefault="00240B29" w:rsidP="00235234"/>
        </w:tc>
      </w:tr>
      <w:tr w:rsidR="00240B29" w:rsidTr="00764F89">
        <w:trPr>
          <w:cantSplit/>
          <w:trHeight w:val="69"/>
          <w:jc w:val="center"/>
        </w:trPr>
        <w:tc>
          <w:tcPr>
            <w:tcW w:w="1670" w:type="dxa"/>
            <w:vMerge/>
          </w:tcPr>
          <w:p w:rsidR="00240B29" w:rsidRDefault="00240B29" w:rsidP="00255AA3">
            <w:pPr>
              <w:pStyle w:val="E3Tabletext"/>
            </w:pPr>
          </w:p>
        </w:tc>
        <w:tc>
          <w:tcPr>
            <w:tcW w:w="2784" w:type="dxa"/>
            <w:gridSpan w:val="5"/>
          </w:tcPr>
          <w:p w:rsidR="00240B29" w:rsidRPr="00027456" w:rsidRDefault="00240B29" w:rsidP="00255AA3">
            <w:pPr>
              <w:pStyle w:val="E3Tabletext"/>
              <w:rPr>
                <w:sz w:val="24"/>
              </w:rPr>
            </w:pPr>
            <w:r w:rsidRPr="00027456">
              <w:t>≥715</w:t>
            </w:r>
          </w:p>
        </w:tc>
        <w:tc>
          <w:tcPr>
            <w:tcW w:w="2785" w:type="dxa"/>
            <w:gridSpan w:val="5"/>
          </w:tcPr>
          <w:p w:rsidR="00240B29" w:rsidRPr="00027456" w:rsidRDefault="00240B29" w:rsidP="00255AA3">
            <w:pPr>
              <w:pStyle w:val="E3Tabletext"/>
              <w:rPr>
                <w:sz w:val="24"/>
              </w:rPr>
            </w:pPr>
            <w:r w:rsidRPr="00027456">
              <w:t>60</w:t>
            </w:r>
          </w:p>
        </w:tc>
        <w:tc>
          <w:tcPr>
            <w:tcW w:w="2341" w:type="dxa"/>
            <w:vMerge/>
          </w:tcPr>
          <w:p w:rsidR="00240B29" w:rsidRDefault="00240B29" w:rsidP="00235234"/>
        </w:tc>
      </w:tr>
      <w:tr w:rsidR="00240B29" w:rsidTr="00764F89">
        <w:trPr>
          <w:cantSplit/>
          <w:trHeight w:val="69"/>
          <w:jc w:val="center"/>
        </w:trPr>
        <w:tc>
          <w:tcPr>
            <w:tcW w:w="1670" w:type="dxa"/>
            <w:vMerge/>
          </w:tcPr>
          <w:p w:rsidR="00240B29" w:rsidRDefault="00240B29" w:rsidP="00255AA3">
            <w:pPr>
              <w:pStyle w:val="E3Tabletext"/>
            </w:pPr>
          </w:p>
        </w:tc>
        <w:tc>
          <w:tcPr>
            <w:tcW w:w="2784" w:type="dxa"/>
            <w:gridSpan w:val="5"/>
          </w:tcPr>
          <w:p w:rsidR="00240B29" w:rsidRPr="00027456" w:rsidRDefault="00240B29" w:rsidP="00255AA3">
            <w:pPr>
              <w:pStyle w:val="E3Tabletext"/>
              <w:rPr>
                <w:sz w:val="24"/>
              </w:rPr>
            </w:pPr>
            <w:r w:rsidRPr="00027456">
              <w:t>≥940</w:t>
            </w:r>
          </w:p>
        </w:tc>
        <w:tc>
          <w:tcPr>
            <w:tcW w:w="2785" w:type="dxa"/>
            <w:gridSpan w:val="5"/>
          </w:tcPr>
          <w:p w:rsidR="00240B29" w:rsidRPr="00027456" w:rsidRDefault="00240B29" w:rsidP="00255AA3">
            <w:pPr>
              <w:pStyle w:val="E3Tabletext"/>
              <w:rPr>
                <w:sz w:val="24"/>
              </w:rPr>
            </w:pPr>
            <w:r w:rsidRPr="00027456">
              <w:t>75</w:t>
            </w:r>
          </w:p>
        </w:tc>
        <w:tc>
          <w:tcPr>
            <w:tcW w:w="2341" w:type="dxa"/>
            <w:vMerge/>
          </w:tcPr>
          <w:p w:rsidR="00240B29" w:rsidRDefault="00240B29" w:rsidP="00235234"/>
        </w:tc>
      </w:tr>
      <w:tr w:rsidR="00240B29" w:rsidTr="00764F89">
        <w:trPr>
          <w:cantSplit/>
          <w:trHeight w:val="69"/>
          <w:jc w:val="center"/>
        </w:trPr>
        <w:tc>
          <w:tcPr>
            <w:tcW w:w="1670" w:type="dxa"/>
            <w:vMerge/>
          </w:tcPr>
          <w:p w:rsidR="00240B29" w:rsidRDefault="00240B29" w:rsidP="00255AA3">
            <w:pPr>
              <w:pStyle w:val="E3Tabletext"/>
            </w:pPr>
          </w:p>
        </w:tc>
        <w:tc>
          <w:tcPr>
            <w:tcW w:w="2784" w:type="dxa"/>
            <w:gridSpan w:val="5"/>
          </w:tcPr>
          <w:p w:rsidR="00240B29" w:rsidRPr="00027456" w:rsidRDefault="00240B29" w:rsidP="00255AA3">
            <w:pPr>
              <w:pStyle w:val="E3Tabletext"/>
              <w:rPr>
                <w:sz w:val="24"/>
              </w:rPr>
            </w:pPr>
            <w:r w:rsidRPr="00027456">
              <w:t>≥1</w:t>
            </w:r>
            <w:r w:rsidRPr="00027456">
              <w:rPr>
                <w:spacing w:val="2"/>
              </w:rPr>
              <w:t>,</w:t>
            </w:r>
            <w:r w:rsidRPr="00027456">
              <w:t>227</w:t>
            </w:r>
          </w:p>
        </w:tc>
        <w:tc>
          <w:tcPr>
            <w:tcW w:w="2785" w:type="dxa"/>
            <w:gridSpan w:val="5"/>
          </w:tcPr>
          <w:p w:rsidR="00240B29" w:rsidRPr="00027456" w:rsidRDefault="00240B29" w:rsidP="00255AA3">
            <w:pPr>
              <w:pStyle w:val="E3Tabletext"/>
              <w:rPr>
                <w:sz w:val="24"/>
              </w:rPr>
            </w:pPr>
            <w:r w:rsidRPr="00027456">
              <w:t>90</w:t>
            </w:r>
          </w:p>
        </w:tc>
        <w:tc>
          <w:tcPr>
            <w:tcW w:w="2341" w:type="dxa"/>
            <w:vMerge/>
          </w:tcPr>
          <w:p w:rsidR="00240B29" w:rsidRDefault="00240B29" w:rsidP="00235234"/>
        </w:tc>
      </w:tr>
      <w:tr w:rsidR="00240B29" w:rsidTr="00764F89">
        <w:trPr>
          <w:cantSplit/>
          <w:trHeight w:val="69"/>
          <w:jc w:val="center"/>
        </w:trPr>
        <w:tc>
          <w:tcPr>
            <w:tcW w:w="1670" w:type="dxa"/>
            <w:vMerge/>
          </w:tcPr>
          <w:p w:rsidR="00240B29" w:rsidRDefault="00240B29" w:rsidP="00255AA3">
            <w:pPr>
              <w:pStyle w:val="E3Tabletext"/>
            </w:pPr>
          </w:p>
        </w:tc>
        <w:tc>
          <w:tcPr>
            <w:tcW w:w="2784" w:type="dxa"/>
            <w:gridSpan w:val="5"/>
          </w:tcPr>
          <w:p w:rsidR="00240B29" w:rsidRPr="00027456" w:rsidRDefault="00240B29" w:rsidP="00255AA3">
            <w:pPr>
              <w:pStyle w:val="E3Tabletext"/>
              <w:rPr>
                <w:sz w:val="24"/>
              </w:rPr>
            </w:pPr>
            <w:r w:rsidRPr="00027456">
              <w:t>≥1</w:t>
            </w:r>
            <w:r w:rsidRPr="00027456">
              <w:rPr>
                <w:spacing w:val="2"/>
              </w:rPr>
              <w:t>,</w:t>
            </w:r>
            <w:r w:rsidRPr="00027456">
              <w:t>350</w:t>
            </w:r>
          </w:p>
        </w:tc>
        <w:tc>
          <w:tcPr>
            <w:tcW w:w="2785" w:type="dxa"/>
            <w:gridSpan w:val="5"/>
          </w:tcPr>
          <w:p w:rsidR="00240B29" w:rsidRPr="00027456" w:rsidRDefault="00240B29" w:rsidP="00255AA3">
            <w:pPr>
              <w:pStyle w:val="E3Tabletext"/>
              <w:rPr>
                <w:sz w:val="24"/>
              </w:rPr>
            </w:pPr>
            <w:r w:rsidRPr="00027456">
              <w:t>100</w:t>
            </w:r>
          </w:p>
        </w:tc>
        <w:tc>
          <w:tcPr>
            <w:tcW w:w="2341" w:type="dxa"/>
            <w:vMerge/>
          </w:tcPr>
          <w:p w:rsidR="00240B29" w:rsidRDefault="00240B29" w:rsidP="00235234"/>
        </w:tc>
      </w:tr>
      <w:tr w:rsidR="00240B29" w:rsidTr="00764F89">
        <w:trPr>
          <w:cantSplit/>
          <w:trHeight w:val="69"/>
          <w:jc w:val="center"/>
        </w:trPr>
        <w:tc>
          <w:tcPr>
            <w:tcW w:w="1670" w:type="dxa"/>
            <w:vMerge/>
          </w:tcPr>
          <w:p w:rsidR="00240B29" w:rsidRDefault="00240B29" w:rsidP="00255AA3">
            <w:pPr>
              <w:pStyle w:val="E3Tabletext"/>
            </w:pPr>
          </w:p>
        </w:tc>
        <w:tc>
          <w:tcPr>
            <w:tcW w:w="2784" w:type="dxa"/>
            <w:gridSpan w:val="5"/>
          </w:tcPr>
          <w:p w:rsidR="00240B29" w:rsidRPr="00027456" w:rsidRDefault="00240B29" w:rsidP="00255AA3">
            <w:pPr>
              <w:pStyle w:val="E3Tabletext"/>
              <w:rPr>
                <w:sz w:val="24"/>
              </w:rPr>
            </w:pPr>
            <w:r w:rsidRPr="00027456">
              <w:t>≥2</w:t>
            </w:r>
            <w:r w:rsidRPr="00027456">
              <w:rPr>
                <w:spacing w:val="2"/>
              </w:rPr>
              <w:t>,</w:t>
            </w:r>
            <w:r w:rsidRPr="00027456">
              <w:t>180</w:t>
            </w:r>
          </w:p>
        </w:tc>
        <w:tc>
          <w:tcPr>
            <w:tcW w:w="2785" w:type="dxa"/>
            <w:gridSpan w:val="5"/>
          </w:tcPr>
          <w:p w:rsidR="00240B29" w:rsidRPr="00027456" w:rsidRDefault="00240B29" w:rsidP="00255AA3">
            <w:pPr>
              <w:pStyle w:val="E3Tabletext"/>
              <w:rPr>
                <w:sz w:val="24"/>
              </w:rPr>
            </w:pPr>
            <w:r w:rsidRPr="00027456">
              <w:t>150</w:t>
            </w:r>
          </w:p>
        </w:tc>
        <w:tc>
          <w:tcPr>
            <w:tcW w:w="2341" w:type="dxa"/>
            <w:vMerge/>
          </w:tcPr>
          <w:p w:rsidR="00240B29" w:rsidRDefault="00240B29" w:rsidP="00235234"/>
        </w:tc>
      </w:tr>
      <w:tr w:rsidR="00240B29" w:rsidTr="00764F89">
        <w:trPr>
          <w:cantSplit/>
          <w:trHeight w:val="69"/>
          <w:jc w:val="center"/>
        </w:trPr>
        <w:tc>
          <w:tcPr>
            <w:tcW w:w="1670" w:type="dxa"/>
            <w:vMerge/>
          </w:tcPr>
          <w:p w:rsidR="00240B29" w:rsidRDefault="00240B29" w:rsidP="00255AA3">
            <w:pPr>
              <w:pStyle w:val="E3Tabletext"/>
            </w:pPr>
          </w:p>
        </w:tc>
        <w:tc>
          <w:tcPr>
            <w:tcW w:w="2784" w:type="dxa"/>
            <w:gridSpan w:val="5"/>
          </w:tcPr>
          <w:p w:rsidR="00240B29" w:rsidRPr="00027456" w:rsidRDefault="00240B29" w:rsidP="00255AA3">
            <w:pPr>
              <w:pStyle w:val="E3Tabletext"/>
              <w:rPr>
                <w:sz w:val="24"/>
              </w:rPr>
            </w:pPr>
            <w:r w:rsidRPr="00027456">
              <w:t>≥3</w:t>
            </w:r>
            <w:r w:rsidRPr="00027456">
              <w:rPr>
                <w:spacing w:val="2"/>
              </w:rPr>
              <w:t>,</w:t>
            </w:r>
            <w:r w:rsidRPr="00027456">
              <w:t>090</w:t>
            </w:r>
          </w:p>
        </w:tc>
        <w:tc>
          <w:tcPr>
            <w:tcW w:w="2785" w:type="dxa"/>
            <w:gridSpan w:val="5"/>
          </w:tcPr>
          <w:p w:rsidR="00240B29" w:rsidRPr="00027456" w:rsidRDefault="00240B29" w:rsidP="00255AA3">
            <w:pPr>
              <w:pStyle w:val="E3Tabletext"/>
              <w:rPr>
                <w:sz w:val="24"/>
              </w:rPr>
            </w:pPr>
            <w:r w:rsidRPr="00027456">
              <w:t>200</w:t>
            </w:r>
          </w:p>
        </w:tc>
        <w:tc>
          <w:tcPr>
            <w:tcW w:w="2341" w:type="dxa"/>
            <w:vMerge/>
          </w:tcPr>
          <w:p w:rsidR="00240B29" w:rsidRDefault="00240B29" w:rsidP="00235234"/>
        </w:tc>
      </w:tr>
      <w:tr w:rsidR="00240B29" w:rsidTr="00764F89">
        <w:trPr>
          <w:cantSplit/>
          <w:jc w:val="center"/>
        </w:trPr>
        <w:tc>
          <w:tcPr>
            <w:tcW w:w="1670" w:type="dxa"/>
          </w:tcPr>
          <w:p w:rsidR="00240B29" w:rsidRDefault="00240B29" w:rsidP="00255AA3">
            <w:pPr>
              <w:pStyle w:val="E3Tabletext"/>
            </w:pPr>
            <w:r>
              <w:t>Colour rendering</w:t>
            </w:r>
          </w:p>
        </w:tc>
        <w:tc>
          <w:tcPr>
            <w:tcW w:w="5569" w:type="dxa"/>
            <w:gridSpan w:val="10"/>
          </w:tcPr>
          <w:p w:rsidR="00240B29" w:rsidRDefault="00240B29" w:rsidP="00255AA3">
            <w:pPr>
              <w:pStyle w:val="E3Tabletext"/>
            </w:pPr>
            <w:r>
              <w:t>≥ 80</w:t>
            </w:r>
          </w:p>
        </w:tc>
        <w:tc>
          <w:tcPr>
            <w:tcW w:w="2341" w:type="dxa"/>
            <w:vMerge/>
          </w:tcPr>
          <w:p w:rsidR="00240B29" w:rsidRDefault="00240B29" w:rsidP="00235234"/>
        </w:tc>
      </w:tr>
      <w:tr w:rsidR="00240B29" w:rsidTr="00764F89">
        <w:trPr>
          <w:cantSplit/>
          <w:trHeight w:val="76"/>
          <w:jc w:val="center"/>
        </w:trPr>
        <w:tc>
          <w:tcPr>
            <w:tcW w:w="1670" w:type="dxa"/>
            <w:vMerge w:val="restart"/>
          </w:tcPr>
          <w:p w:rsidR="00240B29" w:rsidRDefault="00240B29" w:rsidP="00255AA3">
            <w:pPr>
              <w:pStyle w:val="E3Tabletext"/>
            </w:pPr>
            <w:r>
              <w:t>Colour temperature</w:t>
            </w:r>
          </w:p>
        </w:tc>
        <w:tc>
          <w:tcPr>
            <w:tcW w:w="1392" w:type="dxa"/>
            <w:gridSpan w:val="2"/>
            <w:vMerge w:val="restart"/>
            <w:vAlign w:val="bottom"/>
          </w:tcPr>
          <w:p w:rsidR="00240B29" w:rsidRDefault="00240B29" w:rsidP="00255AA3">
            <w:pPr>
              <w:pStyle w:val="E3Tabletext"/>
            </w:pPr>
            <w:r>
              <w:t>Colour Indication</w:t>
            </w:r>
          </w:p>
        </w:tc>
        <w:tc>
          <w:tcPr>
            <w:tcW w:w="1392" w:type="dxa"/>
            <w:gridSpan w:val="3"/>
            <w:vMerge w:val="restart"/>
            <w:vAlign w:val="bottom"/>
          </w:tcPr>
          <w:p w:rsidR="00240B29" w:rsidRDefault="00240B29" w:rsidP="00255AA3">
            <w:pPr>
              <w:pStyle w:val="E3Tabletext"/>
            </w:pPr>
            <w:r>
              <w:t>CCT (K)</w:t>
            </w:r>
          </w:p>
        </w:tc>
        <w:tc>
          <w:tcPr>
            <w:tcW w:w="2785" w:type="dxa"/>
            <w:gridSpan w:val="5"/>
          </w:tcPr>
          <w:p w:rsidR="00240B29" w:rsidRDefault="00240B29" w:rsidP="00255AA3">
            <w:pPr>
              <w:pStyle w:val="E3Tabletext"/>
            </w:pPr>
            <w:r>
              <w:t>Chromaticity Co-ords</w:t>
            </w:r>
          </w:p>
        </w:tc>
        <w:tc>
          <w:tcPr>
            <w:tcW w:w="2341" w:type="dxa"/>
            <w:vMerge/>
          </w:tcPr>
          <w:p w:rsidR="00240B29" w:rsidRDefault="00240B29" w:rsidP="00240B29"/>
        </w:tc>
      </w:tr>
      <w:tr w:rsidR="00240B29" w:rsidTr="00764F89">
        <w:trPr>
          <w:cantSplit/>
          <w:trHeight w:val="73"/>
          <w:jc w:val="center"/>
        </w:trPr>
        <w:tc>
          <w:tcPr>
            <w:tcW w:w="1670" w:type="dxa"/>
            <w:vMerge/>
          </w:tcPr>
          <w:p w:rsidR="00240B29" w:rsidRDefault="00240B29" w:rsidP="00255AA3">
            <w:pPr>
              <w:pStyle w:val="E3Tabletext"/>
            </w:pPr>
          </w:p>
        </w:tc>
        <w:tc>
          <w:tcPr>
            <w:tcW w:w="1392" w:type="dxa"/>
            <w:gridSpan w:val="2"/>
            <w:vMerge/>
            <w:vAlign w:val="bottom"/>
          </w:tcPr>
          <w:p w:rsidR="00240B29" w:rsidRDefault="00240B29" w:rsidP="00255AA3">
            <w:pPr>
              <w:pStyle w:val="E3Tabletext"/>
            </w:pPr>
          </w:p>
        </w:tc>
        <w:tc>
          <w:tcPr>
            <w:tcW w:w="1392" w:type="dxa"/>
            <w:gridSpan w:val="3"/>
            <w:vMerge/>
            <w:vAlign w:val="bottom"/>
          </w:tcPr>
          <w:p w:rsidR="00240B29" w:rsidRDefault="00240B29" w:rsidP="00255AA3">
            <w:pPr>
              <w:pStyle w:val="E3Tabletext"/>
            </w:pPr>
          </w:p>
        </w:tc>
        <w:tc>
          <w:tcPr>
            <w:tcW w:w="1392" w:type="dxa"/>
            <w:gridSpan w:val="3"/>
          </w:tcPr>
          <w:p w:rsidR="00240B29" w:rsidRDefault="00240B29" w:rsidP="00255AA3">
            <w:pPr>
              <w:pStyle w:val="E3Tabletext"/>
            </w:pPr>
            <w:r>
              <w:t>x</w:t>
            </w:r>
          </w:p>
        </w:tc>
        <w:tc>
          <w:tcPr>
            <w:tcW w:w="1393" w:type="dxa"/>
            <w:gridSpan w:val="2"/>
          </w:tcPr>
          <w:p w:rsidR="00240B29" w:rsidRDefault="00240B29" w:rsidP="00255AA3">
            <w:pPr>
              <w:pStyle w:val="E3Tabletext"/>
            </w:pPr>
            <w:r>
              <w:t>y</w:t>
            </w:r>
          </w:p>
        </w:tc>
        <w:tc>
          <w:tcPr>
            <w:tcW w:w="2341" w:type="dxa"/>
            <w:vMerge/>
          </w:tcPr>
          <w:p w:rsidR="00240B29" w:rsidRDefault="00240B29" w:rsidP="00240B29"/>
        </w:tc>
      </w:tr>
      <w:tr w:rsidR="00240B29" w:rsidTr="00764F89">
        <w:trPr>
          <w:cantSplit/>
          <w:trHeight w:val="73"/>
          <w:jc w:val="center"/>
        </w:trPr>
        <w:tc>
          <w:tcPr>
            <w:tcW w:w="1670" w:type="dxa"/>
            <w:vMerge/>
          </w:tcPr>
          <w:p w:rsidR="00240B29" w:rsidRDefault="00240B29" w:rsidP="00255AA3">
            <w:pPr>
              <w:pStyle w:val="E3Tabletext"/>
            </w:pPr>
          </w:p>
        </w:tc>
        <w:tc>
          <w:tcPr>
            <w:tcW w:w="1392" w:type="dxa"/>
            <w:gridSpan w:val="2"/>
            <w:vAlign w:val="bottom"/>
          </w:tcPr>
          <w:p w:rsidR="00240B29" w:rsidRDefault="00240B29" w:rsidP="00255AA3">
            <w:pPr>
              <w:pStyle w:val="E3Tabletext"/>
            </w:pPr>
            <w:r>
              <w:t>F 6500</w:t>
            </w:r>
          </w:p>
        </w:tc>
        <w:tc>
          <w:tcPr>
            <w:tcW w:w="1392" w:type="dxa"/>
            <w:gridSpan w:val="3"/>
            <w:vAlign w:val="center"/>
          </w:tcPr>
          <w:p w:rsidR="00240B29" w:rsidRDefault="00240B29" w:rsidP="00255AA3">
            <w:pPr>
              <w:pStyle w:val="E3Tabletext"/>
            </w:pPr>
            <w:r>
              <w:t>6400</w:t>
            </w:r>
          </w:p>
        </w:tc>
        <w:tc>
          <w:tcPr>
            <w:tcW w:w="1392" w:type="dxa"/>
            <w:gridSpan w:val="3"/>
          </w:tcPr>
          <w:p w:rsidR="00240B29" w:rsidRDefault="00240B29" w:rsidP="00255AA3">
            <w:pPr>
              <w:pStyle w:val="E3Tabletext"/>
            </w:pPr>
            <w:r>
              <w:t>0.313</w:t>
            </w:r>
          </w:p>
        </w:tc>
        <w:tc>
          <w:tcPr>
            <w:tcW w:w="1393" w:type="dxa"/>
            <w:gridSpan w:val="2"/>
          </w:tcPr>
          <w:p w:rsidR="00240B29" w:rsidRDefault="00240B29" w:rsidP="00255AA3">
            <w:pPr>
              <w:pStyle w:val="E3Tabletext"/>
            </w:pPr>
            <w:r>
              <w:t>0.337</w:t>
            </w:r>
          </w:p>
        </w:tc>
        <w:tc>
          <w:tcPr>
            <w:tcW w:w="2341" w:type="dxa"/>
            <w:vMerge/>
          </w:tcPr>
          <w:p w:rsidR="00240B29" w:rsidRDefault="00240B29" w:rsidP="00240B29"/>
        </w:tc>
      </w:tr>
      <w:tr w:rsidR="00240B29" w:rsidTr="00764F89">
        <w:trPr>
          <w:cantSplit/>
          <w:trHeight w:val="73"/>
          <w:jc w:val="center"/>
        </w:trPr>
        <w:tc>
          <w:tcPr>
            <w:tcW w:w="1670" w:type="dxa"/>
            <w:vMerge/>
          </w:tcPr>
          <w:p w:rsidR="00240B29" w:rsidRDefault="00240B29" w:rsidP="00255AA3">
            <w:pPr>
              <w:pStyle w:val="E3Tabletext"/>
            </w:pPr>
          </w:p>
        </w:tc>
        <w:tc>
          <w:tcPr>
            <w:tcW w:w="1392" w:type="dxa"/>
            <w:gridSpan w:val="2"/>
            <w:vAlign w:val="center"/>
          </w:tcPr>
          <w:p w:rsidR="00240B29" w:rsidRDefault="00240B29" w:rsidP="00255AA3">
            <w:pPr>
              <w:pStyle w:val="E3Tabletext"/>
            </w:pPr>
            <w:r>
              <w:t>F 5000</w:t>
            </w:r>
          </w:p>
        </w:tc>
        <w:tc>
          <w:tcPr>
            <w:tcW w:w="1392" w:type="dxa"/>
            <w:gridSpan w:val="3"/>
            <w:vAlign w:val="center"/>
          </w:tcPr>
          <w:p w:rsidR="00240B29" w:rsidRDefault="00240B29" w:rsidP="00255AA3">
            <w:pPr>
              <w:pStyle w:val="E3Tabletext"/>
            </w:pPr>
            <w:r>
              <w:t>5000</w:t>
            </w:r>
          </w:p>
        </w:tc>
        <w:tc>
          <w:tcPr>
            <w:tcW w:w="1392" w:type="dxa"/>
            <w:gridSpan w:val="3"/>
          </w:tcPr>
          <w:p w:rsidR="00240B29" w:rsidRDefault="00240B29" w:rsidP="00255AA3">
            <w:pPr>
              <w:pStyle w:val="E3Tabletext"/>
            </w:pPr>
            <w:r>
              <w:t>0.346</w:t>
            </w:r>
          </w:p>
        </w:tc>
        <w:tc>
          <w:tcPr>
            <w:tcW w:w="1393" w:type="dxa"/>
            <w:gridSpan w:val="2"/>
          </w:tcPr>
          <w:p w:rsidR="00240B29" w:rsidRDefault="00240B29" w:rsidP="00255AA3">
            <w:pPr>
              <w:pStyle w:val="E3Tabletext"/>
            </w:pPr>
            <w:r>
              <w:t>0.359</w:t>
            </w:r>
          </w:p>
        </w:tc>
        <w:tc>
          <w:tcPr>
            <w:tcW w:w="2341" w:type="dxa"/>
            <w:vMerge/>
          </w:tcPr>
          <w:p w:rsidR="00240B29" w:rsidRDefault="00240B29" w:rsidP="00240B29"/>
        </w:tc>
      </w:tr>
      <w:tr w:rsidR="00240B29" w:rsidTr="00764F89">
        <w:trPr>
          <w:cantSplit/>
          <w:trHeight w:val="73"/>
          <w:jc w:val="center"/>
        </w:trPr>
        <w:tc>
          <w:tcPr>
            <w:tcW w:w="1670" w:type="dxa"/>
            <w:vMerge/>
          </w:tcPr>
          <w:p w:rsidR="00240B29" w:rsidRDefault="00240B29" w:rsidP="00255AA3">
            <w:pPr>
              <w:pStyle w:val="E3Tabletext"/>
            </w:pPr>
          </w:p>
        </w:tc>
        <w:tc>
          <w:tcPr>
            <w:tcW w:w="1392" w:type="dxa"/>
            <w:gridSpan w:val="2"/>
            <w:vAlign w:val="center"/>
          </w:tcPr>
          <w:p w:rsidR="00240B29" w:rsidRDefault="00240B29" w:rsidP="00255AA3">
            <w:pPr>
              <w:pStyle w:val="E3Tabletext"/>
            </w:pPr>
            <w:r>
              <w:t>F 4000</w:t>
            </w:r>
          </w:p>
        </w:tc>
        <w:tc>
          <w:tcPr>
            <w:tcW w:w="1392" w:type="dxa"/>
            <w:gridSpan w:val="3"/>
            <w:vAlign w:val="center"/>
          </w:tcPr>
          <w:p w:rsidR="00240B29" w:rsidRDefault="00240B29" w:rsidP="00255AA3">
            <w:pPr>
              <w:pStyle w:val="E3Tabletext"/>
            </w:pPr>
            <w:r>
              <w:t>4040</w:t>
            </w:r>
          </w:p>
        </w:tc>
        <w:tc>
          <w:tcPr>
            <w:tcW w:w="1392" w:type="dxa"/>
            <w:gridSpan w:val="3"/>
          </w:tcPr>
          <w:p w:rsidR="00240B29" w:rsidRDefault="00240B29" w:rsidP="00255AA3">
            <w:pPr>
              <w:pStyle w:val="E3Tabletext"/>
            </w:pPr>
            <w:r>
              <w:t>0.380</w:t>
            </w:r>
          </w:p>
        </w:tc>
        <w:tc>
          <w:tcPr>
            <w:tcW w:w="1393" w:type="dxa"/>
            <w:gridSpan w:val="2"/>
          </w:tcPr>
          <w:p w:rsidR="00240B29" w:rsidRDefault="00240B29" w:rsidP="00255AA3">
            <w:pPr>
              <w:pStyle w:val="E3Tabletext"/>
            </w:pPr>
            <w:r>
              <w:t>0.380</w:t>
            </w:r>
          </w:p>
        </w:tc>
        <w:tc>
          <w:tcPr>
            <w:tcW w:w="2341" w:type="dxa"/>
            <w:vMerge/>
          </w:tcPr>
          <w:p w:rsidR="00240B29" w:rsidRDefault="00240B29" w:rsidP="00240B29"/>
        </w:tc>
      </w:tr>
      <w:tr w:rsidR="00240B29" w:rsidTr="00764F89">
        <w:trPr>
          <w:cantSplit/>
          <w:trHeight w:val="73"/>
          <w:jc w:val="center"/>
        </w:trPr>
        <w:tc>
          <w:tcPr>
            <w:tcW w:w="1670" w:type="dxa"/>
            <w:vMerge/>
          </w:tcPr>
          <w:p w:rsidR="00240B29" w:rsidRDefault="00240B29" w:rsidP="00255AA3">
            <w:pPr>
              <w:pStyle w:val="E3Tabletext"/>
            </w:pPr>
          </w:p>
        </w:tc>
        <w:tc>
          <w:tcPr>
            <w:tcW w:w="1392" w:type="dxa"/>
            <w:gridSpan w:val="2"/>
            <w:vAlign w:val="center"/>
          </w:tcPr>
          <w:p w:rsidR="00240B29" w:rsidRDefault="00240B29" w:rsidP="00255AA3">
            <w:pPr>
              <w:pStyle w:val="E3Tabletext"/>
            </w:pPr>
            <w:r>
              <w:t>F 3500</w:t>
            </w:r>
          </w:p>
        </w:tc>
        <w:tc>
          <w:tcPr>
            <w:tcW w:w="1392" w:type="dxa"/>
            <w:gridSpan w:val="3"/>
            <w:vAlign w:val="center"/>
          </w:tcPr>
          <w:p w:rsidR="00240B29" w:rsidRDefault="00240B29" w:rsidP="00255AA3">
            <w:pPr>
              <w:pStyle w:val="E3Tabletext"/>
            </w:pPr>
            <w:r>
              <w:t>3450</w:t>
            </w:r>
          </w:p>
        </w:tc>
        <w:tc>
          <w:tcPr>
            <w:tcW w:w="1392" w:type="dxa"/>
            <w:gridSpan w:val="3"/>
          </w:tcPr>
          <w:p w:rsidR="00240B29" w:rsidRDefault="00240B29" w:rsidP="00255AA3">
            <w:pPr>
              <w:pStyle w:val="E3Tabletext"/>
            </w:pPr>
            <w:r>
              <w:t>0.409</w:t>
            </w:r>
          </w:p>
        </w:tc>
        <w:tc>
          <w:tcPr>
            <w:tcW w:w="1393" w:type="dxa"/>
            <w:gridSpan w:val="2"/>
          </w:tcPr>
          <w:p w:rsidR="00240B29" w:rsidRDefault="00240B29" w:rsidP="00255AA3">
            <w:pPr>
              <w:pStyle w:val="E3Tabletext"/>
            </w:pPr>
            <w:r>
              <w:t>0.394</w:t>
            </w:r>
          </w:p>
        </w:tc>
        <w:tc>
          <w:tcPr>
            <w:tcW w:w="2341" w:type="dxa"/>
            <w:vMerge/>
          </w:tcPr>
          <w:p w:rsidR="00240B29" w:rsidRDefault="00240B29" w:rsidP="00240B29"/>
        </w:tc>
      </w:tr>
      <w:tr w:rsidR="00240B29" w:rsidTr="00764F89">
        <w:trPr>
          <w:cantSplit/>
          <w:trHeight w:val="73"/>
          <w:jc w:val="center"/>
        </w:trPr>
        <w:tc>
          <w:tcPr>
            <w:tcW w:w="1670" w:type="dxa"/>
            <w:vMerge/>
          </w:tcPr>
          <w:p w:rsidR="00240B29" w:rsidRDefault="00240B29" w:rsidP="00255AA3">
            <w:pPr>
              <w:pStyle w:val="E3Tabletext"/>
            </w:pPr>
          </w:p>
        </w:tc>
        <w:tc>
          <w:tcPr>
            <w:tcW w:w="1392" w:type="dxa"/>
            <w:gridSpan w:val="2"/>
            <w:vAlign w:val="center"/>
          </w:tcPr>
          <w:p w:rsidR="00240B29" w:rsidRDefault="00240B29" w:rsidP="00255AA3">
            <w:pPr>
              <w:pStyle w:val="E3Tabletext"/>
            </w:pPr>
            <w:r>
              <w:t>F 3000</w:t>
            </w:r>
          </w:p>
        </w:tc>
        <w:tc>
          <w:tcPr>
            <w:tcW w:w="1392" w:type="dxa"/>
            <w:gridSpan w:val="3"/>
            <w:vAlign w:val="center"/>
          </w:tcPr>
          <w:p w:rsidR="00240B29" w:rsidRDefault="00240B29" w:rsidP="00255AA3">
            <w:pPr>
              <w:pStyle w:val="E3Tabletext"/>
            </w:pPr>
            <w:r>
              <w:t>2940</w:t>
            </w:r>
          </w:p>
        </w:tc>
        <w:tc>
          <w:tcPr>
            <w:tcW w:w="1392" w:type="dxa"/>
            <w:gridSpan w:val="3"/>
          </w:tcPr>
          <w:p w:rsidR="00240B29" w:rsidRDefault="00240B29" w:rsidP="00255AA3">
            <w:pPr>
              <w:pStyle w:val="E3Tabletext"/>
            </w:pPr>
            <w:r>
              <w:t>0.440</w:t>
            </w:r>
          </w:p>
        </w:tc>
        <w:tc>
          <w:tcPr>
            <w:tcW w:w="1393" w:type="dxa"/>
            <w:gridSpan w:val="2"/>
          </w:tcPr>
          <w:p w:rsidR="00240B29" w:rsidRDefault="00240B29" w:rsidP="00255AA3">
            <w:pPr>
              <w:pStyle w:val="E3Tabletext"/>
            </w:pPr>
            <w:r>
              <w:t>0.403</w:t>
            </w:r>
          </w:p>
        </w:tc>
        <w:tc>
          <w:tcPr>
            <w:tcW w:w="2341" w:type="dxa"/>
            <w:vMerge/>
          </w:tcPr>
          <w:p w:rsidR="00240B29" w:rsidRDefault="00240B29" w:rsidP="00240B29"/>
        </w:tc>
      </w:tr>
      <w:tr w:rsidR="00240B29" w:rsidTr="00764F89">
        <w:trPr>
          <w:cantSplit/>
          <w:trHeight w:val="73"/>
          <w:jc w:val="center"/>
        </w:trPr>
        <w:tc>
          <w:tcPr>
            <w:tcW w:w="1670" w:type="dxa"/>
            <w:vMerge/>
          </w:tcPr>
          <w:p w:rsidR="00240B29" w:rsidRDefault="00240B29" w:rsidP="00255AA3">
            <w:pPr>
              <w:pStyle w:val="E3Tabletext"/>
            </w:pPr>
          </w:p>
        </w:tc>
        <w:tc>
          <w:tcPr>
            <w:tcW w:w="1392" w:type="dxa"/>
            <w:gridSpan w:val="2"/>
            <w:vAlign w:val="center"/>
          </w:tcPr>
          <w:p w:rsidR="00240B29" w:rsidRDefault="00240B29" w:rsidP="00255AA3">
            <w:pPr>
              <w:pStyle w:val="E3Tabletext"/>
            </w:pPr>
            <w:r>
              <w:t>F 2700</w:t>
            </w:r>
          </w:p>
        </w:tc>
        <w:tc>
          <w:tcPr>
            <w:tcW w:w="1392" w:type="dxa"/>
            <w:gridSpan w:val="3"/>
            <w:vAlign w:val="center"/>
          </w:tcPr>
          <w:p w:rsidR="00240B29" w:rsidRDefault="00240B29" w:rsidP="00255AA3">
            <w:pPr>
              <w:pStyle w:val="E3Tabletext"/>
            </w:pPr>
            <w:r>
              <w:t>2720</w:t>
            </w:r>
          </w:p>
        </w:tc>
        <w:tc>
          <w:tcPr>
            <w:tcW w:w="1392" w:type="dxa"/>
            <w:gridSpan w:val="3"/>
          </w:tcPr>
          <w:p w:rsidR="00240B29" w:rsidRDefault="00240B29" w:rsidP="00255AA3">
            <w:pPr>
              <w:pStyle w:val="E3Tabletext"/>
            </w:pPr>
            <w:r>
              <w:t>0.463</w:t>
            </w:r>
          </w:p>
        </w:tc>
        <w:tc>
          <w:tcPr>
            <w:tcW w:w="1393" w:type="dxa"/>
            <w:gridSpan w:val="2"/>
          </w:tcPr>
          <w:p w:rsidR="00240B29" w:rsidRDefault="00240B29" w:rsidP="00255AA3">
            <w:pPr>
              <w:pStyle w:val="E3Tabletext"/>
            </w:pPr>
            <w:r>
              <w:t>0.420</w:t>
            </w:r>
          </w:p>
        </w:tc>
        <w:tc>
          <w:tcPr>
            <w:tcW w:w="2341" w:type="dxa"/>
            <w:vMerge/>
          </w:tcPr>
          <w:p w:rsidR="00240B29" w:rsidRDefault="00240B29" w:rsidP="00240B29"/>
        </w:tc>
      </w:tr>
      <w:tr w:rsidR="00240B29" w:rsidTr="00764F89">
        <w:trPr>
          <w:cantSplit/>
          <w:trHeight w:val="73"/>
          <w:jc w:val="center"/>
        </w:trPr>
        <w:tc>
          <w:tcPr>
            <w:tcW w:w="1670" w:type="dxa"/>
            <w:vMerge/>
          </w:tcPr>
          <w:p w:rsidR="00240B29" w:rsidRDefault="00240B29" w:rsidP="00255AA3">
            <w:pPr>
              <w:pStyle w:val="E3Tabletext"/>
            </w:pPr>
          </w:p>
        </w:tc>
        <w:tc>
          <w:tcPr>
            <w:tcW w:w="5569" w:type="dxa"/>
            <w:gridSpan w:val="10"/>
          </w:tcPr>
          <w:p w:rsidR="00240B29" w:rsidRDefault="00240B29" w:rsidP="00255AA3">
            <w:pPr>
              <w:pStyle w:val="E3Tabletext"/>
            </w:pPr>
            <w:r>
              <w:t>Chromaticity tolerance is to be within 7 SDCM</w:t>
            </w:r>
          </w:p>
        </w:tc>
        <w:tc>
          <w:tcPr>
            <w:tcW w:w="2341" w:type="dxa"/>
            <w:vMerge/>
          </w:tcPr>
          <w:p w:rsidR="00240B29" w:rsidRDefault="00240B29" w:rsidP="00240B29"/>
        </w:tc>
      </w:tr>
      <w:tr w:rsidR="00240B29" w:rsidTr="00764F89">
        <w:trPr>
          <w:cantSplit/>
          <w:jc w:val="center"/>
        </w:trPr>
        <w:tc>
          <w:tcPr>
            <w:tcW w:w="1670" w:type="dxa"/>
          </w:tcPr>
          <w:p w:rsidR="00240B29" w:rsidRDefault="00240B29" w:rsidP="00255AA3">
            <w:pPr>
              <w:pStyle w:val="E3Tabletext"/>
            </w:pPr>
            <w:r>
              <w:t>Colour rendering sustainability</w:t>
            </w:r>
          </w:p>
        </w:tc>
        <w:tc>
          <w:tcPr>
            <w:tcW w:w="5569" w:type="dxa"/>
            <w:gridSpan w:val="10"/>
          </w:tcPr>
          <w:p w:rsidR="00240B29" w:rsidRDefault="00240B29" w:rsidP="00255AA3">
            <w:pPr>
              <w:pStyle w:val="E3Tabletext"/>
            </w:pPr>
            <w:r>
              <w:t>Change in chromaticity after 6,000 h ≤ 0.007 on CIE1976 (u’v’)</w:t>
            </w:r>
          </w:p>
        </w:tc>
        <w:tc>
          <w:tcPr>
            <w:tcW w:w="2341" w:type="dxa"/>
            <w:vMerge/>
          </w:tcPr>
          <w:p w:rsidR="00240B29" w:rsidRDefault="00240B29" w:rsidP="00240B29"/>
        </w:tc>
      </w:tr>
      <w:tr w:rsidR="00240B29" w:rsidTr="00764F89">
        <w:trPr>
          <w:cantSplit/>
          <w:jc w:val="center"/>
        </w:trPr>
        <w:tc>
          <w:tcPr>
            <w:tcW w:w="1670" w:type="dxa"/>
          </w:tcPr>
          <w:p w:rsidR="00240B29" w:rsidRDefault="00240B29" w:rsidP="00255AA3">
            <w:pPr>
              <w:pStyle w:val="E3Tabletext"/>
            </w:pPr>
            <w:r>
              <w:t>Life expectancy</w:t>
            </w:r>
          </w:p>
        </w:tc>
        <w:tc>
          <w:tcPr>
            <w:tcW w:w="5569" w:type="dxa"/>
            <w:gridSpan w:val="10"/>
          </w:tcPr>
          <w:p w:rsidR="00240B29" w:rsidRDefault="00240B29" w:rsidP="00255AA3">
            <w:pPr>
              <w:pStyle w:val="E3Tabletext"/>
            </w:pPr>
            <w:r>
              <w:t>Average life ≥ 25,000 h</w:t>
            </w:r>
          </w:p>
        </w:tc>
        <w:tc>
          <w:tcPr>
            <w:tcW w:w="2341" w:type="dxa"/>
            <w:vMerge/>
          </w:tcPr>
          <w:p w:rsidR="00240B29" w:rsidRDefault="00240B29" w:rsidP="00240B29"/>
        </w:tc>
      </w:tr>
      <w:tr w:rsidR="00240B29" w:rsidTr="00764F89">
        <w:trPr>
          <w:cantSplit/>
          <w:jc w:val="center"/>
        </w:trPr>
        <w:tc>
          <w:tcPr>
            <w:tcW w:w="1670" w:type="dxa"/>
          </w:tcPr>
          <w:p w:rsidR="00240B29" w:rsidRDefault="00240B29" w:rsidP="00255AA3">
            <w:pPr>
              <w:pStyle w:val="E3Tabletext"/>
            </w:pPr>
            <w:r>
              <w:t>Lumen Maintenance</w:t>
            </w:r>
          </w:p>
        </w:tc>
        <w:tc>
          <w:tcPr>
            <w:tcW w:w="5569" w:type="dxa"/>
            <w:gridSpan w:val="10"/>
          </w:tcPr>
          <w:p w:rsidR="00240B29" w:rsidRDefault="00240B29" w:rsidP="00255AA3">
            <w:pPr>
              <w:pStyle w:val="E3Tabletext"/>
            </w:pPr>
            <w:r>
              <w:t>The luminous flux (relative to initial luminous flux)</w:t>
            </w:r>
          </w:p>
          <w:p w:rsidR="00240B29" w:rsidRDefault="00240B29" w:rsidP="00255AA3">
            <w:pPr>
              <w:pStyle w:val="E3Tabletext"/>
            </w:pPr>
            <w:r>
              <w:t>≥ 96% at 3,000 h</w:t>
            </w:r>
          </w:p>
          <w:p w:rsidR="00240B29" w:rsidRDefault="00240B29" w:rsidP="00255AA3">
            <w:pPr>
              <w:pStyle w:val="E3Tabletext"/>
            </w:pPr>
            <w:r>
              <w:t>≥ 91.8% at 6,000 h</w:t>
            </w:r>
          </w:p>
          <w:p w:rsidR="00240B29" w:rsidRDefault="00240B29" w:rsidP="00255AA3">
            <w:pPr>
              <w:pStyle w:val="E3Tabletext"/>
            </w:pPr>
            <w:r>
              <w:t>≥ 70% at 70% of rated life</w:t>
            </w:r>
          </w:p>
        </w:tc>
        <w:tc>
          <w:tcPr>
            <w:tcW w:w="2341" w:type="dxa"/>
            <w:vMerge/>
          </w:tcPr>
          <w:p w:rsidR="00240B29" w:rsidRDefault="00240B29" w:rsidP="00240B29"/>
        </w:tc>
      </w:tr>
      <w:tr w:rsidR="00240B29" w:rsidTr="00764F89">
        <w:trPr>
          <w:cantSplit/>
          <w:jc w:val="center"/>
        </w:trPr>
        <w:tc>
          <w:tcPr>
            <w:tcW w:w="1670" w:type="dxa"/>
          </w:tcPr>
          <w:p w:rsidR="00240B29" w:rsidRDefault="00240B29" w:rsidP="00255AA3">
            <w:pPr>
              <w:pStyle w:val="E3Tabletext"/>
            </w:pPr>
            <w:r>
              <w:t>Switching withstand</w:t>
            </w:r>
          </w:p>
        </w:tc>
        <w:tc>
          <w:tcPr>
            <w:tcW w:w="5569" w:type="dxa"/>
            <w:gridSpan w:val="10"/>
          </w:tcPr>
          <w:p w:rsidR="00240B29" w:rsidRDefault="00240B29" w:rsidP="00255AA3">
            <w:pPr>
              <w:pStyle w:val="E3Tabletext"/>
            </w:pPr>
            <w:r w:rsidRPr="00C47C33">
              <w:t xml:space="preserve">Switching cycles before failure </w:t>
            </w:r>
            <w:r>
              <w:t xml:space="preserve">&gt; 12,500 </w:t>
            </w:r>
            <w:r>
              <w:br/>
              <w:t>(based on 50% of life in hours)</w:t>
            </w:r>
          </w:p>
        </w:tc>
        <w:tc>
          <w:tcPr>
            <w:tcW w:w="2341" w:type="dxa"/>
            <w:vMerge/>
          </w:tcPr>
          <w:p w:rsidR="00240B29" w:rsidRDefault="00240B29" w:rsidP="00240B29"/>
        </w:tc>
      </w:tr>
      <w:tr w:rsidR="00240B29" w:rsidTr="00764F89">
        <w:trPr>
          <w:cantSplit/>
          <w:jc w:val="center"/>
        </w:trPr>
        <w:tc>
          <w:tcPr>
            <w:tcW w:w="1670" w:type="dxa"/>
          </w:tcPr>
          <w:p w:rsidR="00240B29" w:rsidRDefault="00240B29" w:rsidP="00255AA3">
            <w:pPr>
              <w:pStyle w:val="E3Tabletext"/>
            </w:pPr>
            <w:r>
              <w:t>Power factor</w:t>
            </w:r>
          </w:p>
        </w:tc>
        <w:tc>
          <w:tcPr>
            <w:tcW w:w="5569" w:type="dxa"/>
            <w:gridSpan w:val="10"/>
          </w:tcPr>
          <w:p w:rsidR="00240B29" w:rsidRDefault="00240B29" w:rsidP="00255AA3">
            <w:pPr>
              <w:pStyle w:val="E3Tabletext"/>
            </w:pPr>
            <w:r>
              <w:t>≥ 0.5</w:t>
            </w:r>
          </w:p>
        </w:tc>
        <w:tc>
          <w:tcPr>
            <w:tcW w:w="2341" w:type="dxa"/>
          </w:tcPr>
          <w:p w:rsidR="00240B29" w:rsidRDefault="00240B29" w:rsidP="00255AA3">
            <w:pPr>
              <w:pStyle w:val="E3Tabletext"/>
            </w:pPr>
          </w:p>
        </w:tc>
      </w:tr>
      <w:tr w:rsidR="00240B29" w:rsidTr="00764F89">
        <w:trPr>
          <w:cantSplit/>
          <w:jc w:val="center"/>
        </w:trPr>
        <w:tc>
          <w:tcPr>
            <w:tcW w:w="1670" w:type="dxa"/>
          </w:tcPr>
          <w:p w:rsidR="00240B29" w:rsidRDefault="00240B29" w:rsidP="00255AA3">
            <w:pPr>
              <w:pStyle w:val="E3Tabletext"/>
            </w:pPr>
            <w:r>
              <w:t>Harmonics</w:t>
            </w:r>
          </w:p>
        </w:tc>
        <w:tc>
          <w:tcPr>
            <w:tcW w:w="5569" w:type="dxa"/>
            <w:gridSpan w:val="10"/>
          </w:tcPr>
          <w:p w:rsidR="00240B29" w:rsidRPr="00C47C33" w:rsidRDefault="00240B29" w:rsidP="00255AA3">
            <w:pPr>
              <w:pStyle w:val="E3Tabletext"/>
            </w:pPr>
            <w:r>
              <w:t>Comply with standard</w:t>
            </w:r>
          </w:p>
        </w:tc>
        <w:tc>
          <w:tcPr>
            <w:tcW w:w="2341" w:type="dxa"/>
          </w:tcPr>
          <w:p w:rsidR="00240B29" w:rsidRDefault="00240B29" w:rsidP="00255AA3">
            <w:pPr>
              <w:pStyle w:val="E3Tabletext"/>
            </w:pPr>
            <w:r>
              <w:t>IEC 61000-3-2</w:t>
            </w:r>
          </w:p>
        </w:tc>
      </w:tr>
      <w:tr w:rsidR="00240B29" w:rsidTr="00764F89">
        <w:trPr>
          <w:cantSplit/>
          <w:jc w:val="center"/>
        </w:trPr>
        <w:tc>
          <w:tcPr>
            <w:tcW w:w="1670" w:type="dxa"/>
          </w:tcPr>
          <w:p w:rsidR="00240B29" w:rsidRDefault="00240B29" w:rsidP="00255AA3">
            <w:pPr>
              <w:pStyle w:val="E3Tabletext"/>
            </w:pPr>
            <w:r>
              <w:t>Electromagnetic and radio interference</w:t>
            </w:r>
          </w:p>
        </w:tc>
        <w:tc>
          <w:tcPr>
            <w:tcW w:w="5569" w:type="dxa"/>
            <w:gridSpan w:val="10"/>
          </w:tcPr>
          <w:p w:rsidR="00240B29" w:rsidRPr="00C47C33" w:rsidRDefault="00240B29" w:rsidP="00255AA3">
            <w:pPr>
              <w:pStyle w:val="E3Tabletext"/>
            </w:pPr>
            <w:r>
              <w:t>Comply with standard</w:t>
            </w:r>
          </w:p>
        </w:tc>
        <w:tc>
          <w:tcPr>
            <w:tcW w:w="2341" w:type="dxa"/>
          </w:tcPr>
          <w:p w:rsidR="00240B29" w:rsidRDefault="00240B29" w:rsidP="00255AA3">
            <w:pPr>
              <w:pStyle w:val="E3Tabletext"/>
            </w:pPr>
            <w:r>
              <w:t>CISPR 15</w:t>
            </w:r>
          </w:p>
        </w:tc>
      </w:tr>
      <w:tr w:rsidR="00240B29" w:rsidTr="00764F89">
        <w:trPr>
          <w:cantSplit/>
          <w:jc w:val="center"/>
        </w:trPr>
        <w:tc>
          <w:tcPr>
            <w:tcW w:w="1670" w:type="dxa"/>
          </w:tcPr>
          <w:p w:rsidR="00240B29" w:rsidRDefault="00240B29" w:rsidP="00255AA3">
            <w:pPr>
              <w:pStyle w:val="E3Tabletext"/>
            </w:pPr>
            <w:r>
              <w:t>Electromagnetic Compatibility Immunity</w:t>
            </w:r>
          </w:p>
        </w:tc>
        <w:tc>
          <w:tcPr>
            <w:tcW w:w="5569" w:type="dxa"/>
            <w:gridSpan w:val="10"/>
          </w:tcPr>
          <w:p w:rsidR="00240B29" w:rsidRPr="00C47C33" w:rsidRDefault="00240B29" w:rsidP="00255AA3">
            <w:pPr>
              <w:pStyle w:val="E3Tabletext"/>
            </w:pPr>
            <w:r>
              <w:t>Comply with standard</w:t>
            </w:r>
          </w:p>
        </w:tc>
        <w:tc>
          <w:tcPr>
            <w:tcW w:w="2341" w:type="dxa"/>
          </w:tcPr>
          <w:p w:rsidR="00240B29" w:rsidRDefault="00240B29" w:rsidP="00255AA3">
            <w:pPr>
              <w:pStyle w:val="E3Tabletext"/>
            </w:pPr>
            <w:r>
              <w:t>IEC 61547</w:t>
            </w:r>
          </w:p>
        </w:tc>
      </w:tr>
      <w:tr w:rsidR="00240B29" w:rsidTr="00764F89">
        <w:trPr>
          <w:cantSplit/>
          <w:jc w:val="center"/>
        </w:trPr>
        <w:tc>
          <w:tcPr>
            <w:tcW w:w="1670" w:type="dxa"/>
          </w:tcPr>
          <w:p w:rsidR="00240B29" w:rsidRDefault="00240B29" w:rsidP="00255AA3">
            <w:pPr>
              <w:pStyle w:val="E3Tabletext"/>
            </w:pPr>
            <w:r>
              <w:t>Transient protection</w:t>
            </w:r>
          </w:p>
        </w:tc>
        <w:tc>
          <w:tcPr>
            <w:tcW w:w="5569" w:type="dxa"/>
            <w:gridSpan w:val="10"/>
          </w:tcPr>
          <w:p w:rsidR="00240B29" w:rsidRPr="00C47C33" w:rsidRDefault="00240B29" w:rsidP="00255AA3">
            <w:pPr>
              <w:pStyle w:val="E3Tabletext"/>
            </w:pPr>
            <w:r>
              <w:t>Comply with standard</w:t>
            </w:r>
          </w:p>
        </w:tc>
        <w:tc>
          <w:tcPr>
            <w:tcW w:w="2341" w:type="dxa"/>
          </w:tcPr>
          <w:p w:rsidR="00240B29" w:rsidRDefault="00240B29" w:rsidP="00255AA3">
            <w:pPr>
              <w:pStyle w:val="E3Tabletext"/>
            </w:pPr>
            <w:r>
              <w:t>IEC 61547</w:t>
            </w:r>
          </w:p>
        </w:tc>
      </w:tr>
    </w:tbl>
    <w:p w:rsidR="005B20EC" w:rsidRDefault="005B20EC" w:rsidP="00E65B09">
      <w:pPr>
        <w:pStyle w:val="E3Heading4"/>
        <w:numPr>
          <w:ilvl w:val="0"/>
          <w:numId w:val="0"/>
        </w:numPr>
      </w:pPr>
      <w:bookmarkStart w:id="336" w:name="_Toc389123386"/>
    </w:p>
    <w:p w:rsidR="00334066" w:rsidRDefault="00334066" w:rsidP="00E65B09">
      <w:pPr>
        <w:pStyle w:val="E3Heading4"/>
        <w:numPr>
          <w:ilvl w:val="0"/>
          <w:numId w:val="0"/>
        </w:numPr>
      </w:pPr>
      <w:r w:rsidRPr="00916239">
        <w:t>International Energy Agency, Energy Efficient End-use Equipment, Solid State Lighting</w:t>
      </w:r>
      <w:r>
        <w:t xml:space="preserve"> (IEA 4E SSL)</w:t>
      </w:r>
      <w:bookmarkEnd w:id="336"/>
    </w:p>
    <w:p w:rsidR="00334066" w:rsidRDefault="00334066" w:rsidP="000E3705">
      <w:pPr>
        <w:pStyle w:val="E3BodyText"/>
        <w:rPr>
          <w:lang w:eastAsia="en-AU"/>
        </w:rPr>
      </w:pPr>
      <w:r>
        <w:rPr>
          <w:lang w:eastAsia="en-AU"/>
        </w:rPr>
        <w:t>This program is still active and ongoing in the development of tiered performance requirements for LED lighting products and as such has not been adopted by any economy at this stage.</w:t>
      </w:r>
    </w:p>
    <w:p w:rsidR="00334066" w:rsidRPr="00310986" w:rsidRDefault="00334066" w:rsidP="00E65B09">
      <w:pPr>
        <w:pStyle w:val="E3Heading4"/>
        <w:numPr>
          <w:ilvl w:val="0"/>
          <w:numId w:val="0"/>
        </w:numPr>
        <w:ind w:left="1008" w:hanging="1008"/>
        <w:rPr>
          <w:lang w:eastAsia="en-AU"/>
        </w:rPr>
      </w:pPr>
      <w:r w:rsidRPr="00310986">
        <w:rPr>
          <w:lang w:eastAsia="en-AU"/>
        </w:rPr>
        <w:t>Scope</w:t>
      </w:r>
    </w:p>
    <w:p w:rsidR="00334066" w:rsidRDefault="00334066" w:rsidP="000E3705">
      <w:pPr>
        <w:pStyle w:val="E3BodyText"/>
        <w:rPr>
          <w:i/>
        </w:rPr>
      </w:pPr>
      <w:r>
        <w:t xml:space="preserve">The current 4E SSL performance criteria apply </w:t>
      </w:r>
      <w:r w:rsidR="00F966C3">
        <w:t>to generic</w:t>
      </w:r>
      <w:r>
        <w:t>:</w:t>
      </w:r>
    </w:p>
    <w:p w:rsidR="00334066" w:rsidRDefault="00334066" w:rsidP="00F1452F">
      <w:pPr>
        <w:pStyle w:val="E3BodyText"/>
        <w:numPr>
          <w:ilvl w:val="0"/>
          <w:numId w:val="27"/>
        </w:numPr>
      </w:pPr>
      <w:r>
        <w:t>Non directional lamps for indoor residential applications</w:t>
      </w:r>
    </w:p>
    <w:p w:rsidR="00334066" w:rsidRDefault="00334066" w:rsidP="00F1452F">
      <w:pPr>
        <w:pStyle w:val="E3BodyText"/>
        <w:numPr>
          <w:ilvl w:val="0"/>
          <w:numId w:val="27"/>
        </w:numPr>
      </w:pPr>
      <w:r>
        <w:t>Directional lamps for indoor residential applications</w:t>
      </w:r>
    </w:p>
    <w:p w:rsidR="00334066" w:rsidRDefault="00334066" w:rsidP="00F1452F">
      <w:pPr>
        <w:pStyle w:val="E3BodyText"/>
        <w:numPr>
          <w:ilvl w:val="0"/>
          <w:numId w:val="27"/>
        </w:numPr>
      </w:pPr>
      <w:r>
        <w:t>Downlight luminaires</w:t>
      </w:r>
    </w:p>
    <w:p w:rsidR="00334066" w:rsidRDefault="00334066" w:rsidP="00F1452F">
      <w:pPr>
        <w:pStyle w:val="E3BodyText"/>
        <w:numPr>
          <w:ilvl w:val="0"/>
          <w:numId w:val="27"/>
        </w:numPr>
      </w:pPr>
      <w:r>
        <w:t>Linear fluorescent LED replacement lamps</w:t>
      </w:r>
    </w:p>
    <w:p w:rsidR="00334066" w:rsidRPr="005C2A7A" w:rsidRDefault="00334066" w:rsidP="00F1452F">
      <w:pPr>
        <w:pStyle w:val="E3BodyText"/>
        <w:numPr>
          <w:ilvl w:val="0"/>
          <w:numId w:val="27"/>
        </w:numPr>
      </w:pPr>
      <w:r>
        <w:t>Streetlight</w:t>
      </w:r>
    </w:p>
    <w:p w:rsidR="00334066" w:rsidRDefault="00334066" w:rsidP="00E65B09">
      <w:pPr>
        <w:pStyle w:val="E3Heading4"/>
        <w:numPr>
          <w:ilvl w:val="0"/>
          <w:numId w:val="0"/>
        </w:numPr>
        <w:ind w:left="1008" w:hanging="1008"/>
        <w:rPr>
          <w:lang w:eastAsia="en-AU"/>
        </w:rPr>
      </w:pPr>
      <w:r>
        <w:rPr>
          <w:lang w:eastAsia="en-AU"/>
        </w:rPr>
        <w:t>Performance requirements</w:t>
      </w:r>
    </w:p>
    <w:p w:rsidR="00334066" w:rsidRDefault="00334066" w:rsidP="00337955">
      <w:pPr>
        <w:pStyle w:val="E3BodyText"/>
        <w:rPr>
          <w:lang w:eastAsia="en-AU"/>
        </w:rPr>
      </w:pPr>
      <w:r>
        <w:rPr>
          <w:lang w:eastAsia="en-AU"/>
        </w:rPr>
        <w:t>Non-directional Lamps</w:t>
      </w:r>
    </w:p>
    <w:tbl>
      <w:tblPr>
        <w:tblW w:w="0" w:type="auto"/>
        <w:jc w:val="center"/>
        <w:tblLayout w:type="fixed"/>
        <w:tblCellMar>
          <w:top w:w="28" w:type="dxa"/>
          <w:left w:w="28" w:type="dxa"/>
          <w:bottom w:w="28" w:type="dxa"/>
          <w:right w:w="28" w:type="dxa"/>
        </w:tblCellMar>
        <w:tblLook w:val="01E0" w:firstRow="1" w:lastRow="1" w:firstColumn="1" w:lastColumn="1" w:noHBand="0" w:noVBand="0"/>
      </w:tblPr>
      <w:tblGrid>
        <w:gridCol w:w="1162"/>
        <w:gridCol w:w="1276"/>
        <w:gridCol w:w="1134"/>
        <w:gridCol w:w="1276"/>
        <w:gridCol w:w="1276"/>
        <w:gridCol w:w="1275"/>
        <w:gridCol w:w="1107"/>
        <w:gridCol w:w="1189"/>
      </w:tblGrid>
      <w:tr w:rsidR="00D250F1" w:rsidTr="001C7E9A">
        <w:trPr>
          <w:cantSplit/>
          <w:tblHeader/>
          <w:jc w:val="center"/>
        </w:trPr>
        <w:tc>
          <w:tcPr>
            <w:tcW w:w="1162" w:type="dxa"/>
            <w:tcBorders>
              <w:top w:val="single" w:sz="6" w:space="0" w:color="000000"/>
              <w:left w:val="single" w:sz="6" w:space="0" w:color="000000"/>
              <w:bottom w:val="single" w:sz="6" w:space="0" w:color="000000"/>
              <w:right w:val="single" w:sz="6" w:space="0" w:color="000000"/>
            </w:tcBorders>
            <w:shd w:val="clear" w:color="auto" w:fill="000000" w:themeFill="text1"/>
          </w:tcPr>
          <w:p w:rsidR="005D1C88" w:rsidRDefault="005D1C88" w:rsidP="005D1C88">
            <w:pPr>
              <w:pStyle w:val="E3TableHeading"/>
              <w:rPr>
                <w:rFonts w:eastAsia="Arial" w:hAnsi="Arial" w:cs="Arial"/>
                <w:szCs w:val="13"/>
              </w:rPr>
            </w:pPr>
            <w:r>
              <w:rPr>
                <w:w w:val="105"/>
              </w:rPr>
              <w:t>Tier</w:t>
            </w:r>
          </w:p>
        </w:tc>
        <w:tc>
          <w:tcPr>
            <w:tcW w:w="1276" w:type="dxa"/>
            <w:tcBorders>
              <w:top w:val="single" w:sz="6" w:space="0" w:color="000000"/>
              <w:left w:val="single" w:sz="6" w:space="0" w:color="000000"/>
              <w:bottom w:val="single" w:sz="6" w:space="0" w:color="000000"/>
              <w:right w:val="single" w:sz="6" w:space="0" w:color="000000"/>
            </w:tcBorders>
            <w:shd w:val="clear" w:color="auto" w:fill="000000" w:themeFill="text1"/>
          </w:tcPr>
          <w:p w:rsidR="005D1C88" w:rsidRDefault="005D1C88" w:rsidP="005D1C88">
            <w:pPr>
              <w:pStyle w:val="E3TableHeading"/>
              <w:rPr>
                <w:rFonts w:eastAsia="Arial" w:hAnsi="Arial" w:cs="Arial"/>
                <w:szCs w:val="13"/>
              </w:rPr>
            </w:pPr>
            <w:r>
              <w:rPr>
                <w:w w:val="105"/>
              </w:rPr>
              <w:t>Tier0</w:t>
            </w:r>
          </w:p>
        </w:tc>
        <w:tc>
          <w:tcPr>
            <w:tcW w:w="2410" w:type="dxa"/>
            <w:gridSpan w:val="2"/>
            <w:tcBorders>
              <w:top w:val="single" w:sz="6" w:space="0" w:color="000000"/>
              <w:left w:val="single" w:sz="6" w:space="0" w:color="000000"/>
              <w:bottom w:val="single" w:sz="4" w:space="0" w:color="auto"/>
              <w:right w:val="single" w:sz="6" w:space="0" w:color="000000"/>
            </w:tcBorders>
            <w:shd w:val="clear" w:color="auto" w:fill="000000" w:themeFill="text1"/>
          </w:tcPr>
          <w:p w:rsidR="005D1C88" w:rsidRDefault="005D1C88" w:rsidP="005D1C88">
            <w:pPr>
              <w:pStyle w:val="E3TableHeading"/>
              <w:rPr>
                <w:rFonts w:eastAsia="Arial" w:hAnsi="Arial" w:cs="Arial"/>
                <w:szCs w:val="13"/>
              </w:rPr>
            </w:pPr>
            <w:r>
              <w:rPr>
                <w:w w:val="105"/>
              </w:rPr>
              <w:t>Tier1</w:t>
            </w:r>
          </w:p>
        </w:tc>
        <w:tc>
          <w:tcPr>
            <w:tcW w:w="2551" w:type="dxa"/>
            <w:gridSpan w:val="2"/>
            <w:tcBorders>
              <w:top w:val="single" w:sz="6" w:space="0" w:color="000000"/>
              <w:left w:val="single" w:sz="6" w:space="0" w:color="000000"/>
              <w:bottom w:val="single" w:sz="4" w:space="0" w:color="auto"/>
              <w:right w:val="single" w:sz="6" w:space="0" w:color="000000"/>
            </w:tcBorders>
            <w:shd w:val="clear" w:color="auto" w:fill="000000" w:themeFill="text1"/>
          </w:tcPr>
          <w:p w:rsidR="005D1C88" w:rsidRDefault="005D1C88" w:rsidP="005D1C88">
            <w:pPr>
              <w:pStyle w:val="E3TableHeading"/>
              <w:rPr>
                <w:rFonts w:eastAsia="Arial" w:hAnsi="Arial" w:cs="Arial"/>
                <w:szCs w:val="13"/>
              </w:rPr>
            </w:pPr>
            <w:r>
              <w:rPr>
                <w:w w:val="105"/>
              </w:rPr>
              <w:t>Tier2</w:t>
            </w:r>
          </w:p>
        </w:tc>
        <w:tc>
          <w:tcPr>
            <w:tcW w:w="2296" w:type="dxa"/>
            <w:gridSpan w:val="2"/>
            <w:tcBorders>
              <w:top w:val="single" w:sz="6" w:space="0" w:color="000000"/>
              <w:left w:val="single" w:sz="6" w:space="0" w:color="000000"/>
              <w:bottom w:val="single" w:sz="4" w:space="0" w:color="auto"/>
              <w:right w:val="single" w:sz="6" w:space="0" w:color="000000"/>
            </w:tcBorders>
            <w:shd w:val="clear" w:color="auto" w:fill="000000" w:themeFill="text1"/>
          </w:tcPr>
          <w:p w:rsidR="005D1C88" w:rsidRDefault="005D1C88" w:rsidP="005D1C88">
            <w:pPr>
              <w:pStyle w:val="E3TableHeading"/>
              <w:rPr>
                <w:rFonts w:eastAsia="Arial" w:hAnsi="Arial" w:cs="Arial"/>
                <w:szCs w:val="13"/>
              </w:rPr>
            </w:pPr>
            <w:r>
              <w:rPr>
                <w:w w:val="105"/>
              </w:rPr>
              <w:t>Tier3</w:t>
            </w:r>
          </w:p>
        </w:tc>
      </w:tr>
      <w:tr w:rsidR="001C7E9A" w:rsidTr="001C7E9A">
        <w:trPr>
          <w:cantSplit/>
          <w:trHeight w:val="225"/>
          <w:jc w:val="center"/>
        </w:trPr>
        <w:tc>
          <w:tcPr>
            <w:tcW w:w="1162" w:type="dxa"/>
            <w:vMerge w:val="restart"/>
            <w:tcBorders>
              <w:top w:val="single" w:sz="6" w:space="0" w:color="000000"/>
              <w:left w:val="single" w:sz="6" w:space="0" w:color="000000"/>
              <w:right w:val="single" w:sz="6" w:space="0" w:color="000000"/>
            </w:tcBorders>
          </w:tcPr>
          <w:p w:rsidR="0065678A" w:rsidRDefault="0065678A" w:rsidP="005D1C88">
            <w:pPr>
              <w:pStyle w:val="E3TableSubHeading"/>
              <w:rPr>
                <w:rFonts w:eastAsia="Arial" w:hAnsi="Arial" w:cs="Arial"/>
                <w:szCs w:val="13"/>
              </w:rPr>
            </w:pPr>
            <w:r>
              <w:rPr>
                <w:spacing w:val="-1"/>
                <w:w w:val="105"/>
              </w:rPr>
              <w:t>Claimed</w:t>
            </w:r>
            <w:r w:rsidR="001C7E9A">
              <w:rPr>
                <w:spacing w:val="-1"/>
                <w:w w:val="105"/>
              </w:rPr>
              <w:t xml:space="preserve"> </w:t>
            </w:r>
            <w:r>
              <w:rPr>
                <w:spacing w:val="-1"/>
                <w:w w:val="105"/>
              </w:rPr>
              <w:t>equivalent</w:t>
            </w:r>
            <w:r w:rsidR="001C7E9A">
              <w:rPr>
                <w:spacing w:val="-1"/>
                <w:w w:val="105"/>
              </w:rPr>
              <w:t xml:space="preserve"> </w:t>
            </w:r>
            <w:r>
              <w:rPr>
                <w:w w:val="105"/>
              </w:rPr>
              <w:t>wattage(W)</w:t>
            </w:r>
            <w:r w:rsidR="001C7E9A">
              <w:rPr>
                <w:w w:val="105"/>
              </w:rPr>
              <w:t xml:space="preserve"> </w:t>
            </w:r>
            <w:r>
              <w:rPr>
                <w:spacing w:val="-1"/>
                <w:w w:val="105"/>
              </w:rPr>
              <w:t>and</w:t>
            </w:r>
            <w:r w:rsidR="001C7E9A">
              <w:rPr>
                <w:spacing w:val="-1"/>
                <w:w w:val="105"/>
              </w:rPr>
              <w:t xml:space="preserve"> </w:t>
            </w:r>
            <w:r>
              <w:rPr>
                <w:spacing w:val="-1"/>
                <w:w w:val="105"/>
              </w:rPr>
              <w:t>minimal</w:t>
            </w:r>
            <w:r w:rsidR="001C7E9A">
              <w:rPr>
                <w:spacing w:val="-1"/>
                <w:w w:val="105"/>
              </w:rPr>
              <w:t xml:space="preserve"> </w:t>
            </w:r>
            <w:r>
              <w:rPr>
                <w:w w:val="105"/>
              </w:rPr>
              <w:t>initial</w:t>
            </w:r>
            <w:r w:rsidR="001C7E9A">
              <w:rPr>
                <w:w w:val="105"/>
              </w:rPr>
              <w:t xml:space="preserve"> </w:t>
            </w:r>
            <w:r>
              <w:rPr>
                <w:w w:val="105"/>
              </w:rPr>
              <w:t>light</w:t>
            </w:r>
            <w:r w:rsidR="001C7E9A">
              <w:rPr>
                <w:w w:val="105"/>
              </w:rPr>
              <w:t xml:space="preserve"> </w:t>
            </w:r>
            <w:r>
              <w:rPr>
                <w:w w:val="105"/>
              </w:rPr>
              <w:t>output</w:t>
            </w:r>
            <w:r w:rsidR="001C7E9A">
              <w:rPr>
                <w:w w:val="105"/>
              </w:rPr>
              <w:t xml:space="preserve"> </w:t>
            </w:r>
            <w:r w:rsidR="00B827D0">
              <w:rPr>
                <w:w w:val="105"/>
              </w:rPr>
              <w:t>(lumens)</w:t>
            </w:r>
          </w:p>
        </w:tc>
        <w:tc>
          <w:tcPr>
            <w:tcW w:w="1276" w:type="dxa"/>
            <w:vMerge w:val="restart"/>
            <w:tcBorders>
              <w:top w:val="single" w:sz="6" w:space="0" w:color="000000"/>
              <w:left w:val="single" w:sz="6" w:space="0" w:color="000000"/>
              <w:right w:val="single" w:sz="4" w:space="0" w:color="auto"/>
            </w:tcBorders>
          </w:tcPr>
          <w:p w:rsidR="0065678A" w:rsidRDefault="0065678A" w:rsidP="00255AA3">
            <w:pPr>
              <w:pStyle w:val="E3Tabletext"/>
              <w:rPr>
                <w:rFonts w:eastAsia="Arial" w:hAnsi="Arial" w:cs="Arial"/>
                <w:szCs w:val="13"/>
              </w:rPr>
            </w:pPr>
            <w:r>
              <w:rPr>
                <w:w w:val="105"/>
              </w:rPr>
              <w:t>N/A:</w:t>
            </w:r>
            <w:r w:rsidR="001C7E9A">
              <w:rPr>
                <w:w w:val="105"/>
              </w:rPr>
              <w:t xml:space="preserve"> </w:t>
            </w:r>
            <w:r>
              <w:rPr>
                <w:w w:val="105"/>
              </w:rPr>
              <w:t>a</w:t>
            </w:r>
            <w:r w:rsidR="001C7E9A">
              <w:rPr>
                <w:w w:val="105"/>
              </w:rPr>
              <w:t xml:space="preserve"> </w:t>
            </w:r>
            <w:r>
              <w:rPr>
                <w:w w:val="105"/>
              </w:rPr>
              <w:t>large</w:t>
            </w:r>
            <w:r w:rsidR="001C7E9A">
              <w:rPr>
                <w:w w:val="105"/>
              </w:rPr>
              <w:t xml:space="preserve"> </w:t>
            </w:r>
            <w:r>
              <w:rPr>
                <w:w w:val="105"/>
              </w:rPr>
              <w:t>number</w:t>
            </w:r>
            <w:r w:rsidR="001C7E9A">
              <w:rPr>
                <w:w w:val="105"/>
              </w:rPr>
              <w:t xml:space="preserve"> </w:t>
            </w:r>
            <w:r>
              <w:rPr>
                <w:w w:val="105"/>
              </w:rPr>
              <w:t>of</w:t>
            </w:r>
            <w:r w:rsidR="001C7E9A">
              <w:rPr>
                <w:w w:val="105"/>
              </w:rPr>
              <w:t xml:space="preserve"> </w:t>
            </w:r>
            <w:r>
              <w:rPr>
                <w:w w:val="105"/>
              </w:rPr>
              <w:t>these</w:t>
            </w:r>
            <w:r w:rsidR="001C7E9A">
              <w:rPr>
                <w:w w:val="105"/>
              </w:rPr>
              <w:t xml:space="preserve"> </w:t>
            </w:r>
            <w:r>
              <w:rPr>
                <w:w w:val="105"/>
              </w:rPr>
              <w:t>products</w:t>
            </w:r>
            <w:r w:rsidR="001C7E9A">
              <w:rPr>
                <w:w w:val="105"/>
              </w:rPr>
              <w:t xml:space="preserve"> </w:t>
            </w:r>
            <w:r>
              <w:rPr>
                <w:w w:val="105"/>
              </w:rPr>
              <w:t>will</w:t>
            </w:r>
            <w:r w:rsidR="001C7E9A">
              <w:rPr>
                <w:w w:val="105"/>
              </w:rPr>
              <w:t xml:space="preserve"> </w:t>
            </w:r>
            <w:r>
              <w:rPr>
                <w:w w:val="105"/>
              </w:rPr>
              <w:t>be</w:t>
            </w:r>
            <w:r w:rsidR="001C7E9A">
              <w:rPr>
                <w:w w:val="105"/>
              </w:rPr>
              <w:t xml:space="preserve"> </w:t>
            </w:r>
            <w:r>
              <w:rPr>
                <w:w w:val="105"/>
              </w:rPr>
              <w:t>used</w:t>
            </w:r>
            <w:r w:rsidR="001C7E9A">
              <w:rPr>
                <w:w w:val="105"/>
              </w:rPr>
              <w:t xml:space="preserve"> </w:t>
            </w:r>
            <w:r>
              <w:rPr>
                <w:w w:val="105"/>
              </w:rPr>
              <w:t>in</w:t>
            </w:r>
            <w:r w:rsidR="001C7E9A">
              <w:rPr>
                <w:w w:val="105"/>
              </w:rPr>
              <w:t xml:space="preserve"> </w:t>
            </w:r>
            <w:r>
              <w:rPr>
                <w:w w:val="105"/>
              </w:rPr>
              <w:t>off</w:t>
            </w:r>
            <w:r w:rsidR="001C7E9A">
              <w:rPr>
                <w:w w:val="105"/>
              </w:rPr>
              <w:t>-</w:t>
            </w:r>
            <w:r>
              <w:rPr>
                <w:w w:val="105"/>
              </w:rPr>
              <w:t>grid</w:t>
            </w:r>
            <w:r w:rsidR="001C7E9A">
              <w:rPr>
                <w:w w:val="105"/>
              </w:rPr>
              <w:t xml:space="preserve"> </w:t>
            </w:r>
            <w:r>
              <w:rPr>
                <w:w w:val="105"/>
              </w:rPr>
              <w:t>applications</w:t>
            </w:r>
            <w:r w:rsidR="001C7E9A">
              <w:rPr>
                <w:w w:val="105"/>
              </w:rPr>
              <w:t xml:space="preserve"> </w:t>
            </w:r>
            <w:r>
              <w:rPr>
                <w:w w:val="105"/>
              </w:rPr>
              <w:t>where</w:t>
            </w:r>
            <w:r w:rsidR="001C7E9A">
              <w:rPr>
                <w:w w:val="105"/>
              </w:rPr>
              <w:t xml:space="preserve"> </w:t>
            </w:r>
            <w:r>
              <w:rPr>
                <w:w w:val="105"/>
              </w:rPr>
              <w:t>light</w:t>
            </w:r>
            <w:r w:rsidR="001C7E9A">
              <w:rPr>
                <w:w w:val="105"/>
              </w:rPr>
              <w:t xml:space="preserve"> </w:t>
            </w:r>
            <w:r>
              <w:rPr>
                <w:w w:val="105"/>
              </w:rPr>
              <w:t>has</w:t>
            </w:r>
            <w:r w:rsidR="001C7E9A">
              <w:rPr>
                <w:w w:val="105"/>
              </w:rPr>
              <w:t xml:space="preserve"> </w:t>
            </w:r>
            <w:r>
              <w:rPr>
                <w:w w:val="105"/>
              </w:rPr>
              <w:t>never</w:t>
            </w:r>
            <w:r w:rsidR="001C7E9A">
              <w:rPr>
                <w:w w:val="105"/>
              </w:rPr>
              <w:t xml:space="preserve"> </w:t>
            </w:r>
            <w:r>
              <w:rPr>
                <w:w w:val="105"/>
              </w:rPr>
              <w:t>been</w:t>
            </w:r>
            <w:r w:rsidR="001C7E9A">
              <w:rPr>
                <w:w w:val="105"/>
              </w:rPr>
              <w:t xml:space="preserve"> </w:t>
            </w:r>
            <w:r>
              <w:rPr>
                <w:w w:val="105"/>
              </w:rPr>
              <w:t>used</w:t>
            </w:r>
            <w:r w:rsidR="001C7E9A">
              <w:rPr>
                <w:w w:val="105"/>
              </w:rPr>
              <w:t xml:space="preserve"> </w:t>
            </w:r>
            <w:r>
              <w:rPr>
                <w:w w:val="105"/>
              </w:rPr>
              <w:t>before.</w:t>
            </w:r>
            <w:r w:rsidR="001C7E9A">
              <w:rPr>
                <w:w w:val="105"/>
              </w:rPr>
              <w:t xml:space="preserve"> </w:t>
            </w:r>
            <w:r>
              <w:rPr>
                <w:w w:val="105"/>
              </w:rPr>
              <w:t>Equivalency</w:t>
            </w:r>
            <w:r w:rsidR="001C7E9A">
              <w:rPr>
                <w:w w:val="105"/>
              </w:rPr>
              <w:t xml:space="preserve"> </w:t>
            </w:r>
            <w:r>
              <w:rPr>
                <w:w w:val="105"/>
              </w:rPr>
              <w:t>in</w:t>
            </w:r>
            <w:r w:rsidR="001C7E9A">
              <w:rPr>
                <w:w w:val="105"/>
              </w:rPr>
              <w:t xml:space="preserve"> </w:t>
            </w:r>
            <w:r>
              <w:rPr>
                <w:w w:val="105"/>
              </w:rPr>
              <w:t>these</w:t>
            </w:r>
            <w:r w:rsidR="001C7E9A">
              <w:rPr>
                <w:w w:val="105"/>
              </w:rPr>
              <w:t xml:space="preserve"> </w:t>
            </w:r>
            <w:r>
              <w:rPr>
                <w:w w:val="105"/>
              </w:rPr>
              <w:t>applications</w:t>
            </w:r>
            <w:r w:rsidR="001C7E9A">
              <w:rPr>
                <w:w w:val="105"/>
              </w:rPr>
              <w:t xml:space="preserve"> </w:t>
            </w:r>
            <w:r>
              <w:rPr>
                <w:w w:val="105"/>
              </w:rPr>
              <w:t>has</w:t>
            </w:r>
            <w:r w:rsidR="001C7E9A">
              <w:rPr>
                <w:w w:val="105"/>
              </w:rPr>
              <w:t xml:space="preserve"> </w:t>
            </w:r>
            <w:r>
              <w:rPr>
                <w:w w:val="105"/>
              </w:rPr>
              <w:t>no</w:t>
            </w:r>
            <w:r w:rsidR="001C7E9A">
              <w:rPr>
                <w:w w:val="105"/>
              </w:rPr>
              <w:t xml:space="preserve"> </w:t>
            </w:r>
            <w:r>
              <w:rPr>
                <w:w w:val="105"/>
              </w:rPr>
              <w:t>meaning.</w:t>
            </w:r>
          </w:p>
        </w:tc>
        <w:tc>
          <w:tcPr>
            <w:tcW w:w="1134"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rFonts w:eastAsia="Arial" w:hAnsi="Arial" w:cs="Arial"/>
                <w:szCs w:val="13"/>
              </w:rPr>
            </w:pPr>
            <w:r>
              <w:rPr>
                <w:w w:val="105"/>
              </w:rPr>
              <w:t>20W</w:t>
            </w:r>
          </w:p>
        </w:tc>
        <w:tc>
          <w:tcPr>
            <w:tcW w:w="1276"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rFonts w:eastAsia="Arial" w:hAnsi="Arial" w:cs="Arial"/>
                <w:szCs w:val="13"/>
              </w:rPr>
            </w:pPr>
            <w:r>
              <w:rPr>
                <w:w w:val="105"/>
              </w:rPr>
              <w:t>170lm</w:t>
            </w:r>
          </w:p>
        </w:tc>
        <w:tc>
          <w:tcPr>
            <w:tcW w:w="1276"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rFonts w:eastAsia="Arial" w:hAnsi="Arial" w:cs="Arial"/>
                <w:szCs w:val="13"/>
              </w:rPr>
            </w:pPr>
            <w:r>
              <w:rPr>
                <w:w w:val="105"/>
              </w:rPr>
              <w:t>20W</w:t>
            </w:r>
          </w:p>
        </w:tc>
        <w:tc>
          <w:tcPr>
            <w:tcW w:w="1275"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rFonts w:eastAsia="Arial" w:hAnsi="Arial" w:cs="Arial"/>
                <w:szCs w:val="13"/>
              </w:rPr>
            </w:pPr>
            <w:r>
              <w:rPr>
                <w:w w:val="105"/>
              </w:rPr>
              <w:t>170lm</w:t>
            </w:r>
          </w:p>
        </w:tc>
        <w:tc>
          <w:tcPr>
            <w:tcW w:w="1107"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rFonts w:eastAsia="Arial" w:hAnsi="Arial" w:cs="Arial"/>
                <w:szCs w:val="13"/>
              </w:rPr>
            </w:pPr>
            <w:r>
              <w:rPr>
                <w:w w:val="105"/>
              </w:rPr>
              <w:t>20W</w:t>
            </w:r>
          </w:p>
        </w:tc>
        <w:tc>
          <w:tcPr>
            <w:tcW w:w="1189"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rFonts w:eastAsia="Arial" w:hAnsi="Arial" w:cs="Arial"/>
                <w:szCs w:val="13"/>
              </w:rPr>
            </w:pPr>
            <w:r>
              <w:rPr>
                <w:w w:val="105"/>
              </w:rPr>
              <w:t>170lm</w:t>
            </w:r>
          </w:p>
        </w:tc>
      </w:tr>
      <w:tr w:rsidR="001C7E9A" w:rsidTr="001C7E9A">
        <w:trPr>
          <w:cantSplit/>
          <w:trHeight w:val="225"/>
          <w:jc w:val="center"/>
        </w:trPr>
        <w:tc>
          <w:tcPr>
            <w:tcW w:w="1162" w:type="dxa"/>
            <w:vMerge/>
            <w:tcBorders>
              <w:left w:val="single" w:sz="6" w:space="0" w:color="000000"/>
              <w:right w:val="single" w:sz="6" w:space="0" w:color="000000"/>
            </w:tcBorders>
          </w:tcPr>
          <w:p w:rsidR="0065678A" w:rsidRDefault="0065678A" w:rsidP="005D1C88">
            <w:pPr>
              <w:pStyle w:val="E3TableSubHeading"/>
              <w:rPr>
                <w:spacing w:val="-1"/>
                <w:w w:val="105"/>
              </w:rPr>
            </w:pPr>
          </w:p>
        </w:tc>
        <w:tc>
          <w:tcPr>
            <w:tcW w:w="1276" w:type="dxa"/>
            <w:vMerge/>
            <w:tcBorders>
              <w:left w:val="single" w:sz="6" w:space="0" w:color="000000"/>
              <w:right w:val="single" w:sz="4" w:space="0" w:color="auto"/>
            </w:tcBorders>
          </w:tcPr>
          <w:p w:rsidR="0065678A" w:rsidRDefault="0065678A" w:rsidP="00255AA3">
            <w:pPr>
              <w:pStyle w:val="E3Tabletext"/>
              <w:rPr>
                <w:w w:val="105"/>
              </w:rPr>
            </w:pPr>
          </w:p>
        </w:tc>
        <w:tc>
          <w:tcPr>
            <w:tcW w:w="1134"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25W</w:t>
            </w:r>
          </w:p>
        </w:tc>
        <w:tc>
          <w:tcPr>
            <w:tcW w:w="1276"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250lm</w:t>
            </w:r>
          </w:p>
        </w:tc>
        <w:tc>
          <w:tcPr>
            <w:tcW w:w="1276"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25W</w:t>
            </w:r>
          </w:p>
        </w:tc>
        <w:tc>
          <w:tcPr>
            <w:tcW w:w="1275"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250lm</w:t>
            </w:r>
          </w:p>
        </w:tc>
        <w:tc>
          <w:tcPr>
            <w:tcW w:w="1107"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25W</w:t>
            </w:r>
          </w:p>
        </w:tc>
        <w:tc>
          <w:tcPr>
            <w:tcW w:w="1189"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250lm</w:t>
            </w:r>
          </w:p>
        </w:tc>
      </w:tr>
      <w:tr w:rsidR="001C7E9A" w:rsidTr="001C7E9A">
        <w:trPr>
          <w:cantSplit/>
          <w:trHeight w:val="225"/>
          <w:jc w:val="center"/>
        </w:trPr>
        <w:tc>
          <w:tcPr>
            <w:tcW w:w="1162" w:type="dxa"/>
            <w:vMerge/>
            <w:tcBorders>
              <w:left w:val="single" w:sz="6" w:space="0" w:color="000000"/>
              <w:right w:val="single" w:sz="6" w:space="0" w:color="000000"/>
            </w:tcBorders>
          </w:tcPr>
          <w:p w:rsidR="0065678A" w:rsidRDefault="0065678A" w:rsidP="005D1C88">
            <w:pPr>
              <w:pStyle w:val="E3TableSubHeading"/>
              <w:rPr>
                <w:spacing w:val="-1"/>
                <w:w w:val="105"/>
              </w:rPr>
            </w:pPr>
          </w:p>
        </w:tc>
        <w:tc>
          <w:tcPr>
            <w:tcW w:w="1276" w:type="dxa"/>
            <w:vMerge/>
            <w:tcBorders>
              <w:left w:val="single" w:sz="6" w:space="0" w:color="000000"/>
              <w:right w:val="single" w:sz="4" w:space="0" w:color="auto"/>
            </w:tcBorders>
          </w:tcPr>
          <w:p w:rsidR="0065678A" w:rsidRDefault="0065678A" w:rsidP="00255AA3">
            <w:pPr>
              <w:pStyle w:val="E3Tabletext"/>
              <w:rPr>
                <w:w w:val="105"/>
              </w:rPr>
            </w:pPr>
          </w:p>
        </w:tc>
        <w:tc>
          <w:tcPr>
            <w:tcW w:w="1134"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30W</w:t>
            </w:r>
          </w:p>
        </w:tc>
        <w:tc>
          <w:tcPr>
            <w:tcW w:w="1276"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325lm</w:t>
            </w:r>
          </w:p>
        </w:tc>
        <w:tc>
          <w:tcPr>
            <w:tcW w:w="1276"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30W</w:t>
            </w:r>
          </w:p>
        </w:tc>
        <w:tc>
          <w:tcPr>
            <w:tcW w:w="1275"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325lm</w:t>
            </w:r>
          </w:p>
        </w:tc>
        <w:tc>
          <w:tcPr>
            <w:tcW w:w="1107"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30W</w:t>
            </w:r>
          </w:p>
        </w:tc>
        <w:tc>
          <w:tcPr>
            <w:tcW w:w="1189"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325lm</w:t>
            </w:r>
          </w:p>
        </w:tc>
      </w:tr>
      <w:tr w:rsidR="001C7E9A" w:rsidTr="001C7E9A">
        <w:trPr>
          <w:cantSplit/>
          <w:trHeight w:val="225"/>
          <w:jc w:val="center"/>
        </w:trPr>
        <w:tc>
          <w:tcPr>
            <w:tcW w:w="1162" w:type="dxa"/>
            <w:vMerge/>
            <w:tcBorders>
              <w:left w:val="single" w:sz="6" w:space="0" w:color="000000"/>
              <w:right w:val="single" w:sz="6" w:space="0" w:color="000000"/>
            </w:tcBorders>
          </w:tcPr>
          <w:p w:rsidR="0065678A" w:rsidRDefault="0065678A" w:rsidP="005D1C88">
            <w:pPr>
              <w:pStyle w:val="E3TableSubHeading"/>
              <w:rPr>
                <w:spacing w:val="-1"/>
                <w:w w:val="105"/>
              </w:rPr>
            </w:pPr>
          </w:p>
        </w:tc>
        <w:tc>
          <w:tcPr>
            <w:tcW w:w="1276" w:type="dxa"/>
            <w:vMerge/>
            <w:tcBorders>
              <w:left w:val="single" w:sz="6" w:space="0" w:color="000000"/>
              <w:right w:val="single" w:sz="4" w:space="0" w:color="auto"/>
            </w:tcBorders>
          </w:tcPr>
          <w:p w:rsidR="0065678A" w:rsidRDefault="0065678A" w:rsidP="00255AA3">
            <w:pPr>
              <w:pStyle w:val="E3Tabletext"/>
              <w:rPr>
                <w:w w:val="105"/>
              </w:rPr>
            </w:pPr>
          </w:p>
        </w:tc>
        <w:tc>
          <w:tcPr>
            <w:tcW w:w="1134"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35W</w:t>
            </w:r>
          </w:p>
        </w:tc>
        <w:tc>
          <w:tcPr>
            <w:tcW w:w="1276"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395lm</w:t>
            </w:r>
          </w:p>
        </w:tc>
        <w:tc>
          <w:tcPr>
            <w:tcW w:w="1276"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35W</w:t>
            </w:r>
          </w:p>
        </w:tc>
        <w:tc>
          <w:tcPr>
            <w:tcW w:w="1275"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395lm</w:t>
            </w:r>
          </w:p>
        </w:tc>
        <w:tc>
          <w:tcPr>
            <w:tcW w:w="1107"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35W</w:t>
            </w:r>
          </w:p>
        </w:tc>
        <w:tc>
          <w:tcPr>
            <w:tcW w:w="1189"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395lm</w:t>
            </w:r>
          </w:p>
        </w:tc>
      </w:tr>
      <w:tr w:rsidR="001C7E9A" w:rsidTr="001C7E9A">
        <w:trPr>
          <w:cantSplit/>
          <w:trHeight w:val="225"/>
          <w:jc w:val="center"/>
        </w:trPr>
        <w:tc>
          <w:tcPr>
            <w:tcW w:w="1162" w:type="dxa"/>
            <w:vMerge/>
            <w:tcBorders>
              <w:left w:val="single" w:sz="6" w:space="0" w:color="000000"/>
              <w:right w:val="single" w:sz="6" w:space="0" w:color="000000"/>
            </w:tcBorders>
          </w:tcPr>
          <w:p w:rsidR="0065678A" w:rsidRDefault="0065678A" w:rsidP="005D1C88">
            <w:pPr>
              <w:pStyle w:val="E3TableSubHeading"/>
              <w:rPr>
                <w:spacing w:val="-1"/>
                <w:w w:val="105"/>
              </w:rPr>
            </w:pPr>
          </w:p>
        </w:tc>
        <w:tc>
          <w:tcPr>
            <w:tcW w:w="1276" w:type="dxa"/>
            <w:vMerge/>
            <w:tcBorders>
              <w:left w:val="single" w:sz="6" w:space="0" w:color="000000"/>
              <w:right w:val="single" w:sz="4" w:space="0" w:color="auto"/>
            </w:tcBorders>
          </w:tcPr>
          <w:p w:rsidR="0065678A" w:rsidRDefault="0065678A" w:rsidP="00255AA3">
            <w:pPr>
              <w:pStyle w:val="E3Tabletext"/>
              <w:rPr>
                <w:w w:val="105"/>
              </w:rPr>
            </w:pPr>
          </w:p>
        </w:tc>
        <w:tc>
          <w:tcPr>
            <w:tcW w:w="1134"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40W</w:t>
            </w:r>
          </w:p>
        </w:tc>
        <w:tc>
          <w:tcPr>
            <w:tcW w:w="1276"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470lm</w:t>
            </w:r>
          </w:p>
        </w:tc>
        <w:tc>
          <w:tcPr>
            <w:tcW w:w="1276"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40W</w:t>
            </w:r>
          </w:p>
        </w:tc>
        <w:tc>
          <w:tcPr>
            <w:tcW w:w="1275"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470lm</w:t>
            </w:r>
          </w:p>
        </w:tc>
        <w:tc>
          <w:tcPr>
            <w:tcW w:w="1107"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40W</w:t>
            </w:r>
          </w:p>
        </w:tc>
        <w:tc>
          <w:tcPr>
            <w:tcW w:w="1189"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470lm</w:t>
            </w:r>
          </w:p>
        </w:tc>
      </w:tr>
      <w:tr w:rsidR="001C7E9A" w:rsidTr="001C7E9A">
        <w:trPr>
          <w:cantSplit/>
          <w:trHeight w:val="225"/>
          <w:jc w:val="center"/>
        </w:trPr>
        <w:tc>
          <w:tcPr>
            <w:tcW w:w="1162" w:type="dxa"/>
            <w:vMerge/>
            <w:tcBorders>
              <w:left w:val="single" w:sz="6" w:space="0" w:color="000000"/>
              <w:right w:val="single" w:sz="6" w:space="0" w:color="000000"/>
            </w:tcBorders>
          </w:tcPr>
          <w:p w:rsidR="0065678A" w:rsidRDefault="0065678A" w:rsidP="005D1C88">
            <w:pPr>
              <w:pStyle w:val="E3TableSubHeading"/>
              <w:rPr>
                <w:spacing w:val="-1"/>
                <w:w w:val="105"/>
              </w:rPr>
            </w:pPr>
          </w:p>
        </w:tc>
        <w:tc>
          <w:tcPr>
            <w:tcW w:w="1276" w:type="dxa"/>
            <w:vMerge/>
            <w:tcBorders>
              <w:left w:val="single" w:sz="6" w:space="0" w:color="000000"/>
              <w:right w:val="single" w:sz="4" w:space="0" w:color="auto"/>
            </w:tcBorders>
          </w:tcPr>
          <w:p w:rsidR="0065678A" w:rsidRDefault="0065678A" w:rsidP="00255AA3">
            <w:pPr>
              <w:pStyle w:val="E3Tabletext"/>
              <w:rPr>
                <w:w w:val="105"/>
              </w:rPr>
            </w:pPr>
          </w:p>
        </w:tc>
        <w:tc>
          <w:tcPr>
            <w:tcW w:w="1134"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60W</w:t>
            </w:r>
          </w:p>
        </w:tc>
        <w:tc>
          <w:tcPr>
            <w:tcW w:w="1276"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800lm</w:t>
            </w:r>
          </w:p>
        </w:tc>
        <w:tc>
          <w:tcPr>
            <w:tcW w:w="1276"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60W</w:t>
            </w:r>
          </w:p>
        </w:tc>
        <w:tc>
          <w:tcPr>
            <w:tcW w:w="1275"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800lm</w:t>
            </w:r>
          </w:p>
        </w:tc>
        <w:tc>
          <w:tcPr>
            <w:tcW w:w="1107"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60W</w:t>
            </w:r>
          </w:p>
        </w:tc>
        <w:tc>
          <w:tcPr>
            <w:tcW w:w="1189"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800lm</w:t>
            </w:r>
          </w:p>
        </w:tc>
      </w:tr>
      <w:tr w:rsidR="001C7E9A" w:rsidTr="001C7E9A">
        <w:trPr>
          <w:cantSplit/>
          <w:trHeight w:val="225"/>
          <w:jc w:val="center"/>
        </w:trPr>
        <w:tc>
          <w:tcPr>
            <w:tcW w:w="1162" w:type="dxa"/>
            <w:vMerge/>
            <w:tcBorders>
              <w:left w:val="single" w:sz="6" w:space="0" w:color="000000"/>
              <w:right w:val="single" w:sz="6" w:space="0" w:color="000000"/>
            </w:tcBorders>
          </w:tcPr>
          <w:p w:rsidR="0065678A" w:rsidRDefault="0065678A" w:rsidP="005D1C88">
            <w:pPr>
              <w:pStyle w:val="E3TableSubHeading"/>
              <w:rPr>
                <w:spacing w:val="-1"/>
                <w:w w:val="105"/>
              </w:rPr>
            </w:pPr>
          </w:p>
        </w:tc>
        <w:tc>
          <w:tcPr>
            <w:tcW w:w="1276" w:type="dxa"/>
            <w:vMerge/>
            <w:tcBorders>
              <w:left w:val="single" w:sz="6" w:space="0" w:color="000000"/>
              <w:right w:val="single" w:sz="4" w:space="0" w:color="auto"/>
            </w:tcBorders>
          </w:tcPr>
          <w:p w:rsidR="0065678A" w:rsidRDefault="0065678A" w:rsidP="00255AA3">
            <w:pPr>
              <w:pStyle w:val="E3Tabletext"/>
              <w:rPr>
                <w:w w:val="105"/>
              </w:rPr>
            </w:pPr>
          </w:p>
        </w:tc>
        <w:tc>
          <w:tcPr>
            <w:tcW w:w="1134"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75W</w:t>
            </w:r>
          </w:p>
        </w:tc>
        <w:tc>
          <w:tcPr>
            <w:tcW w:w="1276"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1055lm</w:t>
            </w:r>
          </w:p>
        </w:tc>
        <w:tc>
          <w:tcPr>
            <w:tcW w:w="1276"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75W</w:t>
            </w:r>
          </w:p>
        </w:tc>
        <w:tc>
          <w:tcPr>
            <w:tcW w:w="1275"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1055lm</w:t>
            </w:r>
          </w:p>
        </w:tc>
        <w:tc>
          <w:tcPr>
            <w:tcW w:w="1107"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75W</w:t>
            </w:r>
          </w:p>
        </w:tc>
        <w:tc>
          <w:tcPr>
            <w:tcW w:w="1189"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1055lm</w:t>
            </w:r>
          </w:p>
        </w:tc>
      </w:tr>
      <w:tr w:rsidR="001C7E9A" w:rsidTr="001C7E9A">
        <w:trPr>
          <w:cantSplit/>
          <w:trHeight w:val="225"/>
          <w:jc w:val="center"/>
        </w:trPr>
        <w:tc>
          <w:tcPr>
            <w:tcW w:w="1162" w:type="dxa"/>
            <w:vMerge/>
            <w:tcBorders>
              <w:left w:val="single" w:sz="6" w:space="0" w:color="000000"/>
              <w:right w:val="single" w:sz="6" w:space="0" w:color="000000"/>
            </w:tcBorders>
          </w:tcPr>
          <w:p w:rsidR="0065678A" w:rsidRDefault="0065678A" w:rsidP="005D1C88">
            <w:pPr>
              <w:pStyle w:val="E3TableSubHeading"/>
              <w:rPr>
                <w:spacing w:val="-1"/>
                <w:w w:val="105"/>
              </w:rPr>
            </w:pPr>
          </w:p>
        </w:tc>
        <w:tc>
          <w:tcPr>
            <w:tcW w:w="1276" w:type="dxa"/>
            <w:vMerge/>
            <w:tcBorders>
              <w:left w:val="single" w:sz="6" w:space="0" w:color="000000"/>
              <w:right w:val="single" w:sz="4" w:space="0" w:color="auto"/>
            </w:tcBorders>
          </w:tcPr>
          <w:p w:rsidR="0065678A" w:rsidRDefault="0065678A" w:rsidP="00255AA3">
            <w:pPr>
              <w:pStyle w:val="E3Tabletext"/>
              <w:rPr>
                <w:w w:val="105"/>
              </w:rPr>
            </w:pPr>
          </w:p>
        </w:tc>
        <w:tc>
          <w:tcPr>
            <w:tcW w:w="1134"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100W</w:t>
            </w:r>
          </w:p>
        </w:tc>
        <w:tc>
          <w:tcPr>
            <w:tcW w:w="1276"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1520lm</w:t>
            </w:r>
          </w:p>
        </w:tc>
        <w:tc>
          <w:tcPr>
            <w:tcW w:w="1276"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100W</w:t>
            </w:r>
          </w:p>
        </w:tc>
        <w:tc>
          <w:tcPr>
            <w:tcW w:w="1275"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1520lm</w:t>
            </w:r>
          </w:p>
        </w:tc>
        <w:tc>
          <w:tcPr>
            <w:tcW w:w="1107"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100W</w:t>
            </w:r>
          </w:p>
        </w:tc>
        <w:tc>
          <w:tcPr>
            <w:tcW w:w="1189"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1520lm</w:t>
            </w:r>
          </w:p>
        </w:tc>
      </w:tr>
      <w:tr w:rsidR="001C7E9A" w:rsidTr="001C7E9A">
        <w:trPr>
          <w:cantSplit/>
          <w:trHeight w:val="225"/>
          <w:jc w:val="center"/>
        </w:trPr>
        <w:tc>
          <w:tcPr>
            <w:tcW w:w="1162" w:type="dxa"/>
            <w:vMerge/>
            <w:tcBorders>
              <w:left w:val="single" w:sz="6" w:space="0" w:color="000000"/>
              <w:right w:val="single" w:sz="6" w:space="0" w:color="000000"/>
            </w:tcBorders>
          </w:tcPr>
          <w:p w:rsidR="0065678A" w:rsidRDefault="0065678A" w:rsidP="005D1C88">
            <w:pPr>
              <w:pStyle w:val="E3TableSubHeading"/>
              <w:rPr>
                <w:spacing w:val="-1"/>
                <w:w w:val="105"/>
              </w:rPr>
            </w:pPr>
          </w:p>
        </w:tc>
        <w:tc>
          <w:tcPr>
            <w:tcW w:w="1276" w:type="dxa"/>
            <w:vMerge/>
            <w:tcBorders>
              <w:left w:val="single" w:sz="6" w:space="0" w:color="000000"/>
              <w:right w:val="single" w:sz="4" w:space="0" w:color="auto"/>
            </w:tcBorders>
          </w:tcPr>
          <w:p w:rsidR="0065678A" w:rsidRDefault="0065678A" w:rsidP="00255AA3">
            <w:pPr>
              <w:pStyle w:val="E3Tabletext"/>
              <w:rPr>
                <w:w w:val="105"/>
              </w:rPr>
            </w:pPr>
          </w:p>
        </w:tc>
        <w:tc>
          <w:tcPr>
            <w:tcW w:w="1134"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125W</w:t>
            </w:r>
          </w:p>
        </w:tc>
        <w:tc>
          <w:tcPr>
            <w:tcW w:w="1276"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2000lm</w:t>
            </w:r>
          </w:p>
        </w:tc>
        <w:tc>
          <w:tcPr>
            <w:tcW w:w="1276"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125W</w:t>
            </w:r>
          </w:p>
        </w:tc>
        <w:tc>
          <w:tcPr>
            <w:tcW w:w="1275"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2000lm</w:t>
            </w:r>
          </w:p>
        </w:tc>
        <w:tc>
          <w:tcPr>
            <w:tcW w:w="1107"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125W</w:t>
            </w:r>
          </w:p>
        </w:tc>
        <w:tc>
          <w:tcPr>
            <w:tcW w:w="1189"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2000lm</w:t>
            </w:r>
          </w:p>
        </w:tc>
      </w:tr>
      <w:tr w:rsidR="001C7E9A" w:rsidTr="001C7E9A">
        <w:trPr>
          <w:cantSplit/>
          <w:trHeight w:val="225"/>
          <w:jc w:val="center"/>
        </w:trPr>
        <w:tc>
          <w:tcPr>
            <w:tcW w:w="1162" w:type="dxa"/>
            <w:vMerge/>
            <w:tcBorders>
              <w:left w:val="single" w:sz="6" w:space="0" w:color="000000"/>
              <w:right w:val="single" w:sz="6" w:space="0" w:color="000000"/>
            </w:tcBorders>
          </w:tcPr>
          <w:p w:rsidR="0065678A" w:rsidRDefault="0065678A" w:rsidP="005D1C88">
            <w:pPr>
              <w:pStyle w:val="E3TableSubHeading"/>
              <w:rPr>
                <w:spacing w:val="-1"/>
                <w:w w:val="105"/>
              </w:rPr>
            </w:pPr>
          </w:p>
        </w:tc>
        <w:tc>
          <w:tcPr>
            <w:tcW w:w="1276" w:type="dxa"/>
            <w:vMerge/>
            <w:tcBorders>
              <w:left w:val="single" w:sz="6" w:space="0" w:color="000000"/>
              <w:right w:val="single" w:sz="4" w:space="0" w:color="auto"/>
            </w:tcBorders>
          </w:tcPr>
          <w:p w:rsidR="0065678A" w:rsidRDefault="0065678A" w:rsidP="00255AA3">
            <w:pPr>
              <w:pStyle w:val="E3Tabletext"/>
              <w:rPr>
                <w:w w:val="105"/>
              </w:rPr>
            </w:pPr>
          </w:p>
        </w:tc>
        <w:tc>
          <w:tcPr>
            <w:tcW w:w="1134"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150W</w:t>
            </w:r>
          </w:p>
        </w:tc>
        <w:tc>
          <w:tcPr>
            <w:tcW w:w="1276"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2452lm</w:t>
            </w:r>
          </w:p>
        </w:tc>
        <w:tc>
          <w:tcPr>
            <w:tcW w:w="1276"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150W</w:t>
            </w:r>
          </w:p>
        </w:tc>
        <w:tc>
          <w:tcPr>
            <w:tcW w:w="1275"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2452lm</w:t>
            </w:r>
          </w:p>
        </w:tc>
        <w:tc>
          <w:tcPr>
            <w:tcW w:w="1107"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150W</w:t>
            </w:r>
          </w:p>
        </w:tc>
        <w:tc>
          <w:tcPr>
            <w:tcW w:w="1189"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2452lm</w:t>
            </w:r>
          </w:p>
        </w:tc>
      </w:tr>
      <w:tr w:rsidR="001C7E9A" w:rsidTr="001C7E9A">
        <w:trPr>
          <w:cantSplit/>
          <w:trHeight w:val="225"/>
          <w:jc w:val="center"/>
        </w:trPr>
        <w:tc>
          <w:tcPr>
            <w:tcW w:w="1162" w:type="dxa"/>
            <w:vMerge/>
            <w:tcBorders>
              <w:left w:val="single" w:sz="6" w:space="0" w:color="000000"/>
              <w:bottom w:val="single" w:sz="6" w:space="0" w:color="000000"/>
              <w:right w:val="single" w:sz="6" w:space="0" w:color="000000"/>
            </w:tcBorders>
          </w:tcPr>
          <w:p w:rsidR="0065678A" w:rsidRDefault="0065678A" w:rsidP="005D1C88">
            <w:pPr>
              <w:pStyle w:val="E3TableSubHeading"/>
              <w:rPr>
                <w:spacing w:val="-1"/>
                <w:w w:val="105"/>
              </w:rPr>
            </w:pPr>
          </w:p>
        </w:tc>
        <w:tc>
          <w:tcPr>
            <w:tcW w:w="1276" w:type="dxa"/>
            <w:vMerge/>
            <w:tcBorders>
              <w:left w:val="single" w:sz="6" w:space="0" w:color="000000"/>
              <w:bottom w:val="single" w:sz="6" w:space="0" w:color="000000"/>
              <w:right w:val="single" w:sz="4" w:space="0" w:color="auto"/>
            </w:tcBorders>
          </w:tcPr>
          <w:p w:rsidR="0065678A" w:rsidRDefault="0065678A" w:rsidP="00255AA3">
            <w:pPr>
              <w:pStyle w:val="E3Tabletext"/>
              <w:rPr>
                <w:w w:val="105"/>
              </w:rPr>
            </w:pPr>
          </w:p>
        </w:tc>
        <w:tc>
          <w:tcPr>
            <w:tcW w:w="1134"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200W</w:t>
            </w:r>
          </w:p>
        </w:tc>
        <w:tc>
          <w:tcPr>
            <w:tcW w:w="1276"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3452lm</w:t>
            </w:r>
          </w:p>
        </w:tc>
        <w:tc>
          <w:tcPr>
            <w:tcW w:w="1276"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200W</w:t>
            </w:r>
          </w:p>
        </w:tc>
        <w:tc>
          <w:tcPr>
            <w:tcW w:w="1275"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3452lm</w:t>
            </w:r>
          </w:p>
        </w:tc>
        <w:tc>
          <w:tcPr>
            <w:tcW w:w="1107"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200W</w:t>
            </w:r>
          </w:p>
        </w:tc>
        <w:tc>
          <w:tcPr>
            <w:tcW w:w="1189" w:type="dxa"/>
            <w:tcBorders>
              <w:top w:val="single" w:sz="4" w:space="0" w:color="auto"/>
              <w:left w:val="single" w:sz="4" w:space="0" w:color="auto"/>
              <w:bottom w:val="single" w:sz="4" w:space="0" w:color="auto"/>
              <w:right w:val="single" w:sz="4" w:space="0" w:color="auto"/>
            </w:tcBorders>
          </w:tcPr>
          <w:p w:rsidR="0065678A" w:rsidRDefault="0065678A" w:rsidP="00255AA3">
            <w:pPr>
              <w:pStyle w:val="E3Tabletext"/>
              <w:rPr>
                <w:w w:val="105"/>
              </w:rPr>
            </w:pPr>
            <w:r>
              <w:rPr>
                <w:w w:val="105"/>
              </w:rPr>
              <w:t>3452lm</w:t>
            </w:r>
          </w:p>
        </w:tc>
      </w:tr>
      <w:tr w:rsidR="005D1C88" w:rsidTr="001C7E9A">
        <w:trPr>
          <w:cantSplit/>
          <w:jc w:val="center"/>
        </w:trPr>
        <w:tc>
          <w:tcPr>
            <w:tcW w:w="1162" w:type="dxa"/>
            <w:tcBorders>
              <w:top w:val="single" w:sz="6" w:space="0" w:color="000000"/>
              <w:left w:val="single" w:sz="6" w:space="0" w:color="000000"/>
              <w:bottom w:val="single" w:sz="6" w:space="0" w:color="000000"/>
              <w:right w:val="single" w:sz="6" w:space="0" w:color="000000"/>
            </w:tcBorders>
            <w:shd w:val="clear" w:color="auto" w:fill="D9D9D9"/>
          </w:tcPr>
          <w:p w:rsidR="005D1C88" w:rsidRDefault="005D1C88" w:rsidP="005D1C88">
            <w:pPr>
              <w:pStyle w:val="E3TableSubHeading"/>
              <w:rPr>
                <w:rFonts w:eastAsia="Arial" w:hAnsi="Arial" w:cs="Arial"/>
                <w:szCs w:val="13"/>
              </w:rPr>
            </w:pPr>
            <w:r>
              <w:rPr>
                <w:w w:val="105"/>
              </w:rPr>
              <w:t>Minimum</w:t>
            </w:r>
            <w:r w:rsidR="001C7E9A">
              <w:rPr>
                <w:w w:val="105"/>
              </w:rPr>
              <w:t xml:space="preserve"> </w:t>
            </w:r>
            <w:r>
              <w:rPr>
                <w:w w:val="105"/>
              </w:rPr>
              <w:t>lamp</w:t>
            </w:r>
            <w:r w:rsidR="001C7E9A">
              <w:rPr>
                <w:w w:val="105"/>
              </w:rPr>
              <w:t xml:space="preserve"> </w:t>
            </w:r>
            <w:r>
              <w:rPr>
                <w:w w:val="105"/>
              </w:rPr>
              <w:t>luminous</w:t>
            </w:r>
            <w:r w:rsidR="001C7E9A">
              <w:rPr>
                <w:w w:val="105"/>
              </w:rPr>
              <w:t xml:space="preserve"> </w:t>
            </w:r>
            <w:r>
              <w:rPr>
                <w:spacing w:val="-1"/>
                <w:w w:val="105"/>
              </w:rPr>
              <w:t>efficacy</w:t>
            </w:r>
            <w:r w:rsidR="001C7E9A">
              <w:rPr>
                <w:spacing w:val="-1"/>
                <w:w w:val="105"/>
              </w:rPr>
              <w:t xml:space="preserve"> </w:t>
            </w:r>
            <w:r>
              <w:rPr>
                <w:w w:val="105"/>
              </w:rPr>
              <w:t>(lm/W)</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cPr>
          <w:p w:rsidR="005D1C88" w:rsidRDefault="005D1C88" w:rsidP="00255AA3">
            <w:pPr>
              <w:pStyle w:val="E3Tabletext"/>
              <w:rPr>
                <w:rFonts w:eastAsia="Arial" w:hAnsi="Arial" w:cs="Arial"/>
                <w:szCs w:val="13"/>
              </w:rPr>
            </w:pPr>
            <w:r>
              <w:rPr>
                <w:w w:val="105"/>
              </w:rPr>
              <w:t>50lm/W</w:t>
            </w:r>
          </w:p>
        </w:tc>
        <w:tc>
          <w:tcPr>
            <w:tcW w:w="2410" w:type="dxa"/>
            <w:gridSpan w:val="2"/>
            <w:tcBorders>
              <w:top w:val="single" w:sz="4" w:space="0" w:color="auto"/>
              <w:left w:val="single" w:sz="6" w:space="0" w:color="000000"/>
              <w:bottom w:val="single" w:sz="6" w:space="0" w:color="000000"/>
              <w:right w:val="single" w:sz="6" w:space="0" w:color="000000"/>
            </w:tcBorders>
            <w:shd w:val="clear" w:color="auto" w:fill="D9D9D9"/>
          </w:tcPr>
          <w:p w:rsidR="005D1C88" w:rsidRDefault="005D1C88" w:rsidP="00255AA3">
            <w:pPr>
              <w:pStyle w:val="E3Tabletext"/>
              <w:rPr>
                <w:rFonts w:eastAsia="Arial" w:hAnsi="Arial" w:cs="Arial"/>
                <w:szCs w:val="13"/>
              </w:rPr>
            </w:pPr>
            <w:r>
              <w:rPr>
                <w:w w:val="105"/>
              </w:rPr>
              <w:t>&gt;50lm/watt</w:t>
            </w:r>
          </w:p>
        </w:tc>
        <w:tc>
          <w:tcPr>
            <w:tcW w:w="2551" w:type="dxa"/>
            <w:gridSpan w:val="2"/>
            <w:tcBorders>
              <w:top w:val="single" w:sz="4" w:space="0" w:color="auto"/>
              <w:left w:val="single" w:sz="6" w:space="0" w:color="000000"/>
              <w:bottom w:val="single" w:sz="6" w:space="0" w:color="000000"/>
              <w:right w:val="single" w:sz="6" w:space="0" w:color="000000"/>
            </w:tcBorders>
            <w:shd w:val="clear" w:color="auto" w:fill="D9D9D9"/>
          </w:tcPr>
          <w:p w:rsidR="005D1C88" w:rsidRDefault="005D1C88" w:rsidP="00255AA3">
            <w:pPr>
              <w:pStyle w:val="E3Tabletext"/>
              <w:rPr>
                <w:rFonts w:eastAsia="Arial" w:hAnsi="Arial" w:cs="Arial"/>
                <w:szCs w:val="13"/>
              </w:rPr>
            </w:pPr>
            <w:r>
              <w:rPr>
                <w:w w:val="105"/>
              </w:rPr>
              <w:t>&gt;65lm/watt</w:t>
            </w:r>
          </w:p>
        </w:tc>
        <w:tc>
          <w:tcPr>
            <w:tcW w:w="2296" w:type="dxa"/>
            <w:gridSpan w:val="2"/>
            <w:tcBorders>
              <w:top w:val="single" w:sz="4" w:space="0" w:color="auto"/>
              <w:left w:val="single" w:sz="6" w:space="0" w:color="000000"/>
              <w:bottom w:val="single" w:sz="6" w:space="0" w:color="000000"/>
              <w:right w:val="single" w:sz="6" w:space="0" w:color="000000"/>
            </w:tcBorders>
            <w:shd w:val="clear" w:color="auto" w:fill="D9D9D9"/>
          </w:tcPr>
          <w:p w:rsidR="005D1C88" w:rsidRDefault="005D1C88" w:rsidP="00255AA3">
            <w:pPr>
              <w:pStyle w:val="E3Tabletext"/>
              <w:rPr>
                <w:rFonts w:eastAsia="Arial" w:hAnsi="Arial" w:cs="Arial"/>
                <w:szCs w:val="13"/>
              </w:rPr>
            </w:pPr>
            <w:r>
              <w:rPr>
                <w:w w:val="105"/>
              </w:rPr>
              <w:t>&gt;80lm/W</w:t>
            </w:r>
          </w:p>
        </w:tc>
      </w:tr>
      <w:tr w:rsidR="005D1C88" w:rsidTr="001C7E9A">
        <w:trPr>
          <w:cantSplit/>
          <w:jc w:val="center"/>
        </w:trPr>
        <w:tc>
          <w:tcPr>
            <w:tcW w:w="1162" w:type="dxa"/>
            <w:tcBorders>
              <w:top w:val="single" w:sz="6" w:space="0" w:color="000000"/>
              <w:left w:val="single" w:sz="6" w:space="0" w:color="000000"/>
              <w:bottom w:val="single" w:sz="6" w:space="0" w:color="000000"/>
              <w:right w:val="single" w:sz="6" w:space="0" w:color="000000"/>
            </w:tcBorders>
          </w:tcPr>
          <w:p w:rsidR="005D1C88" w:rsidRDefault="005D1C88" w:rsidP="005D1C88">
            <w:pPr>
              <w:pStyle w:val="E3TableSubHeading"/>
              <w:rPr>
                <w:rFonts w:eastAsia="Arial" w:hAnsi="Arial" w:cs="Arial"/>
                <w:szCs w:val="13"/>
              </w:rPr>
            </w:pPr>
            <w:r>
              <w:rPr>
                <w:spacing w:val="-1"/>
                <w:w w:val="105"/>
              </w:rPr>
              <w:t>Colo</w:t>
            </w:r>
            <w:r w:rsidR="001C7E9A">
              <w:rPr>
                <w:spacing w:val="-1"/>
                <w:w w:val="105"/>
              </w:rPr>
              <w:t>u</w:t>
            </w:r>
            <w:r>
              <w:rPr>
                <w:spacing w:val="-1"/>
                <w:w w:val="105"/>
              </w:rPr>
              <w:t>r</w:t>
            </w:r>
            <w:r w:rsidR="001C7E9A">
              <w:rPr>
                <w:spacing w:val="-1"/>
                <w:w w:val="105"/>
              </w:rPr>
              <w:t xml:space="preserve"> </w:t>
            </w:r>
            <w:r>
              <w:rPr>
                <w:w w:val="105"/>
              </w:rPr>
              <w:t>temperature</w:t>
            </w:r>
            <w:r w:rsidR="001C7E9A">
              <w:rPr>
                <w:w w:val="105"/>
              </w:rPr>
              <w:t xml:space="preserve"> </w:t>
            </w:r>
            <w:r>
              <w:rPr>
                <w:w w:val="105"/>
              </w:rPr>
              <w:t>target</w:t>
            </w:r>
          </w:p>
          <w:p w:rsidR="005D1C88" w:rsidRDefault="005D1C88" w:rsidP="005D1C88">
            <w:pPr>
              <w:pStyle w:val="E3TableSubHeading"/>
              <w:rPr>
                <w:rFonts w:eastAsia="Arial" w:hAnsi="Arial" w:cs="Arial"/>
                <w:szCs w:val="13"/>
              </w:rPr>
            </w:pPr>
            <w:r>
              <w:rPr>
                <w:w w:val="105"/>
              </w:rPr>
              <w:t>(K)</w:t>
            </w:r>
            <w:r w:rsidR="001C7E9A">
              <w:rPr>
                <w:w w:val="105"/>
              </w:rPr>
              <w:t xml:space="preserve"> </w:t>
            </w:r>
            <w:r>
              <w:rPr>
                <w:spacing w:val="-1"/>
                <w:w w:val="105"/>
              </w:rPr>
              <w:t>and</w:t>
            </w:r>
            <w:r w:rsidR="001C7E9A">
              <w:rPr>
                <w:spacing w:val="-1"/>
                <w:w w:val="105"/>
              </w:rPr>
              <w:t xml:space="preserve"> </w:t>
            </w:r>
            <w:r>
              <w:rPr>
                <w:w w:val="105"/>
              </w:rPr>
              <w:t>tolerance</w:t>
            </w:r>
          </w:p>
        </w:tc>
        <w:tc>
          <w:tcPr>
            <w:tcW w:w="1276" w:type="dxa"/>
            <w:tcBorders>
              <w:top w:val="single" w:sz="6" w:space="0" w:color="000000"/>
              <w:left w:val="single" w:sz="6" w:space="0" w:color="000000"/>
              <w:bottom w:val="single" w:sz="6" w:space="0" w:color="000000"/>
              <w:right w:val="single" w:sz="6" w:space="0" w:color="000000"/>
            </w:tcBorders>
          </w:tcPr>
          <w:p w:rsidR="005D1C88" w:rsidRDefault="005D1C88" w:rsidP="00255AA3">
            <w:pPr>
              <w:pStyle w:val="E3Tabletext"/>
              <w:rPr>
                <w:rFonts w:eastAsia="Arial" w:hAnsi="Arial" w:cs="Arial"/>
                <w:szCs w:val="13"/>
              </w:rPr>
            </w:pPr>
            <w:r>
              <w:rPr>
                <w:w w:val="105"/>
              </w:rPr>
              <w:t>N/A</w:t>
            </w:r>
          </w:p>
        </w:tc>
        <w:tc>
          <w:tcPr>
            <w:tcW w:w="2410" w:type="dxa"/>
            <w:gridSpan w:val="2"/>
            <w:tcBorders>
              <w:top w:val="single" w:sz="6" w:space="0" w:color="000000"/>
              <w:left w:val="single" w:sz="6" w:space="0" w:color="000000"/>
              <w:bottom w:val="single" w:sz="6" w:space="0" w:color="000000"/>
              <w:right w:val="single" w:sz="6" w:space="0" w:color="000000"/>
            </w:tcBorders>
          </w:tcPr>
          <w:p w:rsidR="001C7E9A" w:rsidRDefault="001C7E9A" w:rsidP="00255AA3">
            <w:pPr>
              <w:pStyle w:val="E3Tabletext"/>
              <w:rPr>
                <w:rFonts w:eastAsia="Arial"/>
                <w:w w:val="105"/>
              </w:rPr>
            </w:pPr>
            <w:r>
              <w:rPr>
                <w:rFonts w:eastAsia="Arial"/>
                <w:w w:val="105"/>
              </w:rPr>
              <w:t>F</w:t>
            </w:r>
            <w:r w:rsidR="005D1C88">
              <w:rPr>
                <w:rFonts w:eastAsia="Arial"/>
                <w:w w:val="105"/>
              </w:rPr>
              <w:t>ollow</w:t>
            </w:r>
            <w:r>
              <w:rPr>
                <w:rFonts w:eastAsia="Arial"/>
                <w:w w:val="105"/>
              </w:rPr>
              <w:t xml:space="preserve"> </w:t>
            </w:r>
            <w:r w:rsidR="005D1C88">
              <w:rPr>
                <w:rFonts w:eastAsia="Arial"/>
                <w:w w:val="105"/>
              </w:rPr>
              <w:t>ANSIC</w:t>
            </w:r>
            <w:r>
              <w:rPr>
                <w:rFonts w:eastAsia="Arial"/>
                <w:w w:val="105"/>
              </w:rPr>
              <w:t xml:space="preserve"> </w:t>
            </w:r>
            <w:r w:rsidR="005D1C88">
              <w:rPr>
                <w:rFonts w:eastAsia="Arial"/>
                <w:w w:val="105"/>
              </w:rPr>
              <w:t>78.377,</w:t>
            </w:r>
            <w:r>
              <w:rPr>
                <w:rFonts w:eastAsia="Arial"/>
                <w:w w:val="105"/>
              </w:rPr>
              <w:t xml:space="preserve"> </w:t>
            </w:r>
            <w:r w:rsidR="005D1C88">
              <w:rPr>
                <w:rFonts w:eastAsia="Arial"/>
                <w:w w:val="105"/>
              </w:rPr>
              <w:t>excluding</w:t>
            </w:r>
            <w:r>
              <w:rPr>
                <w:rFonts w:eastAsia="Arial"/>
                <w:w w:val="105"/>
              </w:rPr>
              <w:t xml:space="preserve"> </w:t>
            </w:r>
            <w:r w:rsidR="005D1C88">
              <w:rPr>
                <w:rFonts w:eastAsia="Arial"/>
                <w:w w:val="105"/>
              </w:rPr>
              <w:t>flexible</w:t>
            </w:r>
            <w:r>
              <w:rPr>
                <w:rFonts w:eastAsia="Arial"/>
                <w:w w:val="105"/>
              </w:rPr>
              <w:t xml:space="preserve"> </w:t>
            </w:r>
            <w:r w:rsidR="005D1C88">
              <w:rPr>
                <w:rFonts w:eastAsia="Arial"/>
                <w:w w:val="105"/>
              </w:rPr>
              <w:t>CCT</w:t>
            </w:r>
            <w:r>
              <w:rPr>
                <w:rFonts w:eastAsia="Arial"/>
                <w:w w:val="105"/>
              </w:rPr>
              <w:t xml:space="preserve"> </w:t>
            </w:r>
          </w:p>
          <w:p w:rsidR="005D1C88" w:rsidRDefault="005D1C88" w:rsidP="00255AA3">
            <w:pPr>
              <w:pStyle w:val="E3Tabletext"/>
              <w:rPr>
                <w:rFonts w:eastAsia="Arial"/>
              </w:rPr>
            </w:pPr>
            <w:r>
              <w:rPr>
                <w:rFonts w:eastAsia="Arial"/>
                <w:w w:val="105"/>
              </w:rPr>
              <w:t>2700K</w:t>
            </w:r>
            <w:r w:rsidR="001C7E9A">
              <w:rPr>
                <w:rFonts w:eastAsia="Arial"/>
                <w:w w:val="105"/>
              </w:rPr>
              <w:t xml:space="preserve"> </w:t>
            </w:r>
            <w:r>
              <w:rPr>
                <w:rFonts w:eastAsia="Arial"/>
                <w:w w:val="105"/>
              </w:rPr>
              <w:t>(2725±145)</w:t>
            </w:r>
          </w:p>
          <w:p w:rsidR="005D1C88" w:rsidRDefault="005D1C88" w:rsidP="00255AA3">
            <w:pPr>
              <w:pStyle w:val="E3Tabletext"/>
              <w:rPr>
                <w:rFonts w:eastAsia="Arial"/>
              </w:rPr>
            </w:pPr>
            <w:r>
              <w:rPr>
                <w:rFonts w:eastAsia="Arial"/>
                <w:w w:val="105"/>
              </w:rPr>
              <w:t>3000K</w:t>
            </w:r>
            <w:r w:rsidR="001C7E9A">
              <w:rPr>
                <w:rFonts w:eastAsia="Arial"/>
                <w:w w:val="105"/>
              </w:rPr>
              <w:t xml:space="preserve"> </w:t>
            </w:r>
            <w:r>
              <w:rPr>
                <w:rFonts w:eastAsia="Arial"/>
                <w:w w:val="105"/>
              </w:rPr>
              <w:t>(3045±175)</w:t>
            </w:r>
          </w:p>
          <w:p w:rsidR="005D1C88" w:rsidRDefault="005D1C88" w:rsidP="00255AA3">
            <w:pPr>
              <w:pStyle w:val="E3Tabletext"/>
              <w:rPr>
                <w:rFonts w:eastAsia="Arial"/>
              </w:rPr>
            </w:pPr>
            <w:r>
              <w:rPr>
                <w:rFonts w:eastAsia="Arial"/>
                <w:w w:val="105"/>
              </w:rPr>
              <w:t>3500K</w:t>
            </w:r>
            <w:r w:rsidR="001C7E9A">
              <w:rPr>
                <w:rFonts w:eastAsia="Arial"/>
                <w:w w:val="105"/>
              </w:rPr>
              <w:t xml:space="preserve"> </w:t>
            </w:r>
            <w:r>
              <w:rPr>
                <w:rFonts w:eastAsia="Arial"/>
                <w:w w:val="105"/>
              </w:rPr>
              <w:t>(3465±245)</w:t>
            </w:r>
          </w:p>
          <w:p w:rsidR="005D1C88" w:rsidRDefault="005D1C88" w:rsidP="00255AA3">
            <w:pPr>
              <w:pStyle w:val="E3Tabletext"/>
              <w:rPr>
                <w:rFonts w:eastAsia="Arial"/>
              </w:rPr>
            </w:pPr>
            <w:r>
              <w:rPr>
                <w:rFonts w:eastAsia="Arial"/>
                <w:w w:val="105"/>
              </w:rPr>
              <w:t>4000K</w:t>
            </w:r>
            <w:r w:rsidR="001C7E9A">
              <w:rPr>
                <w:rFonts w:eastAsia="Arial"/>
                <w:w w:val="105"/>
              </w:rPr>
              <w:t xml:space="preserve"> </w:t>
            </w:r>
            <w:r>
              <w:rPr>
                <w:rFonts w:eastAsia="Arial"/>
                <w:w w:val="105"/>
              </w:rPr>
              <w:t>(3985±275)</w:t>
            </w:r>
          </w:p>
          <w:p w:rsidR="005D1C88" w:rsidRDefault="005D1C88" w:rsidP="00255AA3">
            <w:pPr>
              <w:pStyle w:val="E3Tabletext"/>
              <w:rPr>
                <w:rFonts w:eastAsia="Arial"/>
              </w:rPr>
            </w:pPr>
            <w:r>
              <w:rPr>
                <w:rFonts w:eastAsia="Arial"/>
                <w:w w:val="105"/>
              </w:rPr>
              <w:t>5000K</w:t>
            </w:r>
            <w:r w:rsidR="001C7E9A">
              <w:rPr>
                <w:rFonts w:eastAsia="Arial"/>
                <w:w w:val="105"/>
              </w:rPr>
              <w:t xml:space="preserve"> </w:t>
            </w:r>
            <w:r>
              <w:rPr>
                <w:rFonts w:eastAsia="Arial"/>
                <w:w w:val="105"/>
              </w:rPr>
              <w:t>(5028±283)</w:t>
            </w:r>
          </w:p>
          <w:p w:rsidR="005D1C88" w:rsidRDefault="005D1C88" w:rsidP="00255AA3">
            <w:pPr>
              <w:pStyle w:val="E3Tabletext"/>
              <w:rPr>
                <w:rFonts w:eastAsia="Arial"/>
              </w:rPr>
            </w:pPr>
            <w:r>
              <w:rPr>
                <w:rFonts w:eastAsia="Arial"/>
                <w:w w:val="105"/>
              </w:rPr>
              <w:t>5700K</w:t>
            </w:r>
            <w:r w:rsidR="001C7E9A">
              <w:rPr>
                <w:rFonts w:eastAsia="Arial"/>
                <w:w w:val="105"/>
              </w:rPr>
              <w:t xml:space="preserve"> </w:t>
            </w:r>
            <w:r>
              <w:rPr>
                <w:rFonts w:eastAsia="Arial"/>
                <w:w w:val="105"/>
              </w:rPr>
              <w:t>(5665±355)</w:t>
            </w:r>
          </w:p>
          <w:p w:rsidR="005D1C88" w:rsidRDefault="005D1C88" w:rsidP="00255AA3">
            <w:pPr>
              <w:pStyle w:val="E3Tabletext"/>
              <w:rPr>
                <w:rFonts w:eastAsia="Arial"/>
              </w:rPr>
            </w:pPr>
            <w:r>
              <w:rPr>
                <w:rFonts w:eastAsia="Arial"/>
                <w:w w:val="105"/>
              </w:rPr>
              <w:t>6500K</w:t>
            </w:r>
            <w:r w:rsidR="001C7E9A">
              <w:rPr>
                <w:rFonts w:eastAsia="Arial"/>
                <w:w w:val="105"/>
              </w:rPr>
              <w:t xml:space="preserve"> </w:t>
            </w:r>
            <w:r>
              <w:rPr>
                <w:rFonts w:eastAsia="Arial"/>
                <w:w w:val="105"/>
              </w:rPr>
              <w:t>(6530±510)</w:t>
            </w:r>
          </w:p>
        </w:tc>
        <w:tc>
          <w:tcPr>
            <w:tcW w:w="2551" w:type="dxa"/>
            <w:gridSpan w:val="2"/>
            <w:tcBorders>
              <w:top w:val="single" w:sz="6" w:space="0" w:color="000000"/>
              <w:left w:val="single" w:sz="6" w:space="0" w:color="000000"/>
              <w:bottom w:val="single" w:sz="6" w:space="0" w:color="000000"/>
              <w:right w:val="single" w:sz="6" w:space="0" w:color="000000"/>
            </w:tcBorders>
          </w:tcPr>
          <w:p w:rsidR="001C7E9A" w:rsidRDefault="001C7E9A" w:rsidP="00255AA3">
            <w:pPr>
              <w:pStyle w:val="E3Tabletext"/>
              <w:rPr>
                <w:rFonts w:eastAsia="Arial"/>
                <w:w w:val="105"/>
              </w:rPr>
            </w:pPr>
            <w:r>
              <w:rPr>
                <w:rFonts w:eastAsia="Arial"/>
                <w:w w:val="105"/>
              </w:rPr>
              <w:t>F</w:t>
            </w:r>
            <w:r w:rsidR="005D1C88">
              <w:rPr>
                <w:rFonts w:eastAsia="Arial"/>
                <w:w w:val="105"/>
              </w:rPr>
              <w:t>ollow</w:t>
            </w:r>
            <w:r>
              <w:rPr>
                <w:rFonts w:eastAsia="Arial"/>
                <w:w w:val="105"/>
              </w:rPr>
              <w:t xml:space="preserve"> </w:t>
            </w:r>
            <w:r w:rsidR="005D1C88">
              <w:rPr>
                <w:rFonts w:eastAsia="Arial"/>
                <w:w w:val="105"/>
              </w:rPr>
              <w:t>ANSIC</w:t>
            </w:r>
            <w:r>
              <w:rPr>
                <w:rFonts w:eastAsia="Arial"/>
                <w:w w:val="105"/>
              </w:rPr>
              <w:t xml:space="preserve"> </w:t>
            </w:r>
            <w:r w:rsidR="005D1C88">
              <w:rPr>
                <w:rFonts w:eastAsia="Arial"/>
                <w:w w:val="105"/>
              </w:rPr>
              <w:t>78.377,</w:t>
            </w:r>
            <w:r>
              <w:rPr>
                <w:rFonts w:eastAsia="Arial"/>
                <w:w w:val="105"/>
              </w:rPr>
              <w:t xml:space="preserve"> </w:t>
            </w:r>
            <w:r w:rsidR="005D1C88">
              <w:rPr>
                <w:rFonts w:eastAsia="Arial"/>
                <w:w w:val="105"/>
              </w:rPr>
              <w:t>excluding</w:t>
            </w:r>
            <w:r>
              <w:rPr>
                <w:rFonts w:eastAsia="Arial"/>
                <w:w w:val="105"/>
              </w:rPr>
              <w:t xml:space="preserve"> </w:t>
            </w:r>
            <w:r w:rsidR="005D1C88">
              <w:rPr>
                <w:rFonts w:eastAsia="Arial"/>
                <w:w w:val="105"/>
              </w:rPr>
              <w:t>flexible</w:t>
            </w:r>
            <w:r>
              <w:rPr>
                <w:rFonts w:eastAsia="Arial"/>
                <w:w w:val="105"/>
              </w:rPr>
              <w:t xml:space="preserve"> </w:t>
            </w:r>
            <w:r w:rsidR="005D1C88">
              <w:rPr>
                <w:rFonts w:eastAsia="Arial"/>
                <w:w w:val="105"/>
              </w:rPr>
              <w:t>CCT</w:t>
            </w:r>
          </w:p>
          <w:p w:rsidR="005D1C88" w:rsidRDefault="005D1C88" w:rsidP="00255AA3">
            <w:pPr>
              <w:pStyle w:val="E3Tabletext"/>
              <w:rPr>
                <w:rFonts w:eastAsia="Arial"/>
              </w:rPr>
            </w:pPr>
            <w:r>
              <w:rPr>
                <w:rFonts w:eastAsia="Arial"/>
                <w:w w:val="105"/>
              </w:rPr>
              <w:t>2700K</w:t>
            </w:r>
            <w:r w:rsidR="001C7E9A">
              <w:rPr>
                <w:rFonts w:eastAsia="Arial"/>
                <w:w w:val="105"/>
              </w:rPr>
              <w:t xml:space="preserve"> </w:t>
            </w:r>
            <w:r>
              <w:rPr>
                <w:rFonts w:eastAsia="Arial"/>
                <w:w w:val="105"/>
              </w:rPr>
              <w:t>(2725±145)</w:t>
            </w:r>
          </w:p>
          <w:p w:rsidR="005D1C88" w:rsidRDefault="005D1C88" w:rsidP="00255AA3">
            <w:pPr>
              <w:pStyle w:val="E3Tabletext"/>
              <w:rPr>
                <w:rFonts w:eastAsia="Arial"/>
              </w:rPr>
            </w:pPr>
            <w:r>
              <w:rPr>
                <w:rFonts w:eastAsia="Arial"/>
                <w:w w:val="105"/>
              </w:rPr>
              <w:t>3000K</w:t>
            </w:r>
            <w:r w:rsidR="001C7E9A">
              <w:rPr>
                <w:rFonts w:eastAsia="Arial"/>
                <w:w w:val="105"/>
              </w:rPr>
              <w:t xml:space="preserve"> </w:t>
            </w:r>
            <w:r>
              <w:rPr>
                <w:rFonts w:eastAsia="Arial"/>
                <w:w w:val="105"/>
              </w:rPr>
              <w:t>(3045±175)</w:t>
            </w:r>
          </w:p>
          <w:p w:rsidR="005D1C88" w:rsidRDefault="005D1C88" w:rsidP="00255AA3">
            <w:pPr>
              <w:pStyle w:val="E3Tabletext"/>
              <w:rPr>
                <w:rFonts w:eastAsia="Arial"/>
              </w:rPr>
            </w:pPr>
            <w:r>
              <w:rPr>
                <w:rFonts w:eastAsia="Arial"/>
                <w:w w:val="105"/>
              </w:rPr>
              <w:t>3500K</w:t>
            </w:r>
            <w:r w:rsidR="001C7E9A">
              <w:rPr>
                <w:rFonts w:eastAsia="Arial"/>
                <w:w w:val="105"/>
              </w:rPr>
              <w:t xml:space="preserve"> </w:t>
            </w:r>
            <w:r>
              <w:rPr>
                <w:rFonts w:eastAsia="Arial"/>
                <w:w w:val="105"/>
              </w:rPr>
              <w:t>(3465±245)</w:t>
            </w:r>
          </w:p>
          <w:p w:rsidR="005D1C88" w:rsidRDefault="005D1C88" w:rsidP="00255AA3">
            <w:pPr>
              <w:pStyle w:val="E3Tabletext"/>
              <w:rPr>
                <w:rFonts w:eastAsia="Arial"/>
              </w:rPr>
            </w:pPr>
            <w:r>
              <w:rPr>
                <w:rFonts w:eastAsia="Arial"/>
                <w:w w:val="105"/>
              </w:rPr>
              <w:t>4000K</w:t>
            </w:r>
            <w:r w:rsidR="001C7E9A">
              <w:rPr>
                <w:rFonts w:eastAsia="Arial"/>
                <w:w w:val="105"/>
              </w:rPr>
              <w:t xml:space="preserve"> </w:t>
            </w:r>
            <w:r>
              <w:rPr>
                <w:rFonts w:eastAsia="Arial"/>
                <w:w w:val="105"/>
              </w:rPr>
              <w:t>(3985±275)</w:t>
            </w:r>
          </w:p>
          <w:p w:rsidR="005D1C88" w:rsidRDefault="005D1C88" w:rsidP="00255AA3">
            <w:pPr>
              <w:pStyle w:val="E3Tabletext"/>
              <w:rPr>
                <w:rFonts w:eastAsia="Arial"/>
              </w:rPr>
            </w:pPr>
            <w:r>
              <w:rPr>
                <w:rFonts w:eastAsia="Arial"/>
                <w:w w:val="105"/>
              </w:rPr>
              <w:t>5000K</w:t>
            </w:r>
            <w:r w:rsidR="001C7E9A">
              <w:rPr>
                <w:rFonts w:eastAsia="Arial"/>
                <w:w w:val="105"/>
              </w:rPr>
              <w:t xml:space="preserve"> </w:t>
            </w:r>
            <w:r>
              <w:rPr>
                <w:rFonts w:eastAsia="Arial"/>
                <w:w w:val="105"/>
              </w:rPr>
              <w:t>(5028±283)</w:t>
            </w:r>
          </w:p>
          <w:p w:rsidR="005D1C88" w:rsidRDefault="005D1C88" w:rsidP="00255AA3">
            <w:pPr>
              <w:pStyle w:val="E3Tabletext"/>
              <w:rPr>
                <w:rFonts w:eastAsia="Arial"/>
              </w:rPr>
            </w:pPr>
            <w:r>
              <w:rPr>
                <w:rFonts w:eastAsia="Arial"/>
                <w:w w:val="105"/>
              </w:rPr>
              <w:t>5700K</w:t>
            </w:r>
            <w:r w:rsidR="001C7E9A">
              <w:rPr>
                <w:rFonts w:eastAsia="Arial"/>
                <w:w w:val="105"/>
              </w:rPr>
              <w:t xml:space="preserve"> </w:t>
            </w:r>
            <w:r>
              <w:rPr>
                <w:rFonts w:eastAsia="Arial"/>
                <w:w w:val="105"/>
              </w:rPr>
              <w:t>(5665±355)</w:t>
            </w:r>
          </w:p>
          <w:p w:rsidR="005D1C88" w:rsidRDefault="005D1C88" w:rsidP="00255AA3">
            <w:pPr>
              <w:pStyle w:val="E3Tabletext"/>
              <w:rPr>
                <w:rFonts w:eastAsia="Arial"/>
              </w:rPr>
            </w:pPr>
            <w:r>
              <w:rPr>
                <w:rFonts w:eastAsia="Arial"/>
                <w:w w:val="105"/>
              </w:rPr>
              <w:t>6500K</w:t>
            </w:r>
            <w:r w:rsidR="001C7E9A">
              <w:rPr>
                <w:rFonts w:eastAsia="Arial"/>
                <w:w w:val="105"/>
              </w:rPr>
              <w:t xml:space="preserve"> </w:t>
            </w:r>
            <w:r>
              <w:rPr>
                <w:rFonts w:eastAsia="Arial"/>
                <w:w w:val="105"/>
              </w:rPr>
              <w:t>(6530±510)</w:t>
            </w:r>
          </w:p>
        </w:tc>
        <w:tc>
          <w:tcPr>
            <w:tcW w:w="2296" w:type="dxa"/>
            <w:gridSpan w:val="2"/>
            <w:tcBorders>
              <w:top w:val="single" w:sz="6" w:space="0" w:color="000000"/>
              <w:left w:val="single" w:sz="6" w:space="0" w:color="000000"/>
              <w:bottom w:val="single" w:sz="6" w:space="0" w:color="000000"/>
              <w:right w:val="single" w:sz="6" w:space="0" w:color="000000"/>
            </w:tcBorders>
          </w:tcPr>
          <w:p w:rsidR="005D1C88" w:rsidRDefault="001C7E9A" w:rsidP="00255AA3">
            <w:pPr>
              <w:pStyle w:val="E3Tabletext"/>
              <w:rPr>
                <w:rFonts w:eastAsia="Arial" w:hAnsi="Arial" w:cs="Arial"/>
                <w:szCs w:val="13"/>
              </w:rPr>
            </w:pPr>
            <w:r>
              <w:rPr>
                <w:w w:val="105"/>
              </w:rPr>
              <w:t>F</w:t>
            </w:r>
            <w:r w:rsidR="005D1C88">
              <w:rPr>
                <w:w w:val="105"/>
              </w:rPr>
              <w:t>ollow</w:t>
            </w:r>
            <w:r>
              <w:rPr>
                <w:w w:val="105"/>
              </w:rPr>
              <w:t xml:space="preserve"> </w:t>
            </w:r>
            <w:r w:rsidR="005D1C88">
              <w:rPr>
                <w:w w:val="105"/>
              </w:rPr>
              <w:t>ANSIC</w:t>
            </w:r>
            <w:r>
              <w:rPr>
                <w:w w:val="105"/>
              </w:rPr>
              <w:t xml:space="preserve"> </w:t>
            </w:r>
            <w:r w:rsidR="005D1C88">
              <w:rPr>
                <w:w w:val="105"/>
              </w:rPr>
              <w:t>78.377-2011</w:t>
            </w:r>
          </w:p>
          <w:p w:rsidR="005D1C88" w:rsidRDefault="005D1C88" w:rsidP="00255AA3">
            <w:pPr>
              <w:pStyle w:val="E3Tabletext"/>
              <w:rPr>
                <w:rFonts w:eastAsia="Arial" w:hAnsi="Arial" w:cs="Arial"/>
                <w:szCs w:val="13"/>
              </w:rPr>
            </w:pPr>
            <w:r>
              <w:rPr>
                <w:w w:val="105"/>
              </w:rPr>
              <w:t>Table6A,</w:t>
            </w:r>
            <w:r w:rsidR="001C7E9A">
              <w:rPr>
                <w:w w:val="105"/>
              </w:rPr>
              <w:t xml:space="preserve"> </w:t>
            </w:r>
            <w:r>
              <w:rPr>
                <w:w w:val="105"/>
              </w:rPr>
              <w:t>for</w:t>
            </w:r>
            <w:r w:rsidR="001C7E9A">
              <w:rPr>
                <w:w w:val="105"/>
              </w:rPr>
              <w:t xml:space="preserve"> </w:t>
            </w:r>
            <w:r>
              <w:rPr>
                <w:w w:val="105"/>
              </w:rPr>
              <w:t>4-step</w:t>
            </w:r>
            <w:r w:rsidR="001C7E9A">
              <w:rPr>
                <w:w w:val="105"/>
              </w:rPr>
              <w:t xml:space="preserve"> </w:t>
            </w:r>
            <w:r>
              <w:rPr>
                <w:w w:val="105"/>
              </w:rPr>
              <w:t>quadrangle</w:t>
            </w:r>
            <w:r w:rsidR="001C7E9A">
              <w:rPr>
                <w:w w:val="105"/>
              </w:rPr>
              <w:t xml:space="preserve"> </w:t>
            </w:r>
            <w:r>
              <w:rPr>
                <w:w w:val="105"/>
              </w:rPr>
              <w:t>excluding</w:t>
            </w:r>
            <w:r w:rsidR="001C7E9A">
              <w:rPr>
                <w:w w:val="105"/>
              </w:rPr>
              <w:t xml:space="preserve"> </w:t>
            </w:r>
            <w:r>
              <w:rPr>
                <w:w w:val="105"/>
              </w:rPr>
              <w:t>flexible</w:t>
            </w:r>
            <w:r w:rsidR="001C7E9A">
              <w:rPr>
                <w:w w:val="105"/>
              </w:rPr>
              <w:t xml:space="preserve"> </w:t>
            </w:r>
            <w:r>
              <w:rPr>
                <w:w w:val="105"/>
              </w:rPr>
              <w:t>CCT</w:t>
            </w:r>
          </w:p>
          <w:p w:rsidR="005D1C88" w:rsidRDefault="005D1C88" w:rsidP="00255AA3">
            <w:pPr>
              <w:pStyle w:val="E3Tabletext"/>
              <w:rPr>
                <w:rFonts w:eastAsia="Arial"/>
              </w:rPr>
            </w:pPr>
            <w:r>
              <w:rPr>
                <w:rFonts w:eastAsia="Arial"/>
                <w:w w:val="105"/>
              </w:rPr>
              <w:t>2700K</w:t>
            </w:r>
            <w:r w:rsidR="001C7E9A">
              <w:rPr>
                <w:rFonts w:eastAsia="Arial"/>
                <w:w w:val="105"/>
              </w:rPr>
              <w:t xml:space="preserve"> </w:t>
            </w:r>
            <w:r>
              <w:rPr>
                <w:rFonts w:eastAsia="Arial"/>
                <w:w w:val="105"/>
              </w:rPr>
              <w:t>(2723±82)</w:t>
            </w:r>
          </w:p>
          <w:p w:rsidR="005D1C88" w:rsidRDefault="005D1C88" w:rsidP="00255AA3">
            <w:pPr>
              <w:pStyle w:val="E3Tabletext"/>
              <w:rPr>
                <w:rFonts w:eastAsia="Arial"/>
              </w:rPr>
            </w:pPr>
            <w:r>
              <w:rPr>
                <w:rFonts w:eastAsia="Arial"/>
                <w:w w:val="105"/>
              </w:rPr>
              <w:t>3000K</w:t>
            </w:r>
            <w:r w:rsidR="001C7E9A">
              <w:rPr>
                <w:rFonts w:eastAsia="Arial"/>
                <w:w w:val="105"/>
              </w:rPr>
              <w:t xml:space="preserve"> </w:t>
            </w:r>
            <w:r>
              <w:rPr>
                <w:rFonts w:eastAsia="Arial"/>
                <w:w w:val="105"/>
              </w:rPr>
              <w:t>(2940±98)</w:t>
            </w:r>
          </w:p>
          <w:p w:rsidR="005D1C88" w:rsidRDefault="005D1C88" w:rsidP="00255AA3">
            <w:pPr>
              <w:pStyle w:val="E3Tabletext"/>
              <w:rPr>
                <w:rFonts w:eastAsia="Arial"/>
              </w:rPr>
            </w:pPr>
            <w:r>
              <w:rPr>
                <w:rFonts w:eastAsia="Arial"/>
                <w:w w:val="105"/>
              </w:rPr>
              <w:t>3500K</w:t>
            </w:r>
            <w:r w:rsidR="001C7E9A">
              <w:rPr>
                <w:rFonts w:eastAsia="Arial"/>
                <w:w w:val="105"/>
              </w:rPr>
              <w:t xml:space="preserve"> </w:t>
            </w:r>
            <w:r>
              <w:rPr>
                <w:rFonts w:eastAsia="Arial"/>
                <w:w w:val="105"/>
              </w:rPr>
              <w:t>(3397±125)</w:t>
            </w:r>
          </w:p>
          <w:p w:rsidR="005D1C88" w:rsidRDefault="005D1C88" w:rsidP="00255AA3">
            <w:pPr>
              <w:pStyle w:val="E3Tabletext"/>
              <w:rPr>
                <w:rFonts w:eastAsia="Arial"/>
              </w:rPr>
            </w:pPr>
            <w:r>
              <w:rPr>
                <w:rFonts w:eastAsia="Arial"/>
                <w:w w:val="105"/>
              </w:rPr>
              <w:t>4000K</w:t>
            </w:r>
            <w:r w:rsidR="001C7E9A">
              <w:rPr>
                <w:rFonts w:eastAsia="Arial"/>
                <w:w w:val="105"/>
              </w:rPr>
              <w:t xml:space="preserve"> </w:t>
            </w:r>
            <w:r>
              <w:rPr>
                <w:rFonts w:eastAsia="Arial"/>
                <w:w w:val="105"/>
              </w:rPr>
              <w:t>(4036±154)</w:t>
            </w:r>
          </w:p>
          <w:p w:rsidR="005D1C88" w:rsidRDefault="005D1C88" w:rsidP="00255AA3">
            <w:pPr>
              <w:pStyle w:val="E3Tabletext"/>
              <w:rPr>
                <w:rFonts w:eastAsia="Arial"/>
              </w:rPr>
            </w:pPr>
            <w:r>
              <w:rPr>
                <w:rFonts w:eastAsia="Arial"/>
                <w:w w:val="105"/>
              </w:rPr>
              <w:t>5000K</w:t>
            </w:r>
            <w:r w:rsidR="001C7E9A">
              <w:rPr>
                <w:rFonts w:eastAsia="Arial"/>
                <w:w w:val="105"/>
              </w:rPr>
              <w:t xml:space="preserve"> </w:t>
            </w:r>
            <w:r>
              <w:rPr>
                <w:rFonts w:eastAsia="Arial"/>
                <w:w w:val="105"/>
              </w:rPr>
              <w:t>(4991±220)</w:t>
            </w:r>
          </w:p>
          <w:p w:rsidR="005D1C88" w:rsidRDefault="005D1C88" w:rsidP="00255AA3">
            <w:pPr>
              <w:pStyle w:val="E3Tabletext"/>
              <w:rPr>
                <w:rFonts w:eastAsia="Arial"/>
              </w:rPr>
            </w:pPr>
            <w:r>
              <w:rPr>
                <w:rFonts w:eastAsia="Arial"/>
                <w:w w:val="105"/>
              </w:rPr>
              <w:t>5700K</w:t>
            </w:r>
            <w:r w:rsidR="001C7E9A">
              <w:rPr>
                <w:rFonts w:eastAsia="Arial"/>
                <w:w w:val="105"/>
              </w:rPr>
              <w:t xml:space="preserve"> </w:t>
            </w:r>
            <w:r>
              <w:rPr>
                <w:rFonts w:eastAsia="Arial"/>
                <w:w w:val="105"/>
              </w:rPr>
              <w:t>(5665±270)</w:t>
            </w:r>
          </w:p>
          <w:p w:rsidR="005D1C88" w:rsidRDefault="005D1C88" w:rsidP="00255AA3">
            <w:pPr>
              <w:pStyle w:val="E3Tabletext"/>
              <w:rPr>
                <w:rFonts w:eastAsia="Arial"/>
              </w:rPr>
            </w:pPr>
            <w:r>
              <w:rPr>
                <w:rFonts w:eastAsia="Arial"/>
                <w:w w:val="105"/>
              </w:rPr>
              <w:t>6500K</w:t>
            </w:r>
            <w:r w:rsidR="001C7E9A">
              <w:rPr>
                <w:rFonts w:eastAsia="Arial"/>
                <w:w w:val="105"/>
              </w:rPr>
              <w:t xml:space="preserve"> </w:t>
            </w:r>
            <w:r>
              <w:rPr>
                <w:rFonts w:eastAsia="Arial"/>
                <w:w w:val="105"/>
              </w:rPr>
              <w:t>(6432±340)</w:t>
            </w:r>
          </w:p>
        </w:tc>
      </w:tr>
      <w:tr w:rsidR="005D1C88" w:rsidTr="001C7E9A">
        <w:trPr>
          <w:cantSplit/>
          <w:jc w:val="center"/>
        </w:trPr>
        <w:tc>
          <w:tcPr>
            <w:tcW w:w="1162" w:type="dxa"/>
            <w:tcBorders>
              <w:top w:val="single" w:sz="6" w:space="0" w:color="000000"/>
              <w:left w:val="single" w:sz="6" w:space="0" w:color="000000"/>
              <w:bottom w:val="single" w:sz="6" w:space="0" w:color="000000"/>
              <w:right w:val="single" w:sz="6" w:space="0" w:color="000000"/>
            </w:tcBorders>
            <w:shd w:val="clear" w:color="auto" w:fill="D9D9D9"/>
          </w:tcPr>
          <w:p w:rsidR="005D1C88" w:rsidRDefault="005D1C88" w:rsidP="005D1C88">
            <w:pPr>
              <w:pStyle w:val="E3TableSubHeading"/>
              <w:rPr>
                <w:rFonts w:eastAsia="Arial" w:hAnsi="Arial" w:cs="Arial"/>
                <w:szCs w:val="13"/>
              </w:rPr>
            </w:pPr>
            <w:r>
              <w:rPr>
                <w:rFonts w:eastAsia="Arial" w:hAnsi="Arial" w:cs="Arial"/>
                <w:bCs/>
                <w:spacing w:val="-1"/>
                <w:szCs w:val="13"/>
              </w:rPr>
              <w:t>Chromaticity</w:t>
            </w:r>
            <w:r w:rsidR="001C7E9A">
              <w:rPr>
                <w:rFonts w:eastAsia="Arial" w:hAnsi="Arial" w:cs="Arial"/>
                <w:bCs/>
                <w:spacing w:val="-1"/>
                <w:szCs w:val="13"/>
              </w:rPr>
              <w:t xml:space="preserve"> </w:t>
            </w:r>
            <w:r>
              <w:rPr>
                <w:rFonts w:eastAsia="Arial" w:hAnsi="Arial" w:cs="Arial"/>
                <w:bCs/>
                <w:szCs w:val="13"/>
              </w:rPr>
              <w:t>tolerance</w:t>
            </w:r>
            <w:r w:rsidR="001C7E9A">
              <w:rPr>
                <w:rFonts w:eastAsia="Arial" w:hAnsi="Arial" w:cs="Arial"/>
                <w:bCs/>
                <w:szCs w:val="13"/>
              </w:rPr>
              <w:t xml:space="preserve"> </w:t>
            </w:r>
            <w:r>
              <w:rPr>
                <w:rFonts w:eastAsia="Arial" w:hAnsi="Arial" w:cs="Arial"/>
                <w:bCs/>
                <w:w w:val="105"/>
                <w:szCs w:val="13"/>
              </w:rPr>
              <w:t>(Du</w:t>
            </w:r>
            <w:r>
              <w:rPr>
                <w:rFonts w:eastAsia="Arial" w:hAnsi="Arial" w:cs="Arial"/>
                <w:bCs/>
                <w:w w:val="105"/>
                <w:szCs w:val="13"/>
              </w:rPr>
              <w:t>’</w:t>
            </w:r>
            <w:r>
              <w:rPr>
                <w:rFonts w:eastAsia="Arial" w:hAnsi="Arial" w:cs="Arial"/>
                <w:bCs/>
                <w:w w:val="105"/>
                <w:szCs w:val="13"/>
              </w:rPr>
              <w:t>v</w:t>
            </w:r>
            <w:r>
              <w:rPr>
                <w:rFonts w:eastAsia="Arial" w:hAnsi="Arial" w:cs="Arial"/>
                <w:bCs/>
                <w:w w:val="105"/>
                <w:szCs w:val="13"/>
              </w:rPr>
              <w:t>’</w:t>
            </w:r>
            <w:r>
              <w:rPr>
                <w:rFonts w:eastAsia="Arial" w:hAnsi="Arial" w:cs="Arial"/>
                <w:bCs/>
                <w:w w:val="105"/>
                <w:szCs w:val="13"/>
              </w:rPr>
              <w:t>)</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cPr>
          <w:p w:rsidR="005D1C88" w:rsidRDefault="005D1C88" w:rsidP="00255AA3">
            <w:pPr>
              <w:pStyle w:val="E3Tabletext"/>
            </w:pP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D9D9D9"/>
          </w:tcPr>
          <w:p w:rsidR="001C7E9A" w:rsidRDefault="001C7E9A" w:rsidP="00255AA3">
            <w:pPr>
              <w:pStyle w:val="E3Tabletext"/>
              <w:rPr>
                <w:rFonts w:eastAsia="Arial"/>
                <w:w w:val="105"/>
              </w:rPr>
            </w:pPr>
            <w:r>
              <w:rPr>
                <w:rFonts w:eastAsia="Arial"/>
                <w:w w:val="105"/>
              </w:rPr>
              <w:t>F</w:t>
            </w:r>
            <w:r w:rsidR="005D1C88">
              <w:rPr>
                <w:rFonts w:eastAsia="Arial"/>
                <w:w w:val="105"/>
              </w:rPr>
              <w:t>ollow</w:t>
            </w:r>
            <w:r>
              <w:rPr>
                <w:rFonts w:eastAsia="Arial"/>
                <w:w w:val="105"/>
              </w:rPr>
              <w:t xml:space="preserve"> </w:t>
            </w:r>
            <w:r w:rsidR="005D1C88">
              <w:rPr>
                <w:rFonts w:eastAsia="Arial"/>
                <w:w w:val="105"/>
              </w:rPr>
              <w:t>ANSIC</w:t>
            </w:r>
            <w:r>
              <w:rPr>
                <w:rFonts w:eastAsia="Arial"/>
                <w:w w:val="105"/>
              </w:rPr>
              <w:t xml:space="preserve"> </w:t>
            </w:r>
            <w:r w:rsidR="005D1C88">
              <w:rPr>
                <w:rFonts w:eastAsia="Arial"/>
                <w:w w:val="105"/>
              </w:rPr>
              <w:t>78.377,</w:t>
            </w:r>
            <w:r>
              <w:rPr>
                <w:rFonts w:eastAsia="Arial"/>
                <w:w w:val="105"/>
              </w:rPr>
              <w:t xml:space="preserve"> </w:t>
            </w:r>
            <w:r w:rsidR="005D1C88">
              <w:rPr>
                <w:rFonts w:eastAsia="Arial"/>
                <w:w w:val="105"/>
              </w:rPr>
              <w:t>excluding</w:t>
            </w:r>
            <w:r>
              <w:rPr>
                <w:rFonts w:eastAsia="Arial"/>
                <w:w w:val="105"/>
              </w:rPr>
              <w:t xml:space="preserve"> </w:t>
            </w:r>
            <w:r w:rsidR="005D1C88">
              <w:rPr>
                <w:rFonts w:eastAsia="Arial"/>
                <w:w w:val="105"/>
              </w:rPr>
              <w:t>flexible</w:t>
            </w:r>
            <w:r>
              <w:rPr>
                <w:rFonts w:eastAsia="Arial"/>
                <w:w w:val="105"/>
              </w:rPr>
              <w:t xml:space="preserve"> </w:t>
            </w:r>
            <w:r w:rsidR="005D1C88">
              <w:rPr>
                <w:rFonts w:eastAsia="Arial"/>
                <w:w w:val="105"/>
              </w:rPr>
              <w:t>CCT</w:t>
            </w:r>
          </w:p>
          <w:p w:rsidR="005D1C88" w:rsidRDefault="005D1C88" w:rsidP="00255AA3">
            <w:pPr>
              <w:pStyle w:val="E3Tabletext"/>
              <w:rPr>
                <w:rFonts w:eastAsia="Arial"/>
              </w:rPr>
            </w:pPr>
            <w:r>
              <w:rPr>
                <w:rFonts w:eastAsia="Arial"/>
                <w:w w:val="105"/>
              </w:rPr>
              <w:t>0.000</w:t>
            </w:r>
            <w:r w:rsidR="001C7E9A">
              <w:rPr>
                <w:rFonts w:eastAsia="Arial"/>
                <w:w w:val="105"/>
              </w:rPr>
              <w:t xml:space="preserve"> </w:t>
            </w:r>
            <w:r>
              <w:rPr>
                <w:rFonts w:eastAsia="Arial"/>
                <w:w w:val="105"/>
              </w:rPr>
              <w:t>±</w:t>
            </w:r>
            <w:r w:rsidR="001C7E9A">
              <w:rPr>
                <w:rFonts w:eastAsia="Arial"/>
                <w:w w:val="105"/>
              </w:rPr>
              <w:t xml:space="preserve"> </w:t>
            </w:r>
            <w:r>
              <w:rPr>
                <w:rFonts w:eastAsia="Arial"/>
                <w:w w:val="105"/>
              </w:rPr>
              <w:t>0.006</w:t>
            </w:r>
          </w:p>
          <w:p w:rsidR="005D1C88" w:rsidRDefault="005D1C88" w:rsidP="00255AA3">
            <w:pPr>
              <w:pStyle w:val="E3Tabletext"/>
              <w:rPr>
                <w:rFonts w:eastAsia="Arial"/>
              </w:rPr>
            </w:pPr>
            <w:r>
              <w:rPr>
                <w:rFonts w:eastAsia="Arial"/>
                <w:w w:val="105"/>
              </w:rPr>
              <w:t>0.000</w:t>
            </w:r>
            <w:r w:rsidR="001C7E9A">
              <w:rPr>
                <w:rFonts w:eastAsia="Arial"/>
                <w:w w:val="105"/>
              </w:rPr>
              <w:t xml:space="preserve"> </w:t>
            </w:r>
            <w:r>
              <w:rPr>
                <w:rFonts w:eastAsia="Arial"/>
                <w:w w:val="105"/>
              </w:rPr>
              <w:t>±</w:t>
            </w:r>
            <w:r w:rsidR="001C7E9A">
              <w:rPr>
                <w:rFonts w:eastAsia="Arial"/>
                <w:w w:val="105"/>
              </w:rPr>
              <w:t xml:space="preserve"> </w:t>
            </w:r>
            <w:r>
              <w:rPr>
                <w:rFonts w:eastAsia="Arial"/>
                <w:w w:val="105"/>
              </w:rPr>
              <w:t>0.006</w:t>
            </w:r>
          </w:p>
          <w:p w:rsidR="005D1C88" w:rsidRDefault="005D1C88" w:rsidP="00255AA3">
            <w:pPr>
              <w:pStyle w:val="E3Tabletext"/>
              <w:rPr>
                <w:rFonts w:eastAsia="Arial"/>
              </w:rPr>
            </w:pPr>
            <w:r>
              <w:rPr>
                <w:rFonts w:eastAsia="Arial"/>
                <w:w w:val="105"/>
              </w:rPr>
              <w:t>0.000</w:t>
            </w:r>
            <w:r w:rsidR="001C7E9A">
              <w:rPr>
                <w:rFonts w:eastAsia="Arial"/>
                <w:w w:val="105"/>
              </w:rPr>
              <w:t xml:space="preserve"> </w:t>
            </w:r>
            <w:r>
              <w:rPr>
                <w:rFonts w:eastAsia="Arial"/>
                <w:w w:val="105"/>
              </w:rPr>
              <w:t>±</w:t>
            </w:r>
            <w:r w:rsidR="001C7E9A">
              <w:rPr>
                <w:rFonts w:eastAsia="Arial"/>
                <w:w w:val="105"/>
              </w:rPr>
              <w:t xml:space="preserve"> </w:t>
            </w:r>
            <w:r>
              <w:rPr>
                <w:rFonts w:eastAsia="Arial"/>
                <w:w w:val="105"/>
              </w:rPr>
              <w:t>0.006</w:t>
            </w:r>
          </w:p>
          <w:p w:rsidR="005D1C88" w:rsidRDefault="005D1C88" w:rsidP="00255AA3">
            <w:pPr>
              <w:pStyle w:val="E3Tabletext"/>
              <w:rPr>
                <w:rFonts w:eastAsia="Arial"/>
              </w:rPr>
            </w:pPr>
            <w:r>
              <w:rPr>
                <w:rFonts w:eastAsia="Arial"/>
                <w:w w:val="105"/>
              </w:rPr>
              <w:t>0.001</w:t>
            </w:r>
            <w:r w:rsidR="001C7E9A">
              <w:rPr>
                <w:rFonts w:eastAsia="Arial"/>
                <w:w w:val="105"/>
              </w:rPr>
              <w:t xml:space="preserve"> </w:t>
            </w:r>
            <w:r>
              <w:rPr>
                <w:rFonts w:eastAsia="Arial"/>
                <w:w w:val="105"/>
              </w:rPr>
              <w:t>±</w:t>
            </w:r>
            <w:r w:rsidR="001C7E9A">
              <w:rPr>
                <w:rFonts w:eastAsia="Arial"/>
                <w:w w:val="105"/>
              </w:rPr>
              <w:t xml:space="preserve"> </w:t>
            </w:r>
            <w:r>
              <w:rPr>
                <w:rFonts w:eastAsia="Arial"/>
                <w:w w:val="105"/>
              </w:rPr>
              <w:t>0.006</w:t>
            </w:r>
          </w:p>
          <w:p w:rsidR="005D1C88" w:rsidRDefault="005D1C88" w:rsidP="00255AA3">
            <w:pPr>
              <w:pStyle w:val="E3Tabletext"/>
              <w:rPr>
                <w:rFonts w:eastAsia="Arial"/>
              </w:rPr>
            </w:pPr>
            <w:r>
              <w:rPr>
                <w:rFonts w:eastAsia="Arial"/>
                <w:w w:val="105"/>
              </w:rPr>
              <w:t>0.002</w:t>
            </w:r>
            <w:r w:rsidR="001C7E9A">
              <w:rPr>
                <w:rFonts w:eastAsia="Arial"/>
                <w:w w:val="105"/>
              </w:rPr>
              <w:t xml:space="preserve"> </w:t>
            </w:r>
            <w:r>
              <w:rPr>
                <w:rFonts w:eastAsia="Arial"/>
                <w:w w:val="105"/>
              </w:rPr>
              <w:t>±</w:t>
            </w:r>
            <w:r w:rsidR="001C7E9A">
              <w:rPr>
                <w:rFonts w:eastAsia="Arial"/>
                <w:w w:val="105"/>
              </w:rPr>
              <w:t xml:space="preserve"> </w:t>
            </w:r>
            <w:r>
              <w:rPr>
                <w:rFonts w:eastAsia="Arial"/>
                <w:w w:val="105"/>
              </w:rPr>
              <w:t>0.006</w:t>
            </w:r>
          </w:p>
          <w:p w:rsidR="005D1C88" w:rsidRDefault="005D1C88" w:rsidP="00255AA3">
            <w:pPr>
              <w:pStyle w:val="E3Tabletext"/>
              <w:rPr>
                <w:rFonts w:eastAsia="Arial"/>
              </w:rPr>
            </w:pPr>
            <w:r>
              <w:rPr>
                <w:rFonts w:eastAsia="Arial"/>
                <w:w w:val="105"/>
              </w:rPr>
              <w:t>0.002</w:t>
            </w:r>
            <w:r w:rsidR="001C7E9A">
              <w:rPr>
                <w:rFonts w:eastAsia="Arial"/>
                <w:w w:val="105"/>
              </w:rPr>
              <w:t xml:space="preserve"> </w:t>
            </w:r>
            <w:r>
              <w:rPr>
                <w:rFonts w:eastAsia="Arial"/>
                <w:w w:val="105"/>
              </w:rPr>
              <w:t>±</w:t>
            </w:r>
            <w:r w:rsidR="001C7E9A">
              <w:rPr>
                <w:rFonts w:eastAsia="Arial"/>
                <w:w w:val="105"/>
              </w:rPr>
              <w:t xml:space="preserve"> </w:t>
            </w:r>
            <w:r>
              <w:rPr>
                <w:rFonts w:eastAsia="Arial"/>
                <w:w w:val="105"/>
              </w:rPr>
              <w:t>0.006</w:t>
            </w:r>
          </w:p>
          <w:p w:rsidR="005D1C88" w:rsidRDefault="005D1C88" w:rsidP="00255AA3">
            <w:pPr>
              <w:pStyle w:val="E3Tabletext"/>
              <w:rPr>
                <w:rFonts w:eastAsia="Arial"/>
              </w:rPr>
            </w:pPr>
            <w:r>
              <w:rPr>
                <w:rFonts w:eastAsia="Arial"/>
                <w:w w:val="105"/>
              </w:rPr>
              <w:t>0.003</w:t>
            </w:r>
            <w:r w:rsidR="001C7E9A">
              <w:rPr>
                <w:rFonts w:eastAsia="Arial"/>
                <w:w w:val="105"/>
              </w:rPr>
              <w:t xml:space="preserve"> </w:t>
            </w:r>
            <w:r>
              <w:rPr>
                <w:rFonts w:eastAsia="Arial"/>
                <w:w w:val="105"/>
              </w:rPr>
              <w:t>±</w:t>
            </w:r>
            <w:r w:rsidR="001C7E9A">
              <w:rPr>
                <w:rFonts w:eastAsia="Arial"/>
                <w:w w:val="105"/>
              </w:rPr>
              <w:t xml:space="preserve"> </w:t>
            </w:r>
            <w:r>
              <w:rPr>
                <w:rFonts w:eastAsia="Arial"/>
                <w:w w:val="105"/>
              </w:rPr>
              <w:t>0.006</w:t>
            </w:r>
          </w:p>
        </w:tc>
        <w:tc>
          <w:tcPr>
            <w:tcW w:w="2551" w:type="dxa"/>
            <w:gridSpan w:val="2"/>
            <w:tcBorders>
              <w:top w:val="single" w:sz="6" w:space="0" w:color="000000"/>
              <w:left w:val="single" w:sz="6" w:space="0" w:color="000000"/>
              <w:bottom w:val="single" w:sz="6" w:space="0" w:color="000000"/>
              <w:right w:val="single" w:sz="6" w:space="0" w:color="000000"/>
            </w:tcBorders>
            <w:shd w:val="clear" w:color="auto" w:fill="D9D9D9"/>
          </w:tcPr>
          <w:p w:rsidR="001C7E9A" w:rsidRDefault="001C7E9A" w:rsidP="00255AA3">
            <w:pPr>
              <w:pStyle w:val="E3Tabletext"/>
              <w:rPr>
                <w:rFonts w:eastAsia="Arial"/>
                <w:w w:val="105"/>
              </w:rPr>
            </w:pPr>
            <w:r>
              <w:rPr>
                <w:rFonts w:eastAsia="Arial"/>
                <w:w w:val="105"/>
              </w:rPr>
              <w:t>F</w:t>
            </w:r>
            <w:r w:rsidR="005D1C88">
              <w:rPr>
                <w:rFonts w:eastAsia="Arial"/>
                <w:w w:val="105"/>
              </w:rPr>
              <w:t>ollow</w:t>
            </w:r>
            <w:r>
              <w:rPr>
                <w:rFonts w:eastAsia="Arial"/>
                <w:w w:val="105"/>
              </w:rPr>
              <w:t xml:space="preserve"> </w:t>
            </w:r>
            <w:r w:rsidR="005D1C88">
              <w:rPr>
                <w:rFonts w:eastAsia="Arial"/>
                <w:w w:val="105"/>
              </w:rPr>
              <w:t>ANSIC</w:t>
            </w:r>
            <w:r>
              <w:rPr>
                <w:rFonts w:eastAsia="Arial"/>
                <w:w w:val="105"/>
              </w:rPr>
              <w:t xml:space="preserve"> </w:t>
            </w:r>
            <w:r w:rsidR="005D1C88">
              <w:rPr>
                <w:rFonts w:eastAsia="Arial"/>
                <w:w w:val="105"/>
              </w:rPr>
              <w:t>78.377,</w:t>
            </w:r>
            <w:r>
              <w:rPr>
                <w:rFonts w:eastAsia="Arial"/>
                <w:w w:val="105"/>
              </w:rPr>
              <w:t xml:space="preserve"> </w:t>
            </w:r>
            <w:r w:rsidR="005D1C88">
              <w:rPr>
                <w:rFonts w:eastAsia="Arial"/>
                <w:w w:val="105"/>
              </w:rPr>
              <w:t>excluding</w:t>
            </w:r>
            <w:r>
              <w:rPr>
                <w:rFonts w:eastAsia="Arial"/>
                <w:w w:val="105"/>
              </w:rPr>
              <w:t xml:space="preserve"> </w:t>
            </w:r>
            <w:r w:rsidR="005D1C88">
              <w:rPr>
                <w:rFonts w:eastAsia="Arial"/>
                <w:w w:val="105"/>
              </w:rPr>
              <w:t>flexible</w:t>
            </w:r>
            <w:r>
              <w:rPr>
                <w:rFonts w:eastAsia="Arial"/>
                <w:w w:val="105"/>
              </w:rPr>
              <w:t xml:space="preserve"> </w:t>
            </w:r>
            <w:r w:rsidR="005D1C88">
              <w:rPr>
                <w:rFonts w:eastAsia="Arial"/>
                <w:w w:val="105"/>
              </w:rPr>
              <w:t>CCT</w:t>
            </w:r>
          </w:p>
          <w:p w:rsidR="005D1C88" w:rsidRDefault="005D1C88" w:rsidP="00255AA3">
            <w:pPr>
              <w:pStyle w:val="E3Tabletext"/>
              <w:rPr>
                <w:rFonts w:eastAsia="Arial"/>
              </w:rPr>
            </w:pPr>
            <w:r>
              <w:rPr>
                <w:rFonts w:eastAsia="Arial"/>
                <w:w w:val="105"/>
              </w:rPr>
              <w:t>0.000</w:t>
            </w:r>
            <w:r w:rsidR="001C7E9A">
              <w:rPr>
                <w:rFonts w:eastAsia="Arial"/>
                <w:w w:val="105"/>
              </w:rPr>
              <w:t xml:space="preserve"> </w:t>
            </w:r>
            <w:r>
              <w:rPr>
                <w:rFonts w:eastAsia="Arial"/>
                <w:w w:val="105"/>
              </w:rPr>
              <w:t>±</w:t>
            </w:r>
            <w:r w:rsidR="001C7E9A">
              <w:rPr>
                <w:rFonts w:eastAsia="Arial"/>
                <w:w w:val="105"/>
              </w:rPr>
              <w:t xml:space="preserve"> </w:t>
            </w:r>
            <w:r>
              <w:rPr>
                <w:rFonts w:eastAsia="Arial"/>
                <w:w w:val="105"/>
              </w:rPr>
              <w:t>0.006</w:t>
            </w:r>
          </w:p>
          <w:p w:rsidR="005D1C88" w:rsidRDefault="005D1C88" w:rsidP="00255AA3">
            <w:pPr>
              <w:pStyle w:val="E3Tabletext"/>
              <w:rPr>
                <w:rFonts w:eastAsia="Arial"/>
              </w:rPr>
            </w:pPr>
            <w:r>
              <w:rPr>
                <w:rFonts w:eastAsia="Arial"/>
                <w:w w:val="105"/>
              </w:rPr>
              <w:t>0.000</w:t>
            </w:r>
            <w:r w:rsidR="001C7E9A">
              <w:rPr>
                <w:rFonts w:eastAsia="Arial"/>
                <w:w w:val="105"/>
              </w:rPr>
              <w:t xml:space="preserve"> </w:t>
            </w:r>
            <w:r>
              <w:rPr>
                <w:rFonts w:eastAsia="Arial"/>
                <w:w w:val="105"/>
              </w:rPr>
              <w:t>±</w:t>
            </w:r>
            <w:r w:rsidR="001C7E9A">
              <w:rPr>
                <w:rFonts w:eastAsia="Arial"/>
                <w:w w:val="105"/>
              </w:rPr>
              <w:t xml:space="preserve"> </w:t>
            </w:r>
            <w:r>
              <w:rPr>
                <w:rFonts w:eastAsia="Arial"/>
                <w:w w:val="105"/>
              </w:rPr>
              <w:t>0.006</w:t>
            </w:r>
          </w:p>
          <w:p w:rsidR="005D1C88" w:rsidRDefault="005D1C88" w:rsidP="00255AA3">
            <w:pPr>
              <w:pStyle w:val="E3Tabletext"/>
              <w:rPr>
                <w:rFonts w:eastAsia="Arial"/>
              </w:rPr>
            </w:pPr>
            <w:r>
              <w:rPr>
                <w:rFonts w:eastAsia="Arial"/>
                <w:w w:val="105"/>
              </w:rPr>
              <w:t>0.000</w:t>
            </w:r>
            <w:r w:rsidR="001C7E9A">
              <w:rPr>
                <w:rFonts w:eastAsia="Arial"/>
                <w:w w:val="105"/>
              </w:rPr>
              <w:t xml:space="preserve"> </w:t>
            </w:r>
            <w:r>
              <w:rPr>
                <w:rFonts w:eastAsia="Arial"/>
                <w:w w:val="105"/>
              </w:rPr>
              <w:t>±</w:t>
            </w:r>
            <w:r w:rsidR="001C7E9A">
              <w:rPr>
                <w:rFonts w:eastAsia="Arial"/>
                <w:w w:val="105"/>
              </w:rPr>
              <w:t xml:space="preserve"> </w:t>
            </w:r>
            <w:r>
              <w:rPr>
                <w:rFonts w:eastAsia="Arial"/>
                <w:w w:val="105"/>
              </w:rPr>
              <w:t>0.006</w:t>
            </w:r>
          </w:p>
          <w:p w:rsidR="005D1C88" w:rsidRDefault="005D1C88" w:rsidP="00255AA3">
            <w:pPr>
              <w:pStyle w:val="E3Tabletext"/>
              <w:rPr>
                <w:rFonts w:eastAsia="Arial"/>
              </w:rPr>
            </w:pPr>
            <w:r>
              <w:rPr>
                <w:rFonts w:eastAsia="Arial"/>
                <w:w w:val="105"/>
              </w:rPr>
              <w:t>0.001</w:t>
            </w:r>
            <w:r w:rsidR="001C7E9A">
              <w:rPr>
                <w:rFonts w:eastAsia="Arial"/>
                <w:w w:val="105"/>
              </w:rPr>
              <w:t xml:space="preserve"> </w:t>
            </w:r>
            <w:r>
              <w:rPr>
                <w:rFonts w:eastAsia="Arial"/>
                <w:w w:val="105"/>
              </w:rPr>
              <w:t>±</w:t>
            </w:r>
            <w:r w:rsidR="001C7E9A">
              <w:rPr>
                <w:rFonts w:eastAsia="Arial"/>
                <w:w w:val="105"/>
              </w:rPr>
              <w:t xml:space="preserve"> </w:t>
            </w:r>
            <w:r>
              <w:rPr>
                <w:rFonts w:eastAsia="Arial"/>
                <w:w w:val="105"/>
              </w:rPr>
              <w:t>0.006</w:t>
            </w:r>
          </w:p>
          <w:p w:rsidR="005D1C88" w:rsidRDefault="005D1C88" w:rsidP="00255AA3">
            <w:pPr>
              <w:pStyle w:val="E3Tabletext"/>
              <w:rPr>
                <w:rFonts w:eastAsia="Arial"/>
              </w:rPr>
            </w:pPr>
            <w:r>
              <w:rPr>
                <w:rFonts w:eastAsia="Arial"/>
                <w:w w:val="105"/>
              </w:rPr>
              <w:t>0.002</w:t>
            </w:r>
            <w:r w:rsidR="001C7E9A">
              <w:rPr>
                <w:rFonts w:eastAsia="Arial"/>
                <w:w w:val="105"/>
              </w:rPr>
              <w:t xml:space="preserve"> </w:t>
            </w:r>
            <w:r>
              <w:rPr>
                <w:rFonts w:eastAsia="Arial"/>
                <w:w w:val="105"/>
              </w:rPr>
              <w:t>±</w:t>
            </w:r>
            <w:r w:rsidR="001C7E9A">
              <w:rPr>
                <w:rFonts w:eastAsia="Arial"/>
                <w:w w:val="105"/>
              </w:rPr>
              <w:t xml:space="preserve"> </w:t>
            </w:r>
            <w:r>
              <w:rPr>
                <w:rFonts w:eastAsia="Arial"/>
                <w:w w:val="105"/>
              </w:rPr>
              <w:t>0.006</w:t>
            </w:r>
          </w:p>
          <w:p w:rsidR="005D1C88" w:rsidRDefault="005D1C88" w:rsidP="00255AA3">
            <w:pPr>
              <w:pStyle w:val="E3Tabletext"/>
              <w:rPr>
                <w:rFonts w:eastAsia="Arial"/>
              </w:rPr>
            </w:pPr>
            <w:r>
              <w:rPr>
                <w:rFonts w:eastAsia="Arial"/>
                <w:w w:val="105"/>
              </w:rPr>
              <w:t>0.002</w:t>
            </w:r>
            <w:r w:rsidR="001C7E9A">
              <w:rPr>
                <w:rFonts w:eastAsia="Arial"/>
                <w:w w:val="105"/>
              </w:rPr>
              <w:t xml:space="preserve"> </w:t>
            </w:r>
            <w:r>
              <w:rPr>
                <w:rFonts w:eastAsia="Arial"/>
                <w:w w:val="105"/>
              </w:rPr>
              <w:t>±</w:t>
            </w:r>
            <w:r w:rsidR="001C7E9A">
              <w:rPr>
                <w:rFonts w:eastAsia="Arial"/>
                <w:w w:val="105"/>
              </w:rPr>
              <w:t xml:space="preserve"> </w:t>
            </w:r>
            <w:r>
              <w:rPr>
                <w:rFonts w:eastAsia="Arial"/>
                <w:w w:val="105"/>
              </w:rPr>
              <w:t>0.006</w:t>
            </w:r>
          </w:p>
          <w:p w:rsidR="005D1C88" w:rsidRDefault="005D1C88" w:rsidP="00255AA3">
            <w:pPr>
              <w:pStyle w:val="E3Tabletext"/>
              <w:rPr>
                <w:rFonts w:eastAsia="Arial"/>
              </w:rPr>
            </w:pPr>
            <w:r>
              <w:rPr>
                <w:rFonts w:eastAsia="Arial"/>
                <w:w w:val="105"/>
              </w:rPr>
              <w:t>0.003</w:t>
            </w:r>
            <w:r w:rsidR="001C7E9A">
              <w:rPr>
                <w:rFonts w:eastAsia="Arial"/>
                <w:w w:val="105"/>
              </w:rPr>
              <w:t xml:space="preserve"> </w:t>
            </w:r>
            <w:r>
              <w:rPr>
                <w:rFonts w:eastAsia="Arial"/>
                <w:w w:val="105"/>
              </w:rPr>
              <w:t>±</w:t>
            </w:r>
            <w:r w:rsidR="001C7E9A">
              <w:rPr>
                <w:rFonts w:eastAsia="Arial"/>
                <w:w w:val="105"/>
              </w:rPr>
              <w:t xml:space="preserve"> </w:t>
            </w:r>
            <w:r>
              <w:rPr>
                <w:rFonts w:eastAsia="Arial"/>
                <w:w w:val="105"/>
              </w:rPr>
              <w:t>0.006</w:t>
            </w:r>
          </w:p>
        </w:tc>
        <w:tc>
          <w:tcPr>
            <w:tcW w:w="2296" w:type="dxa"/>
            <w:gridSpan w:val="2"/>
            <w:tcBorders>
              <w:top w:val="single" w:sz="6" w:space="0" w:color="000000"/>
              <w:left w:val="single" w:sz="6" w:space="0" w:color="000000"/>
              <w:bottom w:val="single" w:sz="6" w:space="0" w:color="000000"/>
              <w:right w:val="single" w:sz="6" w:space="0" w:color="000000"/>
            </w:tcBorders>
            <w:shd w:val="clear" w:color="auto" w:fill="D9D9D9"/>
          </w:tcPr>
          <w:p w:rsidR="005D1C88" w:rsidRDefault="005D1C88" w:rsidP="00255AA3">
            <w:pPr>
              <w:pStyle w:val="E3Tabletext"/>
              <w:rPr>
                <w:rFonts w:eastAsia="Arial" w:hAnsi="Arial" w:cs="Arial"/>
                <w:szCs w:val="13"/>
              </w:rPr>
            </w:pPr>
            <w:r>
              <w:rPr>
                <w:w w:val="105"/>
              </w:rPr>
              <w:t>followANSIC78.377-2011</w:t>
            </w:r>
          </w:p>
          <w:p w:rsidR="005D1C88" w:rsidRDefault="005D1C88" w:rsidP="00255AA3">
            <w:pPr>
              <w:pStyle w:val="E3Tabletext"/>
              <w:rPr>
                <w:rFonts w:eastAsia="Arial" w:hAnsi="Arial" w:cs="Arial"/>
                <w:szCs w:val="13"/>
              </w:rPr>
            </w:pPr>
            <w:r>
              <w:rPr>
                <w:w w:val="105"/>
              </w:rPr>
              <w:t>Table6A,for4-stepquadrangleexcludingflexibleCCT</w:t>
            </w:r>
          </w:p>
          <w:p w:rsidR="005D1C88" w:rsidRDefault="005D1C88" w:rsidP="00255AA3">
            <w:pPr>
              <w:pStyle w:val="E3Tabletext"/>
              <w:rPr>
                <w:rFonts w:eastAsia="Arial"/>
              </w:rPr>
            </w:pPr>
            <w:r>
              <w:rPr>
                <w:rFonts w:eastAsia="Arial"/>
                <w:w w:val="105"/>
              </w:rPr>
              <w:t>0.0006±0.0033</w:t>
            </w:r>
          </w:p>
          <w:p w:rsidR="005D1C88" w:rsidRDefault="005D1C88" w:rsidP="00255AA3">
            <w:pPr>
              <w:pStyle w:val="E3Tabletext"/>
              <w:rPr>
                <w:rFonts w:eastAsia="Arial"/>
              </w:rPr>
            </w:pPr>
            <w:r>
              <w:rPr>
                <w:rFonts w:eastAsia="Arial"/>
                <w:w w:val="105"/>
              </w:rPr>
              <w:t>-0.0008±0.0033</w:t>
            </w:r>
          </w:p>
          <w:p w:rsidR="005D1C88" w:rsidRDefault="005D1C88" w:rsidP="00255AA3">
            <w:pPr>
              <w:pStyle w:val="E3Tabletext"/>
              <w:rPr>
                <w:rFonts w:eastAsia="Arial"/>
              </w:rPr>
            </w:pPr>
            <w:r>
              <w:rPr>
                <w:rFonts w:eastAsia="Arial"/>
                <w:w w:val="105"/>
              </w:rPr>
              <w:t>-0.0002±0.0033</w:t>
            </w:r>
          </w:p>
          <w:p w:rsidR="005D1C88" w:rsidRDefault="005D1C88" w:rsidP="00255AA3">
            <w:pPr>
              <w:pStyle w:val="E3Tabletext"/>
              <w:rPr>
                <w:rFonts w:eastAsia="Arial"/>
              </w:rPr>
            </w:pPr>
            <w:r>
              <w:rPr>
                <w:rFonts w:eastAsia="Arial"/>
                <w:w w:val="105"/>
              </w:rPr>
              <w:t>0.0016±0.0033</w:t>
            </w:r>
          </w:p>
          <w:p w:rsidR="005D1C88" w:rsidRDefault="005D1C88" w:rsidP="00255AA3">
            <w:pPr>
              <w:pStyle w:val="E3Tabletext"/>
              <w:rPr>
                <w:rFonts w:eastAsia="Arial"/>
              </w:rPr>
            </w:pPr>
            <w:r>
              <w:rPr>
                <w:rFonts w:eastAsia="Arial"/>
                <w:w w:val="105"/>
              </w:rPr>
              <w:t>0.0033±0.0033</w:t>
            </w:r>
          </w:p>
          <w:p w:rsidR="005D1C88" w:rsidRDefault="005D1C88" w:rsidP="00255AA3">
            <w:pPr>
              <w:pStyle w:val="E3Tabletext"/>
              <w:rPr>
                <w:rFonts w:eastAsia="Arial"/>
              </w:rPr>
            </w:pPr>
            <w:r>
              <w:rPr>
                <w:rFonts w:eastAsia="Arial"/>
                <w:w w:val="105"/>
              </w:rPr>
              <w:t>0.0024±0.0033</w:t>
            </w:r>
          </w:p>
          <w:p w:rsidR="005D1C88" w:rsidRDefault="005D1C88" w:rsidP="00255AA3">
            <w:pPr>
              <w:pStyle w:val="E3Tabletext"/>
              <w:rPr>
                <w:rFonts w:eastAsia="Arial"/>
              </w:rPr>
            </w:pPr>
            <w:r>
              <w:rPr>
                <w:rFonts w:eastAsia="Arial"/>
                <w:w w:val="105"/>
              </w:rPr>
              <w:t>0.0071±0.0033</w:t>
            </w:r>
          </w:p>
        </w:tc>
      </w:tr>
      <w:tr w:rsidR="005D1C88" w:rsidTr="001C7E9A">
        <w:trPr>
          <w:cantSplit/>
          <w:jc w:val="center"/>
        </w:trPr>
        <w:tc>
          <w:tcPr>
            <w:tcW w:w="1162" w:type="dxa"/>
            <w:tcBorders>
              <w:top w:val="single" w:sz="6" w:space="0" w:color="000000"/>
              <w:left w:val="single" w:sz="6" w:space="0" w:color="000000"/>
              <w:bottom w:val="single" w:sz="6" w:space="0" w:color="000000"/>
              <w:right w:val="single" w:sz="6" w:space="0" w:color="000000"/>
            </w:tcBorders>
          </w:tcPr>
          <w:p w:rsidR="005D1C88" w:rsidRDefault="005D1C88" w:rsidP="005D1C88">
            <w:pPr>
              <w:pStyle w:val="E3TableSubHeading"/>
              <w:rPr>
                <w:rFonts w:eastAsia="Arial" w:hAnsi="Arial" w:cs="Arial"/>
                <w:szCs w:val="13"/>
              </w:rPr>
            </w:pPr>
            <w:r>
              <w:rPr>
                <w:rFonts w:eastAsia="Arial" w:hAnsi="Arial" w:cs="Arial"/>
                <w:bCs/>
                <w:spacing w:val="-1"/>
                <w:w w:val="105"/>
                <w:szCs w:val="13"/>
              </w:rPr>
              <w:t>Color</w:t>
            </w:r>
            <w:r w:rsidR="001C7E9A">
              <w:rPr>
                <w:rFonts w:eastAsia="Arial" w:hAnsi="Arial" w:cs="Arial"/>
                <w:bCs/>
                <w:spacing w:val="-1"/>
                <w:w w:val="105"/>
                <w:szCs w:val="13"/>
              </w:rPr>
              <w:t xml:space="preserve"> </w:t>
            </w:r>
            <w:r>
              <w:rPr>
                <w:rFonts w:eastAsia="Arial" w:hAnsi="Arial" w:cs="Arial"/>
                <w:bCs/>
                <w:w w:val="105"/>
                <w:szCs w:val="13"/>
              </w:rPr>
              <w:t>Maintenance</w:t>
            </w:r>
            <w:r w:rsidR="001C7E9A">
              <w:rPr>
                <w:rFonts w:eastAsia="Arial" w:hAnsi="Arial" w:cs="Arial"/>
                <w:bCs/>
                <w:w w:val="105"/>
                <w:szCs w:val="13"/>
              </w:rPr>
              <w:t xml:space="preserve"> </w:t>
            </w:r>
            <w:r>
              <w:rPr>
                <w:rFonts w:eastAsia="Arial" w:hAnsi="Arial" w:cs="Arial"/>
                <w:bCs/>
                <w:w w:val="105"/>
                <w:szCs w:val="13"/>
              </w:rPr>
              <w:t>(</w:t>
            </w:r>
            <w:r>
              <w:rPr>
                <w:rFonts w:eastAsia="Arial" w:hAnsi="Arial" w:cs="Arial"/>
                <w:bCs/>
                <w:w w:val="105"/>
                <w:szCs w:val="13"/>
              </w:rPr>
              <w:t>∆</w:t>
            </w:r>
            <w:r>
              <w:rPr>
                <w:rFonts w:eastAsia="Arial" w:hAnsi="Arial" w:cs="Arial"/>
                <w:bCs/>
                <w:w w:val="105"/>
                <w:szCs w:val="13"/>
              </w:rPr>
              <w:t>u',v'</w:t>
            </w:r>
            <w:r w:rsidR="001C7E9A">
              <w:rPr>
                <w:rFonts w:eastAsia="Arial" w:hAnsi="Arial" w:cs="Arial"/>
                <w:bCs/>
                <w:w w:val="105"/>
                <w:szCs w:val="13"/>
              </w:rPr>
              <w:t xml:space="preserve"> </w:t>
            </w:r>
            <w:r>
              <w:rPr>
                <w:rFonts w:eastAsia="Arial" w:hAnsi="Arial" w:cs="Arial"/>
                <w:bCs/>
                <w:spacing w:val="-1"/>
                <w:w w:val="105"/>
                <w:szCs w:val="13"/>
              </w:rPr>
              <w:t>at</w:t>
            </w:r>
            <w:r w:rsidR="001C7E9A">
              <w:rPr>
                <w:rFonts w:eastAsia="Arial" w:hAnsi="Arial" w:cs="Arial"/>
                <w:bCs/>
                <w:spacing w:val="-1"/>
                <w:w w:val="105"/>
                <w:szCs w:val="13"/>
              </w:rPr>
              <w:t xml:space="preserve"> </w:t>
            </w:r>
            <w:r>
              <w:rPr>
                <w:rFonts w:eastAsia="Arial" w:hAnsi="Arial" w:cs="Arial"/>
                <w:bCs/>
                <w:spacing w:val="-1"/>
                <w:w w:val="105"/>
                <w:szCs w:val="13"/>
              </w:rPr>
              <w:t>6,000h)</w:t>
            </w:r>
          </w:p>
        </w:tc>
        <w:tc>
          <w:tcPr>
            <w:tcW w:w="1276" w:type="dxa"/>
            <w:tcBorders>
              <w:top w:val="single" w:sz="6" w:space="0" w:color="000000"/>
              <w:left w:val="single" w:sz="6" w:space="0" w:color="000000"/>
              <w:bottom w:val="single" w:sz="6" w:space="0" w:color="000000"/>
              <w:right w:val="single" w:sz="6" w:space="0" w:color="000000"/>
            </w:tcBorders>
          </w:tcPr>
          <w:p w:rsidR="005D1C88" w:rsidRDefault="005D1C88" w:rsidP="00255AA3">
            <w:pPr>
              <w:pStyle w:val="E3Tabletext"/>
              <w:rPr>
                <w:rFonts w:eastAsia="Arial" w:hAnsi="Arial" w:cs="Arial"/>
                <w:szCs w:val="13"/>
              </w:rPr>
            </w:pPr>
            <w:r>
              <w:rPr>
                <w:w w:val="105"/>
              </w:rPr>
              <w:t>N/A</w:t>
            </w:r>
          </w:p>
        </w:tc>
        <w:tc>
          <w:tcPr>
            <w:tcW w:w="2410" w:type="dxa"/>
            <w:gridSpan w:val="2"/>
            <w:tcBorders>
              <w:top w:val="single" w:sz="6" w:space="0" w:color="000000"/>
              <w:left w:val="single" w:sz="6" w:space="0" w:color="000000"/>
              <w:bottom w:val="single" w:sz="6" w:space="0" w:color="000000"/>
              <w:right w:val="single" w:sz="6" w:space="0" w:color="000000"/>
            </w:tcBorders>
          </w:tcPr>
          <w:p w:rsidR="005D1C88" w:rsidRDefault="005D1C88" w:rsidP="00255AA3">
            <w:pPr>
              <w:pStyle w:val="E3Tabletext"/>
              <w:rPr>
                <w:rFonts w:eastAsia="Arial" w:hAnsi="Arial" w:cs="Arial"/>
                <w:szCs w:val="13"/>
              </w:rPr>
            </w:pPr>
            <w:r>
              <w:rPr>
                <w:w w:val="105"/>
              </w:rPr>
              <w:t>&lt;0.007</w:t>
            </w:r>
          </w:p>
        </w:tc>
        <w:tc>
          <w:tcPr>
            <w:tcW w:w="2551" w:type="dxa"/>
            <w:gridSpan w:val="2"/>
            <w:tcBorders>
              <w:top w:val="single" w:sz="6" w:space="0" w:color="000000"/>
              <w:left w:val="single" w:sz="6" w:space="0" w:color="000000"/>
              <w:bottom w:val="single" w:sz="6" w:space="0" w:color="000000"/>
              <w:right w:val="single" w:sz="6" w:space="0" w:color="000000"/>
            </w:tcBorders>
          </w:tcPr>
          <w:p w:rsidR="005D1C88" w:rsidRDefault="005D1C88" w:rsidP="00255AA3">
            <w:pPr>
              <w:pStyle w:val="E3Tabletext"/>
              <w:rPr>
                <w:rFonts w:eastAsia="Arial" w:hAnsi="Arial" w:cs="Arial"/>
                <w:szCs w:val="13"/>
              </w:rPr>
            </w:pPr>
            <w:r>
              <w:rPr>
                <w:w w:val="105"/>
              </w:rPr>
              <w:t>&lt;0.007</w:t>
            </w:r>
          </w:p>
        </w:tc>
        <w:tc>
          <w:tcPr>
            <w:tcW w:w="2296" w:type="dxa"/>
            <w:gridSpan w:val="2"/>
            <w:tcBorders>
              <w:top w:val="single" w:sz="6" w:space="0" w:color="000000"/>
              <w:left w:val="single" w:sz="6" w:space="0" w:color="000000"/>
              <w:bottom w:val="single" w:sz="6" w:space="0" w:color="000000"/>
              <w:right w:val="single" w:sz="6" w:space="0" w:color="000000"/>
            </w:tcBorders>
          </w:tcPr>
          <w:p w:rsidR="005D1C88" w:rsidRDefault="005D1C88" w:rsidP="00255AA3">
            <w:pPr>
              <w:pStyle w:val="E3Tabletext"/>
              <w:rPr>
                <w:rFonts w:eastAsia="Arial" w:hAnsi="Arial" w:cs="Arial"/>
                <w:szCs w:val="13"/>
              </w:rPr>
            </w:pPr>
            <w:r>
              <w:rPr>
                <w:w w:val="105"/>
              </w:rPr>
              <w:t>&lt;0.004</w:t>
            </w:r>
          </w:p>
        </w:tc>
      </w:tr>
      <w:tr w:rsidR="000F0A7B" w:rsidTr="001C7E9A">
        <w:trPr>
          <w:cantSplit/>
          <w:jc w:val="center"/>
        </w:trPr>
        <w:tc>
          <w:tcPr>
            <w:tcW w:w="1162" w:type="dxa"/>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5D1C88">
            <w:pPr>
              <w:pStyle w:val="E3TableSubHeading"/>
              <w:rPr>
                <w:rFonts w:eastAsia="Arial" w:hAnsi="Arial" w:cs="Arial"/>
                <w:szCs w:val="13"/>
              </w:rPr>
            </w:pPr>
            <w:r>
              <w:rPr>
                <w:rFonts w:eastAsia="Arial" w:hAnsi="Arial" w:cs="Arial"/>
                <w:bCs/>
                <w:w w:val="105"/>
                <w:szCs w:val="13"/>
              </w:rPr>
              <w:t xml:space="preserve">Luminous intensity distribution </w:t>
            </w:r>
            <w:r>
              <w:rPr>
                <w:rFonts w:eastAsia="Arial" w:hAnsi="Arial" w:cs="Arial"/>
                <w:bCs/>
                <w:spacing w:val="-1"/>
                <w:w w:val="105"/>
                <w:szCs w:val="13"/>
              </w:rPr>
              <w:t>0-180</w:t>
            </w:r>
            <w:r>
              <w:rPr>
                <w:rFonts w:eastAsia="Arial" w:hAnsi="Arial" w:cs="Arial"/>
                <w:bCs/>
                <w:spacing w:val="-1"/>
                <w:w w:val="105"/>
                <w:szCs w:val="13"/>
              </w:rPr>
              <w:t>°</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255AA3">
            <w:pPr>
              <w:pStyle w:val="E3Tabletext"/>
              <w:rPr>
                <w:rFonts w:eastAsia="Arial" w:hAnsi="Arial" w:cs="Arial"/>
                <w:szCs w:val="13"/>
              </w:rPr>
            </w:pPr>
            <w:r>
              <w:rPr>
                <w:w w:val="105"/>
              </w:rPr>
              <w:t>N/A</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255AA3">
            <w:pPr>
              <w:pStyle w:val="E3Tabletext"/>
              <w:rPr>
                <w:rFonts w:eastAsia="Arial" w:hAnsi="Arial" w:cs="Arial"/>
                <w:szCs w:val="13"/>
              </w:rPr>
            </w:pPr>
            <w:r>
              <w:rPr>
                <w:w w:val="105"/>
              </w:rPr>
              <w:t>N/A</w:t>
            </w:r>
          </w:p>
        </w:tc>
        <w:tc>
          <w:tcPr>
            <w:tcW w:w="2551" w:type="dxa"/>
            <w:gridSpan w:val="2"/>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255AA3">
            <w:pPr>
              <w:pStyle w:val="E3Tabletext"/>
              <w:rPr>
                <w:rFonts w:eastAsia="Arial"/>
              </w:rPr>
            </w:pPr>
            <w:r>
              <w:rPr>
                <w:rFonts w:eastAsia="Arial"/>
                <w:w w:val="105"/>
              </w:rPr>
              <w:t>Products shall have an even distribution of luminous intensity within the 0° to 135° zone (symmetrical about the vertical axis). Luminous intensity at any angle within this zone shall not differ from the mean luminous intensity for the entire 0° to 135° zone by more than 20%. At least 5% of total flux must be emitted in the 135° - 180° zone. Distribution shall be vertically symmetric in three vertical planes, 0°, 45°, 90°.</w:t>
            </w:r>
          </w:p>
        </w:tc>
        <w:tc>
          <w:tcPr>
            <w:tcW w:w="2296" w:type="dxa"/>
            <w:gridSpan w:val="2"/>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255AA3">
            <w:pPr>
              <w:pStyle w:val="E3Tabletext"/>
              <w:rPr>
                <w:rFonts w:eastAsia="Arial"/>
              </w:rPr>
            </w:pPr>
            <w:r>
              <w:rPr>
                <w:rFonts w:eastAsia="Arial"/>
                <w:w w:val="105"/>
              </w:rPr>
              <w:t>Products shall have an even distribution of luminous intensity within the 0° to 135° zone (symmetrical about the vertical axis). Luminous intensity at any angle within this zone shall not differ from the mean luminous intensity for the entire 0° to 135° zone by more than 20%. At least 5% of total flux must be emitted in the 135° - 180° zone. Distribution shall be vertically symmetric in three vertical planes, 0°, 45°, 90°.</w:t>
            </w:r>
          </w:p>
        </w:tc>
      </w:tr>
      <w:tr w:rsidR="000F0A7B" w:rsidTr="001C7E9A">
        <w:trPr>
          <w:cantSplit/>
          <w:jc w:val="center"/>
        </w:trPr>
        <w:tc>
          <w:tcPr>
            <w:tcW w:w="1162" w:type="dxa"/>
            <w:tcBorders>
              <w:top w:val="single" w:sz="6" w:space="0" w:color="000000"/>
              <w:left w:val="single" w:sz="6" w:space="0" w:color="000000"/>
              <w:bottom w:val="single" w:sz="6" w:space="0" w:color="000000"/>
              <w:right w:val="single" w:sz="6" w:space="0" w:color="000000"/>
            </w:tcBorders>
          </w:tcPr>
          <w:p w:rsidR="000F0A7B" w:rsidRDefault="000F0A7B" w:rsidP="005D1C88">
            <w:pPr>
              <w:pStyle w:val="E3TableSubHeading"/>
              <w:rPr>
                <w:rFonts w:eastAsia="Arial" w:hAnsi="Arial" w:cs="Arial"/>
                <w:szCs w:val="13"/>
              </w:rPr>
            </w:pPr>
            <w:r>
              <w:rPr>
                <w:spacing w:val="-1"/>
                <w:w w:val="105"/>
              </w:rPr>
              <w:t>CRI</w:t>
            </w:r>
          </w:p>
        </w:tc>
        <w:tc>
          <w:tcPr>
            <w:tcW w:w="1276" w:type="dxa"/>
            <w:tcBorders>
              <w:top w:val="single" w:sz="6" w:space="0" w:color="000000"/>
              <w:left w:val="single" w:sz="6" w:space="0" w:color="000000"/>
              <w:bottom w:val="single" w:sz="6" w:space="0" w:color="000000"/>
              <w:right w:val="single" w:sz="6" w:space="0" w:color="000000"/>
            </w:tcBorders>
          </w:tcPr>
          <w:p w:rsidR="000F0A7B" w:rsidRDefault="000F0A7B" w:rsidP="00255AA3">
            <w:pPr>
              <w:pStyle w:val="E3Tabletext"/>
              <w:rPr>
                <w:rFonts w:eastAsia="Arial" w:hAnsi="Arial" w:cs="Arial"/>
                <w:szCs w:val="13"/>
              </w:rPr>
            </w:pPr>
            <w:r>
              <w:rPr>
                <w:w w:val="105"/>
              </w:rPr>
              <w:t>N/A</w:t>
            </w:r>
          </w:p>
        </w:tc>
        <w:tc>
          <w:tcPr>
            <w:tcW w:w="2410" w:type="dxa"/>
            <w:gridSpan w:val="2"/>
            <w:tcBorders>
              <w:top w:val="single" w:sz="6" w:space="0" w:color="000000"/>
              <w:left w:val="single" w:sz="6" w:space="0" w:color="000000"/>
              <w:bottom w:val="single" w:sz="6" w:space="0" w:color="000000"/>
              <w:right w:val="single" w:sz="6" w:space="0" w:color="000000"/>
            </w:tcBorders>
          </w:tcPr>
          <w:p w:rsidR="000F0A7B" w:rsidRDefault="000F0A7B" w:rsidP="00255AA3">
            <w:pPr>
              <w:pStyle w:val="E3Tabletext"/>
              <w:rPr>
                <w:rFonts w:eastAsia="Arial"/>
              </w:rPr>
            </w:pPr>
            <w:r>
              <w:rPr>
                <w:rFonts w:eastAsia="Arial"/>
                <w:w w:val="105"/>
              </w:rPr>
              <w:t>≥70</w:t>
            </w:r>
          </w:p>
        </w:tc>
        <w:tc>
          <w:tcPr>
            <w:tcW w:w="2551" w:type="dxa"/>
            <w:gridSpan w:val="2"/>
            <w:tcBorders>
              <w:top w:val="single" w:sz="6" w:space="0" w:color="000000"/>
              <w:left w:val="single" w:sz="6" w:space="0" w:color="000000"/>
              <w:bottom w:val="single" w:sz="6" w:space="0" w:color="000000"/>
              <w:right w:val="single" w:sz="6" w:space="0" w:color="000000"/>
            </w:tcBorders>
          </w:tcPr>
          <w:p w:rsidR="000F0A7B" w:rsidRDefault="000F0A7B" w:rsidP="00255AA3">
            <w:pPr>
              <w:pStyle w:val="E3Tabletext"/>
              <w:rPr>
                <w:rFonts w:eastAsia="Arial"/>
              </w:rPr>
            </w:pPr>
            <w:r>
              <w:rPr>
                <w:rFonts w:eastAsia="Arial"/>
                <w:w w:val="105"/>
              </w:rPr>
              <w:t>≥80, R9&gt;0</w:t>
            </w:r>
          </w:p>
        </w:tc>
        <w:tc>
          <w:tcPr>
            <w:tcW w:w="2296" w:type="dxa"/>
            <w:gridSpan w:val="2"/>
            <w:tcBorders>
              <w:top w:val="single" w:sz="6" w:space="0" w:color="000000"/>
              <w:left w:val="single" w:sz="6" w:space="0" w:color="000000"/>
              <w:bottom w:val="single" w:sz="6" w:space="0" w:color="000000"/>
              <w:right w:val="single" w:sz="6" w:space="0" w:color="000000"/>
            </w:tcBorders>
          </w:tcPr>
          <w:p w:rsidR="000F0A7B" w:rsidRDefault="000F0A7B" w:rsidP="00255AA3">
            <w:pPr>
              <w:pStyle w:val="E3Tabletext"/>
              <w:rPr>
                <w:rFonts w:eastAsia="Arial"/>
              </w:rPr>
            </w:pPr>
            <w:r>
              <w:rPr>
                <w:rFonts w:eastAsia="Arial"/>
                <w:w w:val="105"/>
              </w:rPr>
              <w:t>≥80, R9&gt;0</w:t>
            </w:r>
          </w:p>
        </w:tc>
      </w:tr>
      <w:tr w:rsidR="000F0A7B" w:rsidTr="001C7E9A">
        <w:trPr>
          <w:cantSplit/>
          <w:jc w:val="center"/>
        </w:trPr>
        <w:tc>
          <w:tcPr>
            <w:tcW w:w="1162" w:type="dxa"/>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5D1C88">
            <w:pPr>
              <w:pStyle w:val="E3TableSubHeading"/>
              <w:rPr>
                <w:rFonts w:eastAsia="Arial" w:hAnsi="Arial" w:cs="Arial"/>
                <w:szCs w:val="13"/>
              </w:rPr>
            </w:pPr>
            <w:r>
              <w:rPr>
                <w:w w:val="105"/>
              </w:rPr>
              <w:t xml:space="preserve">Lag </w:t>
            </w:r>
            <w:r>
              <w:rPr>
                <w:spacing w:val="-1"/>
                <w:w w:val="105"/>
              </w:rPr>
              <w:t xml:space="preserve">start </w:t>
            </w:r>
            <w:r>
              <w:rPr>
                <w:w w:val="105"/>
              </w:rPr>
              <w:t>time</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255AA3">
            <w:pPr>
              <w:pStyle w:val="E3Tabletext"/>
              <w:rPr>
                <w:rFonts w:eastAsia="Arial" w:hAnsi="Arial" w:cs="Arial"/>
                <w:szCs w:val="13"/>
              </w:rPr>
            </w:pPr>
            <w:r>
              <w:rPr>
                <w:w w:val="105"/>
              </w:rPr>
              <w:t>N/A</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255AA3">
            <w:pPr>
              <w:pStyle w:val="E3Tabletext"/>
              <w:rPr>
                <w:rFonts w:eastAsia="Arial" w:hAnsi="Arial" w:cs="Arial"/>
                <w:szCs w:val="13"/>
              </w:rPr>
            </w:pPr>
            <w:r>
              <w:rPr>
                <w:w w:val="105"/>
              </w:rPr>
              <w:t>&lt;0.5 sec until continuous light output</w:t>
            </w:r>
          </w:p>
        </w:tc>
        <w:tc>
          <w:tcPr>
            <w:tcW w:w="2551" w:type="dxa"/>
            <w:gridSpan w:val="2"/>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255AA3">
            <w:pPr>
              <w:pStyle w:val="E3Tabletext"/>
              <w:rPr>
                <w:rFonts w:eastAsia="Arial" w:hAnsi="Arial" w:cs="Arial"/>
                <w:szCs w:val="13"/>
              </w:rPr>
            </w:pPr>
            <w:r>
              <w:rPr>
                <w:w w:val="105"/>
              </w:rPr>
              <w:t>&lt;0.5 sec until continuous light output</w:t>
            </w:r>
          </w:p>
        </w:tc>
        <w:tc>
          <w:tcPr>
            <w:tcW w:w="2296" w:type="dxa"/>
            <w:gridSpan w:val="2"/>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255AA3">
            <w:pPr>
              <w:pStyle w:val="E3Tabletext"/>
              <w:rPr>
                <w:rFonts w:eastAsia="Arial" w:hAnsi="Arial" w:cs="Arial"/>
                <w:szCs w:val="13"/>
              </w:rPr>
            </w:pPr>
            <w:r>
              <w:rPr>
                <w:w w:val="105"/>
              </w:rPr>
              <w:t>&lt;0.5 sec until continuous light output</w:t>
            </w:r>
          </w:p>
        </w:tc>
      </w:tr>
      <w:tr w:rsidR="000F0A7B" w:rsidTr="001C7E9A">
        <w:trPr>
          <w:cantSplit/>
          <w:jc w:val="center"/>
        </w:trPr>
        <w:tc>
          <w:tcPr>
            <w:tcW w:w="1162" w:type="dxa"/>
            <w:tcBorders>
              <w:top w:val="single" w:sz="6" w:space="0" w:color="000000"/>
              <w:left w:val="single" w:sz="6" w:space="0" w:color="000000"/>
              <w:bottom w:val="single" w:sz="6" w:space="0" w:color="000000"/>
              <w:right w:val="single" w:sz="6" w:space="0" w:color="000000"/>
            </w:tcBorders>
          </w:tcPr>
          <w:p w:rsidR="000F0A7B" w:rsidRDefault="000F0A7B" w:rsidP="005D1C88">
            <w:pPr>
              <w:pStyle w:val="E3TableSubHeading"/>
              <w:rPr>
                <w:rFonts w:eastAsia="Arial" w:hAnsi="Arial" w:cs="Arial"/>
                <w:szCs w:val="13"/>
              </w:rPr>
            </w:pPr>
            <w:r>
              <w:rPr>
                <w:w w:val="105"/>
              </w:rPr>
              <w:t xml:space="preserve">Lumen Maintenance (Minimum time to </w:t>
            </w:r>
            <w:r>
              <w:rPr>
                <w:spacing w:val="7"/>
                <w:w w:val="105"/>
              </w:rPr>
              <w:t>L</w:t>
            </w:r>
            <w:r>
              <w:rPr>
                <w:w w:val="105"/>
                <w:position w:val="-2"/>
                <w:sz w:val="9"/>
              </w:rPr>
              <w:t>7</w:t>
            </w:r>
            <w:r>
              <w:rPr>
                <w:spacing w:val="1"/>
                <w:w w:val="105"/>
                <w:position w:val="-2"/>
                <w:sz w:val="9"/>
              </w:rPr>
              <w:t>0</w:t>
            </w:r>
            <w:r>
              <w:rPr>
                <w:w w:val="105"/>
              </w:rPr>
              <w:t>)</w:t>
            </w:r>
          </w:p>
        </w:tc>
        <w:tc>
          <w:tcPr>
            <w:tcW w:w="1276" w:type="dxa"/>
            <w:tcBorders>
              <w:top w:val="single" w:sz="6" w:space="0" w:color="000000"/>
              <w:left w:val="single" w:sz="6" w:space="0" w:color="000000"/>
              <w:bottom w:val="single" w:sz="6" w:space="0" w:color="000000"/>
              <w:right w:val="single" w:sz="6" w:space="0" w:color="000000"/>
            </w:tcBorders>
          </w:tcPr>
          <w:p w:rsidR="000F0A7B" w:rsidRDefault="000F0A7B" w:rsidP="00255AA3">
            <w:pPr>
              <w:pStyle w:val="E3Tabletext"/>
              <w:rPr>
                <w:rFonts w:eastAsia="Arial" w:hAnsi="Arial" w:cs="Arial"/>
                <w:szCs w:val="13"/>
              </w:rPr>
            </w:pPr>
            <w:r>
              <w:rPr>
                <w:w w:val="105"/>
              </w:rPr>
              <w:t>At5,000hLumenMaintenance</w:t>
            </w:r>
          </w:p>
          <w:p w:rsidR="000F0A7B" w:rsidRDefault="000F0A7B" w:rsidP="00255AA3">
            <w:pPr>
              <w:pStyle w:val="E3Tabletext"/>
              <w:rPr>
                <w:rFonts w:eastAsia="Arial" w:hAnsi="Arial" w:cs="Arial"/>
                <w:szCs w:val="13"/>
              </w:rPr>
            </w:pPr>
            <w:r>
              <w:rPr>
                <w:w w:val="105"/>
              </w:rPr>
              <w:t>&gt;70%ofinitial</w:t>
            </w:r>
          </w:p>
        </w:tc>
        <w:tc>
          <w:tcPr>
            <w:tcW w:w="2410" w:type="dxa"/>
            <w:gridSpan w:val="2"/>
            <w:tcBorders>
              <w:top w:val="single" w:sz="6" w:space="0" w:color="000000"/>
              <w:left w:val="single" w:sz="6" w:space="0" w:color="000000"/>
              <w:bottom w:val="single" w:sz="6" w:space="0" w:color="000000"/>
              <w:right w:val="single" w:sz="6" w:space="0" w:color="000000"/>
            </w:tcBorders>
          </w:tcPr>
          <w:p w:rsidR="000F0A7B" w:rsidRDefault="000F0A7B" w:rsidP="00255AA3">
            <w:pPr>
              <w:pStyle w:val="E3Tabletext"/>
              <w:rPr>
                <w:rFonts w:eastAsia="Arial" w:hAnsi="Arial" w:cs="Arial"/>
                <w:szCs w:val="13"/>
              </w:rPr>
            </w:pPr>
            <w:r>
              <w:rPr>
                <w:w w:val="105"/>
              </w:rPr>
              <w:t>At 15,000h, Lumen Maintenance</w:t>
            </w:r>
          </w:p>
          <w:p w:rsidR="000F0A7B" w:rsidRDefault="000F0A7B" w:rsidP="00255AA3">
            <w:pPr>
              <w:pStyle w:val="E3Tabletext"/>
              <w:rPr>
                <w:rFonts w:eastAsia="Arial" w:hAnsi="Arial" w:cs="Arial"/>
                <w:szCs w:val="13"/>
              </w:rPr>
            </w:pPr>
            <w:r>
              <w:rPr>
                <w:w w:val="105"/>
              </w:rPr>
              <w:t>&gt;70% of initial</w:t>
            </w:r>
          </w:p>
        </w:tc>
        <w:tc>
          <w:tcPr>
            <w:tcW w:w="2551" w:type="dxa"/>
            <w:gridSpan w:val="2"/>
            <w:tcBorders>
              <w:top w:val="single" w:sz="6" w:space="0" w:color="000000"/>
              <w:left w:val="single" w:sz="6" w:space="0" w:color="000000"/>
              <w:bottom w:val="single" w:sz="6" w:space="0" w:color="000000"/>
              <w:right w:val="single" w:sz="6" w:space="0" w:color="000000"/>
            </w:tcBorders>
          </w:tcPr>
          <w:p w:rsidR="000F0A7B" w:rsidRDefault="000F0A7B" w:rsidP="00255AA3">
            <w:pPr>
              <w:pStyle w:val="E3Tabletext"/>
              <w:rPr>
                <w:rFonts w:eastAsia="Arial" w:hAnsi="Arial" w:cs="Arial"/>
                <w:szCs w:val="13"/>
              </w:rPr>
            </w:pPr>
            <w:r>
              <w:rPr>
                <w:w w:val="105"/>
              </w:rPr>
              <w:t>At 25,000h, Lumen Maintenance</w:t>
            </w:r>
          </w:p>
          <w:p w:rsidR="000F0A7B" w:rsidRDefault="000F0A7B" w:rsidP="00255AA3">
            <w:pPr>
              <w:pStyle w:val="E3Tabletext"/>
              <w:rPr>
                <w:rFonts w:eastAsia="Arial" w:hAnsi="Arial" w:cs="Arial"/>
                <w:szCs w:val="13"/>
              </w:rPr>
            </w:pPr>
            <w:r>
              <w:rPr>
                <w:w w:val="105"/>
              </w:rPr>
              <w:t>&gt;70% of initial</w:t>
            </w:r>
          </w:p>
        </w:tc>
        <w:tc>
          <w:tcPr>
            <w:tcW w:w="2296" w:type="dxa"/>
            <w:gridSpan w:val="2"/>
            <w:tcBorders>
              <w:top w:val="single" w:sz="6" w:space="0" w:color="000000"/>
              <w:left w:val="single" w:sz="6" w:space="0" w:color="000000"/>
              <w:bottom w:val="single" w:sz="6" w:space="0" w:color="000000"/>
              <w:right w:val="single" w:sz="6" w:space="0" w:color="000000"/>
            </w:tcBorders>
          </w:tcPr>
          <w:p w:rsidR="000F0A7B" w:rsidRDefault="000F0A7B" w:rsidP="00255AA3">
            <w:pPr>
              <w:pStyle w:val="E3Tabletext"/>
              <w:rPr>
                <w:rFonts w:eastAsia="Arial" w:hAnsi="Arial" w:cs="Arial"/>
                <w:szCs w:val="13"/>
              </w:rPr>
            </w:pPr>
            <w:r>
              <w:rPr>
                <w:w w:val="105"/>
              </w:rPr>
              <w:t>At 25,000h, Lumen Maintenance</w:t>
            </w:r>
          </w:p>
          <w:p w:rsidR="000F0A7B" w:rsidRDefault="000F0A7B" w:rsidP="00255AA3">
            <w:pPr>
              <w:pStyle w:val="E3Tabletext"/>
              <w:rPr>
                <w:rFonts w:eastAsia="Arial" w:hAnsi="Arial" w:cs="Arial"/>
                <w:szCs w:val="13"/>
              </w:rPr>
            </w:pPr>
            <w:r>
              <w:rPr>
                <w:w w:val="105"/>
              </w:rPr>
              <w:t>&gt;70% of initial</w:t>
            </w:r>
          </w:p>
        </w:tc>
      </w:tr>
      <w:tr w:rsidR="000F0A7B" w:rsidTr="001C7E9A">
        <w:trPr>
          <w:cantSplit/>
          <w:jc w:val="center"/>
        </w:trPr>
        <w:tc>
          <w:tcPr>
            <w:tcW w:w="1162" w:type="dxa"/>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5D1C88">
            <w:pPr>
              <w:pStyle w:val="E3TableSubHeading"/>
              <w:rPr>
                <w:rFonts w:eastAsia="Arial" w:hAnsi="Arial" w:cs="Arial"/>
                <w:szCs w:val="13"/>
              </w:rPr>
            </w:pPr>
            <w:r>
              <w:rPr>
                <w:w w:val="105"/>
              </w:rPr>
              <w:t xml:space="preserve">Minimum </w:t>
            </w:r>
            <w:r>
              <w:rPr>
                <w:spacing w:val="-1"/>
                <w:w w:val="105"/>
              </w:rPr>
              <w:t xml:space="preserve">Rated </w:t>
            </w:r>
            <w:r>
              <w:rPr>
                <w:w w:val="105"/>
              </w:rPr>
              <w:t>Lamp lifetime (</w:t>
            </w:r>
            <w:r>
              <w:rPr>
                <w:spacing w:val="4"/>
                <w:w w:val="105"/>
              </w:rPr>
              <w:t>B</w:t>
            </w:r>
            <w:r>
              <w:rPr>
                <w:w w:val="105"/>
                <w:position w:val="-2"/>
                <w:sz w:val="9"/>
              </w:rPr>
              <w:t>5</w:t>
            </w:r>
            <w:r>
              <w:rPr>
                <w:spacing w:val="1"/>
                <w:w w:val="105"/>
                <w:position w:val="-2"/>
                <w:sz w:val="9"/>
              </w:rPr>
              <w:t>0</w:t>
            </w:r>
            <w:r>
              <w:rPr>
                <w:w w:val="105"/>
              </w:rPr>
              <w:t>)</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255AA3">
            <w:pPr>
              <w:pStyle w:val="E3Tabletext"/>
              <w:rPr>
                <w:rFonts w:eastAsia="Arial" w:hAnsi="Arial" w:cs="Arial"/>
                <w:szCs w:val="13"/>
              </w:rPr>
            </w:pPr>
            <w:r>
              <w:rPr>
                <w:w w:val="105"/>
              </w:rPr>
              <w:t>At 5,000h,</w:t>
            </w:r>
          </w:p>
          <w:p w:rsidR="000F0A7B" w:rsidRDefault="000F0A7B" w:rsidP="00255AA3">
            <w:pPr>
              <w:pStyle w:val="E3Tabletext"/>
              <w:rPr>
                <w:rFonts w:eastAsia="Arial" w:hAnsi="Arial" w:cs="Arial"/>
                <w:szCs w:val="13"/>
              </w:rPr>
            </w:pPr>
            <w:r>
              <w:rPr>
                <w:w w:val="105"/>
              </w:rPr>
              <w:t>50% of population will be operative</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255AA3">
            <w:pPr>
              <w:pStyle w:val="E3Tabletext"/>
              <w:rPr>
                <w:rFonts w:eastAsia="Arial" w:hAnsi="Arial" w:cs="Arial"/>
                <w:szCs w:val="13"/>
              </w:rPr>
            </w:pPr>
            <w:r>
              <w:rPr>
                <w:w w:val="105"/>
              </w:rPr>
              <w:t>At 15,000h,</w:t>
            </w:r>
          </w:p>
          <w:p w:rsidR="000F0A7B" w:rsidRDefault="000F0A7B" w:rsidP="00255AA3">
            <w:pPr>
              <w:pStyle w:val="E3Tabletext"/>
              <w:rPr>
                <w:rFonts w:eastAsia="Arial" w:hAnsi="Arial" w:cs="Arial"/>
                <w:szCs w:val="13"/>
              </w:rPr>
            </w:pPr>
            <w:r>
              <w:rPr>
                <w:w w:val="105"/>
              </w:rPr>
              <w:t>50% of population will be operative</w:t>
            </w:r>
          </w:p>
        </w:tc>
        <w:tc>
          <w:tcPr>
            <w:tcW w:w="2551" w:type="dxa"/>
            <w:gridSpan w:val="2"/>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255AA3">
            <w:pPr>
              <w:pStyle w:val="E3Tabletext"/>
              <w:rPr>
                <w:rFonts w:eastAsia="Arial" w:hAnsi="Arial" w:cs="Arial"/>
                <w:szCs w:val="13"/>
              </w:rPr>
            </w:pPr>
            <w:r>
              <w:rPr>
                <w:w w:val="105"/>
              </w:rPr>
              <w:t>At 25,000h,</w:t>
            </w:r>
          </w:p>
          <w:p w:rsidR="000F0A7B" w:rsidRDefault="000F0A7B" w:rsidP="00255AA3">
            <w:pPr>
              <w:pStyle w:val="E3Tabletext"/>
              <w:rPr>
                <w:rFonts w:eastAsia="Arial" w:hAnsi="Arial" w:cs="Arial"/>
                <w:szCs w:val="13"/>
              </w:rPr>
            </w:pPr>
            <w:r>
              <w:rPr>
                <w:w w:val="105"/>
              </w:rPr>
              <w:t>50% of population will be operative</w:t>
            </w:r>
          </w:p>
        </w:tc>
        <w:tc>
          <w:tcPr>
            <w:tcW w:w="2296" w:type="dxa"/>
            <w:gridSpan w:val="2"/>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255AA3">
            <w:pPr>
              <w:pStyle w:val="E3Tabletext"/>
              <w:rPr>
                <w:rFonts w:eastAsia="Arial" w:hAnsi="Arial" w:cs="Arial"/>
                <w:szCs w:val="13"/>
              </w:rPr>
            </w:pPr>
            <w:r>
              <w:rPr>
                <w:w w:val="105"/>
              </w:rPr>
              <w:t>At 25,000h,</w:t>
            </w:r>
          </w:p>
          <w:p w:rsidR="000F0A7B" w:rsidRDefault="000F0A7B" w:rsidP="00255AA3">
            <w:pPr>
              <w:pStyle w:val="E3Tabletext"/>
              <w:rPr>
                <w:rFonts w:eastAsia="Arial" w:hAnsi="Arial" w:cs="Arial"/>
                <w:szCs w:val="13"/>
              </w:rPr>
            </w:pPr>
            <w:r>
              <w:rPr>
                <w:w w:val="105"/>
              </w:rPr>
              <w:t>50% of population will be operative</w:t>
            </w:r>
          </w:p>
        </w:tc>
      </w:tr>
      <w:tr w:rsidR="000F0A7B" w:rsidTr="001C7E9A">
        <w:trPr>
          <w:cantSplit/>
          <w:jc w:val="center"/>
        </w:trPr>
        <w:tc>
          <w:tcPr>
            <w:tcW w:w="1162" w:type="dxa"/>
            <w:tcBorders>
              <w:top w:val="single" w:sz="6" w:space="0" w:color="000000"/>
              <w:left w:val="single" w:sz="6" w:space="0" w:color="000000"/>
              <w:bottom w:val="single" w:sz="6" w:space="0" w:color="000000"/>
              <w:right w:val="single" w:sz="6" w:space="0" w:color="000000"/>
            </w:tcBorders>
          </w:tcPr>
          <w:p w:rsidR="000F0A7B" w:rsidRDefault="000F0A7B" w:rsidP="005D1C88">
            <w:pPr>
              <w:pStyle w:val="E3TableSubHeading"/>
              <w:rPr>
                <w:rFonts w:eastAsia="Arial" w:hAnsi="Arial" w:cs="Arial"/>
                <w:szCs w:val="13"/>
              </w:rPr>
            </w:pPr>
            <w:r>
              <w:rPr>
                <w:w w:val="105"/>
              </w:rPr>
              <w:t xml:space="preserve">Flicker (Amplitude Modulation </w:t>
            </w:r>
            <w:r>
              <w:rPr>
                <w:spacing w:val="-1"/>
                <w:w w:val="105"/>
              </w:rPr>
              <w:t>Depth)</w:t>
            </w:r>
          </w:p>
        </w:tc>
        <w:tc>
          <w:tcPr>
            <w:tcW w:w="1276" w:type="dxa"/>
            <w:tcBorders>
              <w:top w:val="single" w:sz="6" w:space="0" w:color="000000"/>
              <w:left w:val="single" w:sz="6" w:space="0" w:color="000000"/>
              <w:bottom w:val="single" w:sz="6" w:space="0" w:color="000000"/>
              <w:right w:val="single" w:sz="6" w:space="0" w:color="000000"/>
            </w:tcBorders>
          </w:tcPr>
          <w:p w:rsidR="000F0A7B" w:rsidRDefault="000F0A7B" w:rsidP="00255AA3">
            <w:pPr>
              <w:pStyle w:val="E3Tabletext"/>
              <w:rPr>
                <w:rFonts w:eastAsia="Arial"/>
              </w:rPr>
            </w:pPr>
            <w:r>
              <w:rPr>
                <w:rFonts w:eastAsia="Arial"/>
                <w:w w:val="105"/>
              </w:rPr>
              <w:t>At full power (no dimming), percent flicker (calculated as (max-min) /(max+min) luminous flux) ≤10%</w:t>
            </w:r>
          </w:p>
        </w:tc>
        <w:tc>
          <w:tcPr>
            <w:tcW w:w="2410" w:type="dxa"/>
            <w:gridSpan w:val="2"/>
            <w:tcBorders>
              <w:top w:val="single" w:sz="6" w:space="0" w:color="000000"/>
              <w:left w:val="single" w:sz="6" w:space="0" w:color="000000"/>
              <w:bottom w:val="single" w:sz="6" w:space="0" w:color="000000"/>
              <w:right w:val="single" w:sz="6" w:space="0" w:color="000000"/>
            </w:tcBorders>
          </w:tcPr>
          <w:p w:rsidR="000F0A7B" w:rsidRDefault="000F0A7B" w:rsidP="00255AA3">
            <w:pPr>
              <w:pStyle w:val="E3Tabletext"/>
              <w:rPr>
                <w:rFonts w:eastAsia="Arial"/>
              </w:rPr>
            </w:pPr>
            <w:r>
              <w:rPr>
                <w:rFonts w:eastAsia="Arial"/>
                <w:w w:val="105"/>
              </w:rPr>
              <w:t>At full power flicke r index ‡</w:t>
            </w:r>
          </w:p>
          <w:p w:rsidR="000F0A7B" w:rsidRDefault="000F0A7B" w:rsidP="00255AA3">
            <w:pPr>
              <w:pStyle w:val="E3Tabletext"/>
              <w:rPr>
                <w:rFonts w:eastAsia="Arial"/>
              </w:rPr>
            </w:pPr>
            <w:r>
              <w:rPr>
                <w:rFonts w:eastAsia="Arial"/>
                <w:w w:val="105"/>
              </w:rPr>
              <w:t>≤ 0.3</w:t>
            </w:r>
          </w:p>
        </w:tc>
        <w:tc>
          <w:tcPr>
            <w:tcW w:w="2551" w:type="dxa"/>
            <w:gridSpan w:val="2"/>
            <w:tcBorders>
              <w:top w:val="single" w:sz="6" w:space="0" w:color="000000"/>
              <w:left w:val="single" w:sz="6" w:space="0" w:color="000000"/>
              <w:bottom w:val="single" w:sz="6" w:space="0" w:color="000000"/>
              <w:right w:val="single" w:sz="6" w:space="0" w:color="000000"/>
            </w:tcBorders>
          </w:tcPr>
          <w:p w:rsidR="000F0A7B" w:rsidRDefault="000F0A7B" w:rsidP="00255AA3">
            <w:pPr>
              <w:pStyle w:val="E3Tabletext"/>
              <w:rPr>
                <w:rFonts w:eastAsia="Arial"/>
              </w:rPr>
            </w:pPr>
            <w:r>
              <w:rPr>
                <w:rFonts w:eastAsia="Arial"/>
                <w:w w:val="105"/>
              </w:rPr>
              <w:t xml:space="preserve">At full power </w:t>
            </w:r>
            <w:r w:rsidR="00F966C3">
              <w:rPr>
                <w:rFonts w:eastAsia="Arial"/>
                <w:w w:val="105"/>
              </w:rPr>
              <w:t>flicker</w:t>
            </w:r>
            <w:r>
              <w:rPr>
                <w:rFonts w:eastAsia="Arial"/>
                <w:w w:val="105"/>
              </w:rPr>
              <w:t xml:space="preserve"> r index ‡</w:t>
            </w:r>
          </w:p>
          <w:p w:rsidR="000F0A7B" w:rsidRDefault="000F0A7B" w:rsidP="00255AA3">
            <w:pPr>
              <w:pStyle w:val="E3Tabletext"/>
              <w:rPr>
                <w:rFonts w:eastAsia="Arial"/>
              </w:rPr>
            </w:pPr>
            <w:r>
              <w:rPr>
                <w:rFonts w:eastAsia="Arial"/>
                <w:w w:val="105"/>
              </w:rPr>
              <w:t>≤ 0.3</w:t>
            </w:r>
          </w:p>
        </w:tc>
        <w:tc>
          <w:tcPr>
            <w:tcW w:w="2296" w:type="dxa"/>
            <w:gridSpan w:val="2"/>
            <w:tcBorders>
              <w:top w:val="single" w:sz="6" w:space="0" w:color="000000"/>
              <w:left w:val="single" w:sz="6" w:space="0" w:color="000000"/>
              <w:bottom w:val="single" w:sz="6" w:space="0" w:color="000000"/>
              <w:right w:val="single" w:sz="6" w:space="0" w:color="000000"/>
            </w:tcBorders>
          </w:tcPr>
          <w:p w:rsidR="000F0A7B" w:rsidRDefault="000F0A7B" w:rsidP="00255AA3">
            <w:pPr>
              <w:pStyle w:val="E3Tabletext"/>
              <w:rPr>
                <w:rFonts w:eastAsia="Arial"/>
              </w:rPr>
            </w:pPr>
            <w:r>
              <w:rPr>
                <w:rFonts w:eastAsia="Arial"/>
                <w:w w:val="105"/>
              </w:rPr>
              <w:t xml:space="preserve">At full power </w:t>
            </w:r>
            <w:r w:rsidR="00F966C3">
              <w:rPr>
                <w:rFonts w:eastAsia="Arial"/>
                <w:w w:val="105"/>
              </w:rPr>
              <w:t>flicker</w:t>
            </w:r>
            <w:r>
              <w:rPr>
                <w:rFonts w:eastAsia="Arial"/>
                <w:w w:val="105"/>
              </w:rPr>
              <w:t xml:space="preserve"> r index ‡</w:t>
            </w:r>
          </w:p>
          <w:p w:rsidR="000F0A7B" w:rsidRDefault="000F0A7B" w:rsidP="00255AA3">
            <w:pPr>
              <w:pStyle w:val="E3Tabletext"/>
              <w:rPr>
                <w:rFonts w:eastAsia="Arial"/>
              </w:rPr>
            </w:pPr>
            <w:r>
              <w:rPr>
                <w:rFonts w:eastAsia="Arial"/>
                <w:w w:val="105"/>
              </w:rPr>
              <w:t>≤ 0.3</w:t>
            </w:r>
          </w:p>
        </w:tc>
      </w:tr>
      <w:tr w:rsidR="000F0A7B" w:rsidTr="001C7E9A">
        <w:trPr>
          <w:cantSplit/>
          <w:jc w:val="center"/>
        </w:trPr>
        <w:tc>
          <w:tcPr>
            <w:tcW w:w="1162" w:type="dxa"/>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5D1C88">
            <w:pPr>
              <w:pStyle w:val="E3TableSubHeading"/>
              <w:rPr>
                <w:rFonts w:eastAsia="Arial" w:hAnsi="Arial" w:cs="Arial"/>
                <w:szCs w:val="13"/>
              </w:rPr>
            </w:pPr>
            <w:r>
              <w:rPr>
                <w:w w:val="105"/>
              </w:rPr>
              <w:t>Minimum power factor</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255AA3">
            <w:pPr>
              <w:pStyle w:val="E3Tabletext"/>
              <w:rPr>
                <w:rFonts w:eastAsia="Arial"/>
              </w:rPr>
            </w:pPr>
            <w:r>
              <w:rPr>
                <w:rFonts w:eastAsia="Arial"/>
                <w:w w:val="105"/>
              </w:rPr>
              <w:t>Current Crest Factor (calculates as Ipeak/Irms) ≤ 3</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255AA3">
            <w:pPr>
              <w:pStyle w:val="E3Tabletext"/>
              <w:rPr>
                <w:rFonts w:eastAsia="Arial"/>
              </w:rPr>
            </w:pPr>
            <w:r>
              <w:rPr>
                <w:rFonts w:eastAsia="Arial"/>
                <w:w w:val="105"/>
              </w:rPr>
              <w:t>≤5W: no requirement;</w:t>
            </w:r>
          </w:p>
          <w:p w:rsidR="000F0A7B" w:rsidRDefault="000F0A7B" w:rsidP="00255AA3">
            <w:pPr>
              <w:pStyle w:val="E3Tabletext"/>
              <w:rPr>
                <w:rFonts w:eastAsia="Arial" w:hAnsi="Arial" w:cs="Arial"/>
                <w:szCs w:val="13"/>
              </w:rPr>
            </w:pPr>
            <w:r>
              <w:rPr>
                <w:w w:val="105"/>
              </w:rPr>
              <w:t>&gt;5W, PF&gt;0.50</w:t>
            </w:r>
          </w:p>
        </w:tc>
        <w:tc>
          <w:tcPr>
            <w:tcW w:w="2551" w:type="dxa"/>
            <w:gridSpan w:val="2"/>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255AA3">
            <w:pPr>
              <w:pStyle w:val="E3Tabletext"/>
              <w:rPr>
                <w:rFonts w:eastAsia="Arial"/>
              </w:rPr>
            </w:pPr>
            <w:r>
              <w:rPr>
                <w:rFonts w:eastAsia="Arial"/>
                <w:w w:val="105"/>
              </w:rPr>
              <w:t>≤5W: no requirement;</w:t>
            </w:r>
          </w:p>
          <w:p w:rsidR="000F0A7B" w:rsidRDefault="000F0A7B" w:rsidP="00255AA3">
            <w:pPr>
              <w:pStyle w:val="E3Tabletext"/>
              <w:rPr>
                <w:rFonts w:eastAsia="Arial" w:hAnsi="Arial" w:cs="Arial"/>
                <w:szCs w:val="13"/>
              </w:rPr>
            </w:pPr>
            <w:r>
              <w:rPr>
                <w:w w:val="105"/>
              </w:rPr>
              <w:t>&gt;5W, PF&gt;0.50</w:t>
            </w:r>
          </w:p>
        </w:tc>
        <w:tc>
          <w:tcPr>
            <w:tcW w:w="2296" w:type="dxa"/>
            <w:gridSpan w:val="2"/>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255AA3">
            <w:pPr>
              <w:pStyle w:val="E3Tabletext"/>
              <w:rPr>
                <w:rFonts w:eastAsia="Arial"/>
              </w:rPr>
            </w:pPr>
            <w:r>
              <w:rPr>
                <w:rFonts w:eastAsia="Arial"/>
                <w:w w:val="105"/>
              </w:rPr>
              <w:t>≤5W: no requirement;</w:t>
            </w:r>
          </w:p>
          <w:p w:rsidR="000F0A7B" w:rsidRDefault="000F0A7B" w:rsidP="00255AA3">
            <w:pPr>
              <w:pStyle w:val="E3Tabletext"/>
              <w:rPr>
                <w:rFonts w:eastAsia="Arial" w:hAnsi="Arial" w:cs="Arial"/>
                <w:szCs w:val="13"/>
              </w:rPr>
            </w:pPr>
            <w:r>
              <w:rPr>
                <w:w w:val="105"/>
              </w:rPr>
              <w:t>&gt;5W, PF&gt;0.50</w:t>
            </w:r>
          </w:p>
        </w:tc>
      </w:tr>
      <w:tr w:rsidR="000F0A7B" w:rsidTr="001C7E9A">
        <w:trPr>
          <w:cantSplit/>
          <w:jc w:val="center"/>
        </w:trPr>
        <w:tc>
          <w:tcPr>
            <w:tcW w:w="1162" w:type="dxa"/>
            <w:tcBorders>
              <w:top w:val="single" w:sz="6" w:space="0" w:color="000000"/>
              <w:left w:val="single" w:sz="6" w:space="0" w:color="000000"/>
              <w:bottom w:val="single" w:sz="6" w:space="0" w:color="000000"/>
              <w:right w:val="single" w:sz="6" w:space="0" w:color="000000"/>
            </w:tcBorders>
          </w:tcPr>
          <w:p w:rsidR="000F0A7B" w:rsidRDefault="000F0A7B" w:rsidP="005D1C88">
            <w:pPr>
              <w:pStyle w:val="E3TableSubHeading"/>
              <w:rPr>
                <w:rFonts w:eastAsia="Arial" w:hAnsi="Arial" w:cs="Arial"/>
                <w:szCs w:val="13"/>
              </w:rPr>
            </w:pPr>
            <w:r>
              <w:rPr>
                <w:spacing w:val="-1"/>
                <w:w w:val="105"/>
              </w:rPr>
              <w:t xml:space="preserve">Harmonic </w:t>
            </w:r>
            <w:r>
              <w:rPr>
                <w:w w:val="105"/>
              </w:rPr>
              <w:t>distortion</w:t>
            </w:r>
          </w:p>
        </w:tc>
        <w:tc>
          <w:tcPr>
            <w:tcW w:w="1276" w:type="dxa"/>
            <w:tcBorders>
              <w:top w:val="single" w:sz="6" w:space="0" w:color="000000"/>
              <w:left w:val="single" w:sz="6" w:space="0" w:color="000000"/>
              <w:bottom w:val="single" w:sz="6" w:space="0" w:color="000000"/>
              <w:right w:val="single" w:sz="6" w:space="0" w:color="000000"/>
            </w:tcBorders>
          </w:tcPr>
          <w:p w:rsidR="000F0A7B" w:rsidRDefault="000F0A7B" w:rsidP="00255AA3">
            <w:pPr>
              <w:pStyle w:val="E3Tabletext"/>
              <w:rPr>
                <w:rFonts w:eastAsia="Arial" w:hAnsi="Arial" w:cs="Arial"/>
                <w:szCs w:val="13"/>
              </w:rPr>
            </w:pPr>
            <w:r>
              <w:rPr>
                <w:w w:val="105"/>
              </w:rPr>
              <w:t>N/A</w:t>
            </w:r>
          </w:p>
        </w:tc>
        <w:tc>
          <w:tcPr>
            <w:tcW w:w="2410" w:type="dxa"/>
            <w:gridSpan w:val="2"/>
            <w:tcBorders>
              <w:top w:val="single" w:sz="6" w:space="0" w:color="000000"/>
              <w:left w:val="single" w:sz="6" w:space="0" w:color="000000"/>
              <w:bottom w:val="single" w:sz="6" w:space="0" w:color="000000"/>
              <w:right w:val="single" w:sz="6" w:space="0" w:color="000000"/>
            </w:tcBorders>
          </w:tcPr>
          <w:p w:rsidR="000F0A7B" w:rsidRDefault="000F0A7B" w:rsidP="00255AA3">
            <w:pPr>
              <w:pStyle w:val="E3Tabletext"/>
              <w:rPr>
                <w:rFonts w:eastAsia="Arial" w:hAnsi="Arial" w:cs="Arial"/>
                <w:szCs w:val="13"/>
              </w:rPr>
            </w:pPr>
            <w:r>
              <w:rPr>
                <w:w w:val="105"/>
              </w:rPr>
              <w:t>EAC7.3 A/B</w:t>
            </w:r>
          </w:p>
          <w:p w:rsidR="000F0A7B" w:rsidRDefault="000F0A7B" w:rsidP="00255AA3">
            <w:pPr>
              <w:pStyle w:val="E3Tabletext"/>
              <w:rPr>
                <w:rFonts w:eastAsia="Arial" w:hAnsi="Arial" w:cs="Arial"/>
                <w:szCs w:val="13"/>
              </w:rPr>
            </w:pPr>
            <w:r>
              <w:rPr>
                <w:w w:val="105"/>
              </w:rPr>
              <w:t>FCCCFR47 Section15 and 18</w:t>
            </w:r>
          </w:p>
        </w:tc>
        <w:tc>
          <w:tcPr>
            <w:tcW w:w="2551" w:type="dxa"/>
            <w:gridSpan w:val="2"/>
            <w:tcBorders>
              <w:top w:val="single" w:sz="6" w:space="0" w:color="000000"/>
              <w:left w:val="single" w:sz="6" w:space="0" w:color="000000"/>
              <w:bottom w:val="single" w:sz="6" w:space="0" w:color="000000"/>
              <w:right w:val="single" w:sz="6" w:space="0" w:color="000000"/>
            </w:tcBorders>
          </w:tcPr>
          <w:p w:rsidR="000F0A7B" w:rsidRDefault="000F0A7B" w:rsidP="00255AA3">
            <w:pPr>
              <w:pStyle w:val="E3Tabletext"/>
              <w:rPr>
                <w:rFonts w:eastAsia="Arial" w:hAnsi="Arial" w:cs="Arial"/>
                <w:szCs w:val="13"/>
              </w:rPr>
            </w:pPr>
            <w:r>
              <w:rPr>
                <w:w w:val="105"/>
              </w:rPr>
              <w:t>EAC7.3 A/B</w:t>
            </w:r>
          </w:p>
          <w:p w:rsidR="000F0A7B" w:rsidRDefault="000F0A7B" w:rsidP="00255AA3">
            <w:pPr>
              <w:pStyle w:val="E3Tabletext"/>
              <w:rPr>
                <w:rFonts w:eastAsia="Arial" w:hAnsi="Arial" w:cs="Arial"/>
                <w:szCs w:val="13"/>
              </w:rPr>
            </w:pPr>
            <w:r>
              <w:rPr>
                <w:w w:val="105"/>
              </w:rPr>
              <w:t>FCCCFR47 Section15 and 18</w:t>
            </w:r>
          </w:p>
        </w:tc>
        <w:tc>
          <w:tcPr>
            <w:tcW w:w="2296" w:type="dxa"/>
            <w:gridSpan w:val="2"/>
            <w:tcBorders>
              <w:top w:val="single" w:sz="6" w:space="0" w:color="000000"/>
              <w:left w:val="single" w:sz="6" w:space="0" w:color="000000"/>
              <w:bottom w:val="single" w:sz="6" w:space="0" w:color="000000"/>
              <w:right w:val="single" w:sz="6" w:space="0" w:color="000000"/>
            </w:tcBorders>
          </w:tcPr>
          <w:p w:rsidR="000F0A7B" w:rsidRDefault="000F0A7B" w:rsidP="00255AA3">
            <w:pPr>
              <w:pStyle w:val="E3Tabletext"/>
              <w:rPr>
                <w:rFonts w:eastAsia="Arial" w:hAnsi="Arial" w:cs="Arial"/>
                <w:szCs w:val="13"/>
              </w:rPr>
            </w:pPr>
            <w:r>
              <w:rPr>
                <w:w w:val="105"/>
              </w:rPr>
              <w:t>EAC7.3 A/B</w:t>
            </w:r>
          </w:p>
          <w:p w:rsidR="000F0A7B" w:rsidRDefault="000F0A7B" w:rsidP="00255AA3">
            <w:pPr>
              <w:pStyle w:val="E3Tabletext"/>
              <w:rPr>
                <w:rFonts w:eastAsia="Arial" w:hAnsi="Arial" w:cs="Arial"/>
                <w:szCs w:val="13"/>
              </w:rPr>
            </w:pPr>
            <w:r>
              <w:rPr>
                <w:w w:val="105"/>
              </w:rPr>
              <w:t>FCCCFR47 Section15 and 18</w:t>
            </w:r>
          </w:p>
        </w:tc>
      </w:tr>
      <w:tr w:rsidR="000F0A7B" w:rsidTr="001C7E9A">
        <w:trPr>
          <w:cantSplit/>
          <w:jc w:val="center"/>
        </w:trPr>
        <w:tc>
          <w:tcPr>
            <w:tcW w:w="1162" w:type="dxa"/>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5D1C88">
            <w:pPr>
              <w:pStyle w:val="E3TableSubHeading"/>
              <w:rPr>
                <w:rFonts w:eastAsia="Arial" w:hAnsi="Arial" w:cs="Arial"/>
                <w:szCs w:val="13"/>
              </w:rPr>
            </w:pPr>
            <w:r>
              <w:rPr>
                <w:spacing w:val="-1"/>
              </w:rPr>
              <w:t>Dimmer compatibility</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255AA3">
            <w:pPr>
              <w:pStyle w:val="E3Tabletext"/>
              <w:rPr>
                <w:rFonts w:eastAsia="Arial" w:hAnsi="Arial" w:cs="Arial"/>
                <w:szCs w:val="13"/>
              </w:rPr>
            </w:pPr>
            <w:r>
              <w:rPr>
                <w:w w:val="105"/>
              </w:rPr>
              <w:t>N/A</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255AA3">
            <w:pPr>
              <w:pStyle w:val="E3Tabletext"/>
              <w:rPr>
                <w:rFonts w:eastAsia="Arial" w:hAnsi="Arial" w:cs="Arial"/>
                <w:szCs w:val="13"/>
              </w:rPr>
            </w:pPr>
            <w:r>
              <w:rPr>
                <w:w w:val="105"/>
              </w:rPr>
              <w:t xml:space="preserve">Lamps may be dimmable or non-dimmable. Product packaging shall clearly indicate whether the lamp is dimmable or not dimmable. If a product is declared as dimmable, manufacturer shall also declare </w:t>
            </w:r>
            <w:r>
              <w:rPr>
                <w:spacing w:val="21"/>
                <w:w w:val="103"/>
              </w:rPr>
              <w:t xml:space="preserve">the </w:t>
            </w:r>
            <w:r>
              <w:rPr>
                <w:w w:val="105"/>
              </w:rPr>
              <w:t>conditions under which a lamp will operate as declared, and shall provide a web address for a website that lists dimmer makes and models with which the lamp is compatible. For each compatible dimmer, the manufacturer must also list the minimum and maximum number of lamps that can be satisfactorily dimmed with a given dimmer and the minimum relative luminous flux level a given dimmer-lamp combination can achieve.</w:t>
            </w:r>
          </w:p>
        </w:tc>
        <w:tc>
          <w:tcPr>
            <w:tcW w:w="2551" w:type="dxa"/>
            <w:gridSpan w:val="2"/>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255AA3">
            <w:pPr>
              <w:pStyle w:val="E3Tabletext"/>
              <w:rPr>
                <w:rFonts w:eastAsia="Arial" w:hAnsi="Arial" w:cs="Arial"/>
                <w:szCs w:val="13"/>
              </w:rPr>
            </w:pPr>
            <w:r>
              <w:rPr>
                <w:w w:val="105"/>
              </w:rPr>
              <w:t xml:space="preserve">Lamps may be dimmable or non-dimmable. Product packaging shall clearly indicate whether the lamp is dimmable or not dimmable. If a product is declared as dimmable, manufacturer shall also declare </w:t>
            </w:r>
            <w:r>
              <w:rPr>
                <w:spacing w:val="21"/>
                <w:w w:val="103"/>
              </w:rPr>
              <w:t xml:space="preserve">the </w:t>
            </w:r>
            <w:r>
              <w:rPr>
                <w:w w:val="105"/>
              </w:rPr>
              <w:t>conditions under which a lamp will operate as declared, and shall provide a web address for a website that lists dimmer makes and models with which the lamp is compatible. For each compatible dimmer, the manufacturer must also list the minimum and maximum number of lamps that can be satisfactorily dimmed with a given dimmer and the minimum relative luminous flux level a given dimmer-lamp combination can achieve.</w:t>
            </w:r>
          </w:p>
        </w:tc>
        <w:tc>
          <w:tcPr>
            <w:tcW w:w="2296" w:type="dxa"/>
            <w:gridSpan w:val="2"/>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255AA3">
            <w:pPr>
              <w:pStyle w:val="E3Tabletext"/>
              <w:rPr>
                <w:rFonts w:eastAsia="Arial" w:hAnsi="Arial" w:cs="Arial"/>
                <w:szCs w:val="13"/>
              </w:rPr>
            </w:pPr>
            <w:r>
              <w:rPr>
                <w:w w:val="105"/>
              </w:rPr>
              <w:t xml:space="preserve">Lamps may be dimmable or non-dimmable. Product packaging shall clearly indicate whether the lamp is dimmable or not dimmable. If a product is declared as dimmable, manufacturer shall also declare </w:t>
            </w:r>
            <w:r>
              <w:rPr>
                <w:spacing w:val="21"/>
                <w:w w:val="103"/>
              </w:rPr>
              <w:t xml:space="preserve">the </w:t>
            </w:r>
            <w:r>
              <w:rPr>
                <w:w w:val="105"/>
              </w:rPr>
              <w:t>conditions under which a lamp will operate as declared, and shall provide a web address for a website that lists dimmer makes and models with which the lamp is compatible. For each compatible dimmer, the manufacturer must also list the minimum and maximum number of lamps that can be satisfactorily dimmed with a given dimmer and the minimum relative luminous flux level a given dimmer-lamp combination can achieve.</w:t>
            </w:r>
          </w:p>
        </w:tc>
      </w:tr>
      <w:tr w:rsidR="00897B7A" w:rsidTr="001C7E9A">
        <w:trPr>
          <w:cantSplit/>
          <w:jc w:val="center"/>
        </w:trPr>
        <w:tc>
          <w:tcPr>
            <w:tcW w:w="1162" w:type="dxa"/>
            <w:tcBorders>
              <w:top w:val="single" w:sz="6" w:space="0" w:color="000000"/>
              <w:left w:val="single" w:sz="6" w:space="0" w:color="000000"/>
              <w:bottom w:val="single" w:sz="6" w:space="0" w:color="000000"/>
              <w:right w:val="single" w:sz="6" w:space="0" w:color="000000"/>
            </w:tcBorders>
          </w:tcPr>
          <w:p w:rsidR="00897B7A" w:rsidRDefault="00F966C3" w:rsidP="005D1C88">
            <w:pPr>
              <w:pStyle w:val="E3TableSubHeading"/>
              <w:rPr>
                <w:rFonts w:eastAsia="Arial" w:hAnsi="Arial" w:cs="Arial"/>
                <w:szCs w:val="13"/>
              </w:rPr>
            </w:pPr>
            <w:r>
              <w:t>Photo biological</w:t>
            </w:r>
            <w:r w:rsidR="00897B7A">
              <w:t xml:space="preserve">  hazard </w:t>
            </w:r>
            <w:r w:rsidR="00897B7A">
              <w:rPr>
                <w:spacing w:val="-1"/>
                <w:w w:val="105"/>
              </w:rPr>
              <w:t xml:space="preserve">class </w:t>
            </w:r>
            <w:r w:rsidR="00897B7A">
              <w:rPr>
                <w:w w:val="105"/>
              </w:rPr>
              <w:t>(UV &amp; blue light)</w:t>
            </w:r>
          </w:p>
        </w:tc>
        <w:tc>
          <w:tcPr>
            <w:tcW w:w="1276" w:type="dxa"/>
            <w:tcBorders>
              <w:top w:val="single" w:sz="6" w:space="0" w:color="000000"/>
              <w:left w:val="single" w:sz="6" w:space="0" w:color="000000"/>
              <w:bottom w:val="single" w:sz="6" w:space="0" w:color="000000"/>
              <w:right w:val="single" w:sz="6" w:space="0" w:color="000000"/>
            </w:tcBorders>
          </w:tcPr>
          <w:p w:rsidR="00897B7A" w:rsidRDefault="00897B7A" w:rsidP="00255AA3">
            <w:pPr>
              <w:pStyle w:val="E3Tabletext"/>
              <w:rPr>
                <w:rFonts w:eastAsia="Arial" w:hAnsi="Arial" w:cs="Arial"/>
                <w:szCs w:val="13"/>
              </w:rPr>
            </w:pPr>
            <w:r>
              <w:rPr>
                <w:w w:val="105"/>
              </w:rPr>
              <w:t>RG0 orRG1 at 200mm</w:t>
            </w:r>
          </w:p>
        </w:tc>
        <w:tc>
          <w:tcPr>
            <w:tcW w:w="2410" w:type="dxa"/>
            <w:gridSpan w:val="2"/>
            <w:tcBorders>
              <w:top w:val="single" w:sz="6" w:space="0" w:color="000000"/>
              <w:left w:val="single" w:sz="6" w:space="0" w:color="000000"/>
              <w:bottom w:val="single" w:sz="6" w:space="0" w:color="000000"/>
              <w:right w:val="single" w:sz="6" w:space="0" w:color="000000"/>
            </w:tcBorders>
          </w:tcPr>
          <w:p w:rsidR="00897B7A" w:rsidRDefault="00897B7A" w:rsidP="00255AA3">
            <w:pPr>
              <w:pStyle w:val="E3Tabletext"/>
              <w:rPr>
                <w:rFonts w:eastAsia="Arial" w:hAnsi="Arial" w:cs="Arial"/>
                <w:szCs w:val="13"/>
              </w:rPr>
            </w:pPr>
            <w:r>
              <w:rPr>
                <w:w w:val="105"/>
              </w:rPr>
              <w:t>RG0 orRG1 at 200mm</w:t>
            </w:r>
          </w:p>
        </w:tc>
        <w:tc>
          <w:tcPr>
            <w:tcW w:w="2551" w:type="dxa"/>
            <w:gridSpan w:val="2"/>
            <w:tcBorders>
              <w:top w:val="single" w:sz="6" w:space="0" w:color="000000"/>
              <w:left w:val="single" w:sz="6" w:space="0" w:color="000000"/>
              <w:bottom w:val="single" w:sz="6" w:space="0" w:color="000000"/>
              <w:right w:val="single" w:sz="6" w:space="0" w:color="000000"/>
            </w:tcBorders>
          </w:tcPr>
          <w:p w:rsidR="00897B7A" w:rsidRDefault="00897B7A" w:rsidP="00255AA3">
            <w:pPr>
              <w:pStyle w:val="E3Tabletext"/>
              <w:rPr>
                <w:rFonts w:eastAsia="Arial" w:hAnsi="Arial" w:cs="Arial"/>
                <w:szCs w:val="13"/>
              </w:rPr>
            </w:pPr>
            <w:r>
              <w:rPr>
                <w:w w:val="105"/>
              </w:rPr>
              <w:t>RG0 orRG1 at 200mm</w:t>
            </w:r>
          </w:p>
        </w:tc>
        <w:tc>
          <w:tcPr>
            <w:tcW w:w="2296" w:type="dxa"/>
            <w:gridSpan w:val="2"/>
            <w:tcBorders>
              <w:top w:val="single" w:sz="6" w:space="0" w:color="000000"/>
              <w:left w:val="single" w:sz="6" w:space="0" w:color="000000"/>
              <w:bottom w:val="single" w:sz="6" w:space="0" w:color="000000"/>
              <w:right w:val="single" w:sz="6" w:space="0" w:color="000000"/>
            </w:tcBorders>
          </w:tcPr>
          <w:p w:rsidR="00897B7A" w:rsidRDefault="00897B7A" w:rsidP="00255AA3">
            <w:pPr>
              <w:pStyle w:val="E3Tabletext"/>
              <w:rPr>
                <w:rFonts w:eastAsia="Arial" w:hAnsi="Arial" w:cs="Arial"/>
                <w:szCs w:val="13"/>
              </w:rPr>
            </w:pPr>
            <w:r>
              <w:rPr>
                <w:w w:val="105"/>
              </w:rPr>
              <w:t>RG0 orRG1 at 200mm</w:t>
            </w:r>
          </w:p>
        </w:tc>
      </w:tr>
      <w:tr w:rsidR="00897B7A" w:rsidTr="001C7E9A">
        <w:trPr>
          <w:cantSplit/>
          <w:jc w:val="center"/>
        </w:trPr>
        <w:tc>
          <w:tcPr>
            <w:tcW w:w="1162" w:type="dxa"/>
            <w:tcBorders>
              <w:top w:val="single" w:sz="6" w:space="0" w:color="000000"/>
              <w:left w:val="single" w:sz="6" w:space="0" w:color="000000"/>
              <w:bottom w:val="single" w:sz="6" w:space="0" w:color="000000"/>
              <w:right w:val="single" w:sz="6" w:space="0" w:color="000000"/>
            </w:tcBorders>
            <w:shd w:val="clear" w:color="auto" w:fill="D9D9D9"/>
          </w:tcPr>
          <w:p w:rsidR="00897B7A" w:rsidRDefault="00897B7A" w:rsidP="005D1C88">
            <w:pPr>
              <w:pStyle w:val="E3TableSubHeading"/>
              <w:rPr>
                <w:rFonts w:eastAsia="Arial" w:hAnsi="Arial" w:cs="Arial"/>
                <w:szCs w:val="13"/>
              </w:rPr>
            </w:pPr>
            <w:r>
              <w:rPr>
                <w:w w:val="105"/>
              </w:rPr>
              <w:t xml:space="preserve">Safety </w:t>
            </w:r>
            <w:r>
              <w:rPr>
                <w:spacing w:val="-1"/>
                <w:w w:val="105"/>
              </w:rPr>
              <w:t>marking</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cPr>
          <w:p w:rsidR="00897B7A" w:rsidRDefault="00897B7A" w:rsidP="00255AA3">
            <w:pPr>
              <w:pStyle w:val="E3Tabletext"/>
              <w:rPr>
                <w:rFonts w:eastAsia="Arial" w:hAnsi="Arial" w:cs="Arial"/>
                <w:szCs w:val="13"/>
              </w:rPr>
            </w:pPr>
            <w:r>
              <w:rPr>
                <w:w w:val="105"/>
              </w:rPr>
              <w:t>Must meet regional requirements for marking, if they exist, for non-grid connected devices</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D9D9D9"/>
          </w:tcPr>
          <w:p w:rsidR="00897B7A" w:rsidRDefault="00897B7A" w:rsidP="00255AA3">
            <w:pPr>
              <w:pStyle w:val="E3Tabletext"/>
              <w:rPr>
                <w:rFonts w:eastAsia="Arial" w:hAnsi="Arial" w:cs="Arial"/>
                <w:szCs w:val="13"/>
              </w:rPr>
            </w:pPr>
            <w:r>
              <w:rPr>
                <w:w w:val="105"/>
              </w:rPr>
              <w:t>Must meet regional requirements (ANSI/UL1993or CE Mark)</w:t>
            </w:r>
          </w:p>
        </w:tc>
        <w:tc>
          <w:tcPr>
            <w:tcW w:w="2551" w:type="dxa"/>
            <w:gridSpan w:val="2"/>
            <w:tcBorders>
              <w:top w:val="single" w:sz="6" w:space="0" w:color="000000"/>
              <w:left w:val="single" w:sz="6" w:space="0" w:color="000000"/>
              <w:bottom w:val="single" w:sz="6" w:space="0" w:color="000000"/>
              <w:right w:val="single" w:sz="6" w:space="0" w:color="000000"/>
            </w:tcBorders>
            <w:shd w:val="clear" w:color="auto" w:fill="D9D9D9"/>
          </w:tcPr>
          <w:p w:rsidR="00897B7A" w:rsidRDefault="00897B7A" w:rsidP="00255AA3">
            <w:pPr>
              <w:pStyle w:val="E3Tabletext"/>
              <w:rPr>
                <w:rFonts w:eastAsia="Arial" w:hAnsi="Arial" w:cs="Arial"/>
                <w:szCs w:val="13"/>
              </w:rPr>
            </w:pPr>
            <w:r>
              <w:rPr>
                <w:w w:val="105"/>
              </w:rPr>
              <w:t>Must meet regional requirements (ANSI/UL1993or CE Mark)</w:t>
            </w:r>
          </w:p>
        </w:tc>
        <w:tc>
          <w:tcPr>
            <w:tcW w:w="2296" w:type="dxa"/>
            <w:gridSpan w:val="2"/>
            <w:tcBorders>
              <w:top w:val="single" w:sz="6" w:space="0" w:color="000000"/>
              <w:left w:val="single" w:sz="6" w:space="0" w:color="000000"/>
              <w:bottom w:val="single" w:sz="6" w:space="0" w:color="000000"/>
              <w:right w:val="single" w:sz="6" w:space="0" w:color="000000"/>
            </w:tcBorders>
            <w:shd w:val="clear" w:color="auto" w:fill="D9D9D9"/>
          </w:tcPr>
          <w:p w:rsidR="00897B7A" w:rsidRDefault="00897B7A" w:rsidP="00255AA3">
            <w:pPr>
              <w:pStyle w:val="E3Tabletext"/>
              <w:rPr>
                <w:rFonts w:eastAsia="Arial" w:hAnsi="Arial" w:cs="Arial"/>
                <w:szCs w:val="13"/>
              </w:rPr>
            </w:pPr>
            <w:r>
              <w:rPr>
                <w:w w:val="105"/>
              </w:rPr>
              <w:t>Must meet regional requirements (ANSI/UL1993or CE Mark)</w:t>
            </w:r>
          </w:p>
        </w:tc>
      </w:tr>
      <w:tr w:rsidR="00897B7A" w:rsidTr="001C7E9A">
        <w:trPr>
          <w:cantSplit/>
          <w:jc w:val="center"/>
        </w:trPr>
        <w:tc>
          <w:tcPr>
            <w:tcW w:w="1162" w:type="dxa"/>
            <w:tcBorders>
              <w:top w:val="single" w:sz="6" w:space="0" w:color="000000"/>
              <w:left w:val="single" w:sz="6" w:space="0" w:color="000000"/>
              <w:bottom w:val="single" w:sz="6" w:space="0" w:color="000000"/>
              <w:right w:val="single" w:sz="6" w:space="0" w:color="000000"/>
            </w:tcBorders>
          </w:tcPr>
          <w:p w:rsidR="00897B7A" w:rsidRDefault="00897B7A" w:rsidP="005D1C88">
            <w:pPr>
              <w:pStyle w:val="E3TableSubHeading"/>
              <w:rPr>
                <w:rFonts w:eastAsia="Arial" w:hAnsi="Arial" w:cs="Arial"/>
                <w:szCs w:val="13"/>
              </w:rPr>
            </w:pPr>
            <w:r>
              <w:rPr>
                <w:w w:val="105"/>
              </w:rPr>
              <w:t xml:space="preserve">Warranty </w:t>
            </w:r>
            <w:r>
              <w:rPr>
                <w:spacing w:val="-1"/>
                <w:w w:val="105"/>
              </w:rPr>
              <w:t>Duration</w:t>
            </w:r>
          </w:p>
        </w:tc>
        <w:tc>
          <w:tcPr>
            <w:tcW w:w="1276" w:type="dxa"/>
            <w:tcBorders>
              <w:top w:val="single" w:sz="6" w:space="0" w:color="000000"/>
              <w:left w:val="single" w:sz="6" w:space="0" w:color="000000"/>
              <w:bottom w:val="single" w:sz="6" w:space="0" w:color="000000"/>
              <w:right w:val="single" w:sz="6" w:space="0" w:color="000000"/>
            </w:tcBorders>
          </w:tcPr>
          <w:p w:rsidR="00897B7A" w:rsidRDefault="00897B7A" w:rsidP="00255AA3">
            <w:pPr>
              <w:pStyle w:val="E3Tabletext"/>
              <w:rPr>
                <w:rFonts w:eastAsia="Arial" w:hAnsi="Arial" w:cs="Arial"/>
                <w:szCs w:val="13"/>
              </w:rPr>
            </w:pPr>
            <w:r>
              <w:rPr>
                <w:w w:val="105"/>
              </w:rPr>
              <w:t>Minimum 1 year warranty against catastrophic failure unless regional requirement is higher</w:t>
            </w:r>
          </w:p>
        </w:tc>
        <w:tc>
          <w:tcPr>
            <w:tcW w:w="2410" w:type="dxa"/>
            <w:gridSpan w:val="2"/>
            <w:tcBorders>
              <w:top w:val="single" w:sz="6" w:space="0" w:color="000000"/>
              <w:left w:val="single" w:sz="6" w:space="0" w:color="000000"/>
              <w:bottom w:val="single" w:sz="6" w:space="0" w:color="000000"/>
              <w:right w:val="single" w:sz="6" w:space="0" w:color="000000"/>
            </w:tcBorders>
          </w:tcPr>
          <w:p w:rsidR="00897B7A" w:rsidRDefault="00897B7A" w:rsidP="00255AA3">
            <w:pPr>
              <w:pStyle w:val="E3Tabletext"/>
              <w:rPr>
                <w:rFonts w:eastAsia="Arial" w:hAnsi="Arial" w:cs="Arial"/>
                <w:szCs w:val="13"/>
              </w:rPr>
            </w:pPr>
            <w:r>
              <w:rPr>
                <w:w w:val="105"/>
              </w:rPr>
              <w:t>Minimum 1 year warranty against catastrophic failure unless regional requirement is higher</w:t>
            </w:r>
          </w:p>
        </w:tc>
        <w:tc>
          <w:tcPr>
            <w:tcW w:w="2551" w:type="dxa"/>
            <w:gridSpan w:val="2"/>
            <w:tcBorders>
              <w:top w:val="single" w:sz="6" w:space="0" w:color="000000"/>
              <w:left w:val="single" w:sz="6" w:space="0" w:color="000000"/>
              <w:bottom w:val="single" w:sz="6" w:space="0" w:color="000000"/>
              <w:right w:val="single" w:sz="6" w:space="0" w:color="000000"/>
            </w:tcBorders>
          </w:tcPr>
          <w:p w:rsidR="00897B7A" w:rsidRDefault="00897B7A" w:rsidP="00255AA3">
            <w:pPr>
              <w:pStyle w:val="E3Tabletext"/>
              <w:rPr>
                <w:rFonts w:eastAsia="Arial" w:hAnsi="Arial" w:cs="Arial"/>
                <w:szCs w:val="13"/>
              </w:rPr>
            </w:pPr>
            <w:r>
              <w:rPr>
                <w:w w:val="105"/>
              </w:rPr>
              <w:t>Minimum warranty of at least 1 year for every 15,000 hours of rated lifespan unless the national or regional requirement or business practice is different.</w:t>
            </w:r>
          </w:p>
        </w:tc>
        <w:tc>
          <w:tcPr>
            <w:tcW w:w="2296" w:type="dxa"/>
            <w:gridSpan w:val="2"/>
            <w:tcBorders>
              <w:top w:val="single" w:sz="6" w:space="0" w:color="000000"/>
              <w:left w:val="single" w:sz="6" w:space="0" w:color="000000"/>
              <w:bottom w:val="single" w:sz="6" w:space="0" w:color="000000"/>
              <w:right w:val="single" w:sz="6" w:space="0" w:color="000000"/>
            </w:tcBorders>
          </w:tcPr>
          <w:p w:rsidR="00897B7A" w:rsidRDefault="00897B7A" w:rsidP="00255AA3">
            <w:pPr>
              <w:pStyle w:val="E3Tabletext"/>
              <w:rPr>
                <w:rFonts w:eastAsia="Arial" w:hAnsi="Arial" w:cs="Arial"/>
                <w:szCs w:val="13"/>
              </w:rPr>
            </w:pPr>
            <w:r>
              <w:rPr>
                <w:w w:val="105"/>
              </w:rPr>
              <w:t>Minimum warranty of at least 1 year for every 15,000 hours of rated lifespan unless the national or regional requirement or business practice is different.</w:t>
            </w:r>
          </w:p>
        </w:tc>
      </w:tr>
      <w:tr w:rsidR="000F0A7B" w:rsidTr="001C7E9A">
        <w:trPr>
          <w:cantSplit/>
          <w:jc w:val="center"/>
        </w:trPr>
        <w:tc>
          <w:tcPr>
            <w:tcW w:w="1162" w:type="dxa"/>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5D1C88">
            <w:pPr>
              <w:pStyle w:val="E3TableSubHeading"/>
              <w:rPr>
                <w:rFonts w:eastAsia="Arial" w:hAnsi="Arial" w:cs="Arial"/>
                <w:szCs w:val="13"/>
              </w:rPr>
            </w:pPr>
            <w:r>
              <w:rPr>
                <w:spacing w:val="-1"/>
                <w:w w:val="105"/>
              </w:rPr>
              <w:t>RoHS</w:t>
            </w:r>
            <w:r w:rsidR="00897B7A">
              <w:rPr>
                <w:spacing w:val="-1"/>
                <w:w w:val="105"/>
              </w:rPr>
              <w:t xml:space="preserve"> </w:t>
            </w:r>
            <w:r>
              <w:rPr>
                <w:spacing w:val="-1"/>
                <w:w w:val="105"/>
              </w:rPr>
              <w:t>Compliant</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255AA3">
            <w:pPr>
              <w:pStyle w:val="E3Tabletext"/>
              <w:rPr>
                <w:rFonts w:eastAsia="Arial" w:hAnsi="Arial" w:cs="Arial"/>
                <w:szCs w:val="13"/>
              </w:rPr>
            </w:pPr>
            <w:r>
              <w:rPr>
                <w:w w:val="105"/>
              </w:rPr>
              <w:t>Yes</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255AA3">
            <w:pPr>
              <w:pStyle w:val="E3Tabletext"/>
              <w:rPr>
                <w:rFonts w:eastAsia="Arial" w:hAnsi="Arial" w:cs="Arial"/>
                <w:szCs w:val="13"/>
              </w:rPr>
            </w:pPr>
            <w:r>
              <w:rPr>
                <w:w w:val="105"/>
              </w:rPr>
              <w:t>Yes</w:t>
            </w:r>
          </w:p>
        </w:tc>
        <w:tc>
          <w:tcPr>
            <w:tcW w:w="2551" w:type="dxa"/>
            <w:gridSpan w:val="2"/>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255AA3">
            <w:pPr>
              <w:pStyle w:val="E3Tabletext"/>
              <w:rPr>
                <w:rFonts w:eastAsia="Arial" w:hAnsi="Arial" w:cs="Arial"/>
                <w:szCs w:val="13"/>
              </w:rPr>
            </w:pPr>
            <w:r>
              <w:rPr>
                <w:w w:val="105"/>
              </w:rPr>
              <w:t>Yes</w:t>
            </w:r>
          </w:p>
        </w:tc>
        <w:tc>
          <w:tcPr>
            <w:tcW w:w="2296" w:type="dxa"/>
            <w:gridSpan w:val="2"/>
            <w:tcBorders>
              <w:top w:val="single" w:sz="6" w:space="0" w:color="000000"/>
              <w:left w:val="single" w:sz="6" w:space="0" w:color="000000"/>
              <w:bottom w:val="single" w:sz="6" w:space="0" w:color="000000"/>
              <w:right w:val="single" w:sz="6" w:space="0" w:color="000000"/>
            </w:tcBorders>
            <w:shd w:val="clear" w:color="auto" w:fill="D9D9D9"/>
          </w:tcPr>
          <w:p w:rsidR="000F0A7B" w:rsidRDefault="000F0A7B" w:rsidP="00255AA3">
            <w:pPr>
              <w:pStyle w:val="E3Tabletext"/>
              <w:rPr>
                <w:rFonts w:eastAsia="Arial" w:hAnsi="Arial" w:cs="Arial"/>
                <w:szCs w:val="13"/>
              </w:rPr>
            </w:pPr>
            <w:r>
              <w:rPr>
                <w:w w:val="105"/>
              </w:rPr>
              <w:t>Yes</w:t>
            </w:r>
          </w:p>
        </w:tc>
      </w:tr>
      <w:tr w:rsidR="00897B7A" w:rsidTr="001C7E9A">
        <w:trPr>
          <w:cantSplit/>
          <w:jc w:val="center"/>
        </w:trPr>
        <w:tc>
          <w:tcPr>
            <w:tcW w:w="1162" w:type="dxa"/>
            <w:tcBorders>
              <w:top w:val="single" w:sz="6" w:space="0" w:color="000000"/>
              <w:left w:val="single" w:sz="6" w:space="0" w:color="000000"/>
              <w:bottom w:val="single" w:sz="6" w:space="0" w:color="000000"/>
              <w:right w:val="single" w:sz="6" w:space="0" w:color="000000"/>
            </w:tcBorders>
          </w:tcPr>
          <w:p w:rsidR="00897B7A" w:rsidRDefault="00897B7A" w:rsidP="00CA24F5">
            <w:pPr>
              <w:pStyle w:val="E3TableSubHeading"/>
              <w:rPr>
                <w:rFonts w:eastAsia="Arial" w:hAnsi="Arial" w:cs="Arial"/>
                <w:szCs w:val="13"/>
              </w:rPr>
            </w:pPr>
            <w:r>
              <w:rPr>
                <w:spacing w:val="-1"/>
                <w:w w:val="105"/>
              </w:rPr>
              <w:t xml:space="preserve">Recyclability </w:t>
            </w:r>
            <w:r>
              <w:rPr>
                <w:w w:val="105"/>
              </w:rPr>
              <w:t>(%)</w:t>
            </w:r>
          </w:p>
        </w:tc>
        <w:tc>
          <w:tcPr>
            <w:tcW w:w="1276" w:type="dxa"/>
            <w:tcBorders>
              <w:top w:val="single" w:sz="6" w:space="0" w:color="000000"/>
              <w:left w:val="single" w:sz="6" w:space="0" w:color="000000"/>
              <w:bottom w:val="single" w:sz="6" w:space="0" w:color="000000"/>
              <w:right w:val="single" w:sz="6" w:space="0" w:color="000000"/>
            </w:tcBorders>
          </w:tcPr>
          <w:p w:rsidR="00897B7A" w:rsidRDefault="00897B7A" w:rsidP="00255AA3">
            <w:pPr>
              <w:pStyle w:val="E3Tabletext"/>
              <w:rPr>
                <w:rFonts w:eastAsia="Arial" w:hAnsi="Arial" w:cs="Arial"/>
                <w:szCs w:val="13"/>
              </w:rPr>
            </w:pPr>
            <w:r>
              <w:rPr>
                <w:w w:val="105"/>
              </w:rPr>
              <w:t>Yes, following the principles of self-declaration found in ISO14021</w:t>
            </w:r>
          </w:p>
        </w:tc>
        <w:tc>
          <w:tcPr>
            <w:tcW w:w="2410" w:type="dxa"/>
            <w:gridSpan w:val="2"/>
            <w:tcBorders>
              <w:top w:val="single" w:sz="6" w:space="0" w:color="000000"/>
              <w:left w:val="single" w:sz="6" w:space="0" w:color="000000"/>
              <w:bottom w:val="single" w:sz="6" w:space="0" w:color="000000"/>
              <w:right w:val="single" w:sz="6" w:space="0" w:color="000000"/>
            </w:tcBorders>
          </w:tcPr>
          <w:p w:rsidR="00897B7A" w:rsidRDefault="00897B7A" w:rsidP="00255AA3">
            <w:pPr>
              <w:pStyle w:val="E3Tabletext"/>
              <w:rPr>
                <w:rFonts w:eastAsia="Arial" w:hAnsi="Arial" w:cs="Arial"/>
                <w:szCs w:val="13"/>
              </w:rPr>
            </w:pPr>
            <w:r>
              <w:rPr>
                <w:w w:val="105"/>
              </w:rPr>
              <w:t>Yes, following the principles of self-declaration found in ISO14021</w:t>
            </w:r>
          </w:p>
        </w:tc>
        <w:tc>
          <w:tcPr>
            <w:tcW w:w="2551" w:type="dxa"/>
            <w:gridSpan w:val="2"/>
            <w:tcBorders>
              <w:top w:val="single" w:sz="6" w:space="0" w:color="000000"/>
              <w:left w:val="single" w:sz="6" w:space="0" w:color="000000"/>
              <w:bottom w:val="single" w:sz="6" w:space="0" w:color="000000"/>
              <w:right w:val="single" w:sz="6" w:space="0" w:color="000000"/>
            </w:tcBorders>
          </w:tcPr>
          <w:p w:rsidR="00897B7A" w:rsidRDefault="00897B7A" w:rsidP="00255AA3">
            <w:pPr>
              <w:pStyle w:val="E3Tabletext"/>
              <w:rPr>
                <w:rFonts w:eastAsia="Arial" w:hAnsi="Arial" w:cs="Arial"/>
                <w:szCs w:val="13"/>
              </w:rPr>
            </w:pPr>
            <w:r>
              <w:rPr>
                <w:w w:val="105"/>
              </w:rPr>
              <w:t>Yes, following the principles of self-declaration found in ISO14021</w:t>
            </w:r>
          </w:p>
        </w:tc>
        <w:tc>
          <w:tcPr>
            <w:tcW w:w="2296" w:type="dxa"/>
            <w:gridSpan w:val="2"/>
            <w:tcBorders>
              <w:top w:val="single" w:sz="6" w:space="0" w:color="000000"/>
              <w:left w:val="single" w:sz="6" w:space="0" w:color="000000"/>
              <w:bottom w:val="single" w:sz="6" w:space="0" w:color="000000"/>
              <w:right w:val="single" w:sz="6" w:space="0" w:color="000000"/>
            </w:tcBorders>
          </w:tcPr>
          <w:p w:rsidR="00897B7A" w:rsidRDefault="00897B7A" w:rsidP="00255AA3">
            <w:pPr>
              <w:pStyle w:val="E3Tabletext"/>
              <w:rPr>
                <w:rFonts w:eastAsia="Arial" w:hAnsi="Arial" w:cs="Arial"/>
                <w:szCs w:val="13"/>
              </w:rPr>
            </w:pPr>
            <w:r>
              <w:rPr>
                <w:w w:val="105"/>
              </w:rPr>
              <w:t>Yes, following the principles of self-declaration found in ISO14021</w:t>
            </w:r>
          </w:p>
        </w:tc>
      </w:tr>
      <w:tr w:rsidR="00897B7A" w:rsidTr="001C7E9A">
        <w:trPr>
          <w:cantSplit/>
          <w:jc w:val="center"/>
        </w:trPr>
        <w:tc>
          <w:tcPr>
            <w:tcW w:w="1162" w:type="dxa"/>
            <w:tcBorders>
              <w:top w:val="single" w:sz="6" w:space="0" w:color="000000"/>
              <w:left w:val="single" w:sz="6" w:space="0" w:color="000000"/>
              <w:bottom w:val="single" w:sz="6" w:space="0" w:color="000000"/>
              <w:right w:val="single" w:sz="6" w:space="0" w:color="000000"/>
            </w:tcBorders>
            <w:shd w:val="clear" w:color="auto" w:fill="D9D9D9"/>
          </w:tcPr>
          <w:p w:rsidR="00897B7A" w:rsidRDefault="00897B7A" w:rsidP="005D1C88">
            <w:pPr>
              <w:pStyle w:val="E3TableSubHeading"/>
              <w:rPr>
                <w:rFonts w:eastAsia="Arial" w:hAnsi="Arial" w:cs="Arial"/>
                <w:szCs w:val="13"/>
              </w:rPr>
            </w:pPr>
            <w:r>
              <w:rPr>
                <w:w w:val="105"/>
              </w:rPr>
              <w:t>Endurance Test</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cPr>
          <w:p w:rsidR="00897B7A" w:rsidRDefault="00897B7A" w:rsidP="00255AA3">
            <w:pPr>
              <w:pStyle w:val="E3Tabletext"/>
              <w:rPr>
                <w:rFonts w:eastAsia="Arial" w:hAnsi="Arial" w:cs="Arial"/>
                <w:szCs w:val="13"/>
              </w:rPr>
            </w:pPr>
            <w:r>
              <w:rPr>
                <w:w w:val="105"/>
              </w:rPr>
              <w:t>Using section 10.2 of IEC62612 (on/off for 30 seconds each), product must survive one cycle for every hour of rated life.</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D9D9D9"/>
          </w:tcPr>
          <w:p w:rsidR="00897B7A" w:rsidRDefault="00897B7A" w:rsidP="00255AA3">
            <w:pPr>
              <w:pStyle w:val="E3Tabletext"/>
              <w:rPr>
                <w:rFonts w:eastAsia="Arial" w:hAnsi="Arial" w:cs="Arial"/>
                <w:szCs w:val="13"/>
              </w:rPr>
            </w:pPr>
            <w:r>
              <w:rPr>
                <w:w w:val="105"/>
              </w:rPr>
              <w:t>Using section 10.2 of IEC62612 (on/off for 30 seconds each), product must survive one cycle for every hour of rated life.</w:t>
            </w:r>
          </w:p>
        </w:tc>
        <w:tc>
          <w:tcPr>
            <w:tcW w:w="2551" w:type="dxa"/>
            <w:gridSpan w:val="2"/>
            <w:tcBorders>
              <w:top w:val="single" w:sz="6" w:space="0" w:color="000000"/>
              <w:left w:val="single" w:sz="6" w:space="0" w:color="000000"/>
              <w:bottom w:val="single" w:sz="6" w:space="0" w:color="000000"/>
              <w:right w:val="single" w:sz="6" w:space="0" w:color="000000"/>
            </w:tcBorders>
            <w:shd w:val="clear" w:color="auto" w:fill="D9D9D9"/>
          </w:tcPr>
          <w:p w:rsidR="00897B7A" w:rsidRDefault="00897B7A" w:rsidP="00255AA3">
            <w:pPr>
              <w:pStyle w:val="E3Tabletext"/>
              <w:rPr>
                <w:rFonts w:eastAsia="Arial" w:hAnsi="Arial" w:cs="Arial"/>
                <w:szCs w:val="13"/>
              </w:rPr>
            </w:pPr>
            <w:r>
              <w:rPr>
                <w:w w:val="105"/>
              </w:rPr>
              <w:t>Using section 10.2 of IEC62612 (on/off for 30 seconds each), product must survive one cycle for every hour of rated life.</w:t>
            </w:r>
          </w:p>
        </w:tc>
        <w:tc>
          <w:tcPr>
            <w:tcW w:w="2296" w:type="dxa"/>
            <w:gridSpan w:val="2"/>
            <w:tcBorders>
              <w:top w:val="single" w:sz="6" w:space="0" w:color="000000"/>
              <w:left w:val="single" w:sz="6" w:space="0" w:color="000000"/>
              <w:bottom w:val="single" w:sz="6" w:space="0" w:color="000000"/>
              <w:right w:val="single" w:sz="6" w:space="0" w:color="000000"/>
            </w:tcBorders>
            <w:shd w:val="clear" w:color="auto" w:fill="D9D9D9"/>
          </w:tcPr>
          <w:p w:rsidR="00897B7A" w:rsidRDefault="00897B7A" w:rsidP="00255AA3">
            <w:pPr>
              <w:pStyle w:val="E3Tabletext"/>
              <w:rPr>
                <w:rFonts w:eastAsia="Arial" w:hAnsi="Arial" w:cs="Arial"/>
                <w:szCs w:val="13"/>
              </w:rPr>
            </w:pPr>
            <w:r>
              <w:rPr>
                <w:w w:val="105"/>
              </w:rPr>
              <w:t>Using section 10.2 of IEC62612 (on/off for 30 seconds each), product must survive one cycle for every hour of rated life.</w:t>
            </w:r>
          </w:p>
        </w:tc>
      </w:tr>
    </w:tbl>
    <w:p w:rsidR="005D1C88" w:rsidRDefault="005D1C88" w:rsidP="00337955">
      <w:pPr>
        <w:pStyle w:val="E3BodyText"/>
        <w:rPr>
          <w:lang w:eastAsia="en-AU"/>
        </w:rPr>
      </w:pPr>
    </w:p>
    <w:p w:rsidR="00334066" w:rsidRDefault="00334066" w:rsidP="005D1C88">
      <w:pPr>
        <w:rPr>
          <w:lang w:eastAsia="en-AU"/>
        </w:rPr>
      </w:pPr>
      <w:r>
        <w:rPr>
          <w:lang w:eastAsia="en-AU"/>
        </w:rPr>
        <w:t>Directional Lamps</w:t>
      </w:r>
    </w:p>
    <w:tbl>
      <w:tblPr>
        <w:tblW w:w="0" w:type="auto"/>
        <w:jc w:val="center"/>
        <w:tblLayout w:type="fixed"/>
        <w:tblCellMar>
          <w:top w:w="28" w:type="dxa"/>
          <w:left w:w="28" w:type="dxa"/>
          <w:bottom w:w="28" w:type="dxa"/>
          <w:right w:w="28" w:type="dxa"/>
        </w:tblCellMar>
        <w:tblLook w:val="01E0" w:firstRow="1" w:lastRow="1" w:firstColumn="1" w:lastColumn="1" w:noHBand="0" w:noVBand="0"/>
      </w:tblPr>
      <w:tblGrid>
        <w:gridCol w:w="595"/>
        <w:gridCol w:w="767"/>
        <w:gridCol w:w="517"/>
        <w:gridCol w:w="501"/>
        <w:gridCol w:w="501"/>
        <w:gridCol w:w="489"/>
        <w:gridCol w:w="347"/>
        <w:gridCol w:w="423"/>
        <w:gridCol w:w="493"/>
        <w:gridCol w:w="484"/>
        <w:gridCol w:w="518"/>
        <w:gridCol w:w="510"/>
        <w:gridCol w:w="332"/>
        <w:gridCol w:w="440"/>
        <w:gridCol w:w="493"/>
        <w:gridCol w:w="484"/>
        <w:gridCol w:w="518"/>
        <w:gridCol w:w="510"/>
        <w:gridCol w:w="333"/>
        <w:gridCol w:w="440"/>
      </w:tblGrid>
      <w:tr w:rsidR="006141F3" w:rsidTr="00897B7A">
        <w:trPr>
          <w:cantSplit/>
          <w:tblHeader/>
          <w:jc w:val="center"/>
        </w:trPr>
        <w:tc>
          <w:tcPr>
            <w:tcW w:w="595" w:type="dxa"/>
            <w:tcBorders>
              <w:top w:val="single" w:sz="6" w:space="0" w:color="000000"/>
              <w:left w:val="single" w:sz="6" w:space="0" w:color="000000"/>
              <w:bottom w:val="single" w:sz="6" w:space="0" w:color="000000"/>
              <w:right w:val="single" w:sz="6" w:space="0" w:color="000000"/>
            </w:tcBorders>
            <w:shd w:val="clear" w:color="auto" w:fill="000000" w:themeFill="text1"/>
          </w:tcPr>
          <w:p w:rsidR="00B827D0" w:rsidRDefault="00B827D0" w:rsidP="00B827D0">
            <w:pPr>
              <w:pStyle w:val="E3TableHeading"/>
              <w:rPr>
                <w:rFonts w:ascii="Arial" w:eastAsia="Arial" w:hAnsi="Arial" w:cs="Arial"/>
                <w:sz w:val="13"/>
                <w:szCs w:val="13"/>
              </w:rPr>
            </w:pPr>
            <w:r>
              <w:rPr>
                <w:rFonts w:ascii="Arial"/>
                <w:color w:val="FFFFFF"/>
                <w:sz w:val="13"/>
              </w:rPr>
              <w:t>Tier</w:t>
            </w:r>
          </w:p>
        </w:tc>
        <w:tc>
          <w:tcPr>
            <w:tcW w:w="767" w:type="dxa"/>
            <w:tcBorders>
              <w:top w:val="single" w:sz="6" w:space="0" w:color="000000"/>
              <w:left w:val="single" w:sz="6" w:space="0" w:color="000000"/>
              <w:bottom w:val="single" w:sz="6" w:space="0" w:color="000000"/>
              <w:right w:val="single" w:sz="6" w:space="0" w:color="000000"/>
            </w:tcBorders>
            <w:shd w:val="clear" w:color="auto" w:fill="000000" w:themeFill="text1"/>
          </w:tcPr>
          <w:p w:rsidR="00B827D0" w:rsidRDefault="00B827D0" w:rsidP="00B827D0">
            <w:pPr>
              <w:pStyle w:val="E3TableHeading"/>
              <w:rPr>
                <w:rFonts w:ascii="Arial" w:eastAsia="Arial" w:hAnsi="Arial" w:cs="Arial"/>
                <w:sz w:val="13"/>
                <w:szCs w:val="13"/>
              </w:rPr>
            </w:pPr>
            <w:r>
              <w:rPr>
                <w:rFonts w:ascii="Arial"/>
                <w:color w:val="FFFFFF"/>
                <w:sz w:val="13"/>
              </w:rPr>
              <w:t>Tier0</w:t>
            </w:r>
          </w:p>
        </w:tc>
        <w:tc>
          <w:tcPr>
            <w:tcW w:w="2778" w:type="dxa"/>
            <w:gridSpan w:val="6"/>
            <w:tcBorders>
              <w:top w:val="single" w:sz="6" w:space="0" w:color="000000"/>
              <w:left w:val="single" w:sz="6" w:space="0" w:color="000000"/>
              <w:bottom w:val="single" w:sz="6" w:space="0" w:color="000000"/>
              <w:right w:val="single" w:sz="6" w:space="0" w:color="000000"/>
            </w:tcBorders>
            <w:shd w:val="clear" w:color="auto" w:fill="000000" w:themeFill="text1"/>
          </w:tcPr>
          <w:p w:rsidR="00B827D0" w:rsidRDefault="00B827D0" w:rsidP="00B827D0">
            <w:pPr>
              <w:pStyle w:val="E3TableHeading"/>
              <w:rPr>
                <w:rFonts w:ascii="Arial" w:eastAsia="Arial" w:hAnsi="Arial" w:cs="Arial"/>
                <w:sz w:val="13"/>
                <w:szCs w:val="13"/>
              </w:rPr>
            </w:pPr>
            <w:r>
              <w:rPr>
                <w:rFonts w:ascii="Arial"/>
                <w:color w:val="FFFFFF"/>
                <w:sz w:val="13"/>
              </w:rPr>
              <w:t>Tier1</w:t>
            </w:r>
          </w:p>
        </w:tc>
        <w:tc>
          <w:tcPr>
            <w:tcW w:w="2777" w:type="dxa"/>
            <w:gridSpan w:val="6"/>
            <w:tcBorders>
              <w:top w:val="single" w:sz="6" w:space="0" w:color="000000"/>
              <w:left w:val="single" w:sz="6" w:space="0" w:color="000000"/>
              <w:bottom w:val="single" w:sz="6" w:space="0" w:color="000000"/>
              <w:right w:val="single" w:sz="6" w:space="0" w:color="000000"/>
            </w:tcBorders>
            <w:shd w:val="clear" w:color="auto" w:fill="000000" w:themeFill="text1"/>
          </w:tcPr>
          <w:p w:rsidR="00B827D0" w:rsidRDefault="00B827D0" w:rsidP="00B827D0">
            <w:pPr>
              <w:pStyle w:val="E3TableHeading"/>
              <w:rPr>
                <w:rFonts w:ascii="Arial" w:eastAsia="Arial" w:hAnsi="Arial" w:cs="Arial"/>
                <w:sz w:val="13"/>
                <w:szCs w:val="13"/>
              </w:rPr>
            </w:pPr>
            <w:r>
              <w:rPr>
                <w:rFonts w:ascii="Arial"/>
                <w:color w:val="FFFFFF"/>
                <w:sz w:val="13"/>
              </w:rPr>
              <w:t>Tier2</w:t>
            </w:r>
          </w:p>
        </w:tc>
        <w:tc>
          <w:tcPr>
            <w:tcW w:w="2778" w:type="dxa"/>
            <w:gridSpan w:val="6"/>
            <w:tcBorders>
              <w:top w:val="single" w:sz="6" w:space="0" w:color="000000"/>
              <w:left w:val="single" w:sz="6" w:space="0" w:color="000000"/>
              <w:bottom w:val="single" w:sz="6" w:space="0" w:color="000000"/>
              <w:right w:val="single" w:sz="6" w:space="0" w:color="000000"/>
            </w:tcBorders>
            <w:shd w:val="clear" w:color="auto" w:fill="000000" w:themeFill="text1"/>
          </w:tcPr>
          <w:p w:rsidR="00B827D0" w:rsidRDefault="00B827D0" w:rsidP="00B827D0">
            <w:pPr>
              <w:pStyle w:val="E3TableHeading"/>
              <w:rPr>
                <w:rFonts w:ascii="Arial" w:eastAsia="Arial" w:hAnsi="Arial" w:cs="Arial"/>
                <w:sz w:val="13"/>
                <w:szCs w:val="13"/>
              </w:rPr>
            </w:pPr>
            <w:r>
              <w:rPr>
                <w:rFonts w:ascii="Arial"/>
                <w:color w:val="FFFFFF"/>
                <w:sz w:val="13"/>
              </w:rPr>
              <w:t>Tier3</w:t>
            </w:r>
          </w:p>
        </w:tc>
      </w:tr>
      <w:tr w:rsidR="008D45D4" w:rsidTr="00897B7A">
        <w:trPr>
          <w:cantSplit/>
          <w:jc w:val="center"/>
        </w:trPr>
        <w:tc>
          <w:tcPr>
            <w:tcW w:w="595" w:type="dxa"/>
            <w:vMerge w:val="restart"/>
            <w:tcBorders>
              <w:top w:val="single" w:sz="6" w:space="0" w:color="000000"/>
              <w:left w:val="single" w:sz="6" w:space="0" w:color="000000"/>
              <w:right w:val="single" w:sz="6" w:space="0" w:color="000000"/>
            </w:tcBorders>
          </w:tcPr>
          <w:p w:rsidR="000A3D84" w:rsidRPr="008D45D4" w:rsidRDefault="000A3D84" w:rsidP="00B827D0">
            <w:pPr>
              <w:pStyle w:val="E3TableSubHeading"/>
              <w:rPr>
                <w:rFonts w:eastAsia="Arial" w:cs="Arial"/>
              </w:rPr>
            </w:pPr>
            <w:r w:rsidRPr="008D45D4">
              <w:t>If</w:t>
            </w:r>
            <w:r w:rsidR="00897B7A">
              <w:t xml:space="preserve"> </w:t>
            </w:r>
            <w:r w:rsidRPr="008D45D4">
              <w:rPr>
                <w:spacing w:val="-1"/>
              </w:rPr>
              <w:t>claiming</w:t>
            </w:r>
            <w:r w:rsidR="00897B7A">
              <w:rPr>
                <w:spacing w:val="-1"/>
              </w:rPr>
              <w:t xml:space="preserve"> </w:t>
            </w:r>
            <w:r w:rsidRPr="008D45D4">
              <w:rPr>
                <w:spacing w:val="-1"/>
              </w:rPr>
              <w:t>equivalence</w:t>
            </w:r>
            <w:r w:rsidR="00897B7A">
              <w:rPr>
                <w:spacing w:val="-1"/>
              </w:rPr>
              <w:t xml:space="preserve"> </w:t>
            </w:r>
            <w:r w:rsidRPr="008D45D4">
              <w:t>to</w:t>
            </w:r>
            <w:r w:rsidR="00897B7A">
              <w:t xml:space="preserve"> </w:t>
            </w:r>
            <w:r w:rsidRPr="008D45D4">
              <w:t>filament</w:t>
            </w:r>
            <w:r w:rsidR="00897B7A">
              <w:t xml:space="preserve"> </w:t>
            </w:r>
            <w:r w:rsidRPr="008D45D4">
              <w:t>lamp</w:t>
            </w:r>
            <w:r w:rsidR="00897B7A">
              <w:t xml:space="preserve"> </w:t>
            </w:r>
            <w:r w:rsidRPr="008D45D4">
              <w:t>wattages</w:t>
            </w:r>
            <w:r w:rsidR="00897B7A">
              <w:t xml:space="preserve"> </w:t>
            </w:r>
            <w:r w:rsidRPr="008D45D4">
              <w:t>(by</w:t>
            </w:r>
            <w:r w:rsidR="00897B7A">
              <w:t xml:space="preserve"> </w:t>
            </w:r>
            <w:r w:rsidRPr="008D45D4">
              <w:t>lamp</w:t>
            </w:r>
            <w:r w:rsidR="00897B7A">
              <w:t xml:space="preserve"> </w:t>
            </w:r>
            <w:r w:rsidRPr="008D45D4">
              <w:t>type)</w:t>
            </w:r>
          </w:p>
        </w:tc>
        <w:tc>
          <w:tcPr>
            <w:tcW w:w="767" w:type="dxa"/>
            <w:vMerge w:val="restart"/>
            <w:tcBorders>
              <w:top w:val="single" w:sz="6" w:space="0" w:color="000000"/>
              <w:left w:val="single" w:sz="6" w:space="0" w:color="000000"/>
              <w:right w:val="single" w:sz="6" w:space="0" w:color="000000"/>
            </w:tcBorders>
          </w:tcPr>
          <w:p w:rsidR="000A3D84" w:rsidRPr="000A3D84" w:rsidRDefault="000A3D84" w:rsidP="00255AA3">
            <w:pPr>
              <w:pStyle w:val="E3Tabletext"/>
              <w:rPr>
                <w:rFonts w:eastAsia="Arial"/>
              </w:rPr>
            </w:pPr>
            <w:r>
              <w:t>N/A: a</w:t>
            </w:r>
            <w:r w:rsidR="00897B7A">
              <w:t xml:space="preserve"> </w:t>
            </w:r>
            <w:r>
              <w:t>large number</w:t>
            </w:r>
            <w:r w:rsidR="00897B7A">
              <w:t xml:space="preserve"> </w:t>
            </w:r>
            <w:r>
              <w:t>of</w:t>
            </w:r>
            <w:r w:rsidR="00897B7A">
              <w:t xml:space="preserve"> </w:t>
            </w:r>
            <w:r>
              <w:t>these</w:t>
            </w:r>
            <w:r w:rsidR="00897B7A">
              <w:t xml:space="preserve"> </w:t>
            </w:r>
            <w:r>
              <w:t>products</w:t>
            </w:r>
            <w:r w:rsidR="00897B7A">
              <w:t xml:space="preserve"> </w:t>
            </w:r>
            <w:r>
              <w:t>will</w:t>
            </w:r>
            <w:r w:rsidR="00897B7A">
              <w:t xml:space="preserve"> </w:t>
            </w:r>
            <w:r>
              <w:t>be</w:t>
            </w:r>
            <w:r w:rsidR="00897B7A">
              <w:t xml:space="preserve"> </w:t>
            </w:r>
            <w:r>
              <w:t>used</w:t>
            </w:r>
            <w:r w:rsidR="00897B7A">
              <w:t xml:space="preserve"> </w:t>
            </w:r>
            <w:r>
              <w:t>in</w:t>
            </w:r>
            <w:r w:rsidR="00897B7A">
              <w:t xml:space="preserve"> </w:t>
            </w:r>
            <w:r>
              <w:t>off</w:t>
            </w:r>
            <w:r w:rsidR="00897B7A">
              <w:t xml:space="preserve"> </w:t>
            </w:r>
            <w:r>
              <w:t>grid</w:t>
            </w:r>
            <w:r w:rsidR="00897B7A">
              <w:t xml:space="preserve"> </w:t>
            </w:r>
            <w:r>
              <w:t>applications</w:t>
            </w:r>
            <w:r w:rsidR="00897B7A">
              <w:t xml:space="preserve"> </w:t>
            </w:r>
            <w:r>
              <w:t>where</w:t>
            </w:r>
            <w:r w:rsidR="00897B7A">
              <w:t xml:space="preserve"> </w:t>
            </w:r>
            <w:r>
              <w:t>light</w:t>
            </w:r>
            <w:r w:rsidR="00897B7A">
              <w:t xml:space="preserve"> </w:t>
            </w:r>
            <w:r>
              <w:t>has</w:t>
            </w:r>
            <w:r w:rsidR="00897B7A">
              <w:t xml:space="preserve"> </w:t>
            </w:r>
            <w:r>
              <w:t>never</w:t>
            </w:r>
            <w:r w:rsidR="00897B7A">
              <w:t xml:space="preserve"> </w:t>
            </w:r>
            <w:r>
              <w:t>been</w:t>
            </w:r>
            <w:r w:rsidR="00897B7A">
              <w:t xml:space="preserve"> </w:t>
            </w:r>
            <w:r>
              <w:t>used</w:t>
            </w:r>
            <w:r w:rsidR="00897B7A">
              <w:t xml:space="preserve"> </w:t>
            </w:r>
            <w:r>
              <w:t>before.</w:t>
            </w:r>
          </w:p>
          <w:p w:rsidR="000A3D84" w:rsidRDefault="000A3D84" w:rsidP="00255AA3">
            <w:pPr>
              <w:pStyle w:val="E3Tabletext"/>
              <w:rPr>
                <w:rFonts w:ascii="Arial" w:eastAsia="Arial"/>
                <w:sz w:val="13"/>
              </w:rPr>
            </w:pPr>
            <w:r w:rsidRPr="000A3D84">
              <w:t>Equivalency in these applications has no meaning.</w:t>
            </w:r>
          </w:p>
        </w:tc>
        <w:tc>
          <w:tcPr>
            <w:tcW w:w="517" w:type="dxa"/>
            <w:tcBorders>
              <w:top w:val="single" w:sz="6" w:space="0" w:color="000000"/>
              <w:left w:val="single" w:sz="6" w:space="0" w:color="000000"/>
              <w:bottom w:val="single" w:sz="6" w:space="0" w:color="000000"/>
              <w:right w:val="nil"/>
            </w:tcBorders>
          </w:tcPr>
          <w:p w:rsidR="000A3D84" w:rsidRPr="004E1F6E" w:rsidRDefault="000A3D84" w:rsidP="00255AA3">
            <w:pPr>
              <w:pStyle w:val="E3Tabletext"/>
              <w:rPr>
                <w:rFonts w:eastAsia="Arial Narrow"/>
              </w:rPr>
            </w:pPr>
            <w:r w:rsidRPr="004E1F6E">
              <w:t>Watts (W)</w:t>
            </w:r>
          </w:p>
        </w:tc>
        <w:tc>
          <w:tcPr>
            <w:tcW w:w="501" w:type="dxa"/>
            <w:tcBorders>
              <w:top w:val="single" w:sz="6" w:space="0" w:color="000000"/>
              <w:left w:val="single" w:sz="6" w:space="0" w:color="000000"/>
              <w:bottom w:val="single" w:sz="6" w:space="0" w:color="000000"/>
              <w:right w:val="nil"/>
            </w:tcBorders>
          </w:tcPr>
          <w:p w:rsidR="000A3D84" w:rsidRPr="004E1F6E" w:rsidRDefault="000A3D84" w:rsidP="00255AA3">
            <w:pPr>
              <w:pStyle w:val="E3Tabletext"/>
              <w:rPr>
                <w:rFonts w:eastAsia="Arial Narrow"/>
              </w:rPr>
            </w:pPr>
            <w:r w:rsidRPr="004E1F6E">
              <w:t>MR 11 (lm)</w:t>
            </w:r>
          </w:p>
        </w:tc>
        <w:tc>
          <w:tcPr>
            <w:tcW w:w="501" w:type="dxa"/>
            <w:tcBorders>
              <w:top w:val="single" w:sz="6" w:space="0" w:color="000000"/>
              <w:left w:val="nil"/>
              <w:bottom w:val="single" w:sz="6" w:space="0" w:color="000000"/>
              <w:right w:val="nil"/>
            </w:tcBorders>
          </w:tcPr>
          <w:p w:rsidR="000A3D84" w:rsidRPr="004E1F6E" w:rsidRDefault="000A3D84" w:rsidP="00255AA3">
            <w:pPr>
              <w:pStyle w:val="E3Tabletext"/>
              <w:rPr>
                <w:rFonts w:eastAsia="Arial Narrow"/>
              </w:rPr>
            </w:pPr>
            <w:r w:rsidRPr="004E1F6E">
              <w:t>MR16 (lm)</w:t>
            </w:r>
          </w:p>
        </w:tc>
        <w:tc>
          <w:tcPr>
            <w:tcW w:w="489" w:type="dxa"/>
            <w:tcBorders>
              <w:top w:val="single" w:sz="6" w:space="0" w:color="000000"/>
              <w:left w:val="nil"/>
              <w:bottom w:val="single" w:sz="6" w:space="0" w:color="000000"/>
              <w:right w:val="nil"/>
            </w:tcBorders>
          </w:tcPr>
          <w:p w:rsidR="000A3D84" w:rsidRPr="004E1F6E" w:rsidRDefault="000A3D84" w:rsidP="00255AA3">
            <w:pPr>
              <w:pStyle w:val="E3Tabletext"/>
              <w:rPr>
                <w:rFonts w:eastAsia="Arial Narrow"/>
              </w:rPr>
            </w:pPr>
            <w:r w:rsidRPr="004E1F6E">
              <w:t>AR111 (lm)</w:t>
            </w:r>
          </w:p>
        </w:tc>
        <w:tc>
          <w:tcPr>
            <w:tcW w:w="347" w:type="dxa"/>
            <w:tcBorders>
              <w:top w:val="single" w:sz="6" w:space="0" w:color="000000"/>
              <w:left w:val="nil"/>
              <w:bottom w:val="single" w:sz="6" w:space="0" w:color="000000"/>
              <w:right w:val="nil"/>
            </w:tcBorders>
          </w:tcPr>
          <w:p w:rsidR="000A3D84" w:rsidRPr="004E1F6E" w:rsidRDefault="000A3D84" w:rsidP="00255AA3">
            <w:pPr>
              <w:pStyle w:val="E3Tabletext"/>
              <w:rPr>
                <w:rFonts w:eastAsia="Arial Narrow"/>
              </w:rPr>
            </w:pPr>
            <w:r w:rsidRPr="004E1F6E">
              <w:t>R (lm)</w:t>
            </w:r>
          </w:p>
        </w:tc>
        <w:tc>
          <w:tcPr>
            <w:tcW w:w="423" w:type="dxa"/>
            <w:tcBorders>
              <w:top w:val="single" w:sz="6" w:space="0" w:color="000000"/>
              <w:left w:val="nil"/>
              <w:bottom w:val="single" w:sz="6" w:space="0" w:color="000000"/>
              <w:right w:val="single" w:sz="6" w:space="0" w:color="000000"/>
            </w:tcBorders>
          </w:tcPr>
          <w:p w:rsidR="000A3D84" w:rsidRPr="004E1F6E" w:rsidRDefault="000A3D84" w:rsidP="00255AA3">
            <w:pPr>
              <w:pStyle w:val="E3Tabletext"/>
              <w:rPr>
                <w:rFonts w:eastAsia="Arial Narrow"/>
              </w:rPr>
            </w:pPr>
            <w:r w:rsidRPr="004E1F6E">
              <w:t>PAR (lm)</w:t>
            </w:r>
          </w:p>
        </w:tc>
        <w:tc>
          <w:tcPr>
            <w:tcW w:w="493" w:type="dxa"/>
            <w:tcBorders>
              <w:top w:val="single" w:sz="6" w:space="0" w:color="000000"/>
              <w:left w:val="single" w:sz="6" w:space="0" w:color="000000"/>
              <w:bottom w:val="single" w:sz="6" w:space="0" w:color="000000"/>
              <w:right w:val="nil"/>
            </w:tcBorders>
          </w:tcPr>
          <w:p w:rsidR="000A3D84" w:rsidRPr="004E1F6E" w:rsidRDefault="000A3D84" w:rsidP="00255AA3">
            <w:pPr>
              <w:pStyle w:val="E3Tabletext"/>
              <w:rPr>
                <w:rFonts w:eastAsia="Arial Narrow"/>
              </w:rPr>
            </w:pPr>
            <w:r w:rsidRPr="004E1F6E">
              <w:t>Watts (W)</w:t>
            </w:r>
          </w:p>
        </w:tc>
        <w:tc>
          <w:tcPr>
            <w:tcW w:w="484" w:type="dxa"/>
            <w:tcBorders>
              <w:top w:val="single" w:sz="6" w:space="0" w:color="000000"/>
              <w:left w:val="single" w:sz="6" w:space="0" w:color="000000"/>
              <w:bottom w:val="single" w:sz="6" w:space="0" w:color="000000"/>
              <w:right w:val="nil"/>
            </w:tcBorders>
          </w:tcPr>
          <w:p w:rsidR="000A3D84" w:rsidRPr="004E1F6E" w:rsidRDefault="000A3D84" w:rsidP="00255AA3">
            <w:pPr>
              <w:pStyle w:val="E3Tabletext"/>
              <w:rPr>
                <w:rFonts w:eastAsia="Arial Narrow"/>
              </w:rPr>
            </w:pPr>
            <w:r w:rsidRPr="004E1F6E">
              <w:t>MR 11 (lm)</w:t>
            </w:r>
          </w:p>
        </w:tc>
        <w:tc>
          <w:tcPr>
            <w:tcW w:w="518" w:type="dxa"/>
            <w:tcBorders>
              <w:top w:val="single" w:sz="6" w:space="0" w:color="000000"/>
              <w:left w:val="nil"/>
              <w:bottom w:val="single" w:sz="6" w:space="0" w:color="000000"/>
              <w:right w:val="nil"/>
            </w:tcBorders>
          </w:tcPr>
          <w:p w:rsidR="000A3D84" w:rsidRPr="004E1F6E" w:rsidRDefault="000A3D84" w:rsidP="00255AA3">
            <w:pPr>
              <w:pStyle w:val="E3Tabletext"/>
              <w:rPr>
                <w:rFonts w:eastAsia="Arial Narrow"/>
              </w:rPr>
            </w:pPr>
            <w:r w:rsidRPr="004E1F6E">
              <w:t>MR16(lm)</w:t>
            </w:r>
          </w:p>
        </w:tc>
        <w:tc>
          <w:tcPr>
            <w:tcW w:w="510" w:type="dxa"/>
            <w:tcBorders>
              <w:top w:val="single" w:sz="6" w:space="0" w:color="000000"/>
              <w:left w:val="nil"/>
              <w:bottom w:val="single" w:sz="6" w:space="0" w:color="000000"/>
              <w:right w:val="nil"/>
            </w:tcBorders>
          </w:tcPr>
          <w:p w:rsidR="000A3D84" w:rsidRPr="004E1F6E" w:rsidRDefault="000A3D84" w:rsidP="00255AA3">
            <w:pPr>
              <w:pStyle w:val="E3Tabletext"/>
              <w:rPr>
                <w:rFonts w:eastAsia="Arial Narrow"/>
              </w:rPr>
            </w:pPr>
            <w:r w:rsidRPr="004E1F6E">
              <w:t>AR111(lm)</w:t>
            </w:r>
          </w:p>
        </w:tc>
        <w:tc>
          <w:tcPr>
            <w:tcW w:w="332" w:type="dxa"/>
            <w:tcBorders>
              <w:top w:val="single" w:sz="6" w:space="0" w:color="000000"/>
              <w:left w:val="nil"/>
              <w:bottom w:val="single" w:sz="6" w:space="0" w:color="000000"/>
              <w:right w:val="nil"/>
            </w:tcBorders>
          </w:tcPr>
          <w:p w:rsidR="000A3D84" w:rsidRPr="004E1F6E" w:rsidRDefault="000A3D84" w:rsidP="00255AA3">
            <w:pPr>
              <w:pStyle w:val="E3Tabletext"/>
              <w:rPr>
                <w:rFonts w:eastAsia="Arial Narrow"/>
              </w:rPr>
            </w:pPr>
            <w:r w:rsidRPr="004E1F6E">
              <w:t>R(lm)</w:t>
            </w:r>
          </w:p>
        </w:tc>
        <w:tc>
          <w:tcPr>
            <w:tcW w:w="440" w:type="dxa"/>
            <w:tcBorders>
              <w:top w:val="single" w:sz="6" w:space="0" w:color="000000"/>
              <w:left w:val="nil"/>
              <w:bottom w:val="single" w:sz="6" w:space="0" w:color="000000"/>
              <w:right w:val="single" w:sz="6" w:space="0" w:color="000000"/>
            </w:tcBorders>
          </w:tcPr>
          <w:p w:rsidR="000A3D84" w:rsidRPr="004E1F6E" w:rsidRDefault="000A3D84" w:rsidP="00255AA3">
            <w:pPr>
              <w:pStyle w:val="E3Tabletext"/>
              <w:rPr>
                <w:rFonts w:eastAsia="Arial Narrow"/>
              </w:rPr>
            </w:pPr>
            <w:r w:rsidRPr="004E1F6E">
              <w:t>PAR(lm)</w:t>
            </w:r>
          </w:p>
        </w:tc>
        <w:tc>
          <w:tcPr>
            <w:tcW w:w="493" w:type="dxa"/>
            <w:tcBorders>
              <w:top w:val="single" w:sz="6" w:space="0" w:color="000000"/>
              <w:left w:val="single" w:sz="6" w:space="0" w:color="000000"/>
              <w:bottom w:val="single" w:sz="6" w:space="0" w:color="000000"/>
              <w:right w:val="nil"/>
            </w:tcBorders>
          </w:tcPr>
          <w:p w:rsidR="000A3D84" w:rsidRPr="004E1F6E" w:rsidRDefault="000A3D84" w:rsidP="00255AA3">
            <w:pPr>
              <w:pStyle w:val="E3Tabletext"/>
              <w:rPr>
                <w:rFonts w:eastAsia="Arial Narrow"/>
              </w:rPr>
            </w:pPr>
            <w:r w:rsidRPr="004E1F6E">
              <w:t>Watts (W)</w:t>
            </w:r>
          </w:p>
        </w:tc>
        <w:tc>
          <w:tcPr>
            <w:tcW w:w="484" w:type="dxa"/>
            <w:tcBorders>
              <w:top w:val="single" w:sz="6" w:space="0" w:color="000000"/>
              <w:left w:val="single" w:sz="6" w:space="0" w:color="000000"/>
              <w:bottom w:val="single" w:sz="6" w:space="0" w:color="000000"/>
              <w:right w:val="nil"/>
            </w:tcBorders>
          </w:tcPr>
          <w:p w:rsidR="000A3D84" w:rsidRPr="004E1F6E" w:rsidRDefault="000A3D84" w:rsidP="00255AA3">
            <w:pPr>
              <w:pStyle w:val="E3Tabletext"/>
              <w:rPr>
                <w:rFonts w:eastAsia="Arial Narrow"/>
              </w:rPr>
            </w:pPr>
            <w:r w:rsidRPr="004E1F6E">
              <w:t>MR 11 (lm)</w:t>
            </w:r>
          </w:p>
        </w:tc>
        <w:tc>
          <w:tcPr>
            <w:tcW w:w="518" w:type="dxa"/>
            <w:tcBorders>
              <w:top w:val="single" w:sz="6" w:space="0" w:color="000000"/>
              <w:left w:val="nil"/>
              <w:bottom w:val="single" w:sz="6" w:space="0" w:color="000000"/>
              <w:right w:val="nil"/>
            </w:tcBorders>
          </w:tcPr>
          <w:p w:rsidR="000A3D84" w:rsidRPr="004E1F6E" w:rsidRDefault="000A3D84" w:rsidP="00255AA3">
            <w:pPr>
              <w:pStyle w:val="E3Tabletext"/>
              <w:rPr>
                <w:rFonts w:eastAsia="Arial Narrow"/>
              </w:rPr>
            </w:pPr>
            <w:r w:rsidRPr="004E1F6E">
              <w:t>MR16(lm)</w:t>
            </w:r>
          </w:p>
        </w:tc>
        <w:tc>
          <w:tcPr>
            <w:tcW w:w="510" w:type="dxa"/>
            <w:tcBorders>
              <w:top w:val="single" w:sz="6" w:space="0" w:color="000000"/>
              <w:left w:val="nil"/>
              <w:bottom w:val="single" w:sz="6" w:space="0" w:color="000000"/>
              <w:right w:val="nil"/>
            </w:tcBorders>
          </w:tcPr>
          <w:p w:rsidR="000A3D84" w:rsidRPr="004E1F6E" w:rsidRDefault="000A3D84" w:rsidP="00255AA3">
            <w:pPr>
              <w:pStyle w:val="E3Tabletext"/>
              <w:rPr>
                <w:rFonts w:eastAsia="Arial Narrow"/>
              </w:rPr>
            </w:pPr>
            <w:r w:rsidRPr="004E1F6E">
              <w:t>AR111(lm)</w:t>
            </w:r>
          </w:p>
        </w:tc>
        <w:tc>
          <w:tcPr>
            <w:tcW w:w="333" w:type="dxa"/>
            <w:tcBorders>
              <w:top w:val="single" w:sz="6" w:space="0" w:color="000000"/>
              <w:left w:val="nil"/>
              <w:bottom w:val="single" w:sz="6" w:space="0" w:color="000000"/>
              <w:right w:val="nil"/>
            </w:tcBorders>
          </w:tcPr>
          <w:p w:rsidR="000A3D84" w:rsidRPr="004E1F6E" w:rsidRDefault="000A3D84" w:rsidP="00255AA3">
            <w:pPr>
              <w:pStyle w:val="E3Tabletext"/>
              <w:rPr>
                <w:rFonts w:eastAsia="Arial Narrow"/>
              </w:rPr>
            </w:pPr>
            <w:r w:rsidRPr="004E1F6E">
              <w:t>R(lm)</w:t>
            </w:r>
          </w:p>
        </w:tc>
        <w:tc>
          <w:tcPr>
            <w:tcW w:w="440" w:type="dxa"/>
            <w:tcBorders>
              <w:top w:val="single" w:sz="6" w:space="0" w:color="000000"/>
              <w:left w:val="nil"/>
              <w:bottom w:val="single" w:sz="6" w:space="0" w:color="000000"/>
              <w:right w:val="single" w:sz="6" w:space="0" w:color="000000"/>
            </w:tcBorders>
          </w:tcPr>
          <w:p w:rsidR="000A3D84" w:rsidRPr="004E1F6E" w:rsidRDefault="000A3D84" w:rsidP="00255AA3">
            <w:pPr>
              <w:pStyle w:val="E3Tabletext"/>
              <w:rPr>
                <w:rFonts w:eastAsia="Arial Narrow"/>
              </w:rPr>
            </w:pPr>
            <w:r w:rsidRPr="004E1F6E">
              <w:t>PAR(lm)</w:t>
            </w:r>
          </w:p>
        </w:tc>
      </w:tr>
      <w:tr w:rsidR="008D45D4" w:rsidTr="00897B7A">
        <w:trPr>
          <w:cantSplit/>
          <w:jc w:val="center"/>
        </w:trPr>
        <w:tc>
          <w:tcPr>
            <w:tcW w:w="595" w:type="dxa"/>
            <w:vMerge/>
            <w:tcBorders>
              <w:left w:val="single" w:sz="6" w:space="0" w:color="000000"/>
              <w:right w:val="single" w:sz="6" w:space="0" w:color="000000"/>
            </w:tcBorders>
          </w:tcPr>
          <w:p w:rsidR="00B827D0" w:rsidRPr="008D45D4" w:rsidRDefault="00B827D0" w:rsidP="00B827D0">
            <w:pPr>
              <w:pStyle w:val="E3TableSubHeading"/>
            </w:pPr>
          </w:p>
        </w:tc>
        <w:tc>
          <w:tcPr>
            <w:tcW w:w="767" w:type="dxa"/>
            <w:vMerge/>
            <w:tcBorders>
              <w:left w:val="single" w:sz="6" w:space="0" w:color="000000"/>
              <w:right w:val="single" w:sz="6" w:space="0" w:color="000000"/>
            </w:tcBorders>
          </w:tcPr>
          <w:p w:rsidR="00B827D0" w:rsidRDefault="00B827D0" w:rsidP="00255AA3">
            <w:pPr>
              <w:pStyle w:val="E3Tabletext"/>
            </w:pPr>
          </w:p>
        </w:tc>
        <w:tc>
          <w:tcPr>
            <w:tcW w:w="517" w:type="dxa"/>
            <w:tcBorders>
              <w:top w:val="single" w:sz="6" w:space="0" w:color="000000"/>
              <w:left w:val="single" w:sz="6" w:space="0" w:color="000000"/>
              <w:bottom w:val="nil"/>
              <w:right w:val="nil"/>
            </w:tcBorders>
          </w:tcPr>
          <w:p w:rsidR="00B827D0" w:rsidRDefault="00B827D0" w:rsidP="00255AA3">
            <w:pPr>
              <w:pStyle w:val="E3Tabletext"/>
              <w:rPr>
                <w:rFonts w:eastAsia="Arial" w:hAnsi="Arial" w:cs="Arial"/>
                <w:szCs w:val="13"/>
              </w:rPr>
            </w:pPr>
            <w:r>
              <w:t>20</w:t>
            </w:r>
          </w:p>
        </w:tc>
        <w:tc>
          <w:tcPr>
            <w:tcW w:w="501" w:type="dxa"/>
            <w:tcBorders>
              <w:top w:val="single" w:sz="6" w:space="0" w:color="000000"/>
              <w:left w:val="nil"/>
              <w:bottom w:val="nil"/>
              <w:right w:val="nil"/>
            </w:tcBorders>
          </w:tcPr>
          <w:p w:rsidR="00B827D0" w:rsidRDefault="00B827D0" w:rsidP="00255AA3">
            <w:pPr>
              <w:pStyle w:val="E3Tabletext"/>
              <w:rPr>
                <w:rFonts w:eastAsia="Arial" w:hAnsi="Arial" w:cs="Arial"/>
                <w:szCs w:val="13"/>
              </w:rPr>
            </w:pPr>
            <w:r>
              <w:t>390</w:t>
            </w:r>
          </w:p>
        </w:tc>
        <w:tc>
          <w:tcPr>
            <w:tcW w:w="501" w:type="dxa"/>
            <w:tcBorders>
              <w:top w:val="single" w:sz="6" w:space="0" w:color="000000"/>
              <w:left w:val="nil"/>
              <w:bottom w:val="nil"/>
              <w:right w:val="nil"/>
            </w:tcBorders>
          </w:tcPr>
          <w:p w:rsidR="00B827D0" w:rsidRDefault="00B827D0" w:rsidP="00255AA3">
            <w:pPr>
              <w:pStyle w:val="E3Tabletext"/>
              <w:rPr>
                <w:rFonts w:eastAsia="Arial" w:hAnsi="Arial" w:cs="Arial"/>
                <w:szCs w:val="13"/>
              </w:rPr>
            </w:pPr>
            <w:r>
              <w:t>250</w:t>
            </w:r>
          </w:p>
        </w:tc>
        <w:tc>
          <w:tcPr>
            <w:tcW w:w="489" w:type="dxa"/>
            <w:tcBorders>
              <w:top w:val="single" w:sz="6" w:space="0" w:color="000000"/>
              <w:left w:val="nil"/>
              <w:bottom w:val="nil"/>
              <w:right w:val="nil"/>
            </w:tcBorders>
          </w:tcPr>
          <w:p w:rsidR="00B827D0" w:rsidRDefault="00B827D0" w:rsidP="00255AA3">
            <w:pPr>
              <w:pStyle w:val="E3Tabletext"/>
              <w:rPr>
                <w:rFonts w:eastAsia="Arial" w:hAnsi="Arial" w:cs="Arial"/>
                <w:szCs w:val="13"/>
              </w:rPr>
            </w:pPr>
            <w:r>
              <w:t>380</w:t>
            </w:r>
          </w:p>
        </w:tc>
        <w:tc>
          <w:tcPr>
            <w:tcW w:w="347" w:type="dxa"/>
            <w:tcBorders>
              <w:top w:val="single" w:sz="6" w:space="0" w:color="000000"/>
              <w:left w:val="nil"/>
              <w:bottom w:val="nil"/>
              <w:right w:val="nil"/>
            </w:tcBorders>
          </w:tcPr>
          <w:p w:rsidR="00B827D0" w:rsidRDefault="00B827D0" w:rsidP="00255AA3">
            <w:pPr>
              <w:pStyle w:val="E3Tabletext"/>
              <w:rPr>
                <w:rFonts w:eastAsia="Arial" w:hAnsi="Arial" w:cs="Arial"/>
                <w:szCs w:val="13"/>
              </w:rPr>
            </w:pPr>
            <w:r>
              <w:t>120</w:t>
            </w:r>
          </w:p>
        </w:tc>
        <w:tc>
          <w:tcPr>
            <w:tcW w:w="423" w:type="dxa"/>
            <w:tcBorders>
              <w:top w:val="single" w:sz="6" w:space="0" w:color="000000"/>
              <w:left w:val="nil"/>
              <w:bottom w:val="nil"/>
              <w:right w:val="single" w:sz="6" w:space="0" w:color="000000"/>
            </w:tcBorders>
          </w:tcPr>
          <w:p w:rsidR="00B827D0" w:rsidRDefault="00B827D0" w:rsidP="00255AA3">
            <w:pPr>
              <w:pStyle w:val="E3Tabletext"/>
              <w:rPr>
                <w:rFonts w:eastAsia="Arial" w:hAnsi="Arial" w:cs="Arial"/>
                <w:szCs w:val="13"/>
              </w:rPr>
            </w:pPr>
            <w:r>
              <w:t>92</w:t>
            </w:r>
          </w:p>
        </w:tc>
        <w:tc>
          <w:tcPr>
            <w:tcW w:w="493" w:type="dxa"/>
            <w:tcBorders>
              <w:top w:val="single" w:sz="6" w:space="0" w:color="000000"/>
              <w:left w:val="single" w:sz="6" w:space="0" w:color="000000"/>
              <w:bottom w:val="nil"/>
              <w:right w:val="nil"/>
            </w:tcBorders>
          </w:tcPr>
          <w:p w:rsidR="00B827D0" w:rsidRDefault="00B827D0" w:rsidP="00255AA3">
            <w:pPr>
              <w:pStyle w:val="E3Tabletext"/>
              <w:rPr>
                <w:rFonts w:eastAsia="Arial" w:hAnsi="Arial" w:cs="Arial"/>
                <w:szCs w:val="13"/>
              </w:rPr>
            </w:pPr>
            <w:r>
              <w:t>20</w:t>
            </w:r>
          </w:p>
        </w:tc>
        <w:tc>
          <w:tcPr>
            <w:tcW w:w="484" w:type="dxa"/>
            <w:tcBorders>
              <w:top w:val="single" w:sz="6" w:space="0" w:color="000000"/>
              <w:left w:val="nil"/>
              <w:bottom w:val="nil"/>
              <w:right w:val="nil"/>
            </w:tcBorders>
          </w:tcPr>
          <w:p w:rsidR="00B827D0" w:rsidRDefault="00B827D0" w:rsidP="00255AA3">
            <w:pPr>
              <w:pStyle w:val="E3Tabletext"/>
              <w:rPr>
                <w:rFonts w:eastAsia="Arial" w:hAnsi="Arial" w:cs="Arial"/>
                <w:szCs w:val="13"/>
              </w:rPr>
            </w:pPr>
            <w:r>
              <w:t>390</w:t>
            </w:r>
          </w:p>
        </w:tc>
        <w:tc>
          <w:tcPr>
            <w:tcW w:w="518" w:type="dxa"/>
            <w:tcBorders>
              <w:top w:val="single" w:sz="6" w:space="0" w:color="000000"/>
              <w:left w:val="nil"/>
              <w:bottom w:val="nil"/>
              <w:right w:val="nil"/>
            </w:tcBorders>
          </w:tcPr>
          <w:p w:rsidR="00B827D0" w:rsidRDefault="00B827D0" w:rsidP="00255AA3">
            <w:pPr>
              <w:pStyle w:val="E3Tabletext"/>
              <w:rPr>
                <w:rFonts w:eastAsia="Arial" w:hAnsi="Arial" w:cs="Arial"/>
                <w:szCs w:val="13"/>
              </w:rPr>
            </w:pPr>
            <w:r>
              <w:t>250</w:t>
            </w:r>
          </w:p>
        </w:tc>
        <w:tc>
          <w:tcPr>
            <w:tcW w:w="510" w:type="dxa"/>
            <w:tcBorders>
              <w:top w:val="single" w:sz="6" w:space="0" w:color="000000"/>
              <w:left w:val="nil"/>
              <w:bottom w:val="nil"/>
              <w:right w:val="nil"/>
            </w:tcBorders>
          </w:tcPr>
          <w:p w:rsidR="00B827D0" w:rsidRDefault="00B827D0" w:rsidP="00255AA3">
            <w:pPr>
              <w:pStyle w:val="E3Tabletext"/>
              <w:rPr>
                <w:rFonts w:eastAsia="Arial" w:hAnsi="Arial" w:cs="Arial"/>
                <w:szCs w:val="13"/>
              </w:rPr>
            </w:pPr>
            <w:r>
              <w:t>380</w:t>
            </w:r>
          </w:p>
        </w:tc>
        <w:tc>
          <w:tcPr>
            <w:tcW w:w="332" w:type="dxa"/>
            <w:tcBorders>
              <w:top w:val="single" w:sz="6" w:space="0" w:color="000000"/>
              <w:left w:val="nil"/>
              <w:bottom w:val="nil"/>
              <w:right w:val="nil"/>
            </w:tcBorders>
          </w:tcPr>
          <w:p w:rsidR="00B827D0" w:rsidRDefault="00B827D0" w:rsidP="00255AA3">
            <w:pPr>
              <w:pStyle w:val="E3Tabletext"/>
              <w:rPr>
                <w:rFonts w:eastAsia="Arial" w:hAnsi="Arial" w:cs="Arial"/>
                <w:szCs w:val="13"/>
              </w:rPr>
            </w:pPr>
            <w:r>
              <w:t>120</w:t>
            </w:r>
          </w:p>
        </w:tc>
        <w:tc>
          <w:tcPr>
            <w:tcW w:w="440" w:type="dxa"/>
            <w:tcBorders>
              <w:top w:val="single" w:sz="6" w:space="0" w:color="000000"/>
              <w:left w:val="nil"/>
              <w:bottom w:val="nil"/>
              <w:right w:val="single" w:sz="6" w:space="0" w:color="000000"/>
            </w:tcBorders>
          </w:tcPr>
          <w:p w:rsidR="00B827D0" w:rsidRDefault="00B827D0" w:rsidP="00255AA3">
            <w:pPr>
              <w:pStyle w:val="E3Tabletext"/>
              <w:rPr>
                <w:rFonts w:eastAsia="Arial" w:hAnsi="Arial" w:cs="Arial"/>
                <w:szCs w:val="13"/>
              </w:rPr>
            </w:pPr>
            <w:r>
              <w:t>92</w:t>
            </w:r>
          </w:p>
        </w:tc>
        <w:tc>
          <w:tcPr>
            <w:tcW w:w="493" w:type="dxa"/>
            <w:tcBorders>
              <w:top w:val="single" w:sz="6" w:space="0" w:color="000000"/>
              <w:left w:val="single" w:sz="6" w:space="0" w:color="000000"/>
              <w:bottom w:val="nil"/>
              <w:right w:val="nil"/>
            </w:tcBorders>
          </w:tcPr>
          <w:p w:rsidR="00B827D0" w:rsidRDefault="00B827D0" w:rsidP="00255AA3">
            <w:pPr>
              <w:pStyle w:val="E3Tabletext"/>
              <w:rPr>
                <w:rFonts w:eastAsia="Arial" w:hAnsi="Arial" w:cs="Arial"/>
                <w:szCs w:val="13"/>
              </w:rPr>
            </w:pPr>
            <w:r>
              <w:t>20</w:t>
            </w:r>
          </w:p>
        </w:tc>
        <w:tc>
          <w:tcPr>
            <w:tcW w:w="484" w:type="dxa"/>
            <w:tcBorders>
              <w:top w:val="single" w:sz="6" w:space="0" w:color="000000"/>
              <w:left w:val="nil"/>
              <w:bottom w:val="nil"/>
              <w:right w:val="nil"/>
            </w:tcBorders>
          </w:tcPr>
          <w:p w:rsidR="00B827D0" w:rsidRDefault="00B827D0" w:rsidP="00255AA3">
            <w:pPr>
              <w:pStyle w:val="E3Tabletext"/>
              <w:rPr>
                <w:rFonts w:eastAsia="Arial" w:hAnsi="Arial" w:cs="Arial"/>
                <w:szCs w:val="13"/>
              </w:rPr>
            </w:pPr>
            <w:r>
              <w:t>390</w:t>
            </w:r>
          </w:p>
        </w:tc>
        <w:tc>
          <w:tcPr>
            <w:tcW w:w="518" w:type="dxa"/>
            <w:tcBorders>
              <w:top w:val="single" w:sz="6" w:space="0" w:color="000000"/>
              <w:left w:val="nil"/>
              <w:bottom w:val="nil"/>
              <w:right w:val="nil"/>
            </w:tcBorders>
          </w:tcPr>
          <w:p w:rsidR="00B827D0" w:rsidRDefault="00B827D0" w:rsidP="00255AA3">
            <w:pPr>
              <w:pStyle w:val="E3Tabletext"/>
              <w:rPr>
                <w:rFonts w:eastAsia="Arial" w:hAnsi="Arial" w:cs="Arial"/>
                <w:szCs w:val="13"/>
              </w:rPr>
            </w:pPr>
            <w:r>
              <w:t>250</w:t>
            </w:r>
          </w:p>
        </w:tc>
        <w:tc>
          <w:tcPr>
            <w:tcW w:w="510" w:type="dxa"/>
            <w:tcBorders>
              <w:top w:val="single" w:sz="6" w:space="0" w:color="000000"/>
              <w:left w:val="nil"/>
              <w:bottom w:val="nil"/>
              <w:right w:val="nil"/>
            </w:tcBorders>
          </w:tcPr>
          <w:p w:rsidR="00B827D0" w:rsidRDefault="00B827D0" w:rsidP="00255AA3">
            <w:pPr>
              <w:pStyle w:val="E3Tabletext"/>
              <w:rPr>
                <w:rFonts w:eastAsia="Arial" w:hAnsi="Arial" w:cs="Arial"/>
                <w:szCs w:val="13"/>
              </w:rPr>
            </w:pPr>
            <w:r>
              <w:t>380</w:t>
            </w:r>
          </w:p>
        </w:tc>
        <w:tc>
          <w:tcPr>
            <w:tcW w:w="333" w:type="dxa"/>
            <w:tcBorders>
              <w:top w:val="single" w:sz="6" w:space="0" w:color="000000"/>
              <w:left w:val="nil"/>
              <w:bottom w:val="nil"/>
              <w:right w:val="nil"/>
            </w:tcBorders>
          </w:tcPr>
          <w:p w:rsidR="00B827D0" w:rsidRDefault="00B827D0" w:rsidP="00255AA3">
            <w:pPr>
              <w:pStyle w:val="E3Tabletext"/>
              <w:rPr>
                <w:rFonts w:eastAsia="Arial" w:hAnsi="Arial" w:cs="Arial"/>
                <w:szCs w:val="13"/>
              </w:rPr>
            </w:pPr>
            <w:r>
              <w:t>120</w:t>
            </w:r>
          </w:p>
        </w:tc>
        <w:tc>
          <w:tcPr>
            <w:tcW w:w="440" w:type="dxa"/>
            <w:tcBorders>
              <w:top w:val="single" w:sz="6" w:space="0" w:color="000000"/>
              <w:left w:val="nil"/>
              <w:bottom w:val="nil"/>
              <w:right w:val="single" w:sz="6" w:space="0" w:color="000000"/>
            </w:tcBorders>
          </w:tcPr>
          <w:p w:rsidR="00B827D0" w:rsidRDefault="00B827D0" w:rsidP="00255AA3">
            <w:pPr>
              <w:pStyle w:val="E3Tabletext"/>
              <w:rPr>
                <w:rFonts w:eastAsia="Arial" w:hAnsi="Arial" w:cs="Arial"/>
                <w:szCs w:val="13"/>
              </w:rPr>
            </w:pPr>
            <w:r>
              <w:t>92</w:t>
            </w:r>
          </w:p>
        </w:tc>
      </w:tr>
      <w:tr w:rsidR="008D45D4" w:rsidTr="00897B7A">
        <w:trPr>
          <w:cantSplit/>
          <w:jc w:val="center"/>
        </w:trPr>
        <w:tc>
          <w:tcPr>
            <w:tcW w:w="595" w:type="dxa"/>
            <w:vMerge/>
            <w:tcBorders>
              <w:left w:val="single" w:sz="6" w:space="0" w:color="000000"/>
              <w:right w:val="single" w:sz="6" w:space="0" w:color="000000"/>
            </w:tcBorders>
          </w:tcPr>
          <w:p w:rsidR="00B827D0" w:rsidRPr="008D45D4" w:rsidRDefault="00B827D0" w:rsidP="00B827D0">
            <w:pPr>
              <w:pStyle w:val="E3TableSubHeading"/>
            </w:pPr>
          </w:p>
        </w:tc>
        <w:tc>
          <w:tcPr>
            <w:tcW w:w="767" w:type="dxa"/>
            <w:vMerge/>
            <w:tcBorders>
              <w:left w:val="single" w:sz="6" w:space="0" w:color="000000"/>
              <w:right w:val="single" w:sz="6" w:space="0" w:color="000000"/>
            </w:tcBorders>
          </w:tcPr>
          <w:p w:rsidR="00B827D0" w:rsidRDefault="00B827D0" w:rsidP="00255AA3">
            <w:pPr>
              <w:pStyle w:val="E3Tabletext"/>
            </w:pPr>
          </w:p>
        </w:tc>
        <w:tc>
          <w:tcPr>
            <w:tcW w:w="517"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25</w:t>
            </w:r>
          </w:p>
        </w:tc>
        <w:tc>
          <w:tcPr>
            <w:tcW w:w="501" w:type="dxa"/>
            <w:tcBorders>
              <w:top w:val="nil"/>
              <w:left w:val="nil"/>
              <w:bottom w:val="nil"/>
              <w:right w:val="nil"/>
            </w:tcBorders>
          </w:tcPr>
          <w:p w:rsidR="00B827D0" w:rsidRDefault="00B827D0" w:rsidP="00255AA3">
            <w:pPr>
              <w:pStyle w:val="E3Tabletext"/>
            </w:pPr>
          </w:p>
        </w:tc>
        <w:tc>
          <w:tcPr>
            <w:tcW w:w="501" w:type="dxa"/>
            <w:tcBorders>
              <w:top w:val="nil"/>
              <w:left w:val="nil"/>
              <w:bottom w:val="nil"/>
              <w:right w:val="nil"/>
            </w:tcBorders>
          </w:tcPr>
          <w:p w:rsidR="00B827D0" w:rsidRDefault="00B827D0" w:rsidP="00255AA3">
            <w:pPr>
              <w:pStyle w:val="E3Tabletext"/>
            </w:pPr>
          </w:p>
        </w:tc>
        <w:tc>
          <w:tcPr>
            <w:tcW w:w="489" w:type="dxa"/>
            <w:tcBorders>
              <w:top w:val="nil"/>
              <w:left w:val="nil"/>
              <w:bottom w:val="nil"/>
              <w:right w:val="nil"/>
            </w:tcBorders>
          </w:tcPr>
          <w:p w:rsidR="00B827D0" w:rsidRDefault="00B827D0" w:rsidP="00255AA3">
            <w:pPr>
              <w:pStyle w:val="E3Tabletext"/>
              <w:rPr>
                <w:rFonts w:eastAsia="Arial" w:hAnsi="Arial" w:cs="Arial"/>
                <w:szCs w:val="13"/>
              </w:rPr>
            </w:pPr>
            <w:r>
              <w:t>564</w:t>
            </w:r>
          </w:p>
        </w:tc>
        <w:tc>
          <w:tcPr>
            <w:tcW w:w="347" w:type="dxa"/>
            <w:tcBorders>
              <w:top w:val="nil"/>
              <w:left w:val="nil"/>
              <w:bottom w:val="nil"/>
              <w:right w:val="nil"/>
            </w:tcBorders>
          </w:tcPr>
          <w:p w:rsidR="00B827D0" w:rsidRDefault="00B827D0" w:rsidP="00255AA3">
            <w:pPr>
              <w:pStyle w:val="E3Tabletext"/>
              <w:rPr>
                <w:rFonts w:eastAsia="Arial" w:hAnsi="Arial" w:cs="Arial"/>
                <w:szCs w:val="13"/>
              </w:rPr>
            </w:pPr>
            <w:r>
              <w:t>170</w:t>
            </w:r>
          </w:p>
        </w:tc>
        <w:tc>
          <w:tcPr>
            <w:tcW w:w="423" w:type="dxa"/>
            <w:tcBorders>
              <w:top w:val="nil"/>
              <w:left w:val="nil"/>
              <w:bottom w:val="nil"/>
              <w:right w:val="single" w:sz="6" w:space="0" w:color="000000"/>
            </w:tcBorders>
          </w:tcPr>
          <w:p w:rsidR="00B827D0" w:rsidRDefault="00B827D0" w:rsidP="00255AA3">
            <w:pPr>
              <w:pStyle w:val="E3Tabletext"/>
              <w:rPr>
                <w:rFonts w:eastAsia="Arial" w:hAnsi="Arial" w:cs="Arial"/>
                <w:szCs w:val="13"/>
              </w:rPr>
            </w:pPr>
            <w:r>
              <w:t>150</w:t>
            </w:r>
          </w:p>
        </w:tc>
        <w:tc>
          <w:tcPr>
            <w:tcW w:w="493"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25</w:t>
            </w:r>
          </w:p>
        </w:tc>
        <w:tc>
          <w:tcPr>
            <w:tcW w:w="484" w:type="dxa"/>
            <w:tcBorders>
              <w:top w:val="nil"/>
              <w:left w:val="nil"/>
              <w:bottom w:val="nil"/>
              <w:right w:val="nil"/>
            </w:tcBorders>
          </w:tcPr>
          <w:p w:rsidR="00B827D0" w:rsidRDefault="00B827D0" w:rsidP="00255AA3">
            <w:pPr>
              <w:pStyle w:val="E3Tabletext"/>
            </w:pPr>
          </w:p>
        </w:tc>
        <w:tc>
          <w:tcPr>
            <w:tcW w:w="518" w:type="dxa"/>
            <w:tcBorders>
              <w:top w:val="nil"/>
              <w:left w:val="nil"/>
              <w:bottom w:val="nil"/>
              <w:right w:val="nil"/>
            </w:tcBorders>
          </w:tcPr>
          <w:p w:rsidR="00B827D0" w:rsidRDefault="00B827D0" w:rsidP="00255AA3">
            <w:pPr>
              <w:pStyle w:val="E3Tabletext"/>
            </w:pPr>
          </w:p>
        </w:tc>
        <w:tc>
          <w:tcPr>
            <w:tcW w:w="510" w:type="dxa"/>
            <w:tcBorders>
              <w:top w:val="nil"/>
              <w:left w:val="nil"/>
              <w:bottom w:val="nil"/>
              <w:right w:val="nil"/>
            </w:tcBorders>
          </w:tcPr>
          <w:p w:rsidR="00B827D0" w:rsidRDefault="00B827D0" w:rsidP="00255AA3">
            <w:pPr>
              <w:pStyle w:val="E3Tabletext"/>
              <w:rPr>
                <w:rFonts w:eastAsia="Arial" w:hAnsi="Arial" w:cs="Arial"/>
                <w:szCs w:val="13"/>
              </w:rPr>
            </w:pPr>
            <w:r>
              <w:t>564</w:t>
            </w:r>
          </w:p>
        </w:tc>
        <w:tc>
          <w:tcPr>
            <w:tcW w:w="332" w:type="dxa"/>
            <w:tcBorders>
              <w:top w:val="nil"/>
              <w:left w:val="nil"/>
              <w:bottom w:val="nil"/>
              <w:right w:val="nil"/>
            </w:tcBorders>
          </w:tcPr>
          <w:p w:rsidR="00B827D0" w:rsidRDefault="00B827D0" w:rsidP="00255AA3">
            <w:pPr>
              <w:pStyle w:val="E3Tabletext"/>
              <w:rPr>
                <w:rFonts w:eastAsia="Arial" w:hAnsi="Arial" w:cs="Arial"/>
                <w:szCs w:val="13"/>
              </w:rPr>
            </w:pPr>
            <w:r>
              <w:t>170</w:t>
            </w:r>
          </w:p>
        </w:tc>
        <w:tc>
          <w:tcPr>
            <w:tcW w:w="440" w:type="dxa"/>
            <w:tcBorders>
              <w:top w:val="nil"/>
              <w:left w:val="nil"/>
              <w:bottom w:val="nil"/>
              <w:right w:val="single" w:sz="6" w:space="0" w:color="000000"/>
            </w:tcBorders>
          </w:tcPr>
          <w:p w:rsidR="00B827D0" w:rsidRDefault="00B827D0" w:rsidP="00255AA3">
            <w:pPr>
              <w:pStyle w:val="E3Tabletext"/>
              <w:rPr>
                <w:rFonts w:eastAsia="Arial" w:hAnsi="Arial" w:cs="Arial"/>
                <w:szCs w:val="13"/>
              </w:rPr>
            </w:pPr>
            <w:r>
              <w:t>150</w:t>
            </w:r>
          </w:p>
        </w:tc>
        <w:tc>
          <w:tcPr>
            <w:tcW w:w="493"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25</w:t>
            </w:r>
          </w:p>
        </w:tc>
        <w:tc>
          <w:tcPr>
            <w:tcW w:w="484" w:type="dxa"/>
            <w:tcBorders>
              <w:top w:val="nil"/>
              <w:left w:val="nil"/>
              <w:bottom w:val="nil"/>
              <w:right w:val="nil"/>
            </w:tcBorders>
          </w:tcPr>
          <w:p w:rsidR="00B827D0" w:rsidRDefault="00B827D0" w:rsidP="00255AA3">
            <w:pPr>
              <w:pStyle w:val="E3Tabletext"/>
            </w:pPr>
          </w:p>
        </w:tc>
        <w:tc>
          <w:tcPr>
            <w:tcW w:w="518" w:type="dxa"/>
            <w:tcBorders>
              <w:top w:val="nil"/>
              <w:left w:val="nil"/>
              <w:bottom w:val="nil"/>
              <w:right w:val="nil"/>
            </w:tcBorders>
          </w:tcPr>
          <w:p w:rsidR="00B827D0" w:rsidRDefault="00B827D0" w:rsidP="00255AA3">
            <w:pPr>
              <w:pStyle w:val="E3Tabletext"/>
            </w:pPr>
          </w:p>
        </w:tc>
        <w:tc>
          <w:tcPr>
            <w:tcW w:w="510" w:type="dxa"/>
            <w:tcBorders>
              <w:top w:val="nil"/>
              <w:left w:val="nil"/>
              <w:bottom w:val="nil"/>
              <w:right w:val="nil"/>
            </w:tcBorders>
          </w:tcPr>
          <w:p w:rsidR="00B827D0" w:rsidRDefault="00B827D0" w:rsidP="00255AA3">
            <w:pPr>
              <w:pStyle w:val="E3Tabletext"/>
              <w:rPr>
                <w:rFonts w:eastAsia="Arial" w:hAnsi="Arial" w:cs="Arial"/>
                <w:szCs w:val="13"/>
              </w:rPr>
            </w:pPr>
            <w:r>
              <w:t>564</w:t>
            </w:r>
          </w:p>
        </w:tc>
        <w:tc>
          <w:tcPr>
            <w:tcW w:w="333" w:type="dxa"/>
            <w:tcBorders>
              <w:top w:val="nil"/>
              <w:left w:val="nil"/>
              <w:bottom w:val="nil"/>
              <w:right w:val="nil"/>
            </w:tcBorders>
          </w:tcPr>
          <w:p w:rsidR="00B827D0" w:rsidRDefault="00B827D0" w:rsidP="00255AA3">
            <w:pPr>
              <w:pStyle w:val="E3Tabletext"/>
              <w:rPr>
                <w:rFonts w:eastAsia="Arial" w:hAnsi="Arial" w:cs="Arial"/>
                <w:szCs w:val="13"/>
              </w:rPr>
            </w:pPr>
            <w:r>
              <w:t>170</w:t>
            </w:r>
          </w:p>
        </w:tc>
        <w:tc>
          <w:tcPr>
            <w:tcW w:w="440" w:type="dxa"/>
            <w:tcBorders>
              <w:top w:val="nil"/>
              <w:left w:val="nil"/>
              <w:bottom w:val="nil"/>
              <w:right w:val="single" w:sz="6" w:space="0" w:color="000000"/>
            </w:tcBorders>
          </w:tcPr>
          <w:p w:rsidR="00B827D0" w:rsidRDefault="00B827D0" w:rsidP="00255AA3">
            <w:pPr>
              <w:pStyle w:val="E3Tabletext"/>
              <w:rPr>
                <w:rFonts w:eastAsia="Arial" w:hAnsi="Arial" w:cs="Arial"/>
                <w:szCs w:val="13"/>
              </w:rPr>
            </w:pPr>
            <w:r>
              <w:t>150</w:t>
            </w:r>
          </w:p>
        </w:tc>
      </w:tr>
      <w:tr w:rsidR="008D45D4" w:rsidTr="00897B7A">
        <w:trPr>
          <w:cantSplit/>
          <w:jc w:val="center"/>
        </w:trPr>
        <w:tc>
          <w:tcPr>
            <w:tcW w:w="595" w:type="dxa"/>
            <w:vMerge/>
            <w:tcBorders>
              <w:left w:val="single" w:sz="6" w:space="0" w:color="000000"/>
              <w:right w:val="single" w:sz="6" w:space="0" w:color="000000"/>
            </w:tcBorders>
          </w:tcPr>
          <w:p w:rsidR="00B827D0" w:rsidRPr="008D45D4" w:rsidRDefault="00B827D0" w:rsidP="00B827D0">
            <w:pPr>
              <w:pStyle w:val="E3TableSubHeading"/>
            </w:pPr>
          </w:p>
        </w:tc>
        <w:tc>
          <w:tcPr>
            <w:tcW w:w="767" w:type="dxa"/>
            <w:vMerge/>
            <w:tcBorders>
              <w:left w:val="single" w:sz="6" w:space="0" w:color="000000"/>
              <w:right w:val="single" w:sz="6" w:space="0" w:color="000000"/>
            </w:tcBorders>
          </w:tcPr>
          <w:p w:rsidR="00B827D0" w:rsidRDefault="00B827D0" w:rsidP="00255AA3">
            <w:pPr>
              <w:pStyle w:val="E3Tabletext"/>
            </w:pPr>
          </w:p>
        </w:tc>
        <w:tc>
          <w:tcPr>
            <w:tcW w:w="517"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30</w:t>
            </w:r>
          </w:p>
        </w:tc>
        <w:tc>
          <w:tcPr>
            <w:tcW w:w="501" w:type="dxa"/>
            <w:tcBorders>
              <w:top w:val="nil"/>
              <w:left w:val="nil"/>
              <w:bottom w:val="nil"/>
              <w:right w:val="nil"/>
            </w:tcBorders>
          </w:tcPr>
          <w:p w:rsidR="00B827D0" w:rsidRDefault="00B827D0" w:rsidP="00255AA3">
            <w:pPr>
              <w:pStyle w:val="E3Tabletext"/>
            </w:pPr>
          </w:p>
        </w:tc>
        <w:tc>
          <w:tcPr>
            <w:tcW w:w="501" w:type="dxa"/>
            <w:tcBorders>
              <w:top w:val="nil"/>
              <w:left w:val="nil"/>
              <w:bottom w:val="nil"/>
              <w:right w:val="nil"/>
            </w:tcBorders>
          </w:tcPr>
          <w:p w:rsidR="00B827D0" w:rsidRDefault="00B827D0" w:rsidP="00255AA3">
            <w:pPr>
              <w:pStyle w:val="E3Tabletext"/>
            </w:pPr>
          </w:p>
        </w:tc>
        <w:tc>
          <w:tcPr>
            <w:tcW w:w="489" w:type="dxa"/>
            <w:tcBorders>
              <w:top w:val="nil"/>
              <w:left w:val="nil"/>
              <w:bottom w:val="nil"/>
              <w:right w:val="nil"/>
            </w:tcBorders>
          </w:tcPr>
          <w:p w:rsidR="00B827D0" w:rsidRDefault="00B827D0" w:rsidP="00255AA3">
            <w:pPr>
              <w:pStyle w:val="E3Tabletext"/>
              <w:rPr>
                <w:rFonts w:eastAsia="Arial" w:hAnsi="Arial" w:cs="Arial"/>
                <w:szCs w:val="13"/>
              </w:rPr>
            </w:pPr>
            <w:r>
              <w:t>660</w:t>
            </w:r>
          </w:p>
        </w:tc>
        <w:tc>
          <w:tcPr>
            <w:tcW w:w="347" w:type="dxa"/>
            <w:tcBorders>
              <w:top w:val="nil"/>
              <w:left w:val="nil"/>
              <w:bottom w:val="nil"/>
              <w:right w:val="nil"/>
            </w:tcBorders>
          </w:tcPr>
          <w:p w:rsidR="00B827D0" w:rsidRDefault="00B827D0" w:rsidP="00255AA3">
            <w:pPr>
              <w:pStyle w:val="E3Tabletext"/>
              <w:rPr>
                <w:rFonts w:eastAsia="Arial" w:hAnsi="Arial" w:cs="Arial"/>
                <w:szCs w:val="13"/>
              </w:rPr>
            </w:pPr>
            <w:r>
              <w:t>200</w:t>
            </w:r>
          </w:p>
        </w:tc>
        <w:tc>
          <w:tcPr>
            <w:tcW w:w="423" w:type="dxa"/>
            <w:tcBorders>
              <w:top w:val="nil"/>
              <w:left w:val="nil"/>
              <w:bottom w:val="nil"/>
              <w:right w:val="single" w:sz="6" w:space="0" w:color="000000"/>
            </w:tcBorders>
          </w:tcPr>
          <w:p w:rsidR="00B827D0" w:rsidRDefault="00B827D0" w:rsidP="00255AA3">
            <w:pPr>
              <w:pStyle w:val="E3Tabletext"/>
            </w:pPr>
          </w:p>
        </w:tc>
        <w:tc>
          <w:tcPr>
            <w:tcW w:w="493"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30</w:t>
            </w:r>
          </w:p>
        </w:tc>
        <w:tc>
          <w:tcPr>
            <w:tcW w:w="484" w:type="dxa"/>
            <w:tcBorders>
              <w:top w:val="nil"/>
              <w:left w:val="nil"/>
              <w:bottom w:val="nil"/>
              <w:right w:val="nil"/>
            </w:tcBorders>
          </w:tcPr>
          <w:p w:rsidR="00B827D0" w:rsidRDefault="00B827D0" w:rsidP="00255AA3">
            <w:pPr>
              <w:pStyle w:val="E3Tabletext"/>
            </w:pPr>
          </w:p>
        </w:tc>
        <w:tc>
          <w:tcPr>
            <w:tcW w:w="518" w:type="dxa"/>
            <w:tcBorders>
              <w:top w:val="nil"/>
              <w:left w:val="nil"/>
              <w:bottom w:val="nil"/>
              <w:right w:val="nil"/>
            </w:tcBorders>
          </w:tcPr>
          <w:p w:rsidR="00B827D0" w:rsidRDefault="00B827D0" w:rsidP="00255AA3">
            <w:pPr>
              <w:pStyle w:val="E3Tabletext"/>
            </w:pPr>
          </w:p>
        </w:tc>
        <w:tc>
          <w:tcPr>
            <w:tcW w:w="510" w:type="dxa"/>
            <w:tcBorders>
              <w:top w:val="nil"/>
              <w:left w:val="nil"/>
              <w:bottom w:val="nil"/>
              <w:right w:val="nil"/>
            </w:tcBorders>
          </w:tcPr>
          <w:p w:rsidR="00B827D0" w:rsidRDefault="00B827D0" w:rsidP="00255AA3">
            <w:pPr>
              <w:pStyle w:val="E3Tabletext"/>
              <w:rPr>
                <w:rFonts w:eastAsia="Arial" w:hAnsi="Arial" w:cs="Arial"/>
                <w:szCs w:val="13"/>
              </w:rPr>
            </w:pPr>
            <w:r>
              <w:t>660</w:t>
            </w:r>
          </w:p>
        </w:tc>
        <w:tc>
          <w:tcPr>
            <w:tcW w:w="332" w:type="dxa"/>
            <w:tcBorders>
              <w:top w:val="nil"/>
              <w:left w:val="nil"/>
              <w:bottom w:val="nil"/>
              <w:right w:val="nil"/>
            </w:tcBorders>
          </w:tcPr>
          <w:p w:rsidR="00B827D0" w:rsidRDefault="00B827D0" w:rsidP="00255AA3">
            <w:pPr>
              <w:pStyle w:val="E3Tabletext"/>
              <w:rPr>
                <w:rFonts w:eastAsia="Arial" w:hAnsi="Arial" w:cs="Arial"/>
                <w:szCs w:val="13"/>
              </w:rPr>
            </w:pPr>
            <w:r>
              <w:t>200</w:t>
            </w:r>
          </w:p>
        </w:tc>
        <w:tc>
          <w:tcPr>
            <w:tcW w:w="440" w:type="dxa"/>
            <w:tcBorders>
              <w:top w:val="nil"/>
              <w:left w:val="nil"/>
              <w:bottom w:val="nil"/>
              <w:right w:val="single" w:sz="6" w:space="0" w:color="000000"/>
            </w:tcBorders>
          </w:tcPr>
          <w:p w:rsidR="00B827D0" w:rsidRDefault="00B827D0" w:rsidP="00255AA3">
            <w:pPr>
              <w:pStyle w:val="E3Tabletext"/>
            </w:pPr>
          </w:p>
        </w:tc>
        <w:tc>
          <w:tcPr>
            <w:tcW w:w="493"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30</w:t>
            </w:r>
          </w:p>
        </w:tc>
        <w:tc>
          <w:tcPr>
            <w:tcW w:w="484" w:type="dxa"/>
            <w:tcBorders>
              <w:top w:val="nil"/>
              <w:left w:val="nil"/>
              <w:bottom w:val="nil"/>
              <w:right w:val="nil"/>
            </w:tcBorders>
          </w:tcPr>
          <w:p w:rsidR="00B827D0" w:rsidRDefault="00B827D0" w:rsidP="00255AA3">
            <w:pPr>
              <w:pStyle w:val="E3Tabletext"/>
            </w:pPr>
          </w:p>
        </w:tc>
        <w:tc>
          <w:tcPr>
            <w:tcW w:w="518" w:type="dxa"/>
            <w:tcBorders>
              <w:top w:val="nil"/>
              <w:left w:val="nil"/>
              <w:bottom w:val="nil"/>
              <w:right w:val="nil"/>
            </w:tcBorders>
          </w:tcPr>
          <w:p w:rsidR="00B827D0" w:rsidRDefault="00B827D0" w:rsidP="00255AA3">
            <w:pPr>
              <w:pStyle w:val="E3Tabletext"/>
            </w:pPr>
          </w:p>
        </w:tc>
        <w:tc>
          <w:tcPr>
            <w:tcW w:w="510" w:type="dxa"/>
            <w:tcBorders>
              <w:top w:val="nil"/>
              <w:left w:val="nil"/>
              <w:bottom w:val="nil"/>
              <w:right w:val="nil"/>
            </w:tcBorders>
          </w:tcPr>
          <w:p w:rsidR="00B827D0" w:rsidRDefault="00B827D0" w:rsidP="00255AA3">
            <w:pPr>
              <w:pStyle w:val="E3Tabletext"/>
              <w:rPr>
                <w:rFonts w:eastAsia="Arial" w:hAnsi="Arial" w:cs="Arial"/>
                <w:szCs w:val="13"/>
              </w:rPr>
            </w:pPr>
            <w:r>
              <w:t>660</w:t>
            </w:r>
          </w:p>
        </w:tc>
        <w:tc>
          <w:tcPr>
            <w:tcW w:w="333" w:type="dxa"/>
            <w:tcBorders>
              <w:top w:val="nil"/>
              <w:left w:val="nil"/>
              <w:bottom w:val="nil"/>
              <w:right w:val="nil"/>
            </w:tcBorders>
          </w:tcPr>
          <w:p w:rsidR="00B827D0" w:rsidRDefault="00B827D0" w:rsidP="00255AA3">
            <w:pPr>
              <w:pStyle w:val="E3Tabletext"/>
              <w:rPr>
                <w:rFonts w:eastAsia="Arial" w:hAnsi="Arial" w:cs="Arial"/>
                <w:szCs w:val="13"/>
              </w:rPr>
            </w:pPr>
            <w:r>
              <w:t>200</w:t>
            </w:r>
          </w:p>
        </w:tc>
        <w:tc>
          <w:tcPr>
            <w:tcW w:w="440" w:type="dxa"/>
            <w:tcBorders>
              <w:top w:val="nil"/>
              <w:left w:val="nil"/>
              <w:bottom w:val="nil"/>
              <w:right w:val="single" w:sz="6" w:space="0" w:color="000000"/>
            </w:tcBorders>
          </w:tcPr>
          <w:p w:rsidR="00B827D0" w:rsidRDefault="00B827D0" w:rsidP="00255AA3">
            <w:pPr>
              <w:pStyle w:val="E3Tabletext"/>
            </w:pPr>
          </w:p>
        </w:tc>
      </w:tr>
      <w:tr w:rsidR="008D45D4" w:rsidTr="00897B7A">
        <w:trPr>
          <w:cantSplit/>
          <w:jc w:val="center"/>
        </w:trPr>
        <w:tc>
          <w:tcPr>
            <w:tcW w:w="595" w:type="dxa"/>
            <w:vMerge/>
            <w:tcBorders>
              <w:left w:val="single" w:sz="6" w:space="0" w:color="000000"/>
              <w:right w:val="single" w:sz="6" w:space="0" w:color="000000"/>
            </w:tcBorders>
          </w:tcPr>
          <w:p w:rsidR="00B827D0" w:rsidRPr="008D45D4" w:rsidRDefault="00B827D0" w:rsidP="00B827D0">
            <w:pPr>
              <w:pStyle w:val="E3TableSubHeading"/>
            </w:pPr>
          </w:p>
        </w:tc>
        <w:tc>
          <w:tcPr>
            <w:tcW w:w="767" w:type="dxa"/>
            <w:vMerge/>
            <w:tcBorders>
              <w:left w:val="single" w:sz="6" w:space="0" w:color="000000"/>
              <w:right w:val="single" w:sz="6" w:space="0" w:color="000000"/>
            </w:tcBorders>
          </w:tcPr>
          <w:p w:rsidR="00B827D0" w:rsidRDefault="00B827D0" w:rsidP="00255AA3">
            <w:pPr>
              <w:pStyle w:val="E3Tabletext"/>
            </w:pPr>
          </w:p>
        </w:tc>
        <w:tc>
          <w:tcPr>
            <w:tcW w:w="517"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35</w:t>
            </w:r>
          </w:p>
        </w:tc>
        <w:tc>
          <w:tcPr>
            <w:tcW w:w="501" w:type="dxa"/>
            <w:tcBorders>
              <w:top w:val="nil"/>
              <w:left w:val="nil"/>
              <w:bottom w:val="nil"/>
              <w:right w:val="nil"/>
            </w:tcBorders>
          </w:tcPr>
          <w:p w:rsidR="00B827D0" w:rsidRDefault="00B827D0" w:rsidP="00255AA3">
            <w:pPr>
              <w:pStyle w:val="E3Tabletext"/>
              <w:rPr>
                <w:rFonts w:eastAsia="Arial" w:hAnsi="Arial" w:cs="Arial"/>
                <w:szCs w:val="13"/>
              </w:rPr>
            </w:pPr>
            <w:r>
              <w:t>650</w:t>
            </w:r>
          </w:p>
        </w:tc>
        <w:tc>
          <w:tcPr>
            <w:tcW w:w="501" w:type="dxa"/>
            <w:tcBorders>
              <w:top w:val="nil"/>
              <w:left w:val="nil"/>
              <w:bottom w:val="nil"/>
              <w:right w:val="nil"/>
            </w:tcBorders>
          </w:tcPr>
          <w:p w:rsidR="00B827D0" w:rsidRDefault="00B827D0" w:rsidP="00255AA3">
            <w:pPr>
              <w:pStyle w:val="E3Tabletext"/>
              <w:rPr>
                <w:rFonts w:eastAsia="Arial" w:hAnsi="Arial" w:cs="Arial"/>
                <w:szCs w:val="13"/>
              </w:rPr>
            </w:pPr>
            <w:r>
              <w:t>490</w:t>
            </w:r>
          </w:p>
        </w:tc>
        <w:tc>
          <w:tcPr>
            <w:tcW w:w="489" w:type="dxa"/>
            <w:tcBorders>
              <w:top w:val="nil"/>
              <w:left w:val="nil"/>
              <w:bottom w:val="nil"/>
              <w:right w:val="nil"/>
            </w:tcBorders>
          </w:tcPr>
          <w:p w:rsidR="00B827D0" w:rsidRDefault="00B827D0" w:rsidP="00255AA3">
            <w:pPr>
              <w:pStyle w:val="E3Tabletext"/>
              <w:rPr>
                <w:rFonts w:eastAsia="Arial" w:hAnsi="Arial" w:cs="Arial"/>
                <w:szCs w:val="13"/>
              </w:rPr>
            </w:pPr>
            <w:r>
              <w:t>930</w:t>
            </w:r>
          </w:p>
        </w:tc>
        <w:tc>
          <w:tcPr>
            <w:tcW w:w="347" w:type="dxa"/>
            <w:tcBorders>
              <w:top w:val="nil"/>
              <w:left w:val="nil"/>
              <w:bottom w:val="nil"/>
              <w:right w:val="nil"/>
            </w:tcBorders>
          </w:tcPr>
          <w:p w:rsidR="00B827D0" w:rsidRDefault="00B827D0" w:rsidP="00255AA3">
            <w:pPr>
              <w:pStyle w:val="E3Tabletext"/>
            </w:pPr>
          </w:p>
        </w:tc>
        <w:tc>
          <w:tcPr>
            <w:tcW w:w="423" w:type="dxa"/>
            <w:tcBorders>
              <w:top w:val="nil"/>
              <w:left w:val="nil"/>
              <w:bottom w:val="nil"/>
              <w:right w:val="single" w:sz="6" w:space="0" w:color="000000"/>
            </w:tcBorders>
          </w:tcPr>
          <w:p w:rsidR="00B827D0" w:rsidRDefault="00B827D0" w:rsidP="00255AA3">
            <w:pPr>
              <w:pStyle w:val="E3Tabletext"/>
              <w:rPr>
                <w:rFonts w:eastAsia="Arial" w:hAnsi="Arial" w:cs="Arial"/>
                <w:szCs w:val="13"/>
              </w:rPr>
            </w:pPr>
            <w:r>
              <w:t>250</w:t>
            </w:r>
          </w:p>
        </w:tc>
        <w:tc>
          <w:tcPr>
            <w:tcW w:w="493"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35</w:t>
            </w:r>
          </w:p>
        </w:tc>
        <w:tc>
          <w:tcPr>
            <w:tcW w:w="484" w:type="dxa"/>
            <w:tcBorders>
              <w:top w:val="nil"/>
              <w:left w:val="nil"/>
              <w:bottom w:val="nil"/>
              <w:right w:val="nil"/>
            </w:tcBorders>
          </w:tcPr>
          <w:p w:rsidR="00B827D0" w:rsidRDefault="00B827D0" w:rsidP="00255AA3">
            <w:pPr>
              <w:pStyle w:val="E3Tabletext"/>
              <w:rPr>
                <w:rFonts w:eastAsia="Arial" w:hAnsi="Arial" w:cs="Arial"/>
                <w:szCs w:val="13"/>
              </w:rPr>
            </w:pPr>
            <w:r>
              <w:t>650</w:t>
            </w:r>
          </w:p>
        </w:tc>
        <w:tc>
          <w:tcPr>
            <w:tcW w:w="518" w:type="dxa"/>
            <w:tcBorders>
              <w:top w:val="nil"/>
              <w:left w:val="nil"/>
              <w:bottom w:val="nil"/>
              <w:right w:val="nil"/>
            </w:tcBorders>
          </w:tcPr>
          <w:p w:rsidR="00B827D0" w:rsidRDefault="00B827D0" w:rsidP="00255AA3">
            <w:pPr>
              <w:pStyle w:val="E3Tabletext"/>
              <w:rPr>
                <w:rFonts w:eastAsia="Arial" w:hAnsi="Arial" w:cs="Arial"/>
                <w:szCs w:val="13"/>
              </w:rPr>
            </w:pPr>
            <w:r>
              <w:t>490</w:t>
            </w:r>
          </w:p>
        </w:tc>
        <w:tc>
          <w:tcPr>
            <w:tcW w:w="510" w:type="dxa"/>
            <w:tcBorders>
              <w:top w:val="nil"/>
              <w:left w:val="nil"/>
              <w:bottom w:val="nil"/>
              <w:right w:val="nil"/>
            </w:tcBorders>
          </w:tcPr>
          <w:p w:rsidR="00B827D0" w:rsidRDefault="00B827D0" w:rsidP="00255AA3">
            <w:pPr>
              <w:pStyle w:val="E3Tabletext"/>
              <w:rPr>
                <w:rFonts w:eastAsia="Arial" w:hAnsi="Arial" w:cs="Arial"/>
                <w:szCs w:val="13"/>
              </w:rPr>
            </w:pPr>
            <w:r>
              <w:t>930</w:t>
            </w:r>
          </w:p>
        </w:tc>
        <w:tc>
          <w:tcPr>
            <w:tcW w:w="332" w:type="dxa"/>
            <w:tcBorders>
              <w:top w:val="nil"/>
              <w:left w:val="nil"/>
              <w:bottom w:val="nil"/>
              <w:right w:val="nil"/>
            </w:tcBorders>
          </w:tcPr>
          <w:p w:rsidR="00B827D0" w:rsidRDefault="00B827D0" w:rsidP="00255AA3">
            <w:pPr>
              <w:pStyle w:val="E3Tabletext"/>
            </w:pPr>
          </w:p>
        </w:tc>
        <w:tc>
          <w:tcPr>
            <w:tcW w:w="440" w:type="dxa"/>
            <w:tcBorders>
              <w:top w:val="nil"/>
              <w:left w:val="nil"/>
              <w:bottom w:val="nil"/>
              <w:right w:val="single" w:sz="6" w:space="0" w:color="000000"/>
            </w:tcBorders>
          </w:tcPr>
          <w:p w:rsidR="00B827D0" w:rsidRDefault="00B827D0" w:rsidP="00255AA3">
            <w:pPr>
              <w:pStyle w:val="E3Tabletext"/>
              <w:rPr>
                <w:rFonts w:eastAsia="Arial" w:hAnsi="Arial" w:cs="Arial"/>
                <w:szCs w:val="13"/>
              </w:rPr>
            </w:pPr>
            <w:r>
              <w:t>250</w:t>
            </w:r>
          </w:p>
        </w:tc>
        <w:tc>
          <w:tcPr>
            <w:tcW w:w="493"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35</w:t>
            </w:r>
          </w:p>
        </w:tc>
        <w:tc>
          <w:tcPr>
            <w:tcW w:w="484" w:type="dxa"/>
            <w:tcBorders>
              <w:top w:val="nil"/>
              <w:left w:val="nil"/>
              <w:bottom w:val="nil"/>
              <w:right w:val="nil"/>
            </w:tcBorders>
          </w:tcPr>
          <w:p w:rsidR="00B827D0" w:rsidRDefault="00B827D0" w:rsidP="00255AA3">
            <w:pPr>
              <w:pStyle w:val="E3Tabletext"/>
              <w:rPr>
                <w:rFonts w:eastAsia="Arial" w:hAnsi="Arial" w:cs="Arial"/>
                <w:szCs w:val="13"/>
              </w:rPr>
            </w:pPr>
            <w:r>
              <w:t>650</w:t>
            </w:r>
          </w:p>
        </w:tc>
        <w:tc>
          <w:tcPr>
            <w:tcW w:w="518" w:type="dxa"/>
            <w:tcBorders>
              <w:top w:val="nil"/>
              <w:left w:val="nil"/>
              <w:bottom w:val="nil"/>
              <w:right w:val="nil"/>
            </w:tcBorders>
          </w:tcPr>
          <w:p w:rsidR="00B827D0" w:rsidRDefault="00B827D0" w:rsidP="00255AA3">
            <w:pPr>
              <w:pStyle w:val="E3Tabletext"/>
              <w:rPr>
                <w:rFonts w:eastAsia="Arial" w:hAnsi="Arial" w:cs="Arial"/>
                <w:szCs w:val="13"/>
              </w:rPr>
            </w:pPr>
            <w:r>
              <w:t>490</w:t>
            </w:r>
          </w:p>
        </w:tc>
        <w:tc>
          <w:tcPr>
            <w:tcW w:w="510" w:type="dxa"/>
            <w:tcBorders>
              <w:top w:val="nil"/>
              <w:left w:val="nil"/>
              <w:bottom w:val="nil"/>
              <w:right w:val="nil"/>
            </w:tcBorders>
          </w:tcPr>
          <w:p w:rsidR="00B827D0" w:rsidRDefault="00B827D0" w:rsidP="00255AA3">
            <w:pPr>
              <w:pStyle w:val="E3Tabletext"/>
              <w:rPr>
                <w:rFonts w:eastAsia="Arial" w:hAnsi="Arial" w:cs="Arial"/>
                <w:szCs w:val="13"/>
              </w:rPr>
            </w:pPr>
            <w:r>
              <w:t>930</w:t>
            </w:r>
          </w:p>
        </w:tc>
        <w:tc>
          <w:tcPr>
            <w:tcW w:w="333" w:type="dxa"/>
            <w:tcBorders>
              <w:top w:val="nil"/>
              <w:left w:val="nil"/>
              <w:bottom w:val="nil"/>
              <w:right w:val="nil"/>
            </w:tcBorders>
          </w:tcPr>
          <w:p w:rsidR="00B827D0" w:rsidRDefault="00B827D0" w:rsidP="00255AA3">
            <w:pPr>
              <w:pStyle w:val="E3Tabletext"/>
            </w:pPr>
          </w:p>
        </w:tc>
        <w:tc>
          <w:tcPr>
            <w:tcW w:w="440" w:type="dxa"/>
            <w:tcBorders>
              <w:top w:val="nil"/>
              <w:left w:val="nil"/>
              <w:bottom w:val="nil"/>
              <w:right w:val="single" w:sz="6" w:space="0" w:color="000000"/>
            </w:tcBorders>
          </w:tcPr>
          <w:p w:rsidR="00B827D0" w:rsidRDefault="00B827D0" w:rsidP="00255AA3">
            <w:pPr>
              <w:pStyle w:val="E3Tabletext"/>
              <w:rPr>
                <w:rFonts w:eastAsia="Arial" w:hAnsi="Arial" w:cs="Arial"/>
                <w:szCs w:val="13"/>
              </w:rPr>
            </w:pPr>
            <w:r>
              <w:t>250</w:t>
            </w:r>
          </w:p>
        </w:tc>
      </w:tr>
      <w:tr w:rsidR="008D45D4" w:rsidTr="00897B7A">
        <w:trPr>
          <w:cantSplit/>
          <w:jc w:val="center"/>
        </w:trPr>
        <w:tc>
          <w:tcPr>
            <w:tcW w:w="595" w:type="dxa"/>
            <w:vMerge/>
            <w:tcBorders>
              <w:left w:val="single" w:sz="6" w:space="0" w:color="000000"/>
              <w:right w:val="single" w:sz="6" w:space="0" w:color="000000"/>
            </w:tcBorders>
          </w:tcPr>
          <w:p w:rsidR="00B827D0" w:rsidRPr="008D45D4" w:rsidRDefault="00B827D0" w:rsidP="00B827D0">
            <w:pPr>
              <w:pStyle w:val="E3TableSubHeading"/>
            </w:pPr>
          </w:p>
        </w:tc>
        <w:tc>
          <w:tcPr>
            <w:tcW w:w="767" w:type="dxa"/>
            <w:vMerge/>
            <w:tcBorders>
              <w:left w:val="single" w:sz="6" w:space="0" w:color="000000"/>
              <w:right w:val="single" w:sz="6" w:space="0" w:color="000000"/>
            </w:tcBorders>
          </w:tcPr>
          <w:p w:rsidR="00B827D0" w:rsidRDefault="00B827D0" w:rsidP="00255AA3">
            <w:pPr>
              <w:pStyle w:val="E3Tabletext"/>
            </w:pPr>
          </w:p>
        </w:tc>
        <w:tc>
          <w:tcPr>
            <w:tcW w:w="517"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50</w:t>
            </w:r>
          </w:p>
        </w:tc>
        <w:tc>
          <w:tcPr>
            <w:tcW w:w="501" w:type="dxa"/>
            <w:tcBorders>
              <w:top w:val="nil"/>
              <w:left w:val="nil"/>
              <w:bottom w:val="nil"/>
              <w:right w:val="nil"/>
            </w:tcBorders>
          </w:tcPr>
          <w:p w:rsidR="00B827D0" w:rsidRDefault="00B827D0" w:rsidP="00255AA3">
            <w:pPr>
              <w:pStyle w:val="E3Tabletext"/>
            </w:pPr>
          </w:p>
        </w:tc>
        <w:tc>
          <w:tcPr>
            <w:tcW w:w="501" w:type="dxa"/>
            <w:tcBorders>
              <w:top w:val="nil"/>
              <w:left w:val="nil"/>
              <w:bottom w:val="nil"/>
              <w:right w:val="nil"/>
            </w:tcBorders>
          </w:tcPr>
          <w:p w:rsidR="00B827D0" w:rsidRDefault="00B827D0" w:rsidP="00255AA3">
            <w:pPr>
              <w:pStyle w:val="E3Tabletext"/>
              <w:rPr>
                <w:rFonts w:eastAsia="Arial" w:hAnsi="Arial" w:cs="Arial"/>
                <w:szCs w:val="13"/>
              </w:rPr>
            </w:pPr>
            <w:r>
              <w:t>780</w:t>
            </w:r>
          </w:p>
        </w:tc>
        <w:tc>
          <w:tcPr>
            <w:tcW w:w="489" w:type="dxa"/>
            <w:tcBorders>
              <w:top w:val="nil"/>
              <w:left w:val="nil"/>
              <w:bottom w:val="nil"/>
              <w:right w:val="nil"/>
            </w:tcBorders>
          </w:tcPr>
          <w:p w:rsidR="00B827D0" w:rsidRDefault="00B827D0" w:rsidP="00255AA3">
            <w:pPr>
              <w:pStyle w:val="E3Tabletext"/>
              <w:rPr>
                <w:rFonts w:eastAsia="Arial" w:hAnsi="Arial" w:cs="Arial"/>
                <w:szCs w:val="13"/>
              </w:rPr>
            </w:pPr>
            <w:r>
              <w:t>1030</w:t>
            </w:r>
          </w:p>
        </w:tc>
        <w:tc>
          <w:tcPr>
            <w:tcW w:w="347" w:type="dxa"/>
            <w:tcBorders>
              <w:top w:val="nil"/>
              <w:left w:val="nil"/>
              <w:bottom w:val="nil"/>
              <w:right w:val="nil"/>
            </w:tcBorders>
          </w:tcPr>
          <w:p w:rsidR="00B827D0" w:rsidRDefault="00B827D0" w:rsidP="00255AA3">
            <w:pPr>
              <w:pStyle w:val="E3Tabletext"/>
              <w:rPr>
                <w:rFonts w:eastAsia="Arial" w:hAnsi="Arial" w:cs="Arial"/>
                <w:szCs w:val="13"/>
              </w:rPr>
            </w:pPr>
            <w:r>
              <w:t>400</w:t>
            </w:r>
          </w:p>
        </w:tc>
        <w:tc>
          <w:tcPr>
            <w:tcW w:w="423" w:type="dxa"/>
            <w:tcBorders>
              <w:top w:val="nil"/>
              <w:left w:val="nil"/>
              <w:bottom w:val="nil"/>
              <w:right w:val="single" w:sz="6" w:space="0" w:color="000000"/>
            </w:tcBorders>
          </w:tcPr>
          <w:p w:rsidR="00B827D0" w:rsidRDefault="00B827D0" w:rsidP="00255AA3">
            <w:pPr>
              <w:pStyle w:val="E3Tabletext"/>
              <w:rPr>
                <w:rFonts w:eastAsia="Arial" w:hAnsi="Arial" w:cs="Arial"/>
                <w:szCs w:val="13"/>
              </w:rPr>
            </w:pPr>
            <w:r>
              <w:t>540</w:t>
            </w:r>
          </w:p>
        </w:tc>
        <w:tc>
          <w:tcPr>
            <w:tcW w:w="493"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50</w:t>
            </w:r>
          </w:p>
        </w:tc>
        <w:tc>
          <w:tcPr>
            <w:tcW w:w="484" w:type="dxa"/>
            <w:tcBorders>
              <w:top w:val="nil"/>
              <w:left w:val="nil"/>
              <w:bottom w:val="nil"/>
              <w:right w:val="nil"/>
            </w:tcBorders>
          </w:tcPr>
          <w:p w:rsidR="00B827D0" w:rsidRDefault="00B827D0" w:rsidP="00255AA3">
            <w:pPr>
              <w:pStyle w:val="E3Tabletext"/>
            </w:pPr>
          </w:p>
        </w:tc>
        <w:tc>
          <w:tcPr>
            <w:tcW w:w="518" w:type="dxa"/>
            <w:tcBorders>
              <w:top w:val="nil"/>
              <w:left w:val="nil"/>
              <w:bottom w:val="nil"/>
              <w:right w:val="nil"/>
            </w:tcBorders>
          </w:tcPr>
          <w:p w:rsidR="00B827D0" w:rsidRDefault="00B827D0" w:rsidP="00255AA3">
            <w:pPr>
              <w:pStyle w:val="E3Tabletext"/>
              <w:rPr>
                <w:rFonts w:eastAsia="Arial" w:hAnsi="Arial" w:cs="Arial"/>
                <w:szCs w:val="13"/>
              </w:rPr>
            </w:pPr>
            <w:r>
              <w:t>780</w:t>
            </w:r>
          </w:p>
        </w:tc>
        <w:tc>
          <w:tcPr>
            <w:tcW w:w="510" w:type="dxa"/>
            <w:tcBorders>
              <w:top w:val="nil"/>
              <w:left w:val="nil"/>
              <w:bottom w:val="nil"/>
              <w:right w:val="nil"/>
            </w:tcBorders>
          </w:tcPr>
          <w:p w:rsidR="00B827D0" w:rsidRDefault="00B827D0" w:rsidP="00255AA3">
            <w:pPr>
              <w:pStyle w:val="E3Tabletext"/>
              <w:rPr>
                <w:rFonts w:eastAsia="Arial" w:hAnsi="Arial" w:cs="Arial"/>
                <w:szCs w:val="13"/>
              </w:rPr>
            </w:pPr>
            <w:r>
              <w:t>1030</w:t>
            </w:r>
          </w:p>
        </w:tc>
        <w:tc>
          <w:tcPr>
            <w:tcW w:w="332" w:type="dxa"/>
            <w:tcBorders>
              <w:top w:val="nil"/>
              <w:left w:val="nil"/>
              <w:bottom w:val="nil"/>
              <w:right w:val="nil"/>
            </w:tcBorders>
          </w:tcPr>
          <w:p w:rsidR="00B827D0" w:rsidRDefault="00B827D0" w:rsidP="00255AA3">
            <w:pPr>
              <w:pStyle w:val="E3Tabletext"/>
              <w:rPr>
                <w:rFonts w:eastAsia="Arial" w:hAnsi="Arial" w:cs="Arial"/>
                <w:szCs w:val="13"/>
              </w:rPr>
            </w:pPr>
            <w:r>
              <w:t>400</w:t>
            </w:r>
          </w:p>
        </w:tc>
        <w:tc>
          <w:tcPr>
            <w:tcW w:w="440" w:type="dxa"/>
            <w:tcBorders>
              <w:top w:val="nil"/>
              <w:left w:val="nil"/>
              <w:bottom w:val="nil"/>
              <w:right w:val="single" w:sz="6" w:space="0" w:color="000000"/>
            </w:tcBorders>
          </w:tcPr>
          <w:p w:rsidR="00B827D0" w:rsidRDefault="00B827D0" w:rsidP="00255AA3">
            <w:pPr>
              <w:pStyle w:val="E3Tabletext"/>
              <w:rPr>
                <w:rFonts w:eastAsia="Arial" w:hAnsi="Arial" w:cs="Arial"/>
                <w:szCs w:val="13"/>
              </w:rPr>
            </w:pPr>
            <w:r>
              <w:t>540</w:t>
            </w:r>
          </w:p>
        </w:tc>
        <w:tc>
          <w:tcPr>
            <w:tcW w:w="493"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50</w:t>
            </w:r>
          </w:p>
        </w:tc>
        <w:tc>
          <w:tcPr>
            <w:tcW w:w="484" w:type="dxa"/>
            <w:tcBorders>
              <w:top w:val="nil"/>
              <w:left w:val="nil"/>
              <w:bottom w:val="nil"/>
              <w:right w:val="nil"/>
            </w:tcBorders>
          </w:tcPr>
          <w:p w:rsidR="00B827D0" w:rsidRDefault="00B827D0" w:rsidP="00255AA3">
            <w:pPr>
              <w:pStyle w:val="E3Tabletext"/>
            </w:pPr>
          </w:p>
        </w:tc>
        <w:tc>
          <w:tcPr>
            <w:tcW w:w="518" w:type="dxa"/>
            <w:tcBorders>
              <w:top w:val="nil"/>
              <w:left w:val="nil"/>
              <w:bottom w:val="nil"/>
              <w:right w:val="nil"/>
            </w:tcBorders>
          </w:tcPr>
          <w:p w:rsidR="00B827D0" w:rsidRDefault="00B827D0" w:rsidP="00255AA3">
            <w:pPr>
              <w:pStyle w:val="E3Tabletext"/>
              <w:rPr>
                <w:rFonts w:eastAsia="Arial" w:hAnsi="Arial" w:cs="Arial"/>
                <w:szCs w:val="13"/>
              </w:rPr>
            </w:pPr>
            <w:r>
              <w:t>780</w:t>
            </w:r>
          </w:p>
        </w:tc>
        <w:tc>
          <w:tcPr>
            <w:tcW w:w="510" w:type="dxa"/>
            <w:tcBorders>
              <w:top w:val="nil"/>
              <w:left w:val="nil"/>
              <w:bottom w:val="nil"/>
              <w:right w:val="nil"/>
            </w:tcBorders>
          </w:tcPr>
          <w:p w:rsidR="00B827D0" w:rsidRDefault="00B827D0" w:rsidP="00255AA3">
            <w:pPr>
              <w:pStyle w:val="E3Tabletext"/>
              <w:rPr>
                <w:rFonts w:eastAsia="Arial" w:hAnsi="Arial" w:cs="Arial"/>
                <w:szCs w:val="13"/>
              </w:rPr>
            </w:pPr>
            <w:r>
              <w:t>1030</w:t>
            </w:r>
          </w:p>
        </w:tc>
        <w:tc>
          <w:tcPr>
            <w:tcW w:w="333" w:type="dxa"/>
            <w:tcBorders>
              <w:top w:val="nil"/>
              <w:left w:val="nil"/>
              <w:bottom w:val="nil"/>
              <w:right w:val="nil"/>
            </w:tcBorders>
          </w:tcPr>
          <w:p w:rsidR="00B827D0" w:rsidRDefault="00B827D0" w:rsidP="00255AA3">
            <w:pPr>
              <w:pStyle w:val="E3Tabletext"/>
              <w:rPr>
                <w:rFonts w:eastAsia="Arial" w:hAnsi="Arial" w:cs="Arial"/>
                <w:szCs w:val="13"/>
              </w:rPr>
            </w:pPr>
            <w:r>
              <w:t>400</w:t>
            </w:r>
          </w:p>
        </w:tc>
        <w:tc>
          <w:tcPr>
            <w:tcW w:w="440" w:type="dxa"/>
            <w:tcBorders>
              <w:top w:val="nil"/>
              <w:left w:val="nil"/>
              <w:bottom w:val="nil"/>
              <w:right w:val="single" w:sz="6" w:space="0" w:color="000000"/>
            </w:tcBorders>
          </w:tcPr>
          <w:p w:rsidR="00B827D0" w:rsidRDefault="00B827D0" w:rsidP="00255AA3">
            <w:pPr>
              <w:pStyle w:val="E3Tabletext"/>
              <w:rPr>
                <w:rFonts w:eastAsia="Arial" w:hAnsi="Arial" w:cs="Arial"/>
                <w:szCs w:val="13"/>
              </w:rPr>
            </w:pPr>
            <w:r>
              <w:t>540</w:t>
            </w:r>
          </w:p>
        </w:tc>
      </w:tr>
      <w:tr w:rsidR="008D45D4" w:rsidTr="00897B7A">
        <w:trPr>
          <w:cantSplit/>
          <w:jc w:val="center"/>
        </w:trPr>
        <w:tc>
          <w:tcPr>
            <w:tcW w:w="595" w:type="dxa"/>
            <w:vMerge/>
            <w:tcBorders>
              <w:left w:val="single" w:sz="6" w:space="0" w:color="000000"/>
              <w:right w:val="single" w:sz="6" w:space="0" w:color="000000"/>
            </w:tcBorders>
          </w:tcPr>
          <w:p w:rsidR="00B827D0" w:rsidRPr="008D45D4" w:rsidRDefault="00B827D0" w:rsidP="00B827D0">
            <w:pPr>
              <w:pStyle w:val="E3TableSubHeading"/>
            </w:pPr>
          </w:p>
        </w:tc>
        <w:tc>
          <w:tcPr>
            <w:tcW w:w="767" w:type="dxa"/>
            <w:vMerge/>
            <w:tcBorders>
              <w:left w:val="single" w:sz="6" w:space="0" w:color="000000"/>
              <w:right w:val="single" w:sz="6" w:space="0" w:color="000000"/>
            </w:tcBorders>
          </w:tcPr>
          <w:p w:rsidR="00B827D0" w:rsidRDefault="00B827D0" w:rsidP="00255AA3">
            <w:pPr>
              <w:pStyle w:val="E3Tabletext"/>
            </w:pPr>
          </w:p>
        </w:tc>
        <w:tc>
          <w:tcPr>
            <w:tcW w:w="517"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60</w:t>
            </w:r>
          </w:p>
        </w:tc>
        <w:tc>
          <w:tcPr>
            <w:tcW w:w="501" w:type="dxa"/>
            <w:tcBorders>
              <w:top w:val="nil"/>
              <w:left w:val="nil"/>
              <w:bottom w:val="nil"/>
              <w:right w:val="nil"/>
            </w:tcBorders>
          </w:tcPr>
          <w:p w:rsidR="00B827D0" w:rsidRDefault="00B827D0" w:rsidP="00255AA3">
            <w:pPr>
              <w:pStyle w:val="E3Tabletext"/>
            </w:pPr>
          </w:p>
        </w:tc>
        <w:tc>
          <w:tcPr>
            <w:tcW w:w="501" w:type="dxa"/>
            <w:tcBorders>
              <w:top w:val="nil"/>
              <w:left w:val="nil"/>
              <w:bottom w:val="nil"/>
              <w:right w:val="nil"/>
            </w:tcBorders>
          </w:tcPr>
          <w:p w:rsidR="00B827D0" w:rsidRDefault="00B827D0" w:rsidP="00255AA3">
            <w:pPr>
              <w:pStyle w:val="E3Tabletext"/>
            </w:pPr>
          </w:p>
        </w:tc>
        <w:tc>
          <w:tcPr>
            <w:tcW w:w="489" w:type="dxa"/>
            <w:tcBorders>
              <w:top w:val="nil"/>
              <w:left w:val="nil"/>
              <w:bottom w:val="nil"/>
              <w:right w:val="nil"/>
            </w:tcBorders>
          </w:tcPr>
          <w:p w:rsidR="00B827D0" w:rsidRDefault="00B827D0" w:rsidP="00255AA3">
            <w:pPr>
              <w:pStyle w:val="E3Tabletext"/>
            </w:pPr>
          </w:p>
        </w:tc>
        <w:tc>
          <w:tcPr>
            <w:tcW w:w="347" w:type="dxa"/>
            <w:tcBorders>
              <w:top w:val="nil"/>
              <w:left w:val="nil"/>
              <w:bottom w:val="nil"/>
              <w:right w:val="nil"/>
            </w:tcBorders>
          </w:tcPr>
          <w:p w:rsidR="00B827D0" w:rsidRDefault="00B827D0" w:rsidP="00255AA3">
            <w:pPr>
              <w:pStyle w:val="E3Tabletext"/>
              <w:rPr>
                <w:rFonts w:eastAsia="Arial" w:hAnsi="Arial" w:cs="Arial"/>
                <w:szCs w:val="13"/>
              </w:rPr>
            </w:pPr>
            <w:r>
              <w:t>700</w:t>
            </w:r>
          </w:p>
        </w:tc>
        <w:tc>
          <w:tcPr>
            <w:tcW w:w="423" w:type="dxa"/>
            <w:tcBorders>
              <w:top w:val="nil"/>
              <w:left w:val="nil"/>
              <w:bottom w:val="nil"/>
              <w:right w:val="single" w:sz="6" w:space="0" w:color="000000"/>
            </w:tcBorders>
          </w:tcPr>
          <w:p w:rsidR="00B827D0" w:rsidRDefault="00B827D0" w:rsidP="00255AA3">
            <w:pPr>
              <w:pStyle w:val="E3Tabletext"/>
              <w:rPr>
                <w:rFonts w:eastAsia="Arial" w:hAnsi="Arial" w:cs="Arial"/>
                <w:szCs w:val="13"/>
              </w:rPr>
            </w:pPr>
            <w:r>
              <w:t>800</w:t>
            </w:r>
          </w:p>
        </w:tc>
        <w:tc>
          <w:tcPr>
            <w:tcW w:w="493"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60</w:t>
            </w:r>
          </w:p>
        </w:tc>
        <w:tc>
          <w:tcPr>
            <w:tcW w:w="484" w:type="dxa"/>
            <w:tcBorders>
              <w:top w:val="nil"/>
              <w:left w:val="nil"/>
              <w:bottom w:val="nil"/>
              <w:right w:val="nil"/>
            </w:tcBorders>
          </w:tcPr>
          <w:p w:rsidR="00B827D0" w:rsidRDefault="00B827D0" w:rsidP="00255AA3">
            <w:pPr>
              <w:pStyle w:val="E3Tabletext"/>
            </w:pPr>
          </w:p>
        </w:tc>
        <w:tc>
          <w:tcPr>
            <w:tcW w:w="518" w:type="dxa"/>
            <w:tcBorders>
              <w:top w:val="nil"/>
              <w:left w:val="nil"/>
              <w:bottom w:val="nil"/>
              <w:right w:val="nil"/>
            </w:tcBorders>
          </w:tcPr>
          <w:p w:rsidR="00B827D0" w:rsidRDefault="00B827D0" w:rsidP="00255AA3">
            <w:pPr>
              <w:pStyle w:val="E3Tabletext"/>
            </w:pPr>
          </w:p>
        </w:tc>
        <w:tc>
          <w:tcPr>
            <w:tcW w:w="510" w:type="dxa"/>
            <w:tcBorders>
              <w:top w:val="nil"/>
              <w:left w:val="nil"/>
              <w:bottom w:val="nil"/>
              <w:right w:val="nil"/>
            </w:tcBorders>
          </w:tcPr>
          <w:p w:rsidR="00B827D0" w:rsidRDefault="00B827D0" w:rsidP="00255AA3">
            <w:pPr>
              <w:pStyle w:val="E3Tabletext"/>
            </w:pPr>
          </w:p>
        </w:tc>
        <w:tc>
          <w:tcPr>
            <w:tcW w:w="332" w:type="dxa"/>
            <w:tcBorders>
              <w:top w:val="nil"/>
              <w:left w:val="nil"/>
              <w:bottom w:val="nil"/>
              <w:right w:val="nil"/>
            </w:tcBorders>
          </w:tcPr>
          <w:p w:rsidR="00B827D0" w:rsidRDefault="00B827D0" w:rsidP="00255AA3">
            <w:pPr>
              <w:pStyle w:val="E3Tabletext"/>
              <w:rPr>
                <w:rFonts w:eastAsia="Arial" w:hAnsi="Arial" w:cs="Arial"/>
                <w:szCs w:val="13"/>
              </w:rPr>
            </w:pPr>
            <w:r>
              <w:t>700</w:t>
            </w:r>
          </w:p>
        </w:tc>
        <w:tc>
          <w:tcPr>
            <w:tcW w:w="440" w:type="dxa"/>
            <w:tcBorders>
              <w:top w:val="nil"/>
              <w:left w:val="nil"/>
              <w:bottom w:val="nil"/>
              <w:right w:val="single" w:sz="6" w:space="0" w:color="000000"/>
            </w:tcBorders>
          </w:tcPr>
          <w:p w:rsidR="00B827D0" w:rsidRDefault="00B827D0" w:rsidP="00255AA3">
            <w:pPr>
              <w:pStyle w:val="E3Tabletext"/>
              <w:rPr>
                <w:rFonts w:eastAsia="Arial" w:hAnsi="Arial" w:cs="Arial"/>
                <w:szCs w:val="13"/>
              </w:rPr>
            </w:pPr>
            <w:r>
              <w:t>800</w:t>
            </w:r>
          </w:p>
        </w:tc>
        <w:tc>
          <w:tcPr>
            <w:tcW w:w="493"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60</w:t>
            </w:r>
          </w:p>
        </w:tc>
        <w:tc>
          <w:tcPr>
            <w:tcW w:w="484" w:type="dxa"/>
            <w:tcBorders>
              <w:top w:val="nil"/>
              <w:left w:val="nil"/>
              <w:bottom w:val="nil"/>
              <w:right w:val="nil"/>
            </w:tcBorders>
          </w:tcPr>
          <w:p w:rsidR="00B827D0" w:rsidRDefault="00B827D0" w:rsidP="00255AA3">
            <w:pPr>
              <w:pStyle w:val="E3Tabletext"/>
            </w:pPr>
          </w:p>
        </w:tc>
        <w:tc>
          <w:tcPr>
            <w:tcW w:w="518" w:type="dxa"/>
            <w:tcBorders>
              <w:top w:val="nil"/>
              <w:left w:val="nil"/>
              <w:bottom w:val="nil"/>
              <w:right w:val="nil"/>
            </w:tcBorders>
          </w:tcPr>
          <w:p w:rsidR="00B827D0" w:rsidRDefault="00B827D0" w:rsidP="00255AA3">
            <w:pPr>
              <w:pStyle w:val="E3Tabletext"/>
            </w:pPr>
          </w:p>
        </w:tc>
        <w:tc>
          <w:tcPr>
            <w:tcW w:w="510" w:type="dxa"/>
            <w:tcBorders>
              <w:top w:val="nil"/>
              <w:left w:val="nil"/>
              <w:bottom w:val="nil"/>
              <w:right w:val="nil"/>
            </w:tcBorders>
          </w:tcPr>
          <w:p w:rsidR="00B827D0" w:rsidRDefault="00B827D0" w:rsidP="00255AA3">
            <w:pPr>
              <w:pStyle w:val="E3Tabletext"/>
            </w:pPr>
          </w:p>
        </w:tc>
        <w:tc>
          <w:tcPr>
            <w:tcW w:w="333" w:type="dxa"/>
            <w:tcBorders>
              <w:top w:val="nil"/>
              <w:left w:val="nil"/>
              <w:bottom w:val="nil"/>
              <w:right w:val="nil"/>
            </w:tcBorders>
          </w:tcPr>
          <w:p w:rsidR="00B827D0" w:rsidRDefault="00B827D0" w:rsidP="00255AA3">
            <w:pPr>
              <w:pStyle w:val="E3Tabletext"/>
              <w:rPr>
                <w:rFonts w:eastAsia="Arial" w:hAnsi="Arial" w:cs="Arial"/>
                <w:szCs w:val="13"/>
              </w:rPr>
            </w:pPr>
            <w:r>
              <w:t>700</w:t>
            </w:r>
          </w:p>
        </w:tc>
        <w:tc>
          <w:tcPr>
            <w:tcW w:w="440" w:type="dxa"/>
            <w:tcBorders>
              <w:top w:val="nil"/>
              <w:left w:val="nil"/>
              <w:bottom w:val="nil"/>
              <w:right w:val="single" w:sz="6" w:space="0" w:color="000000"/>
            </w:tcBorders>
          </w:tcPr>
          <w:p w:rsidR="00B827D0" w:rsidRDefault="00B827D0" w:rsidP="00255AA3">
            <w:pPr>
              <w:pStyle w:val="E3Tabletext"/>
              <w:rPr>
                <w:rFonts w:eastAsia="Arial" w:hAnsi="Arial" w:cs="Arial"/>
                <w:szCs w:val="13"/>
              </w:rPr>
            </w:pPr>
            <w:r>
              <w:t>800</w:t>
            </w:r>
          </w:p>
        </w:tc>
      </w:tr>
      <w:tr w:rsidR="008D45D4" w:rsidTr="00897B7A">
        <w:trPr>
          <w:cantSplit/>
          <w:jc w:val="center"/>
        </w:trPr>
        <w:tc>
          <w:tcPr>
            <w:tcW w:w="595" w:type="dxa"/>
            <w:vMerge/>
            <w:tcBorders>
              <w:left w:val="single" w:sz="6" w:space="0" w:color="000000"/>
              <w:right w:val="single" w:sz="6" w:space="0" w:color="000000"/>
            </w:tcBorders>
          </w:tcPr>
          <w:p w:rsidR="00B827D0" w:rsidRPr="008D45D4" w:rsidRDefault="00B827D0" w:rsidP="00B827D0">
            <w:pPr>
              <w:pStyle w:val="E3TableSubHeading"/>
            </w:pPr>
          </w:p>
        </w:tc>
        <w:tc>
          <w:tcPr>
            <w:tcW w:w="767" w:type="dxa"/>
            <w:vMerge/>
            <w:tcBorders>
              <w:left w:val="single" w:sz="6" w:space="0" w:color="000000"/>
              <w:right w:val="single" w:sz="6" w:space="0" w:color="000000"/>
            </w:tcBorders>
          </w:tcPr>
          <w:p w:rsidR="00B827D0" w:rsidRDefault="00B827D0" w:rsidP="00255AA3">
            <w:pPr>
              <w:pStyle w:val="E3Tabletext"/>
            </w:pPr>
          </w:p>
        </w:tc>
        <w:tc>
          <w:tcPr>
            <w:tcW w:w="517"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75</w:t>
            </w:r>
          </w:p>
        </w:tc>
        <w:tc>
          <w:tcPr>
            <w:tcW w:w="501" w:type="dxa"/>
            <w:tcBorders>
              <w:top w:val="nil"/>
              <w:left w:val="nil"/>
              <w:bottom w:val="nil"/>
              <w:right w:val="nil"/>
            </w:tcBorders>
          </w:tcPr>
          <w:p w:rsidR="00B827D0" w:rsidRDefault="00B827D0" w:rsidP="00255AA3">
            <w:pPr>
              <w:pStyle w:val="E3Tabletext"/>
            </w:pPr>
          </w:p>
        </w:tc>
        <w:tc>
          <w:tcPr>
            <w:tcW w:w="501" w:type="dxa"/>
            <w:tcBorders>
              <w:top w:val="nil"/>
              <w:left w:val="nil"/>
              <w:bottom w:val="nil"/>
              <w:right w:val="nil"/>
            </w:tcBorders>
          </w:tcPr>
          <w:p w:rsidR="00B827D0" w:rsidRDefault="00B827D0" w:rsidP="00255AA3">
            <w:pPr>
              <w:pStyle w:val="E3Tabletext"/>
              <w:rPr>
                <w:rFonts w:eastAsia="Arial" w:hAnsi="Arial" w:cs="Arial"/>
                <w:szCs w:val="13"/>
              </w:rPr>
            </w:pPr>
            <w:r>
              <w:t>1300</w:t>
            </w:r>
          </w:p>
        </w:tc>
        <w:tc>
          <w:tcPr>
            <w:tcW w:w="489" w:type="dxa"/>
            <w:tcBorders>
              <w:top w:val="nil"/>
              <w:left w:val="nil"/>
              <w:bottom w:val="nil"/>
              <w:right w:val="nil"/>
            </w:tcBorders>
          </w:tcPr>
          <w:p w:rsidR="00B827D0" w:rsidRDefault="00B827D0" w:rsidP="00255AA3">
            <w:pPr>
              <w:pStyle w:val="E3Tabletext"/>
            </w:pPr>
          </w:p>
        </w:tc>
        <w:tc>
          <w:tcPr>
            <w:tcW w:w="347" w:type="dxa"/>
            <w:tcBorders>
              <w:top w:val="nil"/>
              <w:left w:val="nil"/>
              <w:bottom w:val="nil"/>
              <w:right w:val="nil"/>
            </w:tcBorders>
          </w:tcPr>
          <w:p w:rsidR="00B827D0" w:rsidRDefault="00B827D0" w:rsidP="00255AA3">
            <w:pPr>
              <w:pStyle w:val="E3Tabletext"/>
              <w:rPr>
                <w:rFonts w:eastAsia="Arial" w:hAnsi="Arial" w:cs="Arial"/>
                <w:szCs w:val="13"/>
              </w:rPr>
            </w:pPr>
            <w:r>
              <w:t>850</w:t>
            </w:r>
          </w:p>
        </w:tc>
        <w:tc>
          <w:tcPr>
            <w:tcW w:w="423" w:type="dxa"/>
            <w:tcBorders>
              <w:top w:val="nil"/>
              <w:left w:val="nil"/>
              <w:bottom w:val="nil"/>
              <w:right w:val="single" w:sz="6" w:space="0" w:color="000000"/>
            </w:tcBorders>
          </w:tcPr>
          <w:p w:rsidR="00B827D0" w:rsidRDefault="00B827D0" w:rsidP="00255AA3">
            <w:pPr>
              <w:pStyle w:val="E3Tabletext"/>
              <w:rPr>
                <w:rFonts w:eastAsia="Arial" w:hAnsi="Arial" w:cs="Arial"/>
                <w:szCs w:val="13"/>
              </w:rPr>
            </w:pPr>
            <w:r>
              <w:t>1030</w:t>
            </w:r>
          </w:p>
        </w:tc>
        <w:tc>
          <w:tcPr>
            <w:tcW w:w="493"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75</w:t>
            </w:r>
          </w:p>
        </w:tc>
        <w:tc>
          <w:tcPr>
            <w:tcW w:w="484" w:type="dxa"/>
            <w:tcBorders>
              <w:top w:val="nil"/>
              <w:left w:val="nil"/>
              <w:bottom w:val="nil"/>
              <w:right w:val="nil"/>
            </w:tcBorders>
          </w:tcPr>
          <w:p w:rsidR="00B827D0" w:rsidRDefault="00B827D0" w:rsidP="00255AA3">
            <w:pPr>
              <w:pStyle w:val="E3Tabletext"/>
            </w:pPr>
          </w:p>
        </w:tc>
        <w:tc>
          <w:tcPr>
            <w:tcW w:w="518" w:type="dxa"/>
            <w:tcBorders>
              <w:top w:val="nil"/>
              <w:left w:val="nil"/>
              <w:bottom w:val="nil"/>
              <w:right w:val="nil"/>
            </w:tcBorders>
          </w:tcPr>
          <w:p w:rsidR="00B827D0" w:rsidRDefault="00B827D0" w:rsidP="00255AA3">
            <w:pPr>
              <w:pStyle w:val="E3Tabletext"/>
              <w:rPr>
                <w:rFonts w:eastAsia="Arial" w:hAnsi="Arial" w:cs="Arial"/>
                <w:szCs w:val="13"/>
              </w:rPr>
            </w:pPr>
            <w:r>
              <w:t>1300</w:t>
            </w:r>
          </w:p>
        </w:tc>
        <w:tc>
          <w:tcPr>
            <w:tcW w:w="510" w:type="dxa"/>
            <w:tcBorders>
              <w:top w:val="nil"/>
              <w:left w:val="nil"/>
              <w:bottom w:val="nil"/>
              <w:right w:val="nil"/>
            </w:tcBorders>
          </w:tcPr>
          <w:p w:rsidR="00B827D0" w:rsidRDefault="00B827D0" w:rsidP="00255AA3">
            <w:pPr>
              <w:pStyle w:val="E3Tabletext"/>
            </w:pPr>
          </w:p>
        </w:tc>
        <w:tc>
          <w:tcPr>
            <w:tcW w:w="332" w:type="dxa"/>
            <w:tcBorders>
              <w:top w:val="nil"/>
              <w:left w:val="nil"/>
              <w:bottom w:val="nil"/>
              <w:right w:val="nil"/>
            </w:tcBorders>
          </w:tcPr>
          <w:p w:rsidR="00B827D0" w:rsidRDefault="00B827D0" w:rsidP="00255AA3">
            <w:pPr>
              <w:pStyle w:val="E3Tabletext"/>
              <w:rPr>
                <w:rFonts w:eastAsia="Arial" w:hAnsi="Arial" w:cs="Arial"/>
                <w:szCs w:val="13"/>
              </w:rPr>
            </w:pPr>
            <w:r>
              <w:t>850</w:t>
            </w:r>
          </w:p>
        </w:tc>
        <w:tc>
          <w:tcPr>
            <w:tcW w:w="440" w:type="dxa"/>
            <w:tcBorders>
              <w:top w:val="nil"/>
              <w:left w:val="nil"/>
              <w:bottom w:val="nil"/>
              <w:right w:val="single" w:sz="6" w:space="0" w:color="000000"/>
            </w:tcBorders>
          </w:tcPr>
          <w:p w:rsidR="00B827D0" w:rsidRDefault="00B827D0" w:rsidP="00255AA3">
            <w:pPr>
              <w:pStyle w:val="E3Tabletext"/>
              <w:rPr>
                <w:rFonts w:eastAsia="Arial" w:hAnsi="Arial" w:cs="Arial"/>
                <w:szCs w:val="13"/>
              </w:rPr>
            </w:pPr>
            <w:r>
              <w:t>1030</w:t>
            </w:r>
          </w:p>
        </w:tc>
        <w:tc>
          <w:tcPr>
            <w:tcW w:w="493"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75</w:t>
            </w:r>
          </w:p>
        </w:tc>
        <w:tc>
          <w:tcPr>
            <w:tcW w:w="484" w:type="dxa"/>
            <w:tcBorders>
              <w:top w:val="nil"/>
              <w:left w:val="nil"/>
              <w:bottom w:val="nil"/>
              <w:right w:val="nil"/>
            </w:tcBorders>
          </w:tcPr>
          <w:p w:rsidR="00B827D0" w:rsidRDefault="00B827D0" w:rsidP="00255AA3">
            <w:pPr>
              <w:pStyle w:val="E3Tabletext"/>
            </w:pPr>
          </w:p>
        </w:tc>
        <w:tc>
          <w:tcPr>
            <w:tcW w:w="518" w:type="dxa"/>
            <w:tcBorders>
              <w:top w:val="nil"/>
              <w:left w:val="nil"/>
              <w:bottom w:val="nil"/>
              <w:right w:val="nil"/>
            </w:tcBorders>
          </w:tcPr>
          <w:p w:rsidR="00B827D0" w:rsidRDefault="00B827D0" w:rsidP="00255AA3">
            <w:pPr>
              <w:pStyle w:val="E3Tabletext"/>
              <w:rPr>
                <w:rFonts w:eastAsia="Arial" w:hAnsi="Arial" w:cs="Arial"/>
                <w:szCs w:val="13"/>
              </w:rPr>
            </w:pPr>
            <w:r>
              <w:t>1300</w:t>
            </w:r>
          </w:p>
        </w:tc>
        <w:tc>
          <w:tcPr>
            <w:tcW w:w="510" w:type="dxa"/>
            <w:tcBorders>
              <w:top w:val="nil"/>
              <w:left w:val="nil"/>
              <w:bottom w:val="nil"/>
              <w:right w:val="nil"/>
            </w:tcBorders>
          </w:tcPr>
          <w:p w:rsidR="00B827D0" w:rsidRDefault="00B827D0" w:rsidP="00255AA3">
            <w:pPr>
              <w:pStyle w:val="E3Tabletext"/>
            </w:pPr>
          </w:p>
        </w:tc>
        <w:tc>
          <w:tcPr>
            <w:tcW w:w="333" w:type="dxa"/>
            <w:tcBorders>
              <w:top w:val="nil"/>
              <w:left w:val="nil"/>
              <w:bottom w:val="nil"/>
              <w:right w:val="nil"/>
            </w:tcBorders>
          </w:tcPr>
          <w:p w:rsidR="00B827D0" w:rsidRDefault="00B827D0" w:rsidP="00255AA3">
            <w:pPr>
              <w:pStyle w:val="E3Tabletext"/>
              <w:rPr>
                <w:rFonts w:eastAsia="Arial" w:hAnsi="Arial" w:cs="Arial"/>
                <w:szCs w:val="13"/>
              </w:rPr>
            </w:pPr>
            <w:r>
              <w:t>850</w:t>
            </w:r>
          </w:p>
        </w:tc>
        <w:tc>
          <w:tcPr>
            <w:tcW w:w="440" w:type="dxa"/>
            <w:tcBorders>
              <w:top w:val="nil"/>
              <w:left w:val="nil"/>
              <w:bottom w:val="nil"/>
              <w:right w:val="single" w:sz="6" w:space="0" w:color="000000"/>
            </w:tcBorders>
          </w:tcPr>
          <w:p w:rsidR="00B827D0" w:rsidRDefault="00B827D0" w:rsidP="00255AA3">
            <w:pPr>
              <w:pStyle w:val="E3Tabletext"/>
              <w:rPr>
                <w:rFonts w:eastAsia="Arial" w:hAnsi="Arial" w:cs="Arial"/>
                <w:szCs w:val="13"/>
              </w:rPr>
            </w:pPr>
            <w:r>
              <w:t>1030</w:t>
            </w:r>
          </w:p>
        </w:tc>
      </w:tr>
      <w:tr w:rsidR="008D45D4" w:rsidTr="00897B7A">
        <w:trPr>
          <w:cantSplit/>
          <w:jc w:val="center"/>
        </w:trPr>
        <w:tc>
          <w:tcPr>
            <w:tcW w:w="595" w:type="dxa"/>
            <w:vMerge/>
            <w:tcBorders>
              <w:left w:val="single" w:sz="6" w:space="0" w:color="000000"/>
              <w:right w:val="single" w:sz="6" w:space="0" w:color="000000"/>
            </w:tcBorders>
          </w:tcPr>
          <w:p w:rsidR="00B827D0" w:rsidRPr="008D45D4" w:rsidRDefault="00B827D0" w:rsidP="00B827D0">
            <w:pPr>
              <w:pStyle w:val="E3TableSubHeading"/>
            </w:pPr>
          </w:p>
        </w:tc>
        <w:tc>
          <w:tcPr>
            <w:tcW w:w="767" w:type="dxa"/>
            <w:vMerge/>
            <w:tcBorders>
              <w:left w:val="single" w:sz="6" w:space="0" w:color="000000"/>
              <w:right w:val="single" w:sz="6" w:space="0" w:color="000000"/>
            </w:tcBorders>
          </w:tcPr>
          <w:p w:rsidR="00B827D0" w:rsidRDefault="00B827D0" w:rsidP="00255AA3">
            <w:pPr>
              <w:pStyle w:val="E3Tabletext"/>
            </w:pPr>
          </w:p>
        </w:tc>
        <w:tc>
          <w:tcPr>
            <w:tcW w:w="517"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100</w:t>
            </w:r>
          </w:p>
        </w:tc>
        <w:tc>
          <w:tcPr>
            <w:tcW w:w="501" w:type="dxa"/>
            <w:tcBorders>
              <w:top w:val="nil"/>
              <w:left w:val="nil"/>
              <w:bottom w:val="nil"/>
              <w:right w:val="nil"/>
            </w:tcBorders>
          </w:tcPr>
          <w:p w:rsidR="00B827D0" w:rsidRDefault="00B827D0" w:rsidP="00255AA3">
            <w:pPr>
              <w:pStyle w:val="E3Tabletext"/>
            </w:pPr>
          </w:p>
        </w:tc>
        <w:tc>
          <w:tcPr>
            <w:tcW w:w="501" w:type="dxa"/>
            <w:tcBorders>
              <w:top w:val="nil"/>
              <w:left w:val="nil"/>
              <w:bottom w:val="nil"/>
              <w:right w:val="nil"/>
            </w:tcBorders>
          </w:tcPr>
          <w:p w:rsidR="00B827D0" w:rsidRDefault="00B827D0" w:rsidP="00255AA3">
            <w:pPr>
              <w:pStyle w:val="E3Tabletext"/>
            </w:pPr>
          </w:p>
        </w:tc>
        <w:tc>
          <w:tcPr>
            <w:tcW w:w="489" w:type="dxa"/>
            <w:tcBorders>
              <w:top w:val="nil"/>
              <w:left w:val="nil"/>
              <w:bottom w:val="nil"/>
              <w:right w:val="nil"/>
            </w:tcBorders>
          </w:tcPr>
          <w:p w:rsidR="00B827D0" w:rsidRDefault="00B827D0" w:rsidP="00255AA3">
            <w:pPr>
              <w:pStyle w:val="E3Tabletext"/>
            </w:pPr>
          </w:p>
        </w:tc>
        <w:tc>
          <w:tcPr>
            <w:tcW w:w="347" w:type="dxa"/>
            <w:tcBorders>
              <w:top w:val="nil"/>
              <w:left w:val="nil"/>
              <w:bottom w:val="nil"/>
              <w:right w:val="nil"/>
            </w:tcBorders>
          </w:tcPr>
          <w:p w:rsidR="00B827D0" w:rsidRDefault="00B827D0" w:rsidP="00255AA3">
            <w:pPr>
              <w:pStyle w:val="E3Tabletext"/>
            </w:pPr>
          </w:p>
        </w:tc>
        <w:tc>
          <w:tcPr>
            <w:tcW w:w="423" w:type="dxa"/>
            <w:tcBorders>
              <w:top w:val="nil"/>
              <w:left w:val="nil"/>
              <w:bottom w:val="nil"/>
              <w:right w:val="single" w:sz="6" w:space="0" w:color="000000"/>
            </w:tcBorders>
          </w:tcPr>
          <w:p w:rsidR="00B827D0" w:rsidRDefault="00B827D0" w:rsidP="00255AA3">
            <w:pPr>
              <w:pStyle w:val="E3Tabletext"/>
              <w:rPr>
                <w:rFonts w:eastAsia="Arial" w:hAnsi="Arial" w:cs="Arial"/>
                <w:szCs w:val="13"/>
              </w:rPr>
            </w:pPr>
            <w:r>
              <w:t>1200</w:t>
            </w:r>
          </w:p>
        </w:tc>
        <w:tc>
          <w:tcPr>
            <w:tcW w:w="493"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100</w:t>
            </w:r>
          </w:p>
        </w:tc>
        <w:tc>
          <w:tcPr>
            <w:tcW w:w="484" w:type="dxa"/>
            <w:tcBorders>
              <w:top w:val="nil"/>
              <w:left w:val="nil"/>
              <w:bottom w:val="nil"/>
              <w:right w:val="nil"/>
            </w:tcBorders>
          </w:tcPr>
          <w:p w:rsidR="00B827D0" w:rsidRDefault="00B827D0" w:rsidP="00255AA3">
            <w:pPr>
              <w:pStyle w:val="E3Tabletext"/>
            </w:pPr>
          </w:p>
        </w:tc>
        <w:tc>
          <w:tcPr>
            <w:tcW w:w="518" w:type="dxa"/>
            <w:tcBorders>
              <w:top w:val="nil"/>
              <w:left w:val="nil"/>
              <w:bottom w:val="nil"/>
              <w:right w:val="nil"/>
            </w:tcBorders>
          </w:tcPr>
          <w:p w:rsidR="00B827D0" w:rsidRDefault="00B827D0" w:rsidP="00255AA3">
            <w:pPr>
              <w:pStyle w:val="E3Tabletext"/>
            </w:pPr>
          </w:p>
        </w:tc>
        <w:tc>
          <w:tcPr>
            <w:tcW w:w="510" w:type="dxa"/>
            <w:tcBorders>
              <w:top w:val="nil"/>
              <w:left w:val="nil"/>
              <w:bottom w:val="nil"/>
              <w:right w:val="nil"/>
            </w:tcBorders>
          </w:tcPr>
          <w:p w:rsidR="00B827D0" w:rsidRDefault="00B827D0" w:rsidP="00255AA3">
            <w:pPr>
              <w:pStyle w:val="E3Tabletext"/>
            </w:pPr>
          </w:p>
        </w:tc>
        <w:tc>
          <w:tcPr>
            <w:tcW w:w="332" w:type="dxa"/>
            <w:tcBorders>
              <w:top w:val="nil"/>
              <w:left w:val="nil"/>
              <w:bottom w:val="nil"/>
              <w:right w:val="nil"/>
            </w:tcBorders>
          </w:tcPr>
          <w:p w:rsidR="00B827D0" w:rsidRDefault="00B827D0" w:rsidP="00255AA3">
            <w:pPr>
              <w:pStyle w:val="E3Tabletext"/>
            </w:pPr>
          </w:p>
        </w:tc>
        <w:tc>
          <w:tcPr>
            <w:tcW w:w="440" w:type="dxa"/>
            <w:tcBorders>
              <w:top w:val="nil"/>
              <w:left w:val="nil"/>
              <w:bottom w:val="nil"/>
              <w:right w:val="single" w:sz="6" w:space="0" w:color="000000"/>
            </w:tcBorders>
          </w:tcPr>
          <w:p w:rsidR="00B827D0" w:rsidRDefault="00B827D0" w:rsidP="00255AA3">
            <w:pPr>
              <w:pStyle w:val="E3Tabletext"/>
              <w:rPr>
                <w:rFonts w:eastAsia="Arial" w:hAnsi="Arial" w:cs="Arial"/>
                <w:szCs w:val="13"/>
              </w:rPr>
            </w:pPr>
            <w:r>
              <w:t>1200</w:t>
            </w:r>
          </w:p>
        </w:tc>
        <w:tc>
          <w:tcPr>
            <w:tcW w:w="493"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100</w:t>
            </w:r>
          </w:p>
        </w:tc>
        <w:tc>
          <w:tcPr>
            <w:tcW w:w="484" w:type="dxa"/>
            <w:tcBorders>
              <w:top w:val="nil"/>
              <w:left w:val="nil"/>
              <w:bottom w:val="nil"/>
              <w:right w:val="nil"/>
            </w:tcBorders>
          </w:tcPr>
          <w:p w:rsidR="00B827D0" w:rsidRDefault="00B827D0" w:rsidP="00255AA3">
            <w:pPr>
              <w:pStyle w:val="E3Tabletext"/>
            </w:pPr>
          </w:p>
        </w:tc>
        <w:tc>
          <w:tcPr>
            <w:tcW w:w="518" w:type="dxa"/>
            <w:tcBorders>
              <w:top w:val="nil"/>
              <w:left w:val="nil"/>
              <w:bottom w:val="nil"/>
              <w:right w:val="nil"/>
            </w:tcBorders>
          </w:tcPr>
          <w:p w:rsidR="00B827D0" w:rsidRDefault="00B827D0" w:rsidP="00255AA3">
            <w:pPr>
              <w:pStyle w:val="E3Tabletext"/>
            </w:pPr>
          </w:p>
        </w:tc>
        <w:tc>
          <w:tcPr>
            <w:tcW w:w="510" w:type="dxa"/>
            <w:tcBorders>
              <w:top w:val="nil"/>
              <w:left w:val="nil"/>
              <w:bottom w:val="nil"/>
              <w:right w:val="nil"/>
            </w:tcBorders>
          </w:tcPr>
          <w:p w:rsidR="00B827D0" w:rsidRDefault="00B827D0" w:rsidP="00255AA3">
            <w:pPr>
              <w:pStyle w:val="E3Tabletext"/>
            </w:pPr>
          </w:p>
        </w:tc>
        <w:tc>
          <w:tcPr>
            <w:tcW w:w="333" w:type="dxa"/>
            <w:tcBorders>
              <w:top w:val="nil"/>
              <w:left w:val="nil"/>
              <w:bottom w:val="nil"/>
              <w:right w:val="nil"/>
            </w:tcBorders>
          </w:tcPr>
          <w:p w:rsidR="00B827D0" w:rsidRDefault="00B827D0" w:rsidP="00255AA3">
            <w:pPr>
              <w:pStyle w:val="E3Tabletext"/>
            </w:pPr>
          </w:p>
        </w:tc>
        <w:tc>
          <w:tcPr>
            <w:tcW w:w="440" w:type="dxa"/>
            <w:tcBorders>
              <w:top w:val="nil"/>
              <w:left w:val="nil"/>
              <w:bottom w:val="nil"/>
              <w:right w:val="single" w:sz="6" w:space="0" w:color="000000"/>
            </w:tcBorders>
          </w:tcPr>
          <w:p w:rsidR="00B827D0" w:rsidRDefault="00B827D0" w:rsidP="00255AA3">
            <w:pPr>
              <w:pStyle w:val="E3Tabletext"/>
              <w:rPr>
                <w:rFonts w:eastAsia="Arial" w:hAnsi="Arial" w:cs="Arial"/>
                <w:szCs w:val="13"/>
              </w:rPr>
            </w:pPr>
            <w:r>
              <w:t>1200</w:t>
            </w:r>
          </w:p>
        </w:tc>
      </w:tr>
      <w:tr w:rsidR="008D45D4" w:rsidTr="00897B7A">
        <w:trPr>
          <w:cantSplit/>
          <w:jc w:val="center"/>
        </w:trPr>
        <w:tc>
          <w:tcPr>
            <w:tcW w:w="595" w:type="dxa"/>
            <w:vMerge/>
            <w:tcBorders>
              <w:left w:val="single" w:sz="6" w:space="0" w:color="000000"/>
              <w:right w:val="single" w:sz="6" w:space="0" w:color="000000"/>
            </w:tcBorders>
          </w:tcPr>
          <w:p w:rsidR="00B827D0" w:rsidRPr="008D45D4" w:rsidRDefault="00B827D0" w:rsidP="00B827D0">
            <w:pPr>
              <w:pStyle w:val="E3TableSubHeading"/>
            </w:pPr>
          </w:p>
        </w:tc>
        <w:tc>
          <w:tcPr>
            <w:tcW w:w="767" w:type="dxa"/>
            <w:vMerge/>
            <w:tcBorders>
              <w:left w:val="single" w:sz="6" w:space="0" w:color="000000"/>
              <w:right w:val="single" w:sz="6" w:space="0" w:color="000000"/>
            </w:tcBorders>
          </w:tcPr>
          <w:p w:rsidR="00B827D0" w:rsidRDefault="00B827D0" w:rsidP="00255AA3">
            <w:pPr>
              <w:pStyle w:val="E3Tabletext"/>
            </w:pPr>
          </w:p>
        </w:tc>
        <w:tc>
          <w:tcPr>
            <w:tcW w:w="517"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120</w:t>
            </w:r>
          </w:p>
        </w:tc>
        <w:tc>
          <w:tcPr>
            <w:tcW w:w="501" w:type="dxa"/>
            <w:tcBorders>
              <w:top w:val="nil"/>
              <w:left w:val="nil"/>
              <w:bottom w:val="nil"/>
              <w:right w:val="nil"/>
            </w:tcBorders>
          </w:tcPr>
          <w:p w:rsidR="00B827D0" w:rsidRDefault="00B827D0" w:rsidP="00255AA3">
            <w:pPr>
              <w:pStyle w:val="E3Tabletext"/>
            </w:pPr>
          </w:p>
        </w:tc>
        <w:tc>
          <w:tcPr>
            <w:tcW w:w="501" w:type="dxa"/>
            <w:tcBorders>
              <w:top w:val="nil"/>
              <w:left w:val="nil"/>
              <w:bottom w:val="nil"/>
              <w:right w:val="nil"/>
            </w:tcBorders>
          </w:tcPr>
          <w:p w:rsidR="00B827D0" w:rsidRDefault="00B827D0" w:rsidP="00255AA3">
            <w:pPr>
              <w:pStyle w:val="E3Tabletext"/>
            </w:pPr>
          </w:p>
        </w:tc>
        <w:tc>
          <w:tcPr>
            <w:tcW w:w="489" w:type="dxa"/>
            <w:tcBorders>
              <w:top w:val="nil"/>
              <w:left w:val="nil"/>
              <w:bottom w:val="nil"/>
              <w:right w:val="nil"/>
            </w:tcBorders>
          </w:tcPr>
          <w:p w:rsidR="00B827D0" w:rsidRDefault="00B827D0" w:rsidP="00255AA3">
            <w:pPr>
              <w:pStyle w:val="E3Tabletext"/>
            </w:pPr>
          </w:p>
        </w:tc>
        <w:tc>
          <w:tcPr>
            <w:tcW w:w="347" w:type="dxa"/>
            <w:tcBorders>
              <w:top w:val="nil"/>
              <w:left w:val="nil"/>
              <w:bottom w:val="nil"/>
              <w:right w:val="nil"/>
            </w:tcBorders>
          </w:tcPr>
          <w:p w:rsidR="00B827D0" w:rsidRDefault="00B827D0" w:rsidP="00255AA3">
            <w:pPr>
              <w:pStyle w:val="E3Tabletext"/>
              <w:rPr>
                <w:rFonts w:eastAsia="Arial" w:hAnsi="Arial" w:cs="Arial"/>
                <w:szCs w:val="13"/>
              </w:rPr>
            </w:pPr>
            <w:r>
              <w:t>1500</w:t>
            </w:r>
          </w:p>
        </w:tc>
        <w:tc>
          <w:tcPr>
            <w:tcW w:w="423" w:type="dxa"/>
            <w:tcBorders>
              <w:top w:val="nil"/>
              <w:left w:val="nil"/>
              <w:bottom w:val="nil"/>
              <w:right w:val="single" w:sz="6" w:space="0" w:color="000000"/>
            </w:tcBorders>
          </w:tcPr>
          <w:p w:rsidR="00B827D0" w:rsidRDefault="00B827D0" w:rsidP="00255AA3">
            <w:pPr>
              <w:pStyle w:val="E3Tabletext"/>
            </w:pPr>
          </w:p>
        </w:tc>
        <w:tc>
          <w:tcPr>
            <w:tcW w:w="493"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120</w:t>
            </w:r>
          </w:p>
        </w:tc>
        <w:tc>
          <w:tcPr>
            <w:tcW w:w="484" w:type="dxa"/>
            <w:tcBorders>
              <w:top w:val="nil"/>
              <w:left w:val="nil"/>
              <w:bottom w:val="nil"/>
              <w:right w:val="nil"/>
            </w:tcBorders>
          </w:tcPr>
          <w:p w:rsidR="00B827D0" w:rsidRDefault="00B827D0" w:rsidP="00255AA3">
            <w:pPr>
              <w:pStyle w:val="E3Tabletext"/>
            </w:pPr>
          </w:p>
        </w:tc>
        <w:tc>
          <w:tcPr>
            <w:tcW w:w="518" w:type="dxa"/>
            <w:tcBorders>
              <w:top w:val="nil"/>
              <w:left w:val="nil"/>
              <w:bottom w:val="nil"/>
              <w:right w:val="nil"/>
            </w:tcBorders>
          </w:tcPr>
          <w:p w:rsidR="00B827D0" w:rsidRDefault="00B827D0" w:rsidP="00255AA3">
            <w:pPr>
              <w:pStyle w:val="E3Tabletext"/>
            </w:pPr>
          </w:p>
        </w:tc>
        <w:tc>
          <w:tcPr>
            <w:tcW w:w="510" w:type="dxa"/>
            <w:tcBorders>
              <w:top w:val="nil"/>
              <w:left w:val="nil"/>
              <w:bottom w:val="nil"/>
              <w:right w:val="nil"/>
            </w:tcBorders>
          </w:tcPr>
          <w:p w:rsidR="00B827D0" w:rsidRDefault="00B827D0" w:rsidP="00255AA3">
            <w:pPr>
              <w:pStyle w:val="E3Tabletext"/>
            </w:pPr>
          </w:p>
        </w:tc>
        <w:tc>
          <w:tcPr>
            <w:tcW w:w="332" w:type="dxa"/>
            <w:tcBorders>
              <w:top w:val="nil"/>
              <w:left w:val="nil"/>
              <w:bottom w:val="nil"/>
              <w:right w:val="nil"/>
            </w:tcBorders>
          </w:tcPr>
          <w:p w:rsidR="00B827D0" w:rsidRDefault="00B827D0" w:rsidP="00255AA3">
            <w:pPr>
              <w:pStyle w:val="E3Tabletext"/>
              <w:rPr>
                <w:rFonts w:eastAsia="Arial" w:hAnsi="Arial" w:cs="Arial"/>
                <w:szCs w:val="13"/>
              </w:rPr>
            </w:pPr>
            <w:r>
              <w:t>1500</w:t>
            </w:r>
          </w:p>
        </w:tc>
        <w:tc>
          <w:tcPr>
            <w:tcW w:w="440" w:type="dxa"/>
            <w:tcBorders>
              <w:top w:val="nil"/>
              <w:left w:val="nil"/>
              <w:bottom w:val="nil"/>
              <w:right w:val="single" w:sz="6" w:space="0" w:color="000000"/>
            </w:tcBorders>
          </w:tcPr>
          <w:p w:rsidR="00B827D0" w:rsidRDefault="00B827D0" w:rsidP="00255AA3">
            <w:pPr>
              <w:pStyle w:val="E3Tabletext"/>
            </w:pPr>
          </w:p>
        </w:tc>
        <w:tc>
          <w:tcPr>
            <w:tcW w:w="493"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120</w:t>
            </w:r>
          </w:p>
        </w:tc>
        <w:tc>
          <w:tcPr>
            <w:tcW w:w="484" w:type="dxa"/>
            <w:tcBorders>
              <w:top w:val="nil"/>
              <w:left w:val="nil"/>
              <w:bottom w:val="nil"/>
              <w:right w:val="nil"/>
            </w:tcBorders>
          </w:tcPr>
          <w:p w:rsidR="00B827D0" w:rsidRDefault="00B827D0" w:rsidP="00255AA3">
            <w:pPr>
              <w:pStyle w:val="E3Tabletext"/>
            </w:pPr>
          </w:p>
        </w:tc>
        <w:tc>
          <w:tcPr>
            <w:tcW w:w="518" w:type="dxa"/>
            <w:tcBorders>
              <w:top w:val="nil"/>
              <w:left w:val="nil"/>
              <w:bottom w:val="nil"/>
              <w:right w:val="nil"/>
            </w:tcBorders>
          </w:tcPr>
          <w:p w:rsidR="00B827D0" w:rsidRDefault="00B827D0" w:rsidP="00255AA3">
            <w:pPr>
              <w:pStyle w:val="E3Tabletext"/>
            </w:pPr>
          </w:p>
        </w:tc>
        <w:tc>
          <w:tcPr>
            <w:tcW w:w="510" w:type="dxa"/>
            <w:tcBorders>
              <w:top w:val="nil"/>
              <w:left w:val="nil"/>
              <w:bottom w:val="nil"/>
              <w:right w:val="nil"/>
            </w:tcBorders>
          </w:tcPr>
          <w:p w:rsidR="00B827D0" w:rsidRDefault="00B827D0" w:rsidP="00255AA3">
            <w:pPr>
              <w:pStyle w:val="E3Tabletext"/>
            </w:pPr>
          </w:p>
        </w:tc>
        <w:tc>
          <w:tcPr>
            <w:tcW w:w="333" w:type="dxa"/>
            <w:tcBorders>
              <w:top w:val="nil"/>
              <w:left w:val="nil"/>
              <w:bottom w:val="nil"/>
              <w:right w:val="nil"/>
            </w:tcBorders>
          </w:tcPr>
          <w:p w:rsidR="00B827D0" w:rsidRDefault="00B827D0" w:rsidP="00255AA3">
            <w:pPr>
              <w:pStyle w:val="E3Tabletext"/>
              <w:rPr>
                <w:rFonts w:eastAsia="Arial" w:hAnsi="Arial" w:cs="Arial"/>
                <w:szCs w:val="13"/>
              </w:rPr>
            </w:pPr>
            <w:r>
              <w:t>1500</w:t>
            </w:r>
          </w:p>
        </w:tc>
        <w:tc>
          <w:tcPr>
            <w:tcW w:w="440" w:type="dxa"/>
            <w:tcBorders>
              <w:top w:val="nil"/>
              <w:left w:val="nil"/>
              <w:bottom w:val="nil"/>
              <w:right w:val="single" w:sz="6" w:space="0" w:color="000000"/>
            </w:tcBorders>
          </w:tcPr>
          <w:p w:rsidR="00B827D0" w:rsidRDefault="00B827D0" w:rsidP="00255AA3">
            <w:pPr>
              <w:pStyle w:val="E3Tabletext"/>
            </w:pPr>
          </w:p>
        </w:tc>
      </w:tr>
      <w:tr w:rsidR="008D45D4" w:rsidTr="00897B7A">
        <w:trPr>
          <w:cantSplit/>
          <w:jc w:val="center"/>
        </w:trPr>
        <w:tc>
          <w:tcPr>
            <w:tcW w:w="595" w:type="dxa"/>
            <w:vMerge/>
            <w:tcBorders>
              <w:left w:val="single" w:sz="6" w:space="0" w:color="000000"/>
              <w:right w:val="single" w:sz="6" w:space="0" w:color="000000"/>
            </w:tcBorders>
          </w:tcPr>
          <w:p w:rsidR="00B827D0" w:rsidRPr="008D45D4" w:rsidRDefault="00B827D0" w:rsidP="00B827D0">
            <w:pPr>
              <w:pStyle w:val="E3TableSubHeading"/>
            </w:pPr>
          </w:p>
        </w:tc>
        <w:tc>
          <w:tcPr>
            <w:tcW w:w="767" w:type="dxa"/>
            <w:vMerge/>
            <w:tcBorders>
              <w:left w:val="single" w:sz="6" w:space="0" w:color="000000"/>
              <w:right w:val="single" w:sz="6" w:space="0" w:color="000000"/>
            </w:tcBorders>
          </w:tcPr>
          <w:p w:rsidR="00B827D0" w:rsidRDefault="00B827D0" w:rsidP="00255AA3">
            <w:pPr>
              <w:pStyle w:val="E3Tabletext"/>
            </w:pPr>
          </w:p>
        </w:tc>
        <w:tc>
          <w:tcPr>
            <w:tcW w:w="517"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150</w:t>
            </w:r>
          </w:p>
        </w:tc>
        <w:tc>
          <w:tcPr>
            <w:tcW w:w="501" w:type="dxa"/>
            <w:tcBorders>
              <w:top w:val="nil"/>
              <w:left w:val="nil"/>
              <w:bottom w:val="nil"/>
              <w:right w:val="nil"/>
            </w:tcBorders>
          </w:tcPr>
          <w:p w:rsidR="00B827D0" w:rsidRDefault="00B827D0" w:rsidP="00255AA3">
            <w:pPr>
              <w:pStyle w:val="E3Tabletext"/>
            </w:pPr>
          </w:p>
        </w:tc>
        <w:tc>
          <w:tcPr>
            <w:tcW w:w="501" w:type="dxa"/>
            <w:tcBorders>
              <w:top w:val="nil"/>
              <w:left w:val="nil"/>
              <w:bottom w:val="nil"/>
              <w:right w:val="nil"/>
            </w:tcBorders>
          </w:tcPr>
          <w:p w:rsidR="00B827D0" w:rsidRDefault="00B827D0" w:rsidP="00255AA3">
            <w:pPr>
              <w:pStyle w:val="E3Tabletext"/>
            </w:pPr>
          </w:p>
        </w:tc>
        <w:tc>
          <w:tcPr>
            <w:tcW w:w="489" w:type="dxa"/>
            <w:tcBorders>
              <w:top w:val="nil"/>
              <w:left w:val="nil"/>
              <w:bottom w:val="nil"/>
              <w:right w:val="nil"/>
            </w:tcBorders>
          </w:tcPr>
          <w:p w:rsidR="00B827D0" w:rsidRDefault="00B827D0" w:rsidP="00255AA3">
            <w:pPr>
              <w:pStyle w:val="E3Tabletext"/>
            </w:pPr>
          </w:p>
        </w:tc>
        <w:tc>
          <w:tcPr>
            <w:tcW w:w="347" w:type="dxa"/>
            <w:tcBorders>
              <w:top w:val="nil"/>
              <w:left w:val="nil"/>
              <w:bottom w:val="nil"/>
              <w:right w:val="nil"/>
            </w:tcBorders>
          </w:tcPr>
          <w:p w:rsidR="00B827D0" w:rsidRDefault="00B827D0" w:rsidP="00255AA3">
            <w:pPr>
              <w:pStyle w:val="E3Tabletext"/>
              <w:rPr>
                <w:rFonts w:eastAsia="Arial" w:hAnsi="Arial" w:cs="Arial"/>
                <w:szCs w:val="13"/>
              </w:rPr>
            </w:pPr>
            <w:r>
              <w:t>1600</w:t>
            </w:r>
          </w:p>
        </w:tc>
        <w:tc>
          <w:tcPr>
            <w:tcW w:w="423" w:type="dxa"/>
            <w:tcBorders>
              <w:top w:val="nil"/>
              <w:left w:val="nil"/>
              <w:bottom w:val="nil"/>
              <w:right w:val="single" w:sz="6" w:space="0" w:color="000000"/>
            </w:tcBorders>
          </w:tcPr>
          <w:p w:rsidR="00B827D0" w:rsidRDefault="00B827D0" w:rsidP="00255AA3">
            <w:pPr>
              <w:pStyle w:val="E3Tabletext"/>
              <w:rPr>
                <w:rFonts w:eastAsia="Arial" w:hAnsi="Arial" w:cs="Arial"/>
                <w:szCs w:val="13"/>
              </w:rPr>
            </w:pPr>
            <w:r>
              <w:t>1370</w:t>
            </w:r>
          </w:p>
        </w:tc>
        <w:tc>
          <w:tcPr>
            <w:tcW w:w="493"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150</w:t>
            </w:r>
          </w:p>
        </w:tc>
        <w:tc>
          <w:tcPr>
            <w:tcW w:w="484" w:type="dxa"/>
            <w:tcBorders>
              <w:top w:val="nil"/>
              <w:left w:val="nil"/>
              <w:bottom w:val="nil"/>
              <w:right w:val="nil"/>
            </w:tcBorders>
          </w:tcPr>
          <w:p w:rsidR="00B827D0" w:rsidRDefault="00B827D0" w:rsidP="00255AA3">
            <w:pPr>
              <w:pStyle w:val="E3Tabletext"/>
            </w:pPr>
          </w:p>
        </w:tc>
        <w:tc>
          <w:tcPr>
            <w:tcW w:w="518" w:type="dxa"/>
            <w:tcBorders>
              <w:top w:val="nil"/>
              <w:left w:val="nil"/>
              <w:bottom w:val="nil"/>
              <w:right w:val="nil"/>
            </w:tcBorders>
          </w:tcPr>
          <w:p w:rsidR="00B827D0" w:rsidRDefault="00B827D0" w:rsidP="00255AA3">
            <w:pPr>
              <w:pStyle w:val="E3Tabletext"/>
            </w:pPr>
          </w:p>
        </w:tc>
        <w:tc>
          <w:tcPr>
            <w:tcW w:w="510" w:type="dxa"/>
            <w:tcBorders>
              <w:top w:val="nil"/>
              <w:left w:val="nil"/>
              <w:bottom w:val="nil"/>
              <w:right w:val="nil"/>
            </w:tcBorders>
          </w:tcPr>
          <w:p w:rsidR="00B827D0" w:rsidRDefault="00B827D0" w:rsidP="00255AA3">
            <w:pPr>
              <w:pStyle w:val="E3Tabletext"/>
            </w:pPr>
          </w:p>
        </w:tc>
        <w:tc>
          <w:tcPr>
            <w:tcW w:w="332" w:type="dxa"/>
            <w:tcBorders>
              <w:top w:val="nil"/>
              <w:left w:val="nil"/>
              <w:bottom w:val="nil"/>
              <w:right w:val="nil"/>
            </w:tcBorders>
          </w:tcPr>
          <w:p w:rsidR="00B827D0" w:rsidRDefault="00B827D0" w:rsidP="00255AA3">
            <w:pPr>
              <w:pStyle w:val="E3Tabletext"/>
              <w:rPr>
                <w:rFonts w:eastAsia="Arial" w:hAnsi="Arial" w:cs="Arial"/>
                <w:szCs w:val="13"/>
              </w:rPr>
            </w:pPr>
            <w:r>
              <w:t>1600</w:t>
            </w:r>
          </w:p>
        </w:tc>
        <w:tc>
          <w:tcPr>
            <w:tcW w:w="440" w:type="dxa"/>
            <w:tcBorders>
              <w:top w:val="nil"/>
              <w:left w:val="nil"/>
              <w:bottom w:val="nil"/>
              <w:right w:val="single" w:sz="6" w:space="0" w:color="000000"/>
            </w:tcBorders>
          </w:tcPr>
          <w:p w:rsidR="00B827D0" w:rsidRDefault="00B827D0" w:rsidP="00255AA3">
            <w:pPr>
              <w:pStyle w:val="E3Tabletext"/>
              <w:rPr>
                <w:rFonts w:eastAsia="Arial" w:hAnsi="Arial" w:cs="Arial"/>
                <w:szCs w:val="13"/>
              </w:rPr>
            </w:pPr>
            <w:r>
              <w:t>1370</w:t>
            </w:r>
          </w:p>
        </w:tc>
        <w:tc>
          <w:tcPr>
            <w:tcW w:w="493"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150</w:t>
            </w:r>
          </w:p>
        </w:tc>
        <w:tc>
          <w:tcPr>
            <w:tcW w:w="484" w:type="dxa"/>
            <w:tcBorders>
              <w:top w:val="nil"/>
              <w:left w:val="nil"/>
              <w:bottom w:val="nil"/>
              <w:right w:val="nil"/>
            </w:tcBorders>
          </w:tcPr>
          <w:p w:rsidR="00B827D0" w:rsidRDefault="00B827D0" w:rsidP="00255AA3">
            <w:pPr>
              <w:pStyle w:val="E3Tabletext"/>
            </w:pPr>
          </w:p>
        </w:tc>
        <w:tc>
          <w:tcPr>
            <w:tcW w:w="518" w:type="dxa"/>
            <w:tcBorders>
              <w:top w:val="nil"/>
              <w:left w:val="nil"/>
              <w:bottom w:val="nil"/>
              <w:right w:val="nil"/>
            </w:tcBorders>
          </w:tcPr>
          <w:p w:rsidR="00B827D0" w:rsidRDefault="00B827D0" w:rsidP="00255AA3">
            <w:pPr>
              <w:pStyle w:val="E3Tabletext"/>
            </w:pPr>
          </w:p>
        </w:tc>
        <w:tc>
          <w:tcPr>
            <w:tcW w:w="510" w:type="dxa"/>
            <w:tcBorders>
              <w:top w:val="nil"/>
              <w:left w:val="nil"/>
              <w:bottom w:val="nil"/>
              <w:right w:val="nil"/>
            </w:tcBorders>
          </w:tcPr>
          <w:p w:rsidR="00B827D0" w:rsidRDefault="00B827D0" w:rsidP="00255AA3">
            <w:pPr>
              <w:pStyle w:val="E3Tabletext"/>
            </w:pPr>
          </w:p>
        </w:tc>
        <w:tc>
          <w:tcPr>
            <w:tcW w:w="333" w:type="dxa"/>
            <w:tcBorders>
              <w:top w:val="nil"/>
              <w:left w:val="nil"/>
              <w:bottom w:val="nil"/>
              <w:right w:val="nil"/>
            </w:tcBorders>
          </w:tcPr>
          <w:p w:rsidR="00B827D0" w:rsidRDefault="00B827D0" w:rsidP="00255AA3">
            <w:pPr>
              <w:pStyle w:val="E3Tabletext"/>
              <w:rPr>
                <w:rFonts w:eastAsia="Arial" w:hAnsi="Arial" w:cs="Arial"/>
                <w:szCs w:val="13"/>
              </w:rPr>
            </w:pPr>
            <w:r>
              <w:t>1600</w:t>
            </w:r>
          </w:p>
        </w:tc>
        <w:tc>
          <w:tcPr>
            <w:tcW w:w="440" w:type="dxa"/>
            <w:tcBorders>
              <w:top w:val="nil"/>
              <w:left w:val="nil"/>
              <w:bottom w:val="nil"/>
              <w:right w:val="single" w:sz="6" w:space="0" w:color="000000"/>
            </w:tcBorders>
          </w:tcPr>
          <w:p w:rsidR="00B827D0" w:rsidRDefault="00B827D0" w:rsidP="00255AA3">
            <w:pPr>
              <w:pStyle w:val="E3Tabletext"/>
              <w:rPr>
                <w:rFonts w:eastAsia="Arial" w:hAnsi="Arial" w:cs="Arial"/>
                <w:szCs w:val="13"/>
              </w:rPr>
            </w:pPr>
            <w:r>
              <w:t>1370</w:t>
            </w:r>
          </w:p>
        </w:tc>
      </w:tr>
      <w:tr w:rsidR="008D45D4" w:rsidTr="00897B7A">
        <w:trPr>
          <w:cantSplit/>
          <w:jc w:val="center"/>
        </w:trPr>
        <w:tc>
          <w:tcPr>
            <w:tcW w:w="595" w:type="dxa"/>
            <w:vMerge/>
            <w:tcBorders>
              <w:left w:val="single" w:sz="6" w:space="0" w:color="000000"/>
              <w:right w:val="single" w:sz="6" w:space="0" w:color="000000"/>
            </w:tcBorders>
          </w:tcPr>
          <w:p w:rsidR="00B827D0" w:rsidRPr="008D45D4" w:rsidRDefault="00B827D0" w:rsidP="00B827D0">
            <w:pPr>
              <w:pStyle w:val="E3TableSubHeading"/>
            </w:pPr>
          </w:p>
        </w:tc>
        <w:tc>
          <w:tcPr>
            <w:tcW w:w="767" w:type="dxa"/>
            <w:vMerge/>
            <w:tcBorders>
              <w:left w:val="single" w:sz="6" w:space="0" w:color="000000"/>
              <w:right w:val="single" w:sz="6" w:space="0" w:color="000000"/>
            </w:tcBorders>
          </w:tcPr>
          <w:p w:rsidR="00B827D0" w:rsidRDefault="00B827D0" w:rsidP="00255AA3">
            <w:pPr>
              <w:pStyle w:val="E3Tabletext"/>
            </w:pPr>
          </w:p>
        </w:tc>
        <w:tc>
          <w:tcPr>
            <w:tcW w:w="517"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200</w:t>
            </w:r>
          </w:p>
        </w:tc>
        <w:tc>
          <w:tcPr>
            <w:tcW w:w="501" w:type="dxa"/>
            <w:tcBorders>
              <w:top w:val="nil"/>
              <w:left w:val="nil"/>
              <w:bottom w:val="nil"/>
              <w:right w:val="nil"/>
            </w:tcBorders>
          </w:tcPr>
          <w:p w:rsidR="00B827D0" w:rsidRDefault="00B827D0" w:rsidP="00255AA3">
            <w:pPr>
              <w:pStyle w:val="E3Tabletext"/>
            </w:pPr>
          </w:p>
        </w:tc>
        <w:tc>
          <w:tcPr>
            <w:tcW w:w="501" w:type="dxa"/>
            <w:tcBorders>
              <w:top w:val="nil"/>
              <w:left w:val="nil"/>
              <w:bottom w:val="nil"/>
              <w:right w:val="nil"/>
            </w:tcBorders>
          </w:tcPr>
          <w:p w:rsidR="00B827D0" w:rsidRDefault="00B827D0" w:rsidP="00255AA3">
            <w:pPr>
              <w:pStyle w:val="E3Tabletext"/>
            </w:pPr>
          </w:p>
        </w:tc>
        <w:tc>
          <w:tcPr>
            <w:tcW w:w="489" w:type="dxa"/>
            <w:tcBorders>
              <w:top w:val="nil"/>
              <w:left w:val="nil"/>
              <w:bottom w:val="nil"/>
              <w:right w:val="nil"/>
            </w:tcBorders>
          </w:tcPr>
          <w:p w:rsidR="00B827D0" w:rsidRDefault="00B827D0" w:rsidP="00255AA3">
            <w:pPr>
              <w:pStyle w:val="E3Tabletext"/>
            </w:pPr>
          </w:p>
        </w:tc>
        <w:tc>
          <w:tcPr>
            <w:tcW w:w="347" w:type="dxa"/>
            <w:tcBorders>
              <w:top w:val="nil"/>
              <w:left w:val="nil"/>
              <w:bottom w:val="nil"/>
              <w:right w:val="nil"/>
            </w:tcBorders>
          </w:tcPr>
          <w:p w:rsidR="00B827D0" w:rsidRDefault="00B827D0" w:rsidP="00255AA3">
            <w:pPr>
              <w:pStyle w:val="E3Tabletext"/>
            </w:pPr>
          </w:p>
        </w:tc>
        <w:tc>
          <w:tcPr>
            <w:tcW w:w="423" w:type="dxa"/>
            <w:tcBorders>
              <w:top w:val="nil"/>
              <w:left w:val="nil"/>
              <w:bottom w:val="nil"/>
              <w:right w:val="single" w:sz="6" w:space="0" w:color="000000"/>
            </w:tcBorders>
          </w:tcPr>
          <w:p w:rsidR="00B827D0" w:rsidRDefault="00B827D0" w:rsidP="00255AA3">
            <w:pPr>
              <w:pStyle w:val="E3Tabletext"/>
              <w:rPr>
                <w:rFonts w:eastAsia="Arial" w:hAnsi="Arial" w:cs="Arial"/>
                <w:szCs w:val="13"/>
              </w:rPr>
            </w:pPr>
            <w:r>
              <w:t>2270</w:t>
            </w:r>
          </w:p>
        </w:tc>
        <w:tc>
          <w:tcPr>
            <w:tcW w:w="493"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200</w:t>
            </w:r>
          </w:p>
        </w:tc>
        <w:tc>
          <w:tcPr>
            <w:tcW w:w="484" w:type="dxa"/>
            <w:tcBorders>
              <w:top w:val="nil"/>
              <w:left w:val="nil"/>
              <w:bottom w:val="nil"/>
              <w:right w:val="nil"/>
            </w:tcBorders>
          </w:tcPr>
          <w:p w:rsidR="00B827D0" w:rsidRDefault="00B827D0" w:rsidP="00255AA3">
            <w:pPr>
              <w:pStyle w:val="E3Tabletext"/>
            </w:pPr>
          </w:p>
        </w:tc>
        <w:tc>
          <w:tcPr>
            <w:tcW w:w="518" w:type="dxa"/>
            <w:tcBorders>
              <w:top w:val="nil"/>
              <w:left w:val="nil"/>
              <w:bottom w:val="nil"/>
              <w:right w:val="nil"/>
            </w:tcBorders>
          </w:tcPr>
          <w:p w:rsidR="00B827D0" w:rsidRDefault="00B827D0" w:rsidP="00255AA3">
            <w:pPr>
              <w:pStyle w:val="E3Tabletext"/>
            </w:pPr>
          </w:p>
        </w:tc>
        <w:tc>
          <w:tcPr>
            <w:tcW w:w="510" w:type="dxa"/>
            <w:tcBorders>
              <w:top w:val="nil"/>
              <w:left w:val="nil"/>
              <w:bottom w:val="nil"/>
              <w:right w:val="nil"/>
            </w:tcBorders>
          </w:tcPr>
          <w:p w:rsidR="00B827D0" w:rsidRDefault="00B827D0" w:rsidP="00255AA3">
            <w:pPr>
              <w:pStyle w:val="E3Tabletext"/>
            </w:pPr>
          </w:p>
        </w:tc>
        <w:tc>
          <w:tcPr>
            <w:tcW w:w="332" w:type="dxa"/>
            <w:tcBorders>
              <w:top w:val="nil"/>
              <w:left w:val="nil"/>
              <w:bottom w:val="nil"/>
              <w:right w:val="nil"/>
            </w:tcBorders>
          </w:tcPr>
          <w:p w:rsidR="00B827D0" w:rsidRDefault="00B827D0" w:rsidP="00255AA3">
            <w:pPr>
              <w:pStyle w:val="E3Tabletext"/>
            </w:pPr>
          </w:p>
        </w:tc>
        <w:tc>
          <w:tcPr>
            <w:tcW w:w="440" w:type="dxa"/>
            <w:tcBorders>
              <w:top w:val="nil"/>
              <w:left w:val="nil"/>
              <w:bottom w:val="nil"/>
              <w:right w:val="single" w:sz="6" w:space="0" w:color="000000"/>
            </w:tcBorders>
          </w:tcPr>
          <w:p w:rsidR="00B827D0" w:rsidRDefault="00B827D0" w:rsidP="00255AA3">
            <w:pPr>
              <w:pStyle w:val="E3Tabletext"/>
              <w:rPr>
                <w:rFonts w:eastAsia="Arial" w:hAnsi="Arial" w:cs="Arial"/>
                <w:szCs w:val="13"/>
              </w:rPr>
            </w:pPr>
            <w:r>
              <w:t>2270</w:t>
            </w:r>
          </w:p>
        </w:tc>
        <w:tc>
          <w:tcPr>
            <w:tcW w:w="493" w:type="dxa"/>
            <w:tcBorders>
              <w:top w:val="nil"/>
              <w:left w:val="single" w:sz="6" w:space="0" w:color="000000"/>
              <w:bottom w:val="nil"/>
              <w:right w:val="nil"/>
            </w:tcBorders>
          </w:tcPr>
          <w:p w:rsidR="00B827D0" w:rsidRDefault="00B827D0" w:rsidP="00255AA3">
            <w:pPr>
              <w:pStyle w:val="E3Tabletext"/>
              <w:rPr>
                <w:rFonts w:eastAsia="Arial" w:hAnsi="Arial" w:cs="Arial"/>
                <w:szCs w:val="13"/>
              </w:rPr>
            </w:pPr>
            <w:r>
              <w:t>200</w:t>
            </w:r>
          </w:p>
        </w:tc>
        <w:tc>
          <w:tcPr>
            <w:tcW w:w="484" w:type="dxa"/>
            <w:tcBorders>
              <w:top w:val="nil"/>
              <w:left w:val="nil"/>
              <w:bottom w:val="nil"/>
              <w:right w:val="nil"/>
            </w:tcBorders>
          </w:tcPr>
          <w:p w:rsidR="00B827D0" w:rsidRDefault="00B827D0" w:rsidP="00255AA3">
            <w:pPr>
              <w:pStyle w:val="E3Tabletext"/>
            </w:pPr>
          </w:p>
        </w:tc>
        <w:tc>
          <w:tcPr>
            <w:tcW w:w="518" w:type="dxa"/>
            <w:tcBorders>
              <w:top w:val="nil"/>
              <w:left w:val="nil"/>
              <w:bottom w:val="nil"/>
              <w:right w:val="nil"/>
            </w:tcBorders>
          </w:tcPr>
          <w:p w:rsidR="00B827D0" w:rsidRDefault="00B827D0" w:rsidP="00255AA3">
            <w:pPr>
              <w:pStyle w:val="E3Tabletext"/>
            </w:pPr>
          </w:p>
        </w:tc>
        <w:tc>
          <w:tcPr>
            <w:tcW w:w="510" w:type="dxa"/>
            <w:tcBorders>
              <w:top w:val="nil"/>
              <w:left w:val="nil"/>
              <w:bottom w:val="nil"/>
              <w:right w:val="nil"/>
            </w:tcBorders>
          </w:tcPr>
          <w:p w:rsidR="00B827D0" w:rsidRDefault="00B827D0" w:rsidP="00255AA3">
            <w:pPr>
              <w:pStyle w:val="E3Tabletext"/>
            </w:pPr>
          </w:p>
        </w:tc>
        <w:tc>
          <w:tcPr>
            <w:tcW w:w="333" w:type="dxa"/>
            <w:tcBorders>
              <w:top w:val="nil"/>
              <w:left w:val="nil"/>
              <w:bottom w:val="nil"/>
              <w:right w:val="nil"/>
            </w:tcBorders>
          </w:tcPr>
          <w:p w:rsidR="00B827D0" w:rsidRDefault="00B827D0" w:rsidP="00255AA3">
            <w:pPr>
              <w:pStyle w:val="E3Tabletext"/>
            </w:pPr>
          </w:p>
        </w:tc>
        <w:tc>
          <w:tcPr>
            <w:tcW w:w="440" w:type="dxa"/>
            <w:tcBorders>
              <w:top w:val="nil"/>
              <w:left w:val="nil"/>
              <w:bottom w:val="nil"/>
              <w:right w:val="single" w:sz="6" w:space="0" w:color="000000"/>
            </w:tcBorders>
          </w:tcPr>
          <w:p w:rsidR="00B827D0" w:rsidRDefault="00B827D0" w:rsidP="00255AA3">
            <w:pPr>
              <w:pStyle w:val="E3Tabletext"/>
              <w:rPr>
                <w:rFonts w:eastAsia="Arial" w:hAnsi="Arial" w:cs="Arial"/>
                <w:szCs w:val="13"/>
              </w:rPr>
            </w:pPr>
            <w:r>
              <w:t>2270</w:t>
            </w:r>
          </w:p>
        </w:tc>
      </w:tr>
      <w:tr w:rsidR="008D45D4" w:rsidTr="00897B7A">
        <w:trPr>
          <w:cantSplit/>
          <w:jc w:val="center"/>
        </w:trPr>
        <w:tc>
          <w:tcPr>
            <w:tcW w:w="595" w:type="dxa"/>
            <w:vMerge/>
            <w:tcBorders>
              <w:left w:val="single" w:sz="6" w:space="0" w:color="000000"/>
              <w:bottom w:val="single" w:sz="6" w:space="0" w:color="000000"/>
              <w:right w:val="single" w:sz="6" w:space="0" w:color="000000"/>
            </w:tcBorders>
          </w:tcPr>
          <w:p w:rsidR="00B827D0" w:rsidRPr="008D45D4" w:rsidRDefault="00B827D0" w:rsidP="00B827D0">
            <w:pPr>
              <w:pStyle w:val="E3TableSubHeading"/>
            </w:pPr>
          </w:p>
        </w:tc>
        <w:tc>
          <w:tcPr>
            <w:tcW w:w="767" w:type="dxa"/>
            <w:vMerge/>
            <w:tcBorders>
              <w:left w:val="single" w:sz="6" w:space="0" w:color="000000"/>
              <w:bottom w:val="single" w:sz="6" w:space="0" w:color="000000"/>
              <w:right w:val="single" w:sz="6" w:space="0" w:color="000000"/>
            </w:tcBorders>
          </w:tcPr>
          <w:p w:rsidR="00B827D0" w:rsidRDefault="00B827D0" w:rsidP="00255AA3">
            <w:pPr>
              <w:pStyle w:val="E3Tabletext"/>
            </w:pPr>
          </w:p>
        </w:tc>
        <w:tc>
          <w:tcPr>
            <w:tcW w:w="517" w:type="dxa"/>
            <w:tcBorders>
              <w:top w:val="nil"/>
              <w:left w:val="single" w:sz="6" w:space="0" w:color="000000"/>
              <w:bottom w:val="single" w:sz="6" w:space="0" w:color="000000"/>
              <w:right w:val="nil"/>
            </w:tcBorders>
          </w:tcPr>
          <w:p w:rsidR="00B827D0" w:rsidRDefault="00B827D0" w:rsidP="00255AA3">
            <w:pPr>
              <w:pStyle w:val="E3Tabletext"/>
              <w:rPr>
                <w:rFonts w:eastAsia="Arial" w:hAnsi="Arial" w:cs="Arial"/>
                <w:szCs w:val="13"/>
              </w:rPr>
            </w:pPr>
            <w:r>
              <w:t>240</w:t>
            </w:r>
          </w:p>
        </w:tc>
        <w:tc>
          <w:tcPr>
            <w:tcW w:w="501" w:type="dxa"/>
            <w:tcBorders>
              <w:top w:val="nil"/>
              <w:left w:val="nil"/>
              <w:bottom w:val="single" w:sz="6" w:space="0" w:color="000000"/>
              <w:right w:val="nil"/>
            </w:tcBorders>
          </w:tcPr>
          <w:p w:rsidR="00B827D0" w:rsidRDefault="00B827D0" w:rsidP="00255AA3">
            <w:pPr>
              <w:pStyle w:val="E3Tabletext"/>
            </w:pPr>
          </w:p>
        </w:tc>
        <w:tc>
          <w:tcPr>
            <w:tcW w:w="501" w:type="dxa"/>
            <w:tcBorders>
              <w:top w:val="nil"/>
              <w:left w:val="nil"/>
              <w:bottom w:val="single" w:sz="6" w:space="0" w:color="000000"/>
              <w:right w:val="nil"/>
            </w:tcBorders>
          </w:tcPr>
          <w:p w:rsidR="00B827D0" w:rsidRDefault="00B827D0" w:rsidP="00255AA3">
            <w:pPr>
              <w:pStyle w:val="E3Tabletext"/>
            </w:pPr>
          </w:p>
        </w:tc>
        <w:tc>
          <w:tcPr>
            <w:tcW w:w="489" w:type="dxa"/>
            <w:tcBorders>
              <w:top w:val="nil"/>
              <w:left w:val="nil"/>
              <w:bottom w:val="single" w:sz="6" w:space="0" w:color="000000"/>
              <w:right w:val="nil"/>
            </w:tcBorders>
          </w:tcPr>
          <w:p w:rsidR="00B827D0" w:rsidRDefault="00B827D0" w:rsidP="00255AA3">
            <w:pPr>
              <w:pStyle w:val="E3Tabletext"/>
            </w:pPr>
          </w:p>
        </w:tc>
        <w:tc>
          <w:tcPr>
            <w:tcW w:w="347" w:type="dxa"/>
            <w:tcBorders>
              <w:top w:val="nil"/>
              <w:left w:val="nil"/>
              <w:bottom w:val="single" w:sz="6" w:space="0" w:color="000000"/>
              <w:right w:val="nil"/>
            </w:tcBorders>
          </w:tcPr>
          <w:p w:rsidR="00B827D0" w:rsidRDefault="00B827D0" w:rsidP="00255AA3">
            <w:pPr>
              <w:pStyle w:val="E3Tabletext"/>
            </w:pPr>
          </w:p>
        </w:tc>
        <w:tc>
          <w:tcPr>
            <w:tcW w:w="423" w:type="dxa"/>
            <w:tcBorders>
              <w:top w:val="nil"/>
              <w:left w:val="nil"/>
              <w:bottom w:val="single" w:sz="6" w:space="0" w:color="000000"/>
              <w:right w:val="single" w:sz="6" w:space="0" w:color="000000"/>
            </w:tcBorders>
          </w:tcPr>
          <w:p w:rsidR="00B827D0" w:rsidRDefault="00B827D0" w:rsidP="00255AA3">
            <w:pPr>
              <w:pStyle w:val="E3Tabletext"/>
              <w:rPr>
                <w:rFonts w:eastAsia="Arial" w:hAnsi="Arial" w:cs="Arial"/>
                <w:szCs w:val="13"/>
              </w:rPr>
            </w:pPr>
            <w:r>
              <w:t>3100</w:t>
            </w:r>
          </w:p>
        </w:tc>
        <w:tc>
          <w:tcPr>
            <w:tcW w:w="493" w:type="dxa"/>
            <w:tcBorders>
              <w:top w:val="nil"/>
              <w:left w:val="single" w:sz="6" w:space="0" w:color="000000"/>
              <w:bottom w:val="single" w:sz="6" w:space="0" w:color="000000"/>
              <w:right w:val="nil"/>
            </w:tcBorders>
          </w:tcPr>
          <w:p w:rsidR="00B827D0" w:rsidRDefault="00B827D0" w:rsidP="00255AA3">
            <w:pPr>
              <w:pStyle w:val="E3Tabletext"/>
              <w:rPr>
                <w:rFonts w:eastAsia="Arial" w:hAnsi="Arial" w:cs="Arial"/>
                <w:szCs w:val="13"/>
              </w:rPr>
            </w:pPr>
            <w:r>
              <w:t>240</w:t>
            </w:r>
          </w:p>
        </w:tc>
        <w:tc>
          <w:tcPr>
            <w:tcW w:w="484" w:type="dxa"/>
            <w:tcBorders>
              <w:top w:val="nil"/>
              <w:left w:val="nil"/>
              <w:bottom w:val="single" w:sz="6" w:space="0" w:color="000000"/>
              <w:right w:val="nil"/>
            </w:tcBorders>
          </w:tcPr>
          <w:p w:rsidR="00B827D0" w:rsidRDefault="00B827D0" w:rsidP="00255AA3">
            <w:pPr>
              <w:pStyle w:val="E3Tabletext"/>
            </w:pPr>
          </w:p>
        </w:tc>
        <w:tc>
          <w:tcPr>
            <w:tcW w:w="518" w:type="dxa"/>
            <w:tcBorders>
              <w:top w:val="nil"/>
              <w:left w:val="nil"/>
              <w:bottom w:val="single" w:sz="6" w:space="0" w:color="000000"/>
              <w:right w:val="nil"/>
            </w:tcBorders>
          </w:tcPr>
          <w:p w:rsidR="00B827D0" w:rsidRDefault="00B827D0" w:rsidP="00255AA3">
            <w:pPr>
              <w:pStyle w:val="E3Tabletext"/>
            </w:pPr>
          </w:p>
        </w:tc>
        <w:tc>
          <w:tcPr>
            <w:tcW w:w="510" w:type="dxa"/>
            <w:tcBorders>
              <w:top w:val="nil"/>
              <w:left w:val="nil"/>
              <w:bottom w:val="single" w:sz="6" w:space="0" w:color="000000"/>
              <w:right w:val="nil"/>
            </w:tcBorders>
          </w:tcPr>
          <w:p w:rsidR="00B827D0" w:rsidRDefault="00B827D0" w:rsidP="00255AA3">
            <w:pPr>
              <w:pStyle w:val="E3Tabletext"/>
            </w:pPr>
          </w:p>
        </w:tc>
        <w:tc>
          <w:tcPr>
            <w:tcW w:w="332" w:type="dxa"/>
            <w:tcBorders>
              <w:top w:val="nil"/>
              <w:left w:val="nil"/>
              <w:bottom w:val="single" w:sz="6" w:space="0" w:color="000000"/>
              <w:right w:val="nil"/>
            </w:tcBorders>
          </w:tcPr>
          <w:p w:rsidR="00B827D0" w:rsidRDefault="00B827D0" w:rsidP="00255AA3">
            <w:pPr>
              <w:pStyle w:val="E3Tabletext"/>
            </w:pPr>
          </w:p>
        </w:tc>
        <w:tc>
          <w:tcPr>
            <w:tcW w:w="440" w:type="dxa"/>
            <w:tcBorders>
              <w:top w:val="nil"/>
              <w:left w:val="nil"/>
              <w:bottom w:val="single" w:sz="6" w:space="0" w:color="000000"/>
              <w:right w:val="single" w:sz="6" w:space="0" w:color="000000"/>
            </w:tcBorders>
          </w:tcPr>
          <w:p w:rsidR="00B827D0" w:rsidRDefault="00B827D0" w:rsidP="00255AA3">
            <w:pPr>
              <w:pStyle w:val="E3Tabletext"/>
              <w:rPr>
                <w:rFonts w:eastAsia="Arial" w:hAnsi="Arial" w:cs="Arial"/>
                <w:szCs w:val="13"/>
              </w:rPr>
            </w:pPr>
            <w:r>
              <w:t>3100</w:t>
            </w:r>
          </w:p>
        </w:tc>
        <w:tc>
          <w:tcPr>
            <w:tcW w:w="493" w:type="dxa"/>
            <w:tcBorders>
              <w:top w:val="nil"/>
              <w:left w:val="single" w:sz="6" w:space="0" w:color="000000"/>
              <w:bottom w:val="single" w:sz="6" w:space="0" w:color="000000"/>
              <w:right w:val="nil"/>
            </w:tcBorders>
          </w:tcPr>
          <w:p w:rsidR="00B827D0" w:rsidRDefault="00B827D0" w:rsidP="00255AA3">
            <w:pPr>
              <w:pStyle w:val="E3Tabletext"/>
              <w:rPr>
                <w:rFonts w:eastAsia="Arial" w:hAnsi="Arial" w:cs="Arial"/>
                <w:szCs w:val="13"/>
              </w:rPr>
            </w:pPr>
            <w:r>
              <w:t>240</w:t>
            </w:r>
          </w:p>
        </w:tc>
        <w:tc>
          <w:tcPr>
            <w:tcW w:w="484" w:type="dxa"/>
            <w:tcBorders>
              <w:top w:val="nil"/>
              <w:left w:val="nil"/>
              <w:bottom w:val="single" w:sz="6" w:space="0" w:color="000000"/>
              <w:right w:val="nil"/>
            </w:tcBorders>
          </w:tcPr>
          <w:p w:rsidR="00B827D0" w:rsidRDefault="00B827D0" w:rsidP="00255AA3">
            <w:pPr>
              <w:pStyle w:val="E3Tabletext"/>
            </w:pPr>
          </w:p>
        </w:tc>
        <w:tc>
          <w:tcPr>
            <w:tcW w:w="518" w:type="dxa"/>
            <w:tcBorders>
              <w:top w:val="nil"/>
              <w:left w:val="nil"/>
              <w:bottom w:val="single" w:sz="6" w:space="0" w:color="000000"/>
              <w:right w:val="nil"/>
            </w:tcBorders>
          </w:tcPr>
          <w:p w:rsidR="00B827D0" w:rsidRDefault="00B827D0" w:rsidP="00255AA3">
            <w:pPr>
              <w:pStyle w:val="E3Tabletext"/>
            </w:pPr>
          </w:p>
        </w:tc>
        <w:tc>
          <w:tcPr>
            <w:tcW w:w="510" w:type="dxa"/>
            <w:tcBorders>
              <w:top w:val="nil"/>
              <w:left w:val="nil"/>
              <w:bottom w:val="single" w:sz="6" w:space="0" w:color="000000"/>
              <w:right w:val="nil"/>
            </w:tcBorders>
          </w:tcPr>
          <w:p w:rsidR="00B827D0" w:rsidRDefault="00B827D0" w:rsidP="00255AA3">
            <w:pPr>
              <w:pStyle w:val="E3Tabletext"/>
            </w:pPr>
          </w:p>
        </w:tc>
        <w:tc>
          <w:tcPr>
            <w:tcW w:w="333" w:type="dxa"/>
            <w:tcBorders>
              <w:top w:val="nil"/>
              <w:left w:val="nil"/>
              <w:bottom w:val="single" w:sz="6" w:space="0" w:color="000000"/>
              <w:right w:val="nil"/>
            </w:tcBorders>
          </w:tcPr>
          <w:p w:rsidR="00B827D0" w:rsidRDefault="00B827D0" w:rsidP="00255AA3">
            <w:pPr>
              <w:pStyle w:val="E3Tabletext"/>
            </w:pPr>
          </w:p>
        </w:tc>
        <w:tc>
          <w:tcPr>
            <w:tcW w:w="440" w:type="dxa"/>
            <w:tcBorders>
              <w:top w:val="nil"/>
              <w:left w:val="nil"/>
              <w:bottom w:val="single" w:sz="6" w:space="0" w:color="000000"/>
              <w:right w:val="single" w:sz="6" w:space="0" w:color="000000"/>
            </w:tcBorders>
          </w:tcPr>
          <w:p w:rsidR="00B827D0" w:rsidRDefault="00B827D0" w:rsidP="00255AA3">
            <w:pPr>
              <w:pStyle w:val="E3Tabletext"/>
              <w:rPr>
                <w:rFonts w:eastAsia="Arial" w:hAnsi="Arial" w:cs="Arial"/>
                <w:szCs w:val="13"/>
              </w:rPr>
            </w:pPr>
            <w:r>
              <w:t>3100</w:t>
            </w:r>
          </w:p>
        </w:tc>
      </w:tr>
      <w:tr w:rsidR="006141F3" w:rsidTr="00897B7A">
        <w:trPr>
          <w:cantSplit/>
          <w:jc w:val="center"/>
        </w:trPr>
        <w:tc>
          <w:tcPr>
            <w:tcW w:w="595" w:type="dxa"/>
            <w:tcBorders>
              <w:top w:val="single" w:sz="6" w:space="0" w:color="000000"/>
              <w:left w:val="single" w:sz="6" w:space="0" w:color="000000"/>
              <w:bottom w:val="single" w:sz="6" w:space="0" w:color="000000"/>
              <w:right w:val="single" w:sz="6" w:space="0" w:color="000000"/>
            </w:tcBorders>
            <w:shd w:val="clear" w:color="auto" w:fill="D9D9D9"/>
          </w:tcPr>
          <w:p w:rsidR="00B827D0" w:rsidRPr="008D45D4" w:rsidRDefault="00B827D0" w:rsidP="00B827D0">
            <w:pPr>
              <w:pStyle w:val="E3TableSubHeading"/>
              <w:rPr>
                <w:rFonts w:eastAsia="Arial" w:cs="Arial"/>
              </w:rPr>
            </w:pPr>
            <w:r w:rsidRPr="008D45D4">
              <w:rPr>
                <w:spacing w:val="-1"/>
              </w:rPr>
              <w:t>Center</w:t>
            </w:r>
            <w:r w:rsidR="00897B7A">
              <w:rPr>
                <w:spacing w:val="-1"/>
              </w:rPr>
              <w:t xml:space="preserve"> </w:t>
            </w:r>
            <w:r w:rsidRPr="008D45D4">
              <w:t>beam</w:t>
            </w:r>
            <w:r w:rsidR="00897B7A">
              <w:t xml:space="preserve"> </w:t>
            </w:r>
            <w:r w:rsidRPr="008D45D4">
              <w:t>luminous</w:t>
            </w:r>
            <w:r w:rsidR="00897B7A">
              <w:t xml:space="preserve"> </w:t>
            </w:r>
            <w:r w:rsidRPr="008D45D4">
              <w:t>intensity</w:t>
            </w:r>
          </w:p>
        </w:tc>
        <w:tc>
          <w:tcPr>
            <w:tcW w:w="767" w:type="dxa"/>
            <w:tcBorders>
              <w:top w:val="single" w:sz="6" w:space="0" w:color="000000"/>
              <w:left w:val="single" w:sz="6" w:space="0" w:color="000000"/>
              <w:bottom w:val="single" w:sz="6" w:space="0" w:color="000000"/>
              <w:right w:val="single" w:sz="6" w:space="0" w:color="000000"/>
            </w:tcBorders>
            <w:shd w:val="clear" w:color="auto" w:fill="D9D9D9"/>
          </w:tcPr>
          <w:p w:rsidR="00B827D0" w:rsidRDefault="00B827D0" w:rsidP="00255AA3">
            <w:pPr>
              <w:pStyle w:val="E3Tabletext"/>
              <w:rPr>
                <w:rFonts w:eastAsia="Arial" w:hAnsi="Arial" w:cs="Arial"/>
                <w:szCs w:val="13"/>
              </w:rPr>
            </w:pPr>
            <w:r>
              <w:t>N/A</w:t>
            </w:r>
          </w:p>
        </w:tc>
        <w:tc>
          <w:tcPr>
            <w:tcW w:w="2778" w:type="dxa"/>
            <w:gridSpan w:val="6"/>
            <w:tcBorders>
              <w:top w:val="single" w:sz="6" w:space="0" w:color="000000"/>
              <w:left w:val="single" w:sz="6" w:space="0" w:color="000000"/>
              <w:bottom w:val="single" w:sz="6" w:space="0" w:color="000000"/>
              <w:right w:val="single" w:sz="6" w:space="0" w:color="000000"/>
            </w:tcBorders>
            <w:shd w:val="clear" w:color="auto" w:fill="D9D9D9"/>
          </w:tcPr>
          <w:p w:rsidR="00B827D0" w:rsidRPr="006141F3" w:rsidRDefault="00B827D0" w:rsidP="00255AA3">
            <w:pPr>
              <w:pStyle w:val="E3Tabletext"/>
              <w:rPr>
                <w:rFonts w:eastAsia="Arial" w:hAnsi="Arial" w:cs="Arial"/>
                <w:szCs w:val="13"/>
              </w:rPr>
            </w:pPr>
            <w:r w:rsidRPr="006141F3">
              <w:t>For MR or PAR lamps with a beam angle</w:t>
            </w:r>
          </w:p>
          <w:p w:rsidR="00B827D0" w:rsidRDefault="00B827D0" w:rsidP="00255AA3">
            <w:pPr>
              <w:pStyle w:val="E3Tabletext"/>
              <w:rPr>
                <w:rFonts w:eastAsia="Arial"/>
              </w:rPr>
            </w:pPr>
            <w:r w:rsidRPr="006141F3">
              <w:rPr>
                <w:rFonts w:eastAsia="Arial"/>
              </w:rPr>
              <w:t>&lt;65°, center beam intensity should meet</w:t>
            </w:r>
            <w:r w:rsidR="00897B7A">
              <w:rPr>
                <w:rFonts w:eastAsia="Arial"/>
              </w:rPr>
              <w:t xml:space="preserve"> </w:t>
            </w:r>
            <w:r w:rsidRPr="006141F3">
              <w:rPr>
                <w:rFonts w:eastAsia="Arial"/>
              </w:rPr>
              <w:t xml:space="preserve">equivalent levels using the </w:t>
            </w:r>
            <w:hyperlink r:id="rId149" w:history="1">
              <w:r w:rsidRPr="006141F3">
                <w:rPr>
                  <w:rStyle w:val="Hyperlink"/>
                  <w:rFonts w:eastAsia="Arial" w:hAnsi="Arial" w:cs="Arial"/>
                  <w:spacing w:val="0"/>
                  <w:szCs w:val="13"/>
                </w:rPr>
                <w:t>online tool</w:t>
              </w:r>
            </w:hyperlink>
            <w:r w:rsidR="006141F3">
              <w:rPr>
                <w:rFonts w:eastAsia="Arial"/>
              </w:rPr>
              <w:t xml:space="preserve"> (</w:t>
            </w:r>
            <w:r w:rsidR="006141F3" w:rsidRPr="006141F3">
              <w:rPr>
                <w:rFonts w:eastAsia="Arial"/>
              </w:rPr>
              <w:t>www.energystar.gov/ia/products/ligh ting/iledl/IntLampCenterBeamTool.zip</w:t>
            </w:r>
            <w:r w:rsidR="006141F3">
              <w:rPr>
                <w:rFonts w:eastAsia="Arial"/>
              </w:rPr>
              <w:t>)</w:t>
            </w:r>
          </w:p>
        </w:tc>
        <w:tc>
          <w:tcPr>
            <w:tcW w:w="2777" w:type="dxa"/>
            <w:gridSpan w:val="6"/>
            <w:tcBorders>
              <w:top w:val="single" w:sz="6" w:space="0" w:color="000000"/>
              <w:left w:val="single" w:sz="6" w:space="0" w:color="000000"/>
              <w:bottom w:val="single" w:sz="6" w:space="0" w:color="000000"/>
              <w:right w:val="single" w:sz="6" w:space="0" w:color="000000"/>
            </w:tcBorders>
            <w:shd w:val="clear" w:color="auto" w:fill="D9D9D9"/>
          </w:tcPr>
          <w:p w:rsidR="006141F3" w:rsidRPr="006141F3" w:rsidRDefault="006141F3" w:rsidP="00255AA3">
            <w:pPr>
              <w:pStyle w:val="E3Tabletext"/>
              <w:rPr>
                <w:rFonts w:eastAsia="Arial" w:hAnsi="Arial" w:cs="Arial"/>
                <w:szCs w:val="13"/>
              </w:rPr>
            </w:pPr>
            <w:r w:rsidRPr="006141F3">
              <w:t>For MR or PAR lamps with a beam angle</w:t>
            </w:r>
          </w:p>
          <w:p w:rsidR="00B827D0" w:rsidRDefault="006141F3" w:rsidP="00255AA3">
            <w:pPr>
              <w:pStyle w:val="E3Tabletext"/>
              <w:rPr>
                <w:rFonts w:eastAsia="Arial"/>
              </w:rPr>
            </w:pPr>
            <w:r w:rsidRPr="006141F3">
              <w:rPr>
                <w:rFonts w:eastAsia="Arial"/>
              </w:rPr>
              <w:t>&lt;65°, center beam intensity should meet</w:t>
            </w:r>
            <w:r w:rsidR="00897B7A">
              <w:rPr>
                <w:rFonts w:eastAsia="Arial"/>
              </w:rPr>
              <w:t xml:space="preserve"> </w:t>
            </w:r>
            <w:r w:rsidRPr="006141F3">
              <w:rPr>
                <w:rFonts w:eastAsia="Arial"/>
              </w:rPr>
              <w:t xml:space="preserve">equivalent levels using the </w:t>
            </w:r>
            <w:hyperlink r:id="rId150" w:history="1">
              <w:r w:rsidRPr="006141F3">
                <w:rPr>
                  <w:rStyle w:val="Hyperlink"/>
                  <w:rFonts w:eastAsia="Arial" w:hAnsi="Arial" w:cs="Arial"/>
                  <w:spacing w:val="0"/>
                  <w:szCs w:val="13"/>
                </w:rPr>
                <w:t>online tool</w:t>
              </w:r>
            </w:hyperlink>
            <w:r>
              <w:rPr>
                <w:rFonts w:eastAsia="Arial"/>
              </w:rPr>
              <w:t xml:space="preserve"> (</w:t>
            </w:r>
            <w:r w:rsidRPr="006141F3">
              <w:rPr>
                <w:rFonts w:eastAsia="Arial"/>
              </w:rPr>
              <w:t>www.energystar.gov/ia/products/ligh ting/iledl/IntLampCenterBeamTool.zip</w:t>
            </w:r>
            <w:r>
              <w:rPr>
                <w:rFonts w:eastAsia="Arial"/>
              </w:rPr>
              <w:t>)</w:t>
            </w:r>
          </w:p>
        </w:tc>
        <w:tc>
          <w:tcPr>
            <w:tcW w:w="2778" w:type="dxa"/>
            <w:gridSpan w:val="6"/>
            <w:tcBorders>
              <w:top w:val="single" w:sz="6" w:space="0" w:color="000000"/>
              <w:left w:val="single" w:sz="6" w:space="0" w:color="000000"/>
              <w:bottom w:val="single" w:sz="6" w:space="0" w:color="000000"/>
              <w:right w:val="single" w:sz="6" w:space="0" w:color="000000"/>
            </w:tcBorders>
            <w:shd w:val="clear" w:color="auto" w:fill="D9D9D9"/>
          </w:tcPr>
          <w:p w:rsidR="006141F3" w:rsidRPr="006141F3" w:rsidRDefault="006141F3" w:rsidP="00255AA3">
            <w:pPr>
              <w:pStyle w:val="E3Tabletext"/>
              <w:rPr>
                <w:rFonts w:eastAsia="Arial" w:hAnsi="Arial" w:cs="Arial"/>
                <w:szCs w:val="13"/>
              </w:rPr>
            </w:pPr>
            <w:r w:rsidRPr="006141F3">
              <w:t>For MR or PAR lamps with a beam angle</w:t>
            </w:r>
          </w:p>
          <w:p w:rsidR="00B827D0" w:rsidRDefault="006141F3" w:rsidP="00255AA3">
            <w:pPr>
              <w:pStyle w:val="E3Tabletext"/>
              <w:rPr>
                <w:rFonts w:eastAsia="Arial"/>
              </w:rPr>
            </w:pPr>
            <w:r w:rsidRPr="006141F3">
              <w:rPr>
                <w:rFonts w:eastAsia="Arial"/>
              </w:rPr>
              <w:t>&lt;65°, center beam intensity should meet</w:t>
            </w:r>
            <w:r w:rsidR="00897B7A">
              <w:rPr>
                <w:rFonts w:eastAsia="Arial"/>
              </w:rPr>
              <w:t xml:space="preserve"> </w:t>
            </w:r>
            <w:r w:rsidRPr="006141F3">
              <w:rPr>
                <w:rFonts w:eastAsia="Arial"/>
              </w:rPr>
              <w:t xml:space="preserve">equivalent levels using the </w:t>
            </w:r>
            <w:hyperlink r:id="rId151" w:history="1">
              <w:r w:rsidRPr="006141F3">
                <w:rPr>
                  <w:rStyle w:val="Hyperlink"/>
                  <w:rFonts w:eastAsia="Arial" w:hAnsi="Arial" w:cs="Arial"/>
                  <w:spacing w:val="0"/>
                  <w:szCs w:val="13"/>
                </w:rPr>
                <w:t>online tool</w:t>
              </w:r>
            </w:hyperlink>
            <w:r>
              <w:rPr>
                <w:rFonts w:eastAsia="Arial"/>
              </w:rPr>
              <w:t xml:space="preserve"> (</w:t>
            </w:r>
            <w:r w:rsidRPr="006141F3">
              <w:rPr>
                <w:rFonts w:eastAsia="Arial"/>
              </w:rPr>
              <w:t>www.energystar.gov/ia/products/ligh ting/iledl/IntLampCenterBeamTool.zip</w:t>
            </w:r>
            <w:r>
              <w:rPr>
                <w:rFonts w:eastAsia="Arial"/>
              </w:rPr>
              <w:t>)</w:t>
            </w:r>
          </w:p>
        </w:tc>
      </w:tr>
      <w:tr w:rsidR="006141F3" w:rsidTr="00897B7A">
        <w:trPr>
          <w:cantSplit/>
          <w:jc w:val="center"/>
        </w:trPr>
        <w:tc>
          <w:tcPr>
            <w:tcW w:w="595" w:type="dxa"/>
            <w:tcBorders>
              <w:top w:val="single" w:sz="6" w:space="0" w:color="000000"/>
              <w:left w:val="single" w:sz="6" w:space="0" w:color="000000"/>
              <w:bottom w:val="single" w:sz="6" w:space="0" w:color="000000"/>
              <w:right w:val="single" w:sz="6" w:space="0" w:color="000000"/>
            </w:tcBorders>
          </w:tcPr>
          <w:p w:rsidR="00B827D0" w:rsidRPr="008D45D4" w:rsidRDefault="00B827D0" w:rsidP="00B827D0">
            <w:pPr>
              <w:pStyle w:val="E3TableSubHeading"/>
              <w:rPr>
                <w:rFonts w:eastAsia="Arial" w:cs="Arial"/>
              </w:rPr>
            </w:pPr>
            <w:r w:rsidRPr="008D45D4">
              <w:t>Minimum</w:t>
            </w:r>
            <w:r w:rsidR="00897B7A">
              <w:t xml:space="preserve"> </w:t>
            </w:r>
            <w:r w:rsidRPr="008D45D4">
              <w:t>lamp</w:t>
            </w:r>
            <w:r w:rsidR="00897B7A">
              <w:t xml:space="preserve"> </w:t>
            </w:r>
            <w:r w:rsidRPr="008D45D4">
              <w:t>luminous</w:t>
            </w:r>
            <w:r w:rsidR="00897B7A">
              <w:t xml:space="preserve"> </w:t>
            </w:r>
            <w:r w:rsidRPr="008D45D4">
              <w:rPr>
                <w:spacing w:val="-1"/>
              </w:rPr>
              <w:t>efficacy</w:t>
            </w:r>
            <w:r w:rsidR="00897B7A">
              <w:rPr>
                <w:spacing w:val="-1"/>
              </w:rPr>
              <w:t xml:space="preserve"> </w:t>
            </w:r>
            <w:r w:rsidRPr="008D45D4">
              <w:t>(lm/W)</w:t>
            </w:r>
          </w:p>
        </w:tc>
        <w:tc>
          <w:tcPr>
            <w:tcW w:w="767" w:type="dxa"/>
            <w:tcBorders>
              <w:top w:val="single" w:sz="6" w:space="0" w:color="000000"/>
              <w:left w:val="single" w:sz="6" w:space="0" w:color="000000"/>
              <w:bottom w:val="single" w:sz="6" w:space="0" w:color="000000"/>
              <w:right w:val="single" w:sz="6" w:space="0" w:color="000000"/>
            </w:tcBorders>
          </w:tcPr>
          <w:p w:rsidR="00B827D0" w:rsidRDefault="00B827D0" w:rsidP="00255AA3">
            <w:pPr>
              <w:pStyle w:val="E3Tabletext"/>
              <w:rPr>
                <w:rFonts w:eastAsia="Arial" w:hAnsi="Arial" w:cs="Arial"/>
                <w:szCs w:val="13"/>
              </w:rPr>
            </w:pPr>
            <w:r>
              <w:t>50lm/W</w:t>
            </w:r>
          </w:p>
        </w:tc>
        <w:tc>
          <w:tcPr>
            <w:tcW w:w="2778" w:type="dxa"/>
            <w:gridSpan w:val="6"/>
            <w:tcBorders>
              <w:top w:val="single" w:sz="6" w:space="0" w:color="000000"/>
              <w:left w:val="single" w:sz="6" w:space="0" w:color="000000"/>
              <w:bottom w:val="single" w:sz="6" w:space="0" w:color="000000"/>
              <w:right w:val="single" w:sz="6" w:space="0" w:color="000000"/>
            </w:tcBorders>
          </w:tcPr>
          <w:p w:rsidR="00B827D0" w:rsidRDefault="00B827D0" w:rsidP="00255AA3">
            <w:pPr>
              <w:pStyle w:val="E3Tabletext"/>
              <w:rPr>
                <w:rFonts w:eastAsia="Arial"/>
              </w:rPr>
            </w:pPr>
            <w:r>
              <w:rPr>
                <w:rFonts w:eastAsia="Arial"/>
              </w:rPr>
              <w:t>≤20/8inches</w:t>
            </w:r>
            <w:r w:rsidR="00897B7A">
              <w:rPr>
                <w:rFonts w:eastAsia="Arial"/>
              </w:rPr>
              <w:t xml:space="preserve"> </w:t>
            </w:r>
            <w:r>
              <w:rPr>
                <w:rFonts w:eastAsia="Arial"/>
              </w:rPr>
              <w:t>(63mm):</w:t>
            </w:r>
            <w:r w:rsidR="00897B7A">
              <w:rPr>
                <w:rFonts w:eastAsia="Arial"/>
              </w:rPr>
              <w:t xml:space="preserve"> </w:t>
            </w:r>
            <w:r>
              <w:rPr>
                <w:rFonts w:eastAsia="Arial"/>
              </w:rPr>
              <w:t>&gt;35lm/W</w:t>
            </w:r>
          </w:p>
          <w:p w:rsidR="00B827D0" w:rsidRDefault="00B827D0" w:rsidP="00255AA3">
            <w:pPr>
              <w:pStyle w:val="E3Tabletext"/>
              <w:rPr>
                <w:rFonts w:eastAsia="Arial" w:hAnsi="Arial" w:cs="Arial"/>
                <w:szCs w:val="13"/>
              </w:rPr>
            </w:pPr>
            <w:r>
              <w:t>&gt;20/8inches</w:t>
            </w:r>
            <w:r w:rsidR="00897B7A">
              <w:t xml:space="preserve"> </w:t>
            </w:r>
            <w:r>
              <w:t>(63mm):</w:t>
            </w:r>
            <w:r w:rsidR="00897B7A">
              <w:t xml:space="preserve"> </w:t>
            </w:r>
            <w:r>
              <w:t>&gt;40lm/W</w:t>
            </w:r>
          </w:p>
        </w:tc>
        <w:tc>
          <w:tcPr>
            <w:tcW w:w="2777" w:type="dxa"/>
            <w:gridSpan w:val="6"/>
            <w:tcBorders>
              <w:top w:val="single" w:sz="6" w:space="0" w:color="000000"/>
              <w:left w:val="single" w:sz="6" w:space="0" w:color="000000"/>
              <w:bottom w:val="single" w:sz="6" w:space="0" w:color="000000"/>
              <w:right w:val="single" w:sz="6" w:space="0" w:color="000000"/>
            </w:tcBorders>
          </w:tcPr>
          <w:p w:rsidR="00B827D0" w:rsidRDefault="00B827D0" w:rsidP="00255AA3">
            <w:pPr>
              <w:pStyle w:val="E3Tabletext"/>
              <w:rPr>
                <w:rFonts w:eastAsia="Arial"/>
              </w:rPr>
            </w:pPr>
            <w:r>
              <w:rPr>
                <w:rFonts w:eastAsia="Arial"/>
              </w:rPr>
              <w:t>≤20/8inches</w:t>
            </w:r>
            <w:r w:rsidR="00897B7A">
              <w:rPr>
                <w:rFonts w:eastAsia="Arial"/>
              </w:rPr>
              <w:t xml:space="preserve"> </w:t>
            </w:r>
            <w:r>
              <w:rPr>
                <w:rFonts w:eastAsia="Arial"/>
              </w:rPr>
              <w:t>(63mm):</w:t>
            </w:r>
            <w:r w:rsidR="00897B7A">
              <w:rPr>
                <w:rFonts w:eastAsia="Arial"/>
              </w:rPr>
              <w:t xml:space="preserve"> </w:t>
            </w:r>
            <w:r>
              <w:rPr>
                <w:rFonts w:eastAsia="Arial"/>
              </w:rPr>
              <w:t>&gt;45lm/W</w:t>
            </w:r>
          </w:p>
          <w:p w:rsidR="00B827D0" w:rsidRDefault="00B827D0" w:rsidP="00255AA3">
            <w:pPr>
              <w:pStyle w:val="E3Tabletext"/>
              <w:rPr>
                <w:rFonts w:eastAsia="Arial" w:hAnsi="Arial" w:cs="Arial"/>
                <w:szCs w:val="13"/>
              </w:rPr>
            </w:pPr>
            <w:r>
              <w:t>&gt;20/8inches</w:t>
            </w:r>
            <w:r w:rsidR="00897B7A">
              <w:t xml:space="preserve"> </w:t>
            </w:r>
            <w:r>
              <w:t>(63mm):</w:t>
            </w:r>
            <w:r w:rsidR="00897B7A">
              <w:t xml:space="preserve"> </w:t>
            </w:r>
            <w:r>
              <w:t>&gt;50lm/W</w:t>
            </w:r>
          </w:p>
        </w:tc>
        <w:tc>
          <w:tcPr>
            <w:tcW w:w="2778" w:type="dxa"/>
            <w:gridSpan w:val="6"/>
            <w:tcBorders>
              <w:top w:val="single" w:sz="6" w:space="0" w:color="000000"/>
              <w:left w:val="single" w:sz="6" w:space="0" w:color="000000"/>
              <w:bottom w:val="single" w:sz="6" w:space="0" w:color="000000"/>
              <w:right w:val="single" w:sz="6" w:space="0" w:color="000000"/>
            </w:tcBorders>
          </w:tcPr>
          <w:p w:rsidR="00B827D0" w:rsidRDefault="00B827D0" w:rsidP="00255AA3">
            <w:pPr>
              <w:pStyle w:val="E3Tabletext"/>
              <w:rPr>
                <w:rFonts w:eastAsia="Arial"/>
              </w:rPr>
            </w:pPr>
            <w:r>
              <w:rPr>
                <w:rFonts w:eastAsia="Arial"/>
              </w:rPr>
              <w:t>≤20/8inches</w:t>
            </w:r>
            <w:r w:rsidR="00897B7A">
              <w:rPr>
                <w:rFonts w:eastAsia="Arial"/>
              </w:rPr>
              <w:t xml:space="preserve"> </w:t>
            </w:r>
            <w:r>
              <w:rPr>
                <w:rFonts w:eastAsia="Arial"/>
              </w:rPr>
              <w:t>(63mm):</w:t>
            </w:r>
            <w:r w:rsidR="00897B7A">
              <w:rPr>
                <w:rFonts w:eastAsia="Arial"/>
              </w:rPr>
              <w:t xml:space="preserve"> </w:t>
            </w:r>
            <w:r>
              <w:rPr>
                <w:rFonts w:eastAsia="Arial"/>
              </w:rPr>
              <w:t>&gt;55lm/W</w:t>
            </w:r>
          </w:p>
          <w:p w:rsidR="00B827D0" w:rsidRDefault="00B827D0" w:rsidP="00255AA3">
            <w:pPr>
              <w:pStyle w:val="E3Tabletext"/>
              <w:rPr>
                <w:rFonts w:eastAsia="Arial" w:hAnsi="Arial" w:cs="Arial"/>
                <w:szCs w:val="13"/>
              </w:rPr>
            </w:pPr>
            <w:r>
              <w:t>&gt;20/8inches</w:t>
            </w:r>
            <w:r w:rsidR="00897B7A">
              <w:t xml:space="preserve"> </w:t>
            </w:r>
            <w:r>
              <w:t>(63mm):</w:t>
            </w:r>
            <w:r w:rsidR="00897B7A">
              <w:t xml:space="preserve"> </w:t>
            </w:r>
            <w:r>
              <w:t>&gt;60lm/W</w:t>
            </w:r>
          </w:p>
        </w:tc>
      </w:tr>
      <w:tr w:rsidR="00897B7A" w:rsidTr="00897B7A">
        <w:trPr>
          <w:cantSplit/>
          <w:jc w:val="center"/>
        </w:trPr>
        <w:tc>
          <w:tcPr>
            <w:tcW w:w="595" w:type="dxa"/>
            <w:tcBorders>
              <w:top w:val="single" w:sz="6" w:space="0" w:color="000000"/>
              <w:left w:val="single" w:sz="6" w:space="0" w:color="000000"/>
              <w:bottom w:val="single" w:sz="6" w:space="0" w:color="000000"/>
              <w:right w:val="single" w:sz="6" w:space="0" w:color="000000"/>
            </w:tcBorders>
            <w:shd w:val="clear" w:color="auto" w:fill="D9D9D9"/>
          </w:tcPr>
          <w:p w:rsidR="00897B7A" w:rsidRPr="008D45D4" w:rsidRDefault="00897B7A" w:rsidP="00B827D0">
            <w:pPr>
              <w:pStyle w:val="E3TableSubHeading"/>
              <w:rPr>
                <w:rFonts w:eastAsia="Arial" w:cs="Arial"/>
              </w:rPr>
            </w:pPr>
            <w:r w:rsidRPr="008D45D4">
              <w:rPr>
                <w:spacing w:val="-1"/>
              </w:rPr>
              <w:t>Color</w:t>
            </w:r>
            <w:r>
              <w:rPr>
                <w:spacing w:val="-1"/>
              </w:rPr>
              <w:t xml:space="preserve"> </w:t>
            </w:r>
            <w:r w:rsidRPr="008D45D4">
              <w:t>temperature</w:t>
            </w:r>
            <w:r>
              <w:t xml:space="preserve"> </w:t>
            </w:r>
            <w:r w:rsidRPr="008D45D4">
              <w:t>target</w:t>
            </w:r>
            <w:r>
              <w:t xml:space="preserve"> </w:t>
            </w:r>
            <w:r w:rsidRPr="008D45D4">
              <w:t>(K)</w:t>
            </w:r>
            <w:r>
              <w:t xml:space="preserve"> </w:t>
            </w:r>
            <w:r w:rsidRPr="008D45D4">
              <w:rPr>
                <w:spacing w:val="-1"/>
              </w:rPr>
              <w:t>and</w:t>
            </w:r>
            <w:r>
              <w:rPr>
                <w:spacing w:val="-1"/>
              </w:rPr>
              <w:t xml:space="preserve"> </w:t>
            </w:r>
            <w:r w:rsidRPr="008D45D4">
              <w:t>tolerance</w:t>
            </w:r>
          </w:p>
        </w:tc>
        <w:tc>
          <w:tcPr>
            <w:tcW w:w="767" w:type="dxa"/>
            <w:tcBorders>
              <w:top w:val="single" w:sz="6" w:space="0" w:color="000000"/>
              <w:left w:val="single" w:sz="6" w:space="0" w:color="000000"/>
              <w:bottom w:val="single" w:sz="6" w:space="0" w:color="000000"/>
              <w:right w:val="single" w:sz="6" w:space="0" w:color="000000"/>
            </w:tcBorders>
            <w:shd w:val="clear" w:color="auto" w:fill="D9D9D9"/>
          </w:tcPr>
          <w:p w:rsidR="00897B7A" w:rsidRDefault="00897B7A" w:rsidP="00255AA3">
            <w:pPr>
              <w:pStyle w:val="E3Tabletext"/>
              <w:rPr>
                <w:rFonts w:eastAsia="Arial" w:hAnsi="Arial" w:cs="Arial"/>
                <w:szCs w:val="13"/>
              </w:rPr>
            </w:pPr>
            <w:r>
              <w:t>N/A</w:t>
            </w:r>
          </w:p>
        </w:tc>
        <w:tc>
          <w:tcPr>
            <w:tcW w:w="2778" w:type="dxa"/>
            <w:gridSpan w:val="6"/>
            <w:tcBorders>
              <w:top w:val="single" w:sz="6" w:space="0" w:color="000000"/>
              <w:left w:val="single" w:sz="6" w:space="0" w:color="000000"/>
              <w:bottom w:val="single" w:sz="6" w:space="0" w:color="000000"/>
              <w:right w:val="single" w:sz="6" w:space="0" w:color="000000"/>
            </w:tcBorders>
            <w:shd w:val="clear" w:color="auto" w:fill="D9D9D9"/>
          </w:tcPr>
          <w:p w:rsidR="00897B7A" w:rsidRDefault="00897B7A" w:rsidP="00255AA3">
            <w:pPr>
              <w:pStyle w:val="E3Tabletext"/>
              <w:rPr>
                <w:rFonts w:eastAsia="Arial"/>
              </w:rPr>
            </w:pPr>
            <w:r>
              <w:rPr>
                <w:rFonts w:eastAsia="Arial"/>
              </w:rPr>
              <w:t>Follow ANSIC 78.377, excluding flexible CCT</w:t>
            </w:r>
          </w:p>
          <w:p w:rsidR="00897B7A" w:rsidRDefault="00897B7A" w:rsidP="00255AA3">
            <w:pPr>
              <w:pStyle w:val="E3Tabletext"/>
              <w:rPr>
                <w:rFonts w:eastAsia="Arial"/>
              </w:rPr>
            </w:pPr>
            <w:r>
              <w:rPr>
                <w:rFonts w:eastAsia="Arial"/>
              </w:rPr>
              <w:t>2700K (2725±145)</w:t>
            </w:r>
          </w:p>
          <w:p w:rsidR="00897B7A" w:rsidRDefault="00897B7A" w:rsidP="00255AA3">
            <w:pPr>
              <w:pStyle w:val="E3Tabletext"/>
              <w:rPr>
                <w:rFonts w:eastAsia="Arial"/>
              </w:rPr>
            </w:pPr>
            <w:r>
              <w:rPr>
                <w:rFonts w:eastAsia="Arial"/>
              </w:rPr>
              <w:t>3000K (3045±175)</w:t>
            </w:r>
          </w:p>
          <w:p w:rsidR="00897B7A" w:rsidRDefault="00897B7A" w:rsidP="00255AA3">
            <w:pPr>
              <w:pStyle w:val="E3Tabletext"/>
              <w:rPr>
                <w:rFonts w:eastAsia="Arial"/>
              </w:rPr>
            </w:pPr>
            <w:r>
              <w:rPr>
                <w:rFonts w:eastAsia="Arial"/>
              </w:rPr>
              <w:t>3500K (3465±245)</w:t>
            </w:r>
          </w:p>
          <w:p w:rsidR="00897B7A" w:rsidRDefault="00897B7A" w:rsidP="00255AA3">
            <w:pPr>
              <w:pStyle w:val="E3Tabletext"/>
              <w:rPr>
                <w:rFonts w:eastAsia="Arial"/>
              </w:rPr>
            </w:pPr>
            <w:r>
              <w:rPr>
                <w:rFonts w:eastAsia="Arial"/>
              </w:rPr>
              <w:t>4000K (3985±275)</w:t>
            </w:r>
          </w:p>
          <w:p w:rsidR="00897B7A" w:rsidRDefault="00897B7A" w:rsidP="00255AA3">
            <w:pPr>
              <w:pStyle w:val="E3Tabletext"/>
              <w:rPr>
                <w:rFonts w:eastAsia="Arial"/>
              </w:rPr>
            </w:pPr>
            <w:r>
              <w:rPr>
                <w:rFonts w:eastAsia="Arial"/>
              </w:rPr>
              <w:t>5000K (5028±283)</w:t>
            </w:r>
          </w:p>
          <w:p w:rsidR="00897B7A" w:rsidRDefault="00897B7A" w:rsidP="00255AA3">
            <w:pPr>
              <w:pStyle w:val="E3Tabletext"/>
              <w:rPr>
                <w:rFonts w:eastAsia="Arial"/>
              </w:rPr>
            </w:pPr>
            <w:r>
              <w:rPr>
                <w:rFonts w:eastAsia="Arial"/>
              </w:rPr>
              <w:t>5700K (5665±355)</w:t>
            </w:r>
          </w:p>
          <w:p w:rsidR="00897B7A" w:rsidRDefault="00897B7A" w:rsidP="00255AA3">
            <w:pPr>
              <w:pStyle w:val="E3Tabletext"/>
              <w:rPr>
                <w:rFonts w:eastAsia="Arial"/>
              </w:rPr>
            </w:pPr>
            <w:r>
              <w:rPr>
                <w:rFonts w:eastAsia="Arial"/>
              </w:rPr>
              <w:t>6500K (6530±510)</w:t>
            </w:r>
          </w:p>
        </w:tc>
        <w:tc>
          <w:tcPr>
            <w:tcW w:w="2777" w:type="dxa"/>
            <w:gridSpan w:val="6"/>
            <w:tcBorders>
              <w:top w:val="single" w:sz="6" w:space="0" w:color="000000"/>
              <w:left w:val="single" w:sz="6" w:space="0" w:color="000000"/>
              <w:bottom w:val="single" w:sz="6" w:space="0" w:color="000000"/>
              <w:right w:val="single" w:sz="6" w:space="0" w:color="000000"/>
            </w:tcBorders>
            <w:shd w:val="clear" w:color="auto" w:fill="D9D9D9"/>
          </w:tcPr>
          <w:p w:rsidR="00897B7A" w:rsidRDefault="00897B7A" w:rsidP="00255AA3">
            <w:pPr>
              <w:pStyle w:val="E3Tabletext"/>
              <w:rPr>
                <w:rFonts w:eastAsia="Arial"/>
              </w:rPr>
            </w:pPr>
            <w:r>
              <w:rPr>
                <w:rFonts w:eastAsia="Arial"/>
              </w:rPr>
              <w:t>Follow ANSIC 78.377, excluding flexible CCT</w:t>
            </w:r>
          </w:p>
          <w:p w:rsidR="00897B7A" w:rsidRDefault="00897B7A" w:rsidP="00255AA3">
            <w:pPr>
              <w:pStyle w:val="E3Tabletext"/>
              <w:rPr>
                <w:rFonts w:eastAsia="Arial"/>
              </w:rPr>
            </w:pPr>
            <w:r>
              <w:rPr>
                <w:rFonts w:eastAsia="Arial"/>
              </w:rPr>
              <w:t>2700K (2725±145)</w:t>
            </w:r>
          </w:p>
          <w:p w:rsidR="00897B7A" w:rsidRDefault="00897B7A" w:rsidP="00255AA3">
            <w:pPr>
              <w:pStyle w:val="E3Tabletext"/>
              <w:rPr>
                <w:rFonts w:eastAsia="Arial"/>
              </w:rPr>
            </w:pPr>
            <w:r>
              <w:rPr>
                <w:rFonts w:eastAsia="Arial"/>
              </w:rPr>
              <w:t>3000K (3045±175)</w:t>
            </w:r>
          </w:p>
          <w:p w:rsidR="00897B7A" w:rsidRDefault="00897B7A" w:rsidP="00255AA3">
            <w:pPr>
              <w:pStyle w:val="E3Tabletext"/>
              <w:rPr>
                <w:rFonts w:eastAsia="Arial"/>
              </w:rPr>
            </w:pPr>
            <w:r>
              <w:rPr>
                <w:rFonts w:eastAsia="Arial"/>
              </w:rPr>
              <w:t>3500K (3465±245)</w:t>
            </w:r>
          </w:p>
          <w:p w:rsidR="00897B7A" w:rsidRDefault="00897B7A" w:rsidP="00255AA3">
            <w:pPr>
              <w:pStyle w:val="E3Tabletext"/>
              <w:rPr>
                <w:rFonts w:eastAsia="Arial"/>
              </w:rPr>
            </w:pPr>
            <w:r>
              <w:rPr>
                <w:rFonts w:eastAsia="Arial"/>
              </w:rPr>
              <w:t>4000K (3985±275)</w:t>
            </w:r>
          </w:p>
          <w:p w:rsidR="00897B7A" w:rsidRDefault="00897B7A" w:rsidP="00255AA3">
            <w:pPr>
              <w:pStyle w:val="E3Tabletext"/>
              <w:rPr>
                <w:rFonts w:eastAsia="Arial"/>
              </w:rPr>
            </w:pPr>
            <w:r>
              <w:rPr>
                <w:rFonts w:eastAsia="Arial"/>
              </w:rPr>
              <w:t>5000K (5028±283)</w:t>
            </w:r>
          </w:p>
          <w:p w:rsidR="00897B7A" w:rsidRDefault="00897B7A" w:rsidP="00255AA3">
            <w:pPr>
              <w:pStyle w:val="E3Tabletext"/>
              <w:rPr>
                <w:rFonts w:eastAsia="Arial"/>
              </w:rPr>
            </w:pPr>
            <w:r>
              <w:rPr>
                <w:rFonts w:eastAsia="Arial"/>
              </w:rPr>
              <w:t>5700K (5665±355)</w:t>
            </w:r>
          </w:p>
          <w:p w:rsidR="00897B7A" w:rsidRDefault="00897B7A" w:rsidP="00255AA3">
            <w:pPr>
              <w:pStyle w:val="E3Tabletext"/>
              <w:rPr>
                <w:rFonts w:eastAsia="Arial"/>
              </w:rPr>
            </w:pPr>
            <w:r>
              <w:rPr>
                <w:rFonts w:eastAsia="Arial"/>
              </w:rPr>
              <w:t>6500K (6530±510)</w:t>
            </w:r>
          </w:p>
        </w:tc>
        <w:tc>
          <w:tcPr>
            <w:tcW w:w="2778" w:type="dxa"/>
            <w:gridSpan w:val="6"/>
            <w:tcBorders>
              <w:top w:val="single" w:sz="6" w:space="0" w:color="000000"/>
              <w:left w:val="single" w:sz="6" w:space="0" w:color="000000"/>
              <w:bottom w:val="single" w:sz="6" w:space="0" w:color="000000"/>
              <w:right w:val="single" w:sz="6" w:space="0" w:color="000000"/>
            </w:tcBorders>
            <w:shd w:val="clear" w:color="auto" w:fill="D9D9D9"/>
          </w:tcPr>
          <w:p w:rsidR="00897B7A" w:rsidRDefault="00897B7A" w:rsidP="00255AA3">
            <w:pPr>
              <w:pStyle w:val="E3Tabletext"/>
              <w:rPr>
                <w:rFonts w:eastAsia="Arial" w:hAnsi="Arial" w:cs="Arial"/>
                <w:szCs w:val="13"/>
              </w:rPr>
            </w:pPr>
            <w:r>
              <w:t>Follow ANSIC 78.377-2011</w:t>
            </w:r>
          </w:p>
          <w:p w:rsidR="00897B7A" w:rsidRDefault="00897B7A" w:rsidP="00255AA3">
            <w:pPr>
              <w:pStyle w:val="E3Tabletext"/>
              <w:rPr>
                <w:rFonts w:eastAsia="Arial" w:hAnsi="Arial" w:cs="Arial"/>
                <w:szCs w:val="13"/>
              </w:rPr>
            </w:pPr>
            <w:r>
              <w:t>Table 6A, for 4-step quadrangle excluding flexible CCT</w:t>
            </w:r>
          </w:p>
          <w:p w:rsidR="00897B7A" w:rsidRDefault="00897B7A" w:rsidP="00255AA3">
            <w:pPr>
              <w:pStyle w:val="E3Tabletext"/>
              <w:rPr>
                <w:rFonts w:eastAsia="Arial"/>
              </w:rPr>
            </w:pPr>
            <w:r>
              <w:rPr>
                <w:rFonts w:eastAsia="Arial"/>
              </w:rPr>
              <w:t>2700K (2723 ±82)</w:t>
            </w:r>
          </w:p>
          <w:p w:rsidR="00897B7A" w:rsidRDefault="00897B7A" w:rsidP="00255AA3">
            <w:pPr>
              <w:pStyle w:val="E3Tabletext"/>
              <w:rPr>
                <w:rFonts w:eastAsia="Arial"/>
              </w:rPr>
            </w:pPr>
            <w:r>
              <w:rPr>
                <w:rFonts w:eastAsia="Arial"/>
              </w:rPr>
              <w:t>3000K (2940 ±98)</w:t>
            </w:r>
          </w:p>
          <w:p w:rsidR="00897B7A" w:rsidRDefault="00897B7A" w:rsidP="00255AA3">
            <w:pPr>
              <w:pStyle w:val="E3Tabletext"/>
              <w:rPr>
                <w:rFonts w:eastAsia="Arial"/>
              </w:rPr>
            </w:pPr>
            <w:r>
              <w:rPr>
                <w:rFonts w:eastAsia="Arial"/>
              </w:rPr>
              <w:t>3500K (3397±125)</w:t>
            </w:r>
          </w:p>
          <w:p w:rsidR="00897B7A" w:rsidRDefault="00897B7A" w:rsidP="00255AA3">
            <w:pPr>
              <w:pStyle w:val="E3Tabletext"/>
              <w:rPr>
                <w:rFonts w:eastAsia="Arial"/>
              </w:rPr>
            </w:pPr>
            <w:r>
              <w:rPr>
                <w:rFonts w:eastAsia="Arial"/>
              </w:rPr>
              <w:t>4000K (4036±154)</w:t>
            </w:r>
          </w:p>
          <w:p w:rsidR="00897B7A" w:rsidRDefault="00897B7A" w:rsidP="00255AA3">
            <w:pPr>
              <w:pStyle w:val="E3Tabletext"/>
              <w:rPr>
                <w:rFonts w:eastAsia="Arial"/>
              </w:rPr>
            </w:pPr>
            <w:r>
              <w:rPr>
                <w:rFonts w:eastAsia="Arial"/>
              </w:rPr>
              <w:t>5000K (4991±220)</w:t>
            </w:r>
          </w:p>
          <w:p w:rsidR="00897B7A" w:rsidRDefault="00897B7A" w:rsidP="00255AA3">
            <w:pPr>
              <w:pStyle w:val="E3Tabletext"/>
              <w:rPr>
                <w:rFonts w:eastAsia="Arial"/>
              </w:rPr>
            </w:pPr>
            <w:r>
              <w:rPr>
                <w:rFonts w:eastAsia="Arial"/>
              </w:rPr>
              <w:t>5700K (5665±270)</w:t>
            </w:r>
          </w:p>
          <w:p w:rsidR="00897B7A" w:rsidRDefault="00897B7A" w:rsidP="00255AA3">
            <w:pPr>
              <w:pStyle w:val="E3Tabletext"/>
              <w:rPr>
                <w:rFonts w:eastAsia="Arial"/>
              </w:rPr>
            </w:pPr>
            <w:r>
              <w:rPr>
                <w:rFonts w:eastAsia="Arial"/>
              </w:rPr>
              <w:t>6500K (6432±340)</w:t>
            </w:r>
          </w:p>
        </w:tc>
      </w:tr>
      <w:tr w:rsidR="00897B7A" w:rsidTr="00897B7A">
        <w:trPr>
          <w:cantSplit/>
          <w:jc w:val="center"/>
        </w:trPr>
        <w:tc>
          <w:tcPr>
            <w:tcW w:w="595" w:type="dxa"/>
            <w:tcBorders>
              <w:top w:val="single" w:sz="6" w:space="0" w:color="000000"/>
              <w:left w:val="single" w:sz="6" w:space="0" w:color="000000"/>
              <w:bottom w:val="single" w:sz="6" w:space="0" w:color="000000"/>
              <w:right w:val="single" w:sz="6" w:space="0" w:color="000000"/>
            </w:tcBorders>
          </w:tcPr>
          <w:p w:rsidR="00897B7A" w:rsidRPr="008D45D4" w:rsidRDefault="00897B7A" w:rsidP="00B827D0">
            <w:pPr>
              <w:pStyle w:val="E3TableSubHeading"/>
              <w:rPr>
                <w:rFonts w:eastAsia="Arial" w:cs="Arial"/>
              </w:rPr>
            </w:pPr>
            <w:r w:rsidRPr="008D45D4">
              <w:rPr>
                <w:rFonts w:eastAsia="Arial" w:cs="Arial"/>
                <w:bCs/>
                <w:spacing w:val="-1"/>
              </w:rPr>
              <w:t>Chromaticity</w:t>
            </w:r>
            <w:r>
              <w:rPr>
                <w:rFonts w:eastAsia="Arial" w:cs="Arial"/>
                <w:bCs/>
                <w:spacing w:val="-1"/>
              </w:rPr>
              <w:t xml:space="preserve"> </w:t>
            </w:r>
            <w:r w:rsidRPr="008D45D4">
              <w:rPr>
                <w:rFonts w:eastAsia="Arial" w:cs="Arial"/>
                <w:bCs/>
              </w:rPr>
              <w:t>tolerance</w:t>
            </w:r>
            <w:r>
              <w:rPr>
                <w:rFonts w:eastAsia="Arial" w:cs="Arial"/>
                <w:bCs/>
              </w:rPr>
              <w:t xml:space="preserve"> </w:t>
            </w:r>
            <w:r w:rsidRPr="008D45D4">
              <w:rPr>
                <w:rFonts w:eastAsia="Arial" w:cs="Arial"/>
                <w:bCs/>
              </w:rPr>
              <w:t>(Du’v’)</w:t>
            </w:r>
          </w:p>
        </w:tc>
        <w:tc>
          <w:tcPr>
            <w:tcW w:w="767" w:type="dxa"/>
            <w:tcBorders>
              <w:top w:val="single" w:sz="6" w:space="0" w:color="000000"/>
              <w:left w:val="single" w:sz="6" w:space="0" w:color="000000"/>
              <w:bottom w:val="single" w:sz="6" w:space="0" w:color="000000"/>
              <w:right w:val="single" w:sz="6" w:space="0" w:color="000000"/>
            </w:tcBorders>
          </w:tcPr>
          <w:p w:rsidR="00897B7A" w:rsidRDefault="00897B7A" w:rsidP="00255AA3">
            <w:pPr>
              <w:pStyle w:val="E3Tabletext"/>
              <w:rPr>
                <w:rFonts w:eastAsia="Arial" w:hAnsi="Arial" w:cs="Arial"/>
                <w:szCs w:val="13"/>
              </w:rPr>
            </w:pPr>
            <w:r>
              <w:t>N/A</w:t>
            </w:r>
          </w:p>
        </w:tc>
        <w:tc>
          <w:tcPr>
            <w:tcW w:w="2778" w:type="dxa"/>
            <w:gridSpan w:val="6"/>
            <w:tcBorders>
              <w:top w:val="single" w:sz="6" w:space="0" w:color="000000"/>
              <w:left w:val="single" w:sz="6" w:space="0" w:color="000000"/>
              <w:bottom w:val="single" w:sz="6" w:space="0" w:color="000000"/>
              <w:right w:val="single" w:sz="6" w:space="0" w:color="000000"/>
            </w:tcBorders>
          </w:tcPr>
          <w:p w:rsidR="00897B7A" w:rsidRDefault="00897B7A" w:rsidP="00255AA3">
            <w:pPr>
              <w:pStyle w:val="E3Tabletext"/>
              <w:rPr>
                <w:rFonts w:eastAsia="Arial"/>
                <w:w w:val="105"/>
              </w:rPr>
            </w:pPr>
            <w:r>
              <w:rPr>
                <w:rFonts w:eastAsia="Arial"/>
                <w:w w:val="105"/>
              </w:rPr>
              <w:t>Follow ANSIC 78.377, excluding flexible CCT</w:t>
            </w:r>
          </w:p>
          <w:p w:rsidR="00897B7A" w:rsidRDefault="00897B7A" w:rsidP="00255AA3">
            <w:pPr>
              <w:pStyle w:val="E3Tabletext"/>
              <w:rPr>
                <w:rFonts w:eastAsia="Arial"/>
              </w:rPr>
            </w:pPr>
            <w:r>
              <w:rPr>
                <w:rFonts w:eastAsia="Arial"/>
                <w:w w:val="105"/>
              </w:rPr>
              <w:t>0.000 ± 0.006</w:t>
            </w:r>
          </w:p>
          <w:p w:rsidR="00897B7A" w:rsidRDefault="00897B7A" w:rsidP="00255AA3">
            <w:pPr>
              <w:pStyle w:val="E3Tabletext"/>
              <w:rPr>
                <w:rFonts w:eastAsia="Arial"/>
              </w:rPr>
            </w:pPr>
            <w:r>
              <w:rPr>
                <w:rFonts w:eastAsia="Arial"/>
                <w:w w:val="105"/>
              </w:rPr>
              <w:t>0.000 ± 0.006</w:t>
            </w:r>
          </w:p>
          <w:p w:rsidR="00897B7A" w:rsidRDefault="00897B7A" w:rsidP="00255AA3">
            <w:pPr>
              <w:pStyle w:val="E3Tabletext"/>
              <w:rPr>
                <w:rFonts w:eastAsia="Arial"/>
              </w:rPr>
            </w:pPr>
            <w:r>
              <w:rPr>
                <w:rFonts w:eastAsia="Arial"/>
                <w:w w:val="105"/>
              </w:rPr>
              <w:t>0.000 ± 0.006</w:t>
            </w:r>
          </w:p>
          <w:p w:rsidR="00897B7A" w:rsidRDefault="00897B7A" w:rsidP="00255AA3">
            <w:pPr>
              <w:pStyle w:val="E3Tabletext"/>
              <w:rPr>
                <w:rFonts w:eastAsia="Arial"/>
              </w:rPr>
            </w:pPr>
            <w:r>
              <w:rPr>
                <w:rFonts w:eastAsia="Arial"/>
                <w:w w:val="105"/>
              </w:rPr>
              <w:t>0.001 ± 0.006</w:t>
            </w:r>
          </w:p>
          <w:p w:rsidR="00897B7A" w:rsidRDefault="00897B7A" w:rsidP="00255AA3">
            <w:pPr>
              <w:pStyle w:val="E3Tabletext"/>
              <w:rPr>
                <w:rFonts w:eastAsia="Arial"/>
              </w:rPr>
            </w:pPr>
            <w:r>
              <w:rPr>
                <w:rFonts w:eastAsia="Arial"/>
                <w:w w:val="105"/>
              </w:rPr>
              <w:t>0.002 ± 0.006</w:t>
            </w:r>
          </w:p>
          <w:p w:rsidR="00897B7A" w:rsidRDefault="00897B7A" w:rsidP="00255AA3">
            <w:pPr>
              <w:pStyle w:val="E3Tabletext"/>
              <w:rPr>
                <w:rFonts w:eastAsia="Arial"/>
              </w:rPr>
            </w:pPr>
            <w:r>
              <w:rPr>
                <w:rFonts w:eastAsia="Arial"/>
                <w:w w:val="105"/>
              </w:rPr>
              <w:t>0.002 ± 0.006</w:t>
            </w:r>
          </w:p>
          <w:p w:rsidR="00897B7A" w:rsidRDefault="00897B7A" w:rsidP="00255AA3">
            <w:pPr>
              <w:pStyle w:val="E3Tabletext"/>
              <w:rPr>
                <w:rFonts w:eastAsia="Arial"/>
              </w:rPr>
            </w:pPr>
            <w:r>
              <w:rPr>
                <w:rFonts w:eastAsia="Arial"/>
                <w:w w:val="105"/>
              </w:rPr>
              <w:t>0.003 ± 0.006</w:t>
            </w:r>
          </w:p>
        </w:tc>
        <w:tc>
          <w:tcPr>
            <w:tcW w:w="2777" w:type="dxa"/>
            <w:gridSpan w:val="6"/>
            <w:tcBorders>
              <w:top w:val="single" w:sz="6" w:space="0" w:color="000000"/>
              <w:left w:val="single" w:sz="6" w:space="0" w:color="000000"/>
              <w:bottom w:val="single" w:sz="6" w:space="0" w:color="000000"/>
              <w:right w:val="single" w:sz="6" w:space="0" w:color="000000"/>
            </w:tcBorders>
          </w:tcPr>
          <w:p w:rsidR="00897B7A" w:rsidRDefault="00897B7A" w:rsidP="00255AA3">
            <w:pPr>
              <w:pStyle w:val="E3Tabletext"/>
              <w:rPr>
                <w:rFonts w:eastAsia="Arial"/>
                <w:w w:val="105"/>
              </w:rPr>
            </w:pPr>
            <w:r>
              <w:rPr>
                <w:rFonts w:eastAsia="Arial"/>
                <w:w w:val="105"/>
              </w:rPr>
              <w:t>Follow ANSIC 78.377, excluding flexible CCT</w:t>
            </w:r>
          </w:p>
          <w:p w:rsidR="00897B7A" w:rsidRDefault="00897B7A" w:rsidP="00255AA3">
            <w:pPr>
              <w:pStyle w:val="E3Tabletext"/>
              <w:rPr>
                <w:rFonts w:eastAsia="Arial"/>
              </w:rPr>
            </w:pPr>
            <w:r>
              <w:rPr>
                <w:rFonts w:eastAsia="Arial"/>
                <w:w w:val="105"/>
              </w:rPr>
              <w:t>0.000 ± 0.006</w:t>
            </w:r>
          </w:p>
          <w:p w:rsidR="00897B7A" w:rsidRDefault="00897B7A" w:rsidP="00255AA3">
            <w:pPr>
              <w:pStyle w:val="E3Tabletext"/>
              <w:rPr>
                <w:rFonts w:eastAsia="Arial"/>
              </w:rPr>
            </w:pPr>
            <w:r>
              <w:rPr>
                <w:rFonts w:eastAsia="Arial"/>
                <w:w w:val="105"/>
              </w:rPr>
              <w:t>0.000 ± 0.006</w:t>
            </w:r>
          </w:p>
          <w:p w:rsidR="00897B7A" w:rsidRDefault="00897B7A" w:rsidP="00255AA3">
            <w:pPr>
              <w:pStyle w:val="E3Tabletext"/>
              <w:rPr>
                <w:rFonts w:eastAsia="Arial"/>
              </w:rPr>
            </w:pPr>
            <w:r>
              <w:rPr>
                <w:rFonts w:eastAsia="Arial"/>
                <w:w w:val="105"/>
              </w:rPr>
              <w:t>0.000 ± 0.006</w:t>
            </w:r>
          </w:p>
          <w:p w:rsidR="00897B7A" w:rsidRDefault="00897B7A" w:rsidP="00255AA3">
            <w:pPr>
              <w:pStyle w:val="E3Tabletext"/>
              <w:rPr>
                <w:rFonts w:eastAsia="Arial"/>
              </w:rPr>
            </w:pPr>
            <w:r>
              <w:rPr>
                <w:rFonts w:eastAsia="Arial"/>
                <w:w w:val="105"/>
              </w:rPr>
              <w:t>0.001 ± 0.006</w:t>
            </w:r>
          </w:p>
          <w:p w:rsidR="00897B7A" w:rsidRDefault="00897B7A" w:rsidP="00255AA3">
            <w:pPr>
              <w:pStyle w:val="E3Tabletext"/>
              <w:rPr>
                <w:rFonts w:eastAsia="Arial"/>
              </w:rPr>
            </w:pPr>
            <w:r>
              <w:rPr>
                <w:rFonts w:eastAsia="Arial"/>
                <w:w w:val="105"/>
              </w:rPr>
              <w:t>0.002 ± 0.006</w:t>
            </w:r>
          </w:p>
          <w:p w:rsidR="00897B7A" w:rsidRDefault="00897B7A" w:rsidP="00255AA3">
            <w:pPr>
              <w:pStyle w:val="E3Tabletext"/>
              <w:rPr>
                <w:rFonts w:eastAsia="Arial"/>
              </w:rPr>
            </w:pPr>
            <w:r>
              <w:rPr>
                <w:rFonts w:eastAsia="Arial"/>
                <w:w w:val="105"/>
              </w:rPr>
              <w:t>0.002 ± 0.006</w:t>
            </w:r>
          </w:p>
          <w:p w:rsidR="00897B7A" w:rsidRDefault="00897B7A" w:rsidP="00255AA3">
            <w:pPr>
              <w:pStyle w:val="E3Tabletext"/>
              <w:rPr>
                <w:rFonts w:eastAsia="Arial"/>
              </w:rPr>
            </w:pPr>
            <w:r>
              <w:rPr>
                <w:rFonts w:eastAsia="Arial"/>
                <w:w w:val="105"/>
              </w:rPr>
              <w:t>0.003 ± 0.006</w:t>
            </w:r>
          </w:p>
        </w:tc>
        <w:tc>
          <w:tcPr>
            <w:tcW w:w="2778" w:type="dxa"/>
            <w:gridSpan w:val="6"/>
            <w:tcBorders>
              <w:top w:val="single" w:sz="6" w:space="0" w:color="000000"/>
              <w:left w:val="single" w:sz="6" w:space="0" w:color="000000"/>
              <w:bottom w:val="single" w:sz="6" w:space="0" w:color="000000"/>
              <w:right w:val="single" w:sz="6" w:space="0" w:color="000000"/>
            </w:tcBorders>
          </w:tcPr>
          <w:p w:rsidR="00897B7A" w:rsidRDefault="00897B7A" w:rsidP="00255AA3">
            <w:pPr>
              <w:pStyle w:val="E3Tabletext"/>
              <w:rPr>
                <w:rFonts w:eastAsia="Arial" w:hAnsi="Arial" w:cs="Arial"/>
                <w:szCs w:val="13"/>
              </w:rPr>
            </w:pPr>
            <w:r>
              <w:rPr>
                <w:w w:val="105"/>
              </w:rPr>
              <w:t>followANSIC78.377-2011</w:t>
            </w:r>
          </w:p>
          <w:p w:rsidR="00897B7A" w:rsidRDefault="00897B7A" w:rsidP="00255AA3">
            <w:pPr>
              <w:pStyle w:val="E3Tabletext"/>
              <w:rPr>
                <w:rFonts w:eastAsia="Arial" w:hAnsi="Arial" w:cs="Arial"/>
                <w:szCs w:val="13"/>
              </w:rPr>
            </w:pPr>
            <w:r>
              <w:rPr>
                <w:w w:val="105"/>
              </w:rPr>
              <w:t>Table6A,for4-stepquadrangleexcludingflexibleCCT</w:t>
            </w:r>
          </w:p>
          <w:p w:rsidR="00897B7A" w:rsidRDefault="00897B7A" w:rsidP="00255AA3">
            <w:pPr>
              <w:pStyle w:val="E3Tabletext"/>
              <w:rPr>
                <w:rFonts w:eastAsia="Arial"/>
              </w:rPr>
            </w:pPr>
            <w:r>
              <w:rPr>
                <w:rFonts w:eastAsia="Arial"/>
                <w:w w:val="105"/>
              </w:rPr>
              <w:t>0.0006±0.0033</w:t>
            </w:r>
          </w:p>
          <w:p w:rsidR="00897B7A" w:rsidRDefault="00897B7A" w:rsidP="00255AA3">
            <w:pPr>
              <w:pStyle w:val="E3Tabletext"/>
              <w:rPr>
                <w:rFonts w:eastAsia="Arial"/>
              </w:rPr>
            </w:pPr>
            <w:r>
              <w:rPr>
                <w:rFonts w:eastAsia="Arial"/>
                <w:w w:val="105"/>
              </w:rPr>
              <w:t>-0.0008±0.0033</w:t>
            </w:r>
          </w:p>
          <w:p w:rsidR="00897B7A" w:rsidRDefault="00897B7A" w:rsidP="00255AA3">
            <w:pPr>
              <w:pStyle w:val="E3Tabletext"/>
              <w:rPr>
                <w:rFonts w:eastAsia="Arial"/>
              </w:rPr>
            </w:pPr>
            <w:r>
              <w:rPr>
                <w:rFonts w:eastAsia="Arial"/>
                <w:w w:val="105"/>
              </w:rPr>
              <w:t>-0.0002±0.0033</w:t>
            </w:r>
          </w:p>
          <w:p w:rsidR="00897B7A" w:rsidRDefault="00897B7A" w:rsidP="00255AA3">
            <w:pPr>
              <w:pStyle w:val="E3Tabletext"/>
              <w:rPr>
                <w:rFonts w:eastAsia="Arial"/>
              </w:rPr>
            </w:pPr>
            <w:r>
              <w:rPr>
                <w:rFonts w:eastAsia="Arial"/>
                <w:w w:val="105"/>
              </w:rPr>
              <w:t>0.0016±0.0033</w:t>
            </w:r>
          </w:p>
          <w:p w:rsidR="00897B7A" w:rsidRDefault="00897B7A" w:rsidP="00255AA3">
            <w:pPr>
              <w:pStyle w:val="E3Tabletext"/>
              <w:rPr>
                <w:rFonts w:eastAsia="Arial"/>
              </w:rPr>
            </w:pPr>
            <w:r>
              <w:rPr>
                <w:rFonts w:eastAsia="Arial"/>
                <w:w w:val="105"/>
              </w:rPr>
              <w:t>0.0033±0.0033</w:t>
            </w:r>
          </w:p>
          <w:p w:rsidR="00897B7A" w:rsidRDefault="00897B7A" w:rsidP="00255AA3">
            <w:pPr>
              <w:pStyle w:val="E3Tabletext"/>
              <w:rPr>
                <w:rFonts w:eastAsia="Arial"/>
              </w:rPr>
            </w:pPr>
            <w:r>
              <w:rPr>
                <w:rFonts w:eastAsia="Arial"/>
                <w:w w:val="105"/>
              </w:rPr>
              <w:t>0.0024±0.0033</w:t>
            </w:r>
          </w:p>
          <w:p w:rsidR="00897B7A" w:rsidRDefault="00897B7A" w:rsidP="00255AA3">
            <w:pPr>
              <w:pStyle w:val="E3Tabletext"/>
              <w:rPr>
                <w:rFonts w:eastAsia="Arial"/>
              </w:rPr>
            </w:pPr>
            <w:r>
              <w:rPr>
                <w:rFonts w:eastAsia="Arial"/>
                <w:w w:val="105"/>
              </w:rPr>
              <w:t>0.0071±0.0033</w:t>
            </w:r>
          </w:p>
        </w:tc>
      </w:tr>
      <w:tr w:rsidR="00394F55" w:rsidTr="00897B7A">
        <w:trPr>
          <w:cantSplit/>
          <w:jc w:val="center"/>
        </w:trPr>
        <w:tc>
          <w:tcPr>
            <w:tcW w:w="595" w:type="dxa"/>
            <w:tcBorders>
              <w:top w:val="single" w:sz="6" w:space="0" w:color="000000"/>
              <w:left w:val="single" w:sz="6" w:space="0" w:color="000000"/>
              <w:bottom w:val="single" w:sz="6" w:space="0" w:color="000000"/>
              <w:right w:val="single" w:sz="6" w:space="0" w:color="000000"/>
            </w:tcBorders>
            <w:shd w:val="clear" w:color="auto" w:fill="D9D9D9"/>
          </w:tcPr>
          <w:p w:rsidR="00394F55" w:rsidRPr="008D45D4" w:rsidRDefault="00394F55" w:rsidP="00D45FEE">
            <w:pPr>
              <w:pStyle w:val="E3TableSubHeading"/>
              <w:rPr>
                <w:rFonts w:eastAsia="Arial" w:cs="Arial"/>
              </w:rPr>
            </w:pPr>
            <w:r w:rsidRPr="008D45D4">
              <w:rPr>
                <w:spacing w:val="-1"/>
              </w:rPr>
              <w:t>Colo</w:t>
            </w:r>
            <w:r>
              <w:rPr>
                <w:spacing w:val="-1"/>
              </w:rPr>
              <w:t>u</w:t>
            </w:r>
            <w:r w:rsidRPr="008D45D4">
              <w:rPr>
                <w:spacing w:val="-1"/>
              </w:rPr>
              <w:t>r</w:t>
            </w:r>
            <w:r>
              <w:rPr>
                <w:spacing w:val="-1"/>
              </w:rPr>
              <w:t xml:space="preserve"> </w:t>
            </w:r>
            <w:r w:rsidRPr="008D45D4">
              <w:rPr>
                <w:spacing w:val="-1"/>
              </w:rPr>
              <w:t>spa</w:t>
            </w:r>
            <w:r>
              <w:rPr>
                <w:spacing w:val="-1"/>
              </w:rPr>
              <w:t>t</w:t>
            </w:r>
            <w:r w:rsidRPr="008D45D4">
              <w:rPr>
                <w:spacing w:val="-1"/>
              </w:rPr>
              <w:t>ial</w:t>
            </w:r>
            <w:r>
              <w:rPr>
                <w:spacing w:val="-1"/>
              </w:rPr>
              <w:t xml:space="preserve"> </w:t>
            </w:r>
            <w:r w:rsidRPr="008D45D4">
              <w:t>uniformity</w:t>
            </w:r>
          </w:p>
        </w:tc>
        <w:tc>
          <w:tcPr>
            <w:tcW w:w="767" w:type="dxa"/>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t>N/A</w:t>
            </w:r>
          </w:p>
        </w:tc>
        <w:tc>
          <w:tcPr>
            <w:tcW w:w="2778" w:type="dxa"/>
            <w:gridSpan w:val="6"/>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t>The variation of chromaticity across the beam and field angles shall be within 0.007 from the weighted average point on the CIE 1976 (u'v') diagram</w:t>
            </w:r>
          </w:p>
        </w:tc>
        <w:tc>
          <w:tcPr>
            <w:tcW w:w="2777" w:type="dxa"/>
            <w:gridSpan w:val="6"/>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t>The variation of chromaticity across the beam and field angles shall be within 0.007 from the weighted average point on the CIE 1976 (u'v') diagram</w:t>
            </w:r>
          </w:p>
        </w:tc>
        <w:tc>
          <w:tcPr>
            <w:tcW w:w="2778" w:type="dxa"/>
            <w:gridSpan w:val="6"/>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t>The variation of chromaticity across the beam and field angles shall be within 0.004 from the weighted average point on the CIE 1976 (u'v') diagram</w:t>
            </w:r>
          </w:p>
        </w:tc>
      </w:tr>
      <w:tr w:rsidR="006141F3" w:rsidTr="00897B7A">
        <w:trPr>
          <w:cantSplit/>
          <w:jc w:val="center"/>
        </w:trPr>
        <w:tc>
          <w:tcPr>
            <w:tcW w:w="595" w:type="dxa"/>
            <w:tcBorders>
              <w:top w:val="single" w:sz="6" w:space="0" w:color="000000"/>
              <w:left w:val="single" w:sz="6" w:space="0" w:color="000000"/>
              <w:bottom w:val="single" w:sz="6" w:space="0" w:color="000000"/>
              <w:right w:val="single" w:sz="6" w:space="0" w:color="000000"/>
            </w:tcBorders>
          </w:tcPr>
          <w:p w:rsidR="00B827D0" w:rsidRPr="008D45D4" w:rsidRDefault="00B827D0" w:rsidP="00B827D0">
            <w:pPr>
              <w:pStyle w:val="E3TableSubHeading"/>
              <w:rPr>
                <w:rFonts w:eastAsia="Arial" w:cs="Arial"/>
              </w:rPr>
            </w:pPr>
            <w:r w:rsidRPr="008D45D4">
              <w:rPr>
                <w:spacing w:val="-1"/>
              </w:rPr>
              <w:t>Colo</w:t>
            </w:r>
            <w:r w:rsidR="00394F55">
              <w:rPr>
                <w:spacing w:val="-1"/>
              </w:rPr>
              <w:t>u</w:t>
            </w:r>
            <w:r w:rsidRPr="008D45D4">
              <w:rPr>
                <w:spacing w:val="-1"/>
              </w:rPr>
              <w:t>r</w:t>
            </w:r>
            <w:r w:rsidR="00394F55">
              <w:rPr>
                <w:spacing w:val="-1"/>
              </w:rPr>
              <w:t xml:space="preserve"> </w:t>
            </w:r>
            <w:r w:rsidRPr="008D45D4">
              <w:rPr>
                <w:w w:val="95"/>
              </w:rPr>
              <w:t>Maintenance</w:t>
            </w:r>
          </w:p>
          <w:p w:rsidR="00B827D0" w:rsidRPr="008D45D4" w:rsidRDefault="00B827D0" w:rsidP="00B827D0">
            <w:pPr>
              <w:pStyle w:val="E3TableSubHeading"/>
              <w:rPr>
                <w:rFonts w:eastAsia="Arial" w:cs="Arial"/>
              </w:rPr>
            </w:pPr>
            <w:r w:rsidRPr="008D45D4">
              <w:rPr>
                <w:rFonts w:eastAsia="Arial" w:cs="Arial"/>
                <w:bCs/>
              </w:rPr>
              <w:t>(∆ u',v'</w:t>
            </w:r>
            <w:r w:rsidR="00394F55">
              <w:rPr>
                <w:rFonts w:eastAsia="Arial" w:cs="Arial"/>
                <w:bCs/>
              </w:rPr>
              <w:t xml:space="preserve"> </w:t>
            </w:r>
            <w:r w:rsidRPr="008D45D4">
              <w:rPr>
                <w:rFonts w:eastAsia="Arial" w:cs="Arial"/>
                <w:bCs/>
                <w:spacing w:val="-1"/>
              </w:rPr>
              <w:t>at</w:t>
            </w:r>
            <w:r w:rsidR="00394F55">
              <w:rPr>
                <w:rFonts w:eastAsia="Arial" w:cs="Arial"/>
                <w:bCs/>
                <w:spacing w:val="-1"/>
              </w:rPr>
              <w:t xml:space="preserve"> </w:t>
            </w:r>
            <w:r w:rsidRPr="008D45D4">
              <w:rPr>
                <w:rFonts w:eastAsia="Arial" w:cs="Arial"/>
                <w:bCs/>
              </w:rPr>
              <w:t xml:space="preserve"> 6,000h)</w:t>
            </w:r>
          </w:p>
        </w:tc>
        <w:tc>
          <w:tcPr>
            <w:tcW w:w="767" w:type="dxa"/>
            <w:tcBorders>
              <w:top w:val="single" w:sz="6" w:space="0" w:color="000000"/>
              <w:left w:val="single" w:sz="6" w:space="0" w:color="000000"/>
              <w:bottom w:val="single" w:sz="6" w:space="0" w:color="000000"/>
              <w:right w:val="single" w:sz="6" w:space="0" w:color="000000"/>
            </w:tcBorders>
          </w:tcPr>
          <w:p w:rsidR="00B827D0" w:rsidRDefault="00B827D0" w:rsidP="00255AA3">
            <w:pPr>
              <w:pStyle w:val="E3Tabletext"/>
              <w:rPr>
                <w:rFonts w:eastAsia="Arial" w:hAnsi="Arial" w:cs="Arial"/>
                <w:szCs w:val="13"/>
              </w:rPr>
            </w:pPr>
            <w:r>
              <w:t>N/A</w:t>
            </w:r>
          </w:p>
        </w:tc>
        <w:tc>
          <w:tcPr>
            <w:tcW w:w="2778" w:type="dxa"/>
            <w:gridSpan w:val="6"/>
            <w:tcBorders>
              <w:top w:val="single" w:sz="6" w:space="0" w:color="000000"/>
              <w:left w:val="single" w:sz="6" w:space="0" w:color="000000"/>
              <w:bottom w:val="single" w:sz="6" w:space="0" w:color="000000"/>
              <w:right w:val="single" w:sz="6" w:space="0" w:color="000000"/>
            </w:tcBorders>
          </w:tcPr>
          <w:p w:rsidR="00B827D0" w:rsidRDefault="00B827D0" w:rsidP="00255AA3">
            <w:pPr>
              <w:pStyle w:val="E3Tabletext"/>
              <w:rPr>
                <w:rFonts w:eastAsia="Arial" w:hAnsi="Arial" w:cs="Arial"/>
                <w:szCs w:val="13"/>
              </w:rPr>
            </w:pPr>
            <w:r>
              <w:t>&lt;</w:t>
            </w:r>
            <w:r w:rsidR="00394F55">
              <w:t xml:space="preserve"> </w:t>
            </w:r>
            <w:r>
              <w:t>0.007</w:t>
            </w:r>
          </w:p>
        </w:tc>
        <w:tc>
          <w:tcPr>
            <w:tcW w:w="2777" w:type="dxa"/>
            <w:gridSpan w:val="6"/>
            <w:tcBorders>
              <w:top w:val="single" w:sz="6" w:space="0" w:color="000000"/>
              <w:left w:val="single" w:sz="6" w:space="0" w:color="000000"/>
              <w:bottom w:val="single" w:sz="6" w:space="0" w:color="000000"/>
              <w:right w:val="single" w:sz="6" w:space="0" w:color="000000"/>
            </w:tcBorders>
          </w:tcPr>
          <w:p w:rsidR="00B827D0" w:rsidRDefault="00B827D0" w:rsidP="00255AA3">
            <w:pPr>
              <w:pStyle w:val="E3Tabletext"/>
              <w:rPr>
                <w:rFonts w:eastAsia="Arial" w:hAnsi="Arial" w:cs="Arial"/>
                <w:szCs w:val="13"/>
              </w:rPr>
            </w:pPr>
            <w:r>
              <w:t>&lt;</w:t>
            </w:r>
            <w:r w:rsidR="00394F55">
              <w:t xml:space="preserve"> </w:t>
            </w:r>
            <w:r>
              <w:t>0.007</w:t>
            </w:r>
          </w:p>
        </w:tc>
        <w:tc>
          <w:tcPr>
            <w:tcW w:w="2778" w:type="dxa"/>
            <w:gridSpan w:val="6"/>
            <w:tcBorders>
              <w:top w:val="single" w:sz="6" w:space="0" w:color="000000"/>
              <w:left w:val="single" w:sz="6" w:space="0" w:color="000000"/>
              <w:bottom w:val="single" w:sz="6" w:space="0" w:color="000000"/>
              <w:right w:val="single" w:sz="6" w:space="0" w:color="000000"/>
            </w:tcBorders>
          </w:tcPr>
          <w:p w:rsidR="00B827D0" w:rsidRDefault="00B827D0" w:rsidP="00255AA3">
            <w:pPr>
              <w:pStyle w:val="E3Tabletext"/>
              <w:rPr>
                <w:rFonts w:eastAsia="Arial" w:hAnsi="Arial" w:cs="Arial"/>
                <w:szCs w:val="13"/>
              </w:rPr>
            </w:pPr>
            <w:r>
              <w:t>&lt;</w:t>
            </w:r>
            <w:r w:rsidR="00394F55">
              <w:t xml:space="preserve"> </w:t>
            </w:r>
            <w:r>
              <w:t>0.004</w:t>
            </w:r>
          </w:p>
        </w:tc>
      </w:tr>
      <w:tr w:rsidR="00394F55" w:rsidTr="00897B7A">
        <w:trPr>
          <w:cantSplit/>
          <w:jc w:val="center"/>
        </w:trPr>
        <w:tc>
          <w:tcPr>
            <w:tcW w:w="595" w:type="dxa"/>
            <w:tcBorders>
              <w:top w:val="single" w:sz="6" w:space="0" w:color="000000"/>
              <w:left w:val="single" w:sz="6" w:space="0" w:color="000000"/>
              <w:bottom w:val="single" w:sz="6" w:space="0" w:color="000000"/>
              <w:right w:val="single" w:sz="6" w:space="0" w:color="000000"/>
            </w:tcBorders>
            <w:shd w:val="clear" w:color="auto" w:fill="D9D9D9"/>
          </w:tcPr>
          <w:p w:rsidR="00394F55" w:rsidRPr="008D45D4" w:rsidRDefault="00394F55" w:rsidP="00B827D0">
            <w:pPr>
              <w:pStyle w:val="E3TableSubHeading"/>
              <w:rPr>
                <w:rFonts w:eastAsia="Arial" w:cs="Arial"/>
              </w:rPr>
            </w:pPr>
            <w:r w:rsidRPr="008D45D4">
              <w:t>Luminous</w:t>
            </w:r>
            <w:r>
              <w:t xml:space="preserve"> </w:t>
            </w:r>
            <w:r w:rsidRPr="008D45D4">
              <w:t>intensity</w:t>
            </w:r>
            <w:r>
              <w:t xml:space="preserve"> </w:t>
            </w:r>
            <w:r w:rsidRPr="008D45D4">
              <w:t>distribution</w:t>
            </w:r>
            <w:r>
              <w:t xml:space="preserve"> </w:t>
            </w:r>
            <w:r w:rsidRPr="008D45D4">
              <w:t>0-</w:t>
            </w:r>
            <w:r w:rsidRPr="008D45D4">
              <w:rPr>
                <w:rFonts w:eastAsia="Arial" w:cs="Arial"/>
                <w:bCs/>
              </w:rPr>
              <w:t>180°</w:t>
            </w:r>
          </w:p>
        </w:tc>
        <w:tc>
          <w:tcPr>
            <w:tcW w:w="767" w:type="dxa"/>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t>N/A</w:t>
            </w:r>
          </w:p>
        </w:tc>
        <w:tc>
          <w:tcPr>
            <w:tcW w:w="2778" w:type="dxa"/>
            <w:gridSpan w:val="6"/>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t>Must be provided by manufacturer and 50% of flux shall be in declared beam angle</w:t>
            </w:r>
          </w:p>
        </w:tc>
        <w:tc>
          <w:tcPr>
            <w:tcW w:w="2777" w:type="dxa"/>
            <w:gridSpan w:val="6"/>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t>Must be provided by manufacturer and 50% of flux shall be in declared beam angle</w:t>
            </w:r>
          </w:p>
        </w:tc>
        <w:tc>
          <w:tcPr>
            <w:tcW w:w="2778" w:type="dxa"/>
            <w:gridSpan w:val="6"/>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t>Must be provided by manufacturer and 50% of flux shall be in declared beam angle</w:t>
            </w:r>
          </w:p>
        </w:tc>
      </w:tr>
      <w:tr w:rsidR="006141F3" w:rsidTr="00897B7A">
        <w:trPr>
          <w:cantSplit/>
          <w:jc w:val="center"/>
        </w:trPr>
        <w:tc>
          <w:tcPr>
            <w:tcW w:w="595" w:type="dxa"/>
            <w:tcBorders>
              <w:top w:val="single" w:sz="6" w:space="0" w:color="000000"/>
              <w:left w:val="single" w:sz="6" w:space="0" w:color="000000"/>
              <w:bottom w:val="single" w:sz="6" w:space="0" w:color="000000"/>
              <w:right w:val="single" w:sz="6" w:space="0" w:color="000000"/>
            </w:tcBorders>
          </w:tcPr>
          <w:p w:rsidR="00B827D0" w:rsidRPr="008D45D4" w:rsidRDefault="00B827D0" w:rsidP="00B827D0">
            <w:pPr>
              <w:pStyle w:val="E3TableSubHeading"/>
              <w:rPr>
                <w:rFonts w:eastAsia="Arial" w:cs="Arial"/>
              </w:rPr>
            </w:pPr>
            <w:r w:rsidRPr="008D45D4">
              <w:rPr>
                <w:spacing w:val="-1"/>
              </w:rPr>
              <w:t>CRI</w:t>
            </w:r>
          </w:p>
        </w:tc>
        <w:tc>
          <w:tcPr>
            <w:tcW w:w="767" w:type="dxa"/>
            <w:tcBorders>
              <w:top w:val="single" w:sz="6" w:space="0" w:color="000000"/>
              <w:left w:val="single" w:sz="6" w:space="0" w:color="000000"/>
              <w:bottom w:val="single" w:sz="6" w:space="0" w:color="000000"/>
              <w:right w:val="single" w:sz="6" w:space="0" w:color="000000"/>
            </w:tcBorders>
          </w:tcPr>
          <w:p w:rsidR="00B827D0" w:rsidRDefault="00B827D0" w:rsidP="00255AA3">
            <w:pPr>
              <w:pStyle w:val="E3Tabletext"/>
              <w:rPr>
                <w:rFonts w:eastAsia="Arial" w:hAnsi="Arial" w:cs="Arial"/>
                <w:szCs w:val="13"/>
              </w:rPr>
            </w:pPr>
            <w:r>
              <w:t>N/A</w:t>
            </w:r>
          </w:p>
        </w:tc>
        <w:tc>
          <w:tcPr>
            <w:tcW w:w="2778" w:type="dxa"/>
            <w:gridSpan w:val="6"/>
            <w:tcBorders>
              <w:top w:val="single" w:sz="6" w:space="0" w:color="000000"/>
              <w:left w:val="single" w:sz="6" w:space="0" w:color="000000"/>
              <w:bottom w:val="single" w:sz="6" w:space="0" w:color="000000"/>
              <w:right w:val="single" w:sz="6" w:space="0" w:color="000000"/>
            </w:tcBorders>
          </w:tcPr>
          <w:p w:rsidR="00B827D0" w:rsidRDefault="00B827D0" w:rsidP="00255AA3">
            <w:pPr>
              <w:pStyle w:val="E3Tabletext"/>
              <w:rPr>
                <w:rFonts w:eastAsia="Arial"/>
              </w:rPr>
            </w:pPr>
            <w:r>
              <w:rPr>
                <w:rFonts w:eastAsia="Arial"/>
              </w:rPr>
              <w:t>≥</w:t>
            </w:r>
            <w:r w:rsidR="00394F55">
              <w:rPr>
                <w:rFonts w:eastAsia="Arial"/>
              </w:rPr>
              <w:t xml:space="preserve"> </w:t>
            </w:r>
            <w:r>
              <w:rPr>
                <w:rFonts w:eastAsia="Arial"/>
              </w:rPr>
              <w:t>80</w:t>
            </w:r>
          </w:p>
        </w:tc>
        <w:tc>
          <w:tcPr>
            <w:tcW w:w="2777" w:type="dxa"/>
            <w:gridSpan w:val="6"/>
            <w:tcBorders>
              <w:top w:val="single" w:sz="6" w:space="0" w:color="000000"/>
              <w:left w:val="single" w:sz="6" w:space="0" w:color="000000"/>
              <w:bottom w:val="single" w:sz="6" w:space="0" w:color="000000"/>
              <w:right w:val="single" w:sz="6" w:space="0" w:color="000000"/>
            </w:tcBorders>
          </w:tcPr>
          <w:p w:rsidR="00B827D0" w:rsidRDefault="00B827D0" w:rsidP="00255AA3">
            <w:pPr>
              <w:pStyle w:val="E3Tabletext"/>
              <w:rPr>
                <w:rFonts w:eastAsia="Arial"/>
              </w:rPr>
            </w:pPr>
            <w:r>
              <w:rPr>
                <w:rFonts w:eastAsia="Arial"/>
              </w:rPr>
              <w:t>≥</w:t>
            </w:r>
            <w:r w:rsidR="00394F55">
              <w:rPr>
                <w:rFonts w:eastAsia="Arial"/>
              </w:rPr>
              <w:t xml:space="preserve"> </w:t>
            </w:r>
            <w:r>
              <w:rPr>
                <w:rFonts w:eastAsia="Arial"/>
              </w:rPr>
              <w:t>80,</w:t>
            </w:r>
            <w:r w:rsidR="00394F55">
              <w:rPr>
                <w:rFonts w:eastAsia="Arial"/>
              </w:rPr>
              <w:t xml:space="preserve"> </w:t>
            </w:r>
            <w:r>
              <w:rPr>
                <w:rFonts w:eastAsia="Arial"/>
              </w:rPr>
              <w:t>R9&gt;</w:t>
            </w:r>
            <w:r w:rsidR="00394F55">
              <w:rPr>
                <w:rFonts w:eastAsia="Arial"/>
              </w:rPr>
              <w:t xml:space="preserve"> </w:t>
            </w:r>
            <w:r>
              <w:rPr>
                <w:rFonts w:eastAsia="Arial"/>
              </w:rPr>
              <w:t>0</w:t>
            </w:r>
          </w:p>
        </w:tc>
        <w:tc>
          <w:tcPr>
            <w:tcW w:w="2778" w:type="dxa"/>
            <w:gridSpan w:val="6"/>
            <w:tcBorders>
              <w:top w:val="single" w:sz="6" w:space="0" w:color="000000"/>
              <w:left w:val="single" w:sz="6" w:space="0" w:color="000000"/>
              <w:bottom w:val="single" w:sz="6" w:space="0" w:color="000000"/>
              <w:right w:val="single" w:sz="6" w:space="0" w:color="000000"/>
            </w:tcBorders>
          </w:tcPr>
          <w:p w:rsidR="00B827D0" w:rsidRDefault="00B827D0" w:rsidP="00255AA3">
            <w:pPr>
              <w:pStyle w:val="E3Tabletext"/>
              <w:rPr>
                <w:rFonts w:eastAsia="Arial"/>
              </w:rPr>
            </w:pPr>
            <w:r>
              <w:rPr>
                <w:rFonts w:eastAsia="Arial"/>
              </w:rPr>
              <w:t>≥</w:t>
            </w:r>
            <w:r w:rsidR="00394F55">
              <w:rPr>
                <w:rFonts w:eastAsia="Arial"/>
              </w:rPr>
              <w:t xml:space="preserve"> </w:t>
            </w:r>
            <w:r>
              <w:rPr>
                <w:rFonts w:eastAsia="Arial"/>
              </w:rPr>
              <w:t>80,</w:t>
            </w:r>
            <w:r w:rsidR="00394F55">
              <w:rPr>
                <w:rFonts w:eastAsia="Arial"/>
              </w:rPr>
              <w:t xml:space="preserve"> </w:t>
            </w:r>
            <w:r>
              <w:rPr>
                <w:rFonts w:eastAsia="Arial"/>
              </w:rPr>
              <w:t>R9&gt;</w:t>
            </w:r>
            <w:r w:rsidR="00394F55">
              <w:rPr>
                <w:rFonts w:eastAsia="Arial"/>
              </w:rPr>
              <w:t xml:space="preserve"> </w:t>
            </w:r>
            <w:r>
              <w:rPr>
                <w:rFonts w:eastAsia="Arial"/>
              </w:rPr>
              <w:t>0</w:t>
            </w:r>
          </w:p>
        </w:tc>
      </w:tr>
      <w:tr w:rsidR="00394F55" w:rsidTr="00897B7A">
        <w:trPr>
          <w:cantSplit/>
          <w:jc w:val="center"/>
        </w:trPr>
        <w:tc>
          <w:tcPr>
            <w:tcW w:w="595" w:type="dxa"/>
            <w:tcBorders>
              <w:top w:val="single" w:sz="6" w:space="0" w:color="000000"/>
              <w:left w:val="single" w:sz="6" w:space="0" w:color="000000"/>
              <w:bottom w:val="single" w:sz="6" w:space="0" w:color="000000"/>
              <w:right w:val="single" w:sz="6" w:space="0" w:color="000000"/>
            </w:tcBorders>
            <w:shd w:val="clear" w:color="auto" w:fill="D9D9D9"/>
          </w:tcPr>
          <w:p w:rsidR="00394F55" w:rsidRPr="008D45D4" w:rsidRDefault="00394F55" w:rsidP="00B827D0">
            <w:pPr>
              <w:pStyle w:val="E3TableSubHeading"/>
              <w:rPr>
                <w:rFonts w:eastAsia="Arial" w:cs="Arial"/>
              </w:rPr>
            </w:pPr>
            <w:r w:rsidRPr="008D45D4">
              <w:t>Lag</w:t>
            </w:r>
            <w:r>
              <w:t xml:space="preserve"> </w:t>
            </w:r>
            <w:r w:rsidRPr="008D45D4">
              <w:rPr>
                <w:spacing w:val="-1"/>
              </w:rPr>
              <w:t>start</w:t>
            </w:r>
            <w:r>
              <w:rPr>
                <w:spacing w:val="-1"/>
              </w:rPr>
              <w:t xml:space="preserve"> </w:t>
            </w:r>
            <w:r w:rsidRPr="008D45D4">
              <w:t>time</w:t>
            </w:r>
          </w:p>
        </w:tc>
        <w:tc>
          <w:tcPr>
            <w:tcW w:w="767" w:type="dxa"/>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t>N/A</w:t>
            </w:r>
          </w:p>
        </w:tc>
        <w:tc>
          <w:tcPr>
            <w:tcW w:w="2778" w:type="dxa"/>
            <w:gridSpan w:val="6"/>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t>&lt; 0.5 sec until continuous light output</w:t>
            </w:r>
          </w:p>
        </w:tc>
        <w:tc>
          <w:tcPr>
            <w:tcW w:w="2777" w:type="dxa"/>
            <w:gridSpan w:val="6"/>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t>&lt; 0.5 sec until continuous light output</w:t>
            </w:r>
          </w:p>
        </w:tc>
        <w:tc>
          <w:tcPr>
            <w:tcW w:w="2778" w:type="dxa"/>
            <w:gridSpan w:val="6"/>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t>&lt; 0.5 sec until continuous light output</w:t>
            </w:r>
          </w:p>
        </w:tc>
      </w:tr>
      <w:tr w:rsidR="006141F3" w:rsidTr="00897B7A">
        <w:trPr>
          <w:cantSplit/>
          <w:jc w:val="center"/>
        </w:trPr>
        <w:tc>
          <w:tcPr>
            <w:tcW w:w="595" w:type="dxa"/>
            <w:tcBorders>
              <w:top w:val="single" w:sz="6" w:space="0" w:color="000000"/>
              <w:left w:val="single" w:sz="6" w:space="0" w:color="000000"/>
              <w:bottom w:val="single" w:sz="6" w:space="0" w:color="000000"/>
              <w:right w:val="single" w:sz="6" w:space="0" w:color="000000"/>
            </w:tcBorders>
          </w:tcPr>
          <w:p w:rsidR="00B827D0" w:rsidRPr="008D45D4" w:rsidRDefault="00B827D0" w:rsidP="00B827D0">
            <w:pPr>
              <w:pStyle w:val="E3TableSubHeading"/>
              <w:rPr>
                <w:rFonts w:eastAsia="Arial" w:cs="Arial"/>
              </w:rPr>
            </w:pPr>
            <w:r w:rsidRPr="008D45D4">
              <w:t>Lumen</w:t>
            </w:r>
            <w:r w:rsidR="00394F55">
              <w:t xml:space="preserve"> </w:t>
            </w:r>
            <w:r w:rsidRPr="008D45D4">
              <w:t>Maintenance</w:t>
            </w:r>
            <w:r w:rsidR="00394F55">
              <w:t xml:space="preserve"> </w:t>
            </w:r>
            <w:r w:rsidRPr="008D45D4">
              <w:t>(Minimum</w:t>
            </w:r>
            <w:r w:rsidR="00394F55">
              <w:t xml:space="preserve"> </w:t>
            </w:r>
            <w:r w:rsidRPr="008D45D4">
              <w:t>time</w:t>
            </w:r>
            <w:r w:rsidR="00394F55">
              <w:t xml:space="preserve"> </w:t>
            </w:r>
            <w:r w:rsidRPr="008D45D4">
              <w:t>to</w:t>
            </w:r>
            <w:r w:rsidR="00394F55">
              <w:t xml:space="preserve"> </w:t>
            </w:r>
            <w:r w:rsidRPr="008D45D4">
              <w:t>L</w:t>
            </w:r>
            <w:r w:rsidRPr="00394F55">
              <w:rPr>
                <w:vertAlign w:val="subscript"/>
              </w:rPr>
              <w:t>70</w:t>
            </w:r>
            <w:r w:rsidRPr="008D45D4">
              <w:t>)</w:t>
            </w:r>
          </w:p>
        </w:tc>
        <w:tc>
          <w:tcPr>
            <w:tcW w:w="767" w:type="dxa"/>
            <w:tcBorders>
              <w:top w:val="single" w:sz="6" w:space="0" w:color="000000"/>
              <w:left w:val="single" w:sz="6" w:space="0" w:color="000000"/>
              <w:bottom w:val="single" w:sz="6" w:space="0" w:color="000000"/>
              <w:right w:val="single" w:sz="6" w:space="0" w:color="000000"/>
            </w:tcBorders>
          </w:tcPr>
          <w:p w:rsidR="00B827D0" w:rsidRDefault="00B827D0" w:rsidP="00255AA3">
            <w:pPr>
              <w:pStyle w:val="E3Tabletext"/>
            </w:pPr>
            <w:r>
              <w:t>At</w:t>
            </w:r>
            <w:r w:rsidR="00394F55">
              <w:t xml:space="preserve"> </w:t>
            </w:r>
            <w:r>
              <w:t>5,000h, Lumen</w:t>
            </w:r>
            <w:r>
              <w:rPr>
                <w:spacing w:val="20"/>
                <w:w w:val="99"/>
              </w:rPr>
              <w:t xml:space="preserve"> M</w:t>
            </w:r>
            <w:r>
              <w:t>aintenance</w:t>
            </w:r>
          </w:p>
          <w:p w:rsidR="00B827D0" w:rsidRPr="00B827D0" w:rsidRDefault="00B827D0" w:rsidP="00255AA3">
            <w:pPr>
              <w:pStyle w:val="E3Tabletext"/>
            </w:pPr>
            <w:r w:rsidRPr="00B827D0">
              <w:t>&gt;</w:t>
            </w:r>
            <w:r>
              <w:t xml:space="preserve"> 70% of</w:t>
            </w:r>
            <w:r w:rsidR="00394F55">
              <w:t xml:space="preserve"> </w:t>
            </w:r>
            <w:r>
              <w:t>initial</w:t>
            </w:r>
          </w:p>
        </w:tc>
        <w:tc>
          <w:tcPr>
            <w:tcW w:w="2778" w:type="dxa"/>
            <w:gridSpan w:val="6"/>
            <w:tcBorders>
              <w:top w:val="single" w:sz="6" w:space="0" w:color="000000"/>
              <w:left w:val="single" w:sz="6" w:space="0" w:color="000000"/>
              <w:bottom w:val="single" w:sz="6" w:space="0" w:color="000000"/>
              <w:right w:val="single" w:sz="6" w:space="0" w:color="000000"/>
            </w:tcBorders>
          </w:tcPr>
          <w:p w:rsidR="00B827D0" w:rsidRDefault="00B827D0" w:rsidP="00255AA3">
            <w:pPr>
              <w:pStyle w:val="E3Tabletext"/>
              <w:rPr>
                <w:rFonts w:eastAsia="Arial" w:hAnsi="Arial" w:cs="Arial"/>
                <w:szCs w:val="13"/>
              </w:rPr>
            </w:pPr>
            <w:r>
              <w:t>At</w:t>
            </w:r>
            <w:r w:rsidR="00394F55">
              <w:t xml:space="preserve"> </w:t>
            </w:r>
            <w:r>
              <w:t>15,000h,</w:t>
            </w:r>
            <w:r w:rsidR="00394F55">
              <w:t xml:space="preserve"> </w:t>
            </w:r>
            <w:r>
              <w:t>Lumen</w:t>
            </w:r>
            <w:r w:rsidR="00394F55">
              <w:t xml:space="preserve"> </w:t>
            </w:r>
            <w:r>
              <w:t>Maintenance</w:t>
            </w:r>
          </w:p>
          <w:p w:rsidR="00B827D0" w:rsidRDefault="00B827D0" w:rsidP="00255AA3">
            <w:pPr>
              <w:pStyle w:val="E3Tabletext"/>
              <w:rPr>
                <w:rFonts w:eastAsia="Arial" w:hAnsi="Arial" w:cs="Arial"/>
                <w:szCs w:val="13"/>
              </w:rPr>
            </w:pPr>
            <w:r>
              <w:t>&gt;</w:t>
            </w:r>
            <w:r w:rsidR="00394F55">
              <w:t xml:space="preserve"> </w:t>
            </w:r>
            <w:r>
              <w:t>70% of</w:t>
            </w:r>
            <w:r w:rsidR="00394F55">
              <w:t xml:space="preserve"> </w:t>
            </w:r>
            <w:r>
              <w:t>initial</w:t>
            </w:r>
          </w:p>
        </w:tc>
        <w:tc>
          <w:tcPr>
            <w:tcW w:w="2777" w:type="dxa"/>
            <w:gridSpan w:val="6"/>
            <w:tcBorders>
              <w:top w:val="single" w:sz="6" w:space="0" w:color="000000"/>
              <w:left w:val="single" w:sz="6" w:space="0" w:color="000000"/>
              <w:bottom w:val="single" w:sz="6" w:space="0" w:color="000000"/>
              <w:right w:val="single" w:sz="6" w:space="0" w:color="000000"/>
            </w:tcBorders>
          </w:tcPr>
          <w:p w:rsidR="00B827D0" w:rsidRDefault="00B827D0" w:rsidP="00255AA3">
            <w:pPr>
              <w:pStyle w:val="E3Tabletext"/>
              <w:rPr>
                <w:rFonts w:eastAsia="Arial" w:hAnsi="Arial" w:cs="Arial"/>
                <w:szCs w:val="13"/>
              </w:rPr>
            </w:pPr>
            <w:r>
              <w:t>At</w:t>
            </w:r>
            <w:r w:rsidR="00394F55">
              <w:t xml:space="preserve"> </w:t>
            </w:r>
            <w:r>
              <w:t>15,000h,</w:t>
            </w:r>
            <w:r w:rsidR="00394F55">
              <w:t xml:space="preserve"> </w:t>
            </w:r>
            <w:r>
              <w:t>Lumen</w:t>
            </w:r>
            <w:r w:rsidR="00394F55">
              <w:t xml:space="preserve"> </w:t>
            </w:r>
            <w:r>
              <w:t>Maintenance</w:t>
            </w:r>
          </w:p>
          <w:p w:rsidR="00B827D0" w:rsidRDefault="00B827D0" w:rsidP="00255AA3">
            <w:pPr>
              <w:pStyle w:val="E3Tabletext"/>
              <w:rPr>
                <w:rFonts w:eastAsia="Arial" w:hAnsi="Arial" w:cs="Arial"/>
                <w:szCs w:val="13"/>
              </w:rPr>
            </w:pPr>
            <w:r>
              <w:t>&gt;70% of</w:t>
            </w:r>
            <w:r w:rsidR="00394F55">
              <w:t xml:space="preserve"> </w:t>
            </w:r>
            <w:r>
              <w:t>initial</w:t>
            </w:r>
          </w:p>
        </w:tc>
        <w:tc>
          <w:tcPr>
            <w:tcW w:w="2778" w:type="dxa"/>
            <w:gridSpan w:val="6"/>
            <w:tcBorders>
              <w:top w:val="single" w:sz="6" w:space="0" w:color="000000"/>
              <w:left w:val="single" w:sz="6" w:space="0" w:color="000000"/>
              <w:bottom w:val="single" w:sz="6" w:space="0" w:color="000000"/>
              <w:right w:val="single" w:sz="6" w:space="0" w:color="000000"/>
            </w:tcBorders>
          </w:tcPr>
          <w:p w:rsidR="00B827D0" w:rsidRDefault="00B827D0" w:rsidP="00255AA3">
            <w:pPr>
              <w:pStyle w:val="E3Tabletext"/>
              <w:rPr>
                <w:rFonts w:eastAsia="Arial" w:hAnsi="Arial" w:cs="Arial"/>
                <w:szCs w:val="13"/>
              </w:rPr>
            </w:pPr>
            <w:r>
              <w:t>At</w:t>
            </w:r>
            <w:r w:rsidR="00394F55">
              <w:t xml:space="preserve"> </w:t>
            </w:r>
            <w:r>
              <w:t>25,000h,</w:t>
            </w:r>
            <w:r w:rsidR="00394F55">
              <w:t xml:space="preserve"> </w:t>
            </w:r>
            <w:r>
              <w:t>Lumen</w:t>
            </w:r>
            <w:r w:rsidR="00394F55">
              <w:t xml:space="preserve"> </w:t>
            </w:r>
            <w:r>
              <w:t>Maintenance</w:t>
            </w:r>
          </w:p>
          <w:p w:rsidR="00B827D0" w:rsidRDefault="00B827D0" w:rsidP="00255AA3">
            <w:pPr>
              <w:pStyle w:val="E3Tabletext"/>
              <w:rPr>
                <w:rFonts w:eastAsia="Arial" w:hAnsi="Arial" w:cs="Arial"/>
                <w:szCs w:val="13"/>
              </w:rPr>
            </w:pPr>
            <w:r>
              <w:t>&gt;70% of</w:t>
            </w:r>
            <w:r w:rsidR="00394F55">
              <w:t xml:space="preserve"> </w:t>
            </w:r>
            <w:r>
              <w:t>initial</w:t>
            </w:r>
          </w:p>
        </w:tc>
      </w:tr>
      <w:tr w:rsidR="006141F3" w:rsidTr="00897B7A">
        <w:trPr>
          <w:cantSplit/>
          <w:jc w:val="center"/>
        </w:trPr>
        <w:tc>
          <w:tcPr>
            <w:tcW w:w="595" w:type="dxa"/>
            <w:tcBorders>
              <w:top w:val="single" w:sz="6" w:space="0" w:color="000000"/>
              <w:left w:val="single" w:sz="6" w:space="0" w:color="000000"/>
              <w:bottom w:val="single" w:sz="6" w:space="0" w:color="000000"/>
              <w:right w:val="single" w:sz="6" w:space="0" w:color="000000"/>
            </w:tcBorders>
            <w:shd w:val="clear" w:color="auto" w:fill="D9D9D9"/>
          </w:tcPr>
          <w:p w:rsidR="00B827D0" w:rsidRPr="008D45D4" w:rsidRDefault="00B827D0" w:rsidP="00B827D0">
            <w:pPr>
              <w:pStyle w:val="E3TableSubHeading"/>
              <w:rPr>
                <w:rFonts w:eastAsia="Arial" w:cs="Arial"/>
              </w:rPr>
            </w:pPr>
            <w:r w:rsidRPr="008D45D4">
              <w:t>Minimum</w:t>
            </w:r>
            <w:r w:rsidR="00394F55">
              <w:t xml:space="preserve"> </w:t>
            </w:r>
            <w:r w:rsidRPr="008D45D4">
              <w:rPr>
                <w:spacing w:val="-1"/>
              </w:rPr>
              <w:t>Rated</w:t>
            </w:r>
            <w:r w:rsidR="00394F55">
              <w:rPr>
                <w:spacing w:val="-1"/>
              </w:rPr>
              <w:t xml:space="preserve"> </w:t>
            </w:r>
            <w:r w:rsidRPr="008D45D4">
              <w:t>Lamp</w:t>
            </w:r>
            <w:r w:rsidR="00394F55">
              <w:t xml:space="preserve"> </w:t>
            </w:r>
            <w:r w:rsidRPr="008D45D4">
              <w:t>lifetime</w:t>
            </w:r>
            <w:r w:rsidR="00394F55">
              <w:t xml:space="preserve"> </w:t>
            </w:r>
            <w:r w:rsidRPr="008D45D4">
              <w:t>(B50)</w:t>
            </w:r>
          </w:p>
        </w:tc>
        <w:tc>
          <w:tcPr>
            <w:tcW w:w="767" w:type="dxa"/>
            <w:tcBorders>
              <w:top w:val="single" w:sz="6" w:space="0" w:color="000000"/>
              <w:left w:val="single" w:sz="6" w:space="0" w:color="000000"/>
              <w:bottom w:val="single" w:sz="6" w:space="0" w:color="000000"/>
              <w:right w:val="single" w:sz="6" w:space="0" w:color="000000"/>
            </w:tcBorders>
            <w:shd w:val="clear" w:color="auto" w:fill="D9D9D9"/>
          </w:tcPr>
          <w:p w:rsidR="00B827D0" w:rsidRDefault="00B827D0" w:rsidP="00255AA3">
            <w:pPr>
              <w:pStyle w:val="E3Tabletext"/>
              <w:rPr>
                <w:rFonts w:eastAsia="Arial" w:hAnsi="Arial" w:cs="Arial"/>
                <w:szCs w:val="13"/>
              </w:rPr>
            </w:pPr>
            <w:r>
              <w:t>At</w:t>
            </w:r>
            <w:r w:rsidR="00394F55">
              <w:t xml:space="preserve"> </w:t>
            </w:r>
            <w:r>
              <w:t>5,000h, 50%</w:t>
            </w:r>
            <w:r w:rsidR="00394F55">
              <w:t xml:space="preserve"> </w:t>
            </w:r>
            <w:r>
              <w:t>of population</w:t>
            </w:r>
            <w:r w:rsidR="00394F55">
              <w:t xml:space="preserve"> </w:t>
            </w:r>
            <w:r>
              <w:t>will</w:t>
            </w:r>
            <w:r w:rsidR="00394F55">
              <w:t xml:space="preserve"> </w:t>
            </w:r>
            <w:r>
              <w:t>be</w:t>
            </w:r>
            <w:r w:rsidR="00394F55">
              <w:t xml:space="preserve"> </w:t>
            </w:r>
            <w:r>
              <w:t>operative.</w:t>
            </w:r>
          </w:p>
        </w:tc>
        <w:tc>
          <w:tcPr>
            <w:tcW w:w="2778" w:type="dxa"/>
            <w:gridSpan w:val="6"/>
            <w:tcBorders>
              <w:top w:val="single" w:sz="6" w:space="0" w:color="000000"/>
              <w:left w:val="single" w:sz="6" w:space="0" w:color="000000"/>
              <w:bottom w:val="single" w:sz="6" w:space="0" w:color="000000"/>
              <w:right w:val="single" w:sz="6" w:space="0" w:color="000000"/>
            </w:tcBorders>
            <w:shd w:val="clear" w:color="auto" w:fill="D9D9D9"/>
          </w:tcPr>
          <w:p w:rsidR="00B827D0" w:rsidRDefault="00B827D0" w:rsidP="00255AA3">
            <w:pPr>
              <w:pStyle w:val="E3Tabletext"/>
              <w:rPr>
                <w:rFonts w:eastAsia="Arial" w:hAnsi="Arial" w:cs="Arial"/>
                <w:szCs w:val="13"/>
              </w:rPr>
            </w:pPr>
            <w:r>
              <w:t>At</w:t>
            </w:r>
            <w:r w:rsidR="00394F55">
              <w:t xml:space="preserve"> </w:t>
            </w:r>
            <w:r>
              <w:t>15,000h, 50%</w:t>
            </w:r>
            <w:r w:rsidR="00394F55">
              <w:t xml:space="preserve"> </w:t>
            </w:r>
            <w:r>
              <w:t>of</w:t>
            </w:r>
            <w:r w:rsidR="00394F55">
              <w:t xml:space="preserve"> </w:t>
            </w:r>
            <w:r>
              <w:t>population</w:t>
            </w:r>
            <w:r w:rsidR="00394F55">
              <w:t xml:space="preserve"> </w:t>
            </w:r>
            <w:r>
              <w:t>will</w:t>
            </w:r>
            <w:r w:rsidR="00394F55">
              <w:t xml:space="preserve"> </w:t>
            </w:r>
            <w:r>
              <w:t>be</w:t>
            </w:r>
            <w:r w:rsidR="00394F55">
              <w:t xml:space="preserve"> </w:t>
            </w:r>
            <w:r>
              <w:t>operative.</w:t>
            </w:r>
          </w:p>
        </w:tc>
        <w:tc>
          <w:tcPr>
            <w:tcW w:w="2777" w:type="dxa"/>
            <w:gridSpan w:val="6"/>
            <w:tcBorders>
              <w:top w:val="single" w:sz="6" w:space="0" w:color="000000"/>
              <w:left w:val="single" w:sz="6" w:space="0" w:color="000000"/>
              <w:bottom w:val="single" w:sz="6" w:space="0" w:color="000000"/>
              <w:right w:val="single" w:sz="6" w:space="0" w:color="000000"/>
            </w:tcBorders>
            <w:shd w:val="clear" w:color="auto" w:fill="D9D9D9"/>
          </w:tcPr>
          <w:p w:rsidR="00B827D0" w:rsidRDefault="00B827D0" w:rsidP="00255AA3">
            <w:pPr>
              <w:pStyle w:val="E3Tabletext"/>
              <w:rPr>
                <w:rFonts w:eastAsia="Arial" w:hAnsi="Arial" w:cs="Arial"/>
                <w:szCs w:val="13"/>
              </w:rPr>
            </w:pPr>
            <w:r>
              <w:t>At</w:t>
            </w:r>
            <w:r w:rsidR="00394F55">
              <w:t xml:space="preserve"> </w:t>
            </w:r>
            <w:r>
              <w:t>15,000h</w:t>
            </w:r>
            <w:r w:rsidR="00F966C3">
              <w:t>, 50</w:t>
            </w:r>
            <w:r>
              <w:t>%</w:t>
            </w:r>
            <w:r w:rsidR="00394F55">
              <w:t xml:space="preserve"> </w:t>
            </w:r>
            <w:r>
              <w:t>of</w:t>
            </w:r>
            <w:r w:rsidR="00394F55">
              <w:t xml:space="preserve"> </w:t>
            </w:r>
            <w:r>
              <w:t>population</w:t>
            </w:r>
            <w:r w:rsidR="00394F55">
              <w:t xml:space="preserve"> </w:t>
            </w:r>
            <w:r>
              <w:t>will</w:t>
            </w:r>
            <w:r w:rsidR="00394F55">
              <w:t xml:space="preserve"> </w:t>
            </w:r>
            <w:r>
              <w:t>be</w:t>
            </w:r>
            <w:r w:rsidR="00394F55">
              <w:t xml:space="preserve"> </w:t>
            </w:r>
            <w:r>
              <w:t>operative.</w:t>
            </w:r>
          </w:p>
        </w:tc>
        <w:tc>
          <w:tcPr>
            <w:tcW w:w="2778" w:type="dxa"/>
            <w:gridSpan w:val="6"/>
            <w:tcBorders>
              <w:top w:val="single" w:sz="6" w:space="0" w:color="000000"/>
              <w:left w:val="single" w:sz="6" w:space="0" w:color="000000"/>
              <w:bottom w:val="single" w:sz="6" w:space="0" w:color="000000"/>
              <w:right w:val="single" w:sz="6" w:space="0" w:color="000000"/>
            </w:tcBorders>
            <w:shd w:val="clear" w:color="auto" w:fill="D9D9D9"/>
          </w:tcPr>
          <w:p w:rsidR="00B827D0" w:rsidRDefault="00B827D0" w:rsidP="00255AA3">
            <w:pPr>
              <w:pStyle w:val="E3Tabletext"/>
              <w:rPr>
                <w:rFonts w:eastAsia="Arial" w:hAnsi="Arial" w:cs="Arial"/>
                <w:szCs w:val="13"/>
              </w:rPr>
            </w:pPr>
            <w:r>
              <w:t>At</w:t>
            </w:r>
            <w:r w:rsidR="00394F55">
              <w:t xml:space="preserve"> </w:t>
            </w:r>
            <w:r>
              <w:t>25,000h, 50%</w:t>
            </w:r>
            <w:r w:rsidR="00394F55">
              <w:t xml:space="preserve"> </w:t>
            </w:r>
            <w:r>
              <w:t>of</w:t>
            </w:r>
            <w:r w:rsidR="00394F55">
              <w:t xml:space="preserve"> </w:t>
            </w:r>
            <w:r>
              <w:t>population</w:t>
            </w:r>
            <w:r w:rsidR="00394F55">
              <w:t xml:space="preserve"> </w:t>
            </w:r>
            <w:r>
              <w:t>will</w:t>
            </w:r>
            <w:r w:rsidR="00394F55">
              <w:t xml:space="preserve"> </w:t>
            </w:r>
            <w:r>
              <w:t>be</w:t>
            </w:r>
            <w:r w:rsidR="00394F55">
              <w:t xml:space="preserve"> </w:t>
            </w:r>
            <w:r>
              <w:t>operative.</w:t>
            </w:r>
          </w:p>
        </w:tc>
      </w:tr>
      <w:tr w:rsidR="00394F55" w:rsidTr="00897B7A">
        <w:trPr>
          <w:cantSplit/>
          <w:jc w:val="center"/>
        </w:trPr>
        <w:tc>
          <w:tcPr>
            <w:tcW w:w="595" w:type="dxa"/>
            <w:tcBorders>
              <w:top w:val="single" w:sz="6" w:space="0" w:color="000000"/>
              <w:left w:val="single" w:sz="6" w:space="0" w:color="000000"/>
              <w:bottom w:val="single" w:sz="6" w:space="0" w:color="000000"/>
              <w:right w:val="single" w:sz="6" w:space="0" w:color="000000"/>
            </w:tcBorders>
          </w:tcPr>
          <w:p w:rsidR="00394F55" w:rsidRPr="008D45D4" w:rsidRDefault="00394F55" w:rsidP="00B827D0">
            <w:pPr>
              <w:pStyle w:val="E3TableSubHeading"/>
              <w:rPr>
                <w:rFonts w:eastAsia="Arial" w:cs="Arial"/>
              </w:rPr>
            </w:pPr>
            <w:r w:rsidRPr="008D45D4">
              <w:t>Flicker(Flicker</w:t>
            </w:r>
            <w:r>
              <w:t xml:space="preserve"> </w:t>
            </w:r>
            <w:r w:rsidRPr="008D45D4">
              <w:t>index)</w:t>
            </w:r>
          </w:p>
        </w:tc>
        <w:tc>
          <w:tcPr>
            <w:tcW w:w="767" w:type="dxa"/>
            <w:tcBorders>
              <w:top w:val="single" w:sz="6" w:space="0" w:color="000000"/>
              <w:left w:val="single" w:sz="6" w:space="0" w:color="000000"/>
              <w:bottom w:val="single" w:sz="6" w:space="0" w:color="000000"/>
              <w:right w:val="single" w:sz="6" w:space="0" w:color="000000"/>
            </w:tcBorders>
          </w:tcPr>
          <w:p w:rsidR="00394F55" w:rsidRDefault="00394F55" w:rsidP="00255AA3">
            <w:pPr>
              <w:pStyle w:val="E3Tabletext"/>
              <w:rPr>
                <w:rFonts w:eastAsia="Arial"/>
              </w:rPr>
            </w:pPr>
            <w:r>
              <w:rPr>
                <w:rFonts w:eastAsia="Arial"/>
              </w:rPr>
              <w:t>At full power (no dimming), percent flicker (calculated as (max-min)/ (max+min) luminous flux) ≤10%</w:t>
            </w:r>
          </w:p>
        </w:tc>
        <w:tc>
          <w:tcPr>
            <w:tcW w:w="2778" w:type="dxa"/>
            <w:gridSpan w:val="6"/>
            <w:tcBorders>
              <w:top w:val="single" w:sz="6" w:space="0" w:color="000000"/>
              <w:left w:val="single" w:sz="6" w:space="0" w:color="000000"/>
              <w:bottom w:val="single" w:sz="6" w:space="0" w:color="000000"/>
              <w:right w:val="single" w:sz="6" w:space="0" w:color="000000"/>
            </w:tcBorders>
          </w:tcPr>
          <w:p w:rsidR="00394F55" w:rsidRDefault="00394F55" w:rsidP="00255AA3">
            <w:pPr>
              <w:pStyle w:val="E3Tabletext"/>
              <w:rPr>
                <w:rFonts w:eastAsia="Arial"/>
              </w:rPr>
            </w:pPr>
            <w:r>
              <w:rPr>
                <w:rFonts w:eastAsia="Arial"/>
              </w:rPr>
              <w:t>At full power flicker index ‡ ≤ 0.3</w:t>
            </w:r>
          </w:p>
        </w:tc>
        <w:tc>
          <w:tcPr>
            <w:tcW w:w="2777" w:type="dxa"/>
            <w:gridSpan w:val="6"/>
            <w:tcBorders>
              <w:top w:val="single" w:sz="6" w:space="0" w:color="000000"/>
              <w:left w:val="single" w:sz="6" w:space="0" w:color="000000"/>
              <w:bottom w:val="single" w:sz="6" w:space="0" w:color="000000"/>
              <w:right w:val="single" w:sz="6" w:space="0" w:color="000000"/>
            </w:tcBorders>
          </w:tcPr>
          <w:p w:rsidR="00394F55" w:rsidRDefault="00394F55" w:rsidP="00255AA3">
            <w:pPr>
              <w:pStyle w:val="E3Tabletext"/>
              <w:rPr>
                <w:rFonts w:eastAsia="Arial"/>
              </w:rPr>
            </w:pPr>
            <w:r>
              <w:rPr>
                <w:rFonts w:eastAsia="Arial"/>
              </w:rPr>
              <w:t>At full power flicker index ‡ ≤ 0.3</w:t>
            </w:r>
          </w:p>
        </w:tc>
        <w:tc>
          <w:tcPr>
            <w:tcW w:w="2778" w:type="dxa"/>
            <w:gridSpan w:val="6"/>
            <w:tcBorders>
              <w:top w:val="single" w:sz="6" w:space="0" w:color="000000"/>
              <w:left w:val="single" w:sz="6" w:space="0" w:color="000000"/>
              <w:bottom w:val="single" w:sz="6" w:space="0" w:color="000000"/>
              <w:right w:val="single" w:sz="6" w:space="0" w:color="000000"/>
            </w:tcBorders>
          </w:tcPr>
          <w:p w:rsidR="00394F55" w:rsidRDefault="00394F55" w:rsidP="00255AA3">
            <w:pPr>
              <w:pStyle w:val="E3Tabletext"/>
              <w:rPr>
                <w:rFonts w:eastAsia="Arial"/>
              </w:rPr>
            </w:pPr>
            <w:r>
              <w:rPr>
                <w:rFonts w:eastAsia="Arial"/>
              </w:rPr>
              <w:t>At full power flicker index ‡ ≤ 0.3</w:t>
            </w:r>
          </w:p>
        </w:tc>
      </w:tr>
      <w:tr w:rsidR="00394F55" w:rsidTr="00897B7A">
        <w:trPr>
          <w:cantSplit/>
          <w:jc w:val="center"/>
        </w:trPr>
        <w:tc>
          <w:tcPr>
            <w:tcW w:w="595" w:type="dxa"/>
            <w:tcBorders>
              <w:top w:val="single" w:sz="6" w:space="0" w:color="000000"/>
              <w:left w:val="single" w:sz="6" w:space="0" w:color="000000"/>
              <w:bottom w:val="single" w:sz="6" w:space="0" w:color="000000"/>
              <w:right w:val="single" w:sz="6" w:space="0" w:color="000000"/>
            </w:tcBorders>
            <w:shd w:val="clear" w:color="auto" w:fill="D9D9D9"/>
          </w:tcPr>
          <w:p w:rsidR="00394F55" w:rsidRPr="008D45D4" w:rsidRDefault="00394F55" w:rsidP="00B827D0">
            <w:pPr>
              <w:pStyle w:val="E3TableSubHeading"/>
              <w:rPr>
                <w:rFonts w:eastAsia="Arial" w:cs="Arial"/>
              </w:rPr>
            </w:pPr>
            <w:r w:rsidRPr="008D45D4">
              <w:t>Glare</w:t>
            </w:r>
            <w:r>
              <w:t xml:space="preserve"> </w:t>
            </w:r>
            <w:r w:rsidRPr="008D45D4">
              <w:t>Luminance</w:t>
            </w:r>
            <w:r>
              <w:t xml:space="preserve"> </w:t>
            </w:r>
            <w:r w:rsidRPr="008D45D4">
              <w:t>(cd/m</w:t>
            </w:r>
            <w:r w:rsidRPr="00394F55">
              <w:rPr>
                <w:vertAlign w:val="superscript"/>
              </w:rPr>
              <w:t>2</w:t>
            </w:r>
            <w:r w:rsidRPr="008D45D4">
              <w:t>)</w:t>
            </w:r>
          </w:p>
        </w:tc>
        <w:tc>
          <w:tcPr>
            <w:tcW w:w="767" w:type="dxa"/>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t>N/A</w:t>
            </w:r>
          </w:p>
        </w:tc>
        <w:tc>
          <w:tcPr>
            <w:tcW w:w="2778" w:type="dxa"/>
            <w:gridSpan w:val="6"/>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t>Above 60 degrees, no more than 10,000 candela/m^2</w:t>
            </w:r>
          </w:p>
        </w:tc>
        <w:tc>
          <w:tcPr>
            <w:tcW w:w="2777" w:type="dxa"/>
            <w:gridSpan w:val="6"/>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t>Above 60 degrees, no more than 10,000 candela/m^2</w:t>
            </w:r>
          </w:p>
        </w:tc>
        <w:tc>
          <w:tcPr>
            <w:tcW w:w="2778" w:type="dxa"/>
            <w:gridSpan w:val="6"/>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t>Above 60 degrees, no more than 10,000 candela/m^2</w:t>
            </w:r>
          </w:p>
        </w:tc>
      </w:tr>
      <w:tr w:rsidR="00394F55" w:rsidTr="00897B7A">
        <w:trPr>
          <w:cantSplit/>
          <w:jc w:val="center"/>
        </w:trPr>
        <w:tc>
          <w:tcPr>
            <w:tcW w:w="595" w:type="dxa"/>
            <w:tcBorders>
              <w:top w:val="single" w:sz="6" w:space="0" w:color="000000"/>
              <w:left w:val="single" w:sz="6" w:space="0" w:color="000000"/>
              <w:bottom w:val="single" w:sz="6" w:space="0" w:color="000000"/>
              <w:right w:val="single" w:sz="6" w:space="0" w:color="000000"/>
            </w:tcBorders>
          </w:tcPr>
          <w:p w:rsidR="00394F55" w:rsidRDefault="00394F55" w:rsidP="002805CF">
            <w:pPr>
              <w:pStyle w:val="E3TableSubHeading"/>
              <w:rPr>
                <w:rFonts w:eastAsia="Arial" w:hAnsi="Arial" w:cs="Arial"/>
                <w:szCs w:val="13"/>
              </w:rPr>
            </w:pPr>
            <w:r>
              <w:rPr>
                <w:w w:val="105"/>
              </w:rPr>
              <w:t>Minimum power factor</w:t>
            </w:r>
          </w:p>
        </w:tc>
        <w:tc>
          <w:tcPr>
            <w:tcW w:w="767" w:type="dxa"/>
            <w:tcBorders>
              <w:top w:val="single" w:sz="6" w:space="0" w:color="000000"/>
              <w:left w:val="single" w:sz="6" w:space="0" w:color="000000"/>
              <w:bottom w:val="single" w:sz="6" w:space="0" w:color="000000"/>
              <w:right w:val="single" w:sz="6" w:space="0" w:color="000000"/>
            </w:tcBorders>
          </w:tcPr>
          <w:p w:rsidR="00394F55" w:rsidRDefault="00394F55" w:rsidP="00255AA3">
            <w:pPr>
              <w:pStyle w:val="E3Tabletext"/>
              <w:rPr>
                <w:rFonts w:eastAsia="Arial"/>
              </w:rPr>
            </w:pPr>
            <w:r>
              <w:rPr>
                <w:rFonts w:eastAsia="Arial"/>
                <w:w w:val="105"/>
              </w:rPr>
              <w:t>Current Crest Factor (calculates as Ipeak/Irms) ≤ 3</w:t>
            </w:r>
          </w:p>
        </w:tc>
        <w:tc>
          <w:tcPr>
            <w:tcW w:w="2778" w:type="dxa"/>
            <w:gridSpan w:val="6"/>
            <w:tcBorders>
              <w:top w:val="single" w:sz="6" w:space="0" w:color="000000"/>
              <w:left w:val="single" w:sz="6" w:space="0" w:color="000000"/>
              <w:bottom w:val="single" w:sz="6" w:space="0" w:color="000000"/>
              <w:right w:val="single" w:sz="6" w:space="0" w:color="000000"/>
            </w:tcBorders>
          </w:tcPr>
          <w:p w:rsidR="00394F55" w:rsidRDefault="00394F55" w:rsidP="00255AA3">
            <w:pPr>
              <w:pStyle w:val="E3Tabletext"/>
              <w:rPr>
                <w:rFonts w:eastAsia="Arial"/>
              </w:rPr>
            </w:pPr>
            <w:r>
              <w:rPr>
                <w:rFonts w:eastAsia="Arial"/>
                <w:w w:val="105"/>
              </w:rPr>
              <w:t>≤5W: no requirement;</w:t>
            </w:r>
          </w:p>
          <w:p w:rsidR="00394F55" w:rsidRDefault="00394F55" w:rsidP="00255AA3">
            <w:pPr>
              <w:pStyle w:val="E3Tabletext"/>
              <w:rPr>
                <w:rFonts w:eastAsia="Arial" w:hAnsi="Arial" w:cs="Arial"/>
                <w:szCs w:val="13"/>
              </w:rPr>
            </w:pPr>
            <w:r>
              <w:rPr>
                <w:w w:val="105"/>
              </w:rPr>
              <w:t>&gt;5W, PF&gt;0.50</w:t>
            </w:r>
          </w:p>
        </w:tc>
        <w:tc>
          <w:tcPr>
            <w:tcW w:w="2777" w:type="dxa"/>
            <w:gridSpan w:val="6"/>
            <w:tcBorders>
              <w:top w:val="single" w:sz="6" w:space="0" w:color="000000"/>
              <w:left w:val="single" w:sz="6" w:space="0" w:color="000000"/>
              <w:bottom w:val="single" w:sz="6" w:space="0" w:color="000000"/>
              <w:right w:val="single" w:sz="6" w:space="0" w:color="000000"/>
            </w:tcBorders>
          </w:tcPr>
          <w:p w:rsidR="00394F55" w:rsidRDefault="00394F55" w:rsidP="00255AA3">
            <w:pPr>
              <w:pStyle w:val="E3Tabletext"/>
              <w:rPr>
                <w:rFonts w:eastAsia="Arial"/>
              </w:rPr>
            </w:pPr>
            <w:r>
              <w:rPr>
                <w:rFonts w:eastAsia="Arial"/>
                <w:w w:val="105"/>
              </w:rPr>
              <w:t>≤5W: no requirement;</w:t>
            </w:r>
          </w:p>
          <w:p w:rsidR="00394F55" w:rsidRDefault="00394F55" w:rsidP="00255AA3">
            <w:pPr>
              <w:pStyle w:val="E3Tabletext"/>
              <w:rPr>
                <w:rFonts w:eastAsia="Arial" w:hAnsi="Arial" w:cs="Arial"/>
                <w:szCs w:val="13"/>
              </w:rPr>
            </w:pPr>
            <w:r>
              <w:rPr>
                <w:w w:val="105"/>
              </w:rPr>
              <w:t>&gt;5W, PF&gt;0.50</w:t>
            </w:r>
          </w:p>
        </w:tc>
        <w:tc>
          <w:tcPr>
            <w:tcW w:w="2778" w:type="dxa"/>
            <w:gridSpan w:val="6"/>
            <w:tcBorders>
              <w:top w:val="single" w:sz="6" w:space="0" w:color="000000"/>
              <w:left w:val="single" w:sz="6" w:space="0" w:color="000000"/>
              <w:bottom w:val="single" w:sz="6" w:space="0" w:color="000000"/>
              <w:right w:val="single" w:sz="6" w:space="0" w:color="000000"/>
            </w:tcBorders>
          </w:tcPr>
          <w:p w:rsidR="00394F55" w:rsidRDefault="00394F55" w:rsidP="00255AA3">
            <w:pPr>
              <w:pStyle w:val="E3Tabletext"/>
              <w:rPr>
                <w:rFonts w:eastAsia="Arial"/>
              </w:rPr>
            </w:pPr>
            <w:r>
              <w:rPr>
                <w:rFonts w:eastAsia="Arial"/>
                <w:w w:val="105"/>
              </w:rPr>
              <w:t>≤5W: no requirement;</w:t>
            </w:r>
          </w:p>
          <w:p w:rsidR="00394F55" w:rsidRDefault="00394F55" w:rsidP="00255AA3">
            <w:pPr>
              <w:pStyle w:val="E3Tabletext"/>
              <w:rPr>
                <w:rFonts w:eastAsia="Arial" w:hAnsi="Arial" w:cs="Arial"/>
                <w:szCs w:val="13"/>
              </w:rPr>
            </w:pPr>
            <w:r>
              <w:rPr>
                <w:w w:val="105"/>
              </w:rPr>
              <w:t>&gt;5W, PF&gt;0.50</w:t>
            </w:r>
          </w:p>
        </w:tc>
      </w:tr>
      <w:tr w:rsidR="00394F55" w:rsidTr="00897B7A">
        <w:trPr>
          <w:cantSplit/>
          <w:jc w:val="center"/>
        </w:trPr>
        <w:tc>
          <w:tcPr>
            <w:tcW w:w="595" w:type="dxa"/>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805CF">
            <w:pPr>
              <w:pStyle w:val="E3TableSubHeading"/>
              <w:rPr>
                <w:rFonts w:eastAsia="Arial" w:hAnsi="Arial" w:cs="Arial"/>
                <w:szCs w:val="13"/>
              </w:rPr>
            </w:pPr>
            <w:r>
              <w:rPr>
                <w:spacing w:val="-1"/>
                <w:w w:val="105"/>
              </w:rPr>
              <w:t xml:space="preserve">Harmonic </w:t>
            </w:r>
            <w:r>
              <w:rPr>
                <w:w w:val="105"/>
              </w:rPr>
              <w:t>distortion</w:t>
            </w:r>
          </w:p>
        </w:tc>
        <w:tc>
          <w:tcPr>
            <w:tcW w:w="767" w:type="dxa"/>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rPr>
                <w:w w:val="105"/>
              </w:rPr>
              <w:t>N/A</w:t>
            </w:r>
          </w:p>
        </w:tc>
        <w:tc>
          <w:tcPr>
            <w:tcW w:w="2778" w:type="dxa"/>
            <w:gridSpan w:val="6"/>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rPr>
                <w:w w:val="105"/>
              </w:rPr>
              <w:t>EAC7.3 A/B</w:t>
            </w:r>
          </w:p>
          <w:p w:rsidR="00394F55" w:rsidRDefault="00394F55" w:rsidP="00255AA3">
            <w:pPr>
              <w:pStyle w:val="E3Tabletext"/>
              <w:rPr>
                <w:rFonts w:eastAsia="Arial" w:hAnsi="Arial" w:cs="Arial"/>
                <w:szCs w:val="13"/>
              </w:rPr>
            </w:pPr>
            <w:r>
              <w:rPr>
                <w:w w:val="105"/>
              </w:rPr>
              <w:t>FCCCFR47 Section15 and 18</w:t>
            </w:r>
          </w:p>
        </w:tc>
        <w:tc>
          <w:tcPr>
            <w:tcW w:w="2777" w:type="dxa"/>
            <w:gridSpan w:val="6"/>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rPr>
                <w:w w:val="105"/>
              </w:rPr>
              <w:t>EAC7.3 A/B</w:t>
            </w:r>
          </w:p>
          <w:p w:rsidR="00394F55" w:rsidRDefault="00394F55" w:rsidP="00255AA3">
            <w:pPr>
              <w:pStyle w:val="E3Tabletext"/>
              <w:rPr>
                <w:rFonts w:eastAsia="Arial" w:hAnsi="Arial" w:cs="Arial"/>
                <w:szCs w:val="13"/>
              </w:rPr>
            </w:pPr>
            <w:r>
              <w:rPr>
                <w:w w:val="105"/>
              </w:rPr>
              <w:t>FCCCFR47 Section15 and 18</w:t>
            </w:r>
          </w:p>
        </w:tc>
        <w:tc>
          <w:tcPr>
            <w:tcW w:w="2778" w:type="dxa"/>
            <w:gridSpan w:val="6"/>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rPr>
                <w:w w:val="105"/>
              </w:rPr>
              <w:t>EAC7.3 A/B</w:t>
            </w:r>
          </w:p>
          <w:p w:rsidR="00394F55" w:rsidRDefault="00394F55" w:rsidP="00255AA3">
            <w:pPr>
              <w:pStyle w:val="E3Tabletext"/>
              <w:rPr>
                <w:rFonts w:eastAsia="Arial" w:hAnsi="Arial" w:cs="Arial"/>
                <w:szCs w:val="13"/>
              </w:rPr>
            </w:pPr>
            <w:r>
              <w:rPr>
                <w:w w:val="105"/>
              </w:rPr>
              <w:t>FCCCFR47 Section15 and 18</w:t>
            </w:r>
          </w:p>
        </w:tc>
      </w:tr>
      <w:tr w:rsidR="00394F55" w:rsidTr="00897B7A">
        <w:trPr>
          <w:cantSplit/>
          <w:jc w:val="center"/>
        </w:trPr>
        <w:tc>
          <w:tcPr>
            <w:tcW w:w="595" w:type="dxa"/>
            <w:tcBorders>
              <w:top w:val="single" w:sz="6" w:space="0" w:color="000000"/>
              <w:left w:val="single" w:sz="6" w:space="0" w:color="000000"/>
              <w:bottom w:val="single" w:sz="6" w:space="0" w:color="000000"/>
              <w:right w:val="single" w:sz="6" w:space="0" w:color="000000"/>
            </w:tcBorders>
          </w:tcPr>
          <w:p w:rsidR="00394F55" w:rsidRDefault="00394F55" w:rsidP="002805CF">
            <w:pPr>
              <w:pStyle w:val="E3TableSubHeading"/>
              <w:rPr>
                <w:rFonts w:eastAsia="Arial" w:hAnsi="Arial" w:cs="Arial"/>
                <w:szCs w:val="13"/>
              </w:rPr>
            </w:pPr>
            <w:r>
              <w:rPr>
                <w:spacing w:val="-1"/>
              </w:rPr>
              <w:t>Dimmer compatibility</w:t>
            </w:r>
          </w:p>
        </w:tc>
        <w:tc>
          <w:tcPr>
            <w:tcW w:w="767" w:type="dxa"/>
            <w:tcBorders>
              <w:top w:val="single" w:sz="6" w:space="0" w:color="000000"/>
              <w:left w:val="single" w:sz="6" w:space="0" w:color="000000"/>
              <w:bottom w:val="single" w:sz="6" w:space="0" w:color="000000"/>
              <w:right w:val="single" w:sz="6" w:space="0" w:color="000000"/>
            </w:tcBorders>
          </w:tcPr>
          <w:p w:rsidR="00394F55" w:rsidRDefault="00394F55" w:rsidP="00255AA3">
            <w:pPr>
              <w:pStyle w:val="E3Tabletext"/>
              <w:rPr>
                <w:rFonts w:eastAsia="Arial" w:hAnsi="Arial" w:cs="Arial"/>
                <w:szCs w:val="13"/>
              </w:rPr>
            </w:pPr>
            <w:r>
              <w:rPr>
                <w:w w:val="105"/>
              </w:rPr>
              <w:t>N/A</w:t>
            </w:r>
          </w:p>
        </w:tc>
        <w:tc>
          <w:tcPr>
            <w:tcW w:w="2778" w:type="dxa"/>
            <w:gridSpan w:val="6"/>
            <w:tcBorders>
              <w:top w:val="single" w:sz="6" w:space="0" w:color="000000"/>
              <w:left w:val="single" w:sz="6" w:space="0" w:color="000000"/>
              <w:bottom w:val="single" w:sz="6" w:space="0" w:color="000000"/>
              <w:right w:val="single" w:sz="6" w:space="0" w:color="000000"/>
            </w:tcBorders>
          </w:tcPr>
          <w:p w:rsidR="00394F55" w:rsidRDefault="00394F55" w:rsidP="00255AA3">
            <w:pPr>
              <w:pStyle w:val="E3Tabletext"/>
              <w:rPr>
                <w:rFonts w:eastAsia="Arial" w:hAnsi="Arial" w:cs="Arial"/>
                <w:szCs w:val="13"/>
              </w:rPr>
            </w:pPr>
            <w:r>
              <w:rPr>
                <w:w w:val="105"/>
              </w:rPr>
              <w:t xml:space="preserve">Lamps may be dimmable or non-dimmable. Product packaging shall clearly indicate whether the lamp is dimmable or not dimmable. If a product is declared as dimmable, manufacturer shall also declare </w:t>
            </w:r>
            <w:r>
              <w:rPr>
                <w:spacing w:val="21"/>
                <w:w w:val="103"/>
              </w:rPr>
              <w:t xml:space="preserve">the </w:t>
            </w:r>
            <w:r>
              <w:rPr>
                <w:w w:val="105"/>
              </w:rPr>
              <w:t>conditions under which a lamp will operate as declared, and shall provide a web address for a website that lists dimmer makes and models with which the lamp is compatible. For each compatible dimmer, the manufacturer must also list the minimum and maximum number of lamps that can be satisfactorily dimmed with a given dimmer and the minimum relative luminous flux level a given dimmer-lamp combination can achieve.</w:t>
            </w:r>
          </w:p>
        </w:tc>
        <w:tc>
          <w:tcPr>
            <w:tcW w:w="2777" w:type="dxa"/>
            <w:gridSpan w:val="6"/>
            <w:tcBorders>
              <w:top w:val="single" w:sz="6" w:space="0" w:color="000000"/>
              <w:left w:val="single" w:sz="6" w:space="0" w:color="000000"/>
              <w:bottom w:val="single" w:sz="6" w:space="0" w:color="000000"/>
              <w:right w:val="single" w:sz="6" w:space="0" w:color="000000"/>
            </w:tcBorders>
          </w:tcPr>
          <w:p w:rsidR="00394F55" w:rsidRDefault="00394F55" w:rsidP="00255AA3">
            <w:pPr>
              <w:pStyle w:val="E3Tabletext"/>
              <w:rPr>
                <w:rFonts w:eastAsia="Arial" w:hAnsi="Arial" w:cs="Arial"/>
                <w:szCs w:val="13"/>
              </w:rPr>
            </w:pPr>
            <w:r>
              <w:rPr>
                <w:w w:val="105"/>
              </w:rPr>
              <w:t xml:space="preserve">Lamps may be dimmable or non-dimmable. Product packaging shall clearly indicate whether the lamp is dimmable or not dimmable. If a product is declared as dimmable, manufacturer shall also declare </w:t>
            </w:r>
            <w:r>
              <w:rPr>
                <w:spacing w:val="21"/>
                <w:w w:val="103"/>
              </w:rPr>
              <w:t xml:space="preserve">the </w:t>
            </w:r>
            <w:r>
              <w:rPr>
                <w:w w:val="105"/>
              </w:rPr>
              <w:t>conditions under which a lamp will operate as declared, and shall provide a web address for a website that lists dimmer makes and models with which the lamp is compatible. For each compatible dimmer, the manufacturer must also list the minimum and maximum number of lamps that can be satisfactorily dimmed with a given dimmer and the minimum relative luminous flux level a given dimmer-lamp combination can achieve.</w:t>
            </w:r>
          </w:p>
        </w:tc>
        <w:tc>
          <w:tcPr>
            <w:tcW w:w="2778" w:type="dxa"/>
            <w:gridSpan w:val="6"/>
            <w:tcBorders>
              <w:top w:val="single" w:sz="6" w:space="0" w:color="000000"/>
              <w:left w:val="single" w:sz="6" w:space="0" w:color="000000"/>
              <w:bottom w:val="single" w:sz="6" w:space="0" w:color="000000"/>
              <w:right w:val="single" w:sz="6" w:space="0" w:color="000000"/>
            </w:tcBorders>
          </w:tcPr>
          <w:p w:rsidR="00394F55" w:rsidRDefault="00394F55" w:rsidP="00255AA3">
            <w:pPr>
              <w:pStyle w:val="E3Tabletext"/>
              <w:rPr>
                <w:rFonts w:eastAsia="Arial" w:hAnsi="Arial" w:cs="Arial"/>
                <w:szCs w:val="13"/>
              </w:rPr>
            </w:pPr>
            <w:r>
              <w:rPr>
                <w:w w:val="105"/>
              </w:rPr>
              <w:t xml:space="preserve">Lamps may be dimmable or non-dimmable. Product packaging shall clearly indicate whether the lamp is dimmable or not dimmable. If a product is declared as dimmable, manufacturer shall also declare </w:t>
            </w:r>
            <w:r>
              <w:rPr>
                <w:spacing w:val="21"/>
                <w:w w:val="103"/>
              </w:rPr>
              <w:t xml:space="preserve">the </w:t>
            </w:r>
            <w:r>
              <w:rPr>
                <w:w w:val="105"/>
              </w:rPr>
              <w:t>conditions under which a lamp will operate as declared, and shall provide a web address for a website that lists dimmer makes and models with which the lamp is compatible. For each compatible dimmer, the manufacturer must also list the minimum and maximum number of lamps that can be satisfactorily dimmed with a given dimmer and the minimum relative luminous flux level a given dimmer-lamp combination can achieve.</w:t>
            </w:r>
          </w:p>
        </w:tc>
      </w:tr>
      <w:tr w:rsidR="00394F55" w:rsidTr="00897B7A">
        <w:trPr>
          <w:cantSplit/>
          <w:jc w:val="center"/>
        </w:trPr>
        <w:tc>
          <w:tcPr>
            <w:tcW w:w="595" w:type="dxa"/>
            <w:tcBorders>
              <w:top w:val="single" w:sz="6" w:space="0" w:color="000000"/>
              <w:left w:val="single" w:sz="6" w:space="0" w:color="000000"/>
              <w:bottom w:val="single" w:sz="6" w:space="0" w:color="000000"/>
              <w:right w:val="single" w:sz="6" w:space="0" w:color="000000"/>
            </w:tcBorders>
            <w:shd w:val="clear" w:color="auto" w:fill="D9D9D9"/>
          </w:tcPr>
          <w:p w:rsidR="00394F55" w:rsidRDefault="00F966C3" w:rsidP="002805CF">
            <w:pPr>
              <w:pStyle w:val="E3TableSubHeading"/>
              <w:rPr>
                <w:rFonts w:eastAsia="Arial" w:hAnsi="Arial" w:cs="Arial"/>
                <w:szCs w:val="13"/>
              </w:rPr>
            </w:pPr>
            <w:r>
              <w:t>Photo biological</w:t>
            </w:r>
            <w:r w:rsidR="00394F55">
              <w:t xml:space="preserve">  hazard </w:t>
            </w:r>
            <w:r w:rsidR="00394F55">
              <w:rPr>
                <w:spacing w:val="-1"/>
                <w:w w:val="105"/>
              </w:rPr>
              <w:t xml:space="preserve">class </w:t>
            </w:r>
            <w:r w:rsidR="00394F55">
              <w:rPr>
                <w:w w:val="105"/>
              </w:rPr>
              <w:t>(UV &amp; blue light)</w:t>
            </w:r>
          </w:p>
        </w:tc>
        <w:tc>
          <w:tcPr>
            <w:tcW w:w="767" w:type="dxa"/>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rPr>
                <w:w w:val="105"/>
              </w:rPr>
              <w:t>RG0 orRG1 at 200mm</w:t>
            </w:r>
          </w:p>
        </w:tc>
        <w:tc>
          <w:tcPr>
            <w:tcW w:w="2778" w:type="dxa"/>
            <w:gridSpan w:val="6"/>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rPr>
                <w:w w:val="105"/>
              </w:rPr>
              <w:t>RG0 orRG1 at 200mm</w:t>
            </w:r>
          </w:p>
        </w:tc>
        <w:tc>
          <w:tcPr>
            <w:tcW w:w="2777" w:type="dxa"/>
            <w:gridSpan w:val="6"/>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rPr>
                <w:w w:val="105"/>
              </w:rPr>
              <w:t>RG0 orRG1 at 200mm</w:t>
            </w:r>
          </w:p>
        </w:tc>
        <w:tc>
          <w:tcPr>
            <w:tcW w:w="2778" w:type="dxa"/>
            <w:gridSpan w:val="6"/>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rPr>
                <w:w w:val="105"/>
              </w:rPr>
              <w:t>RG0 orRG1 at 200mm</w:t>
            </w:r>
          </w:p>
        </w:tc>
      </w:tr>
      <w:tr w:rsidR="00394F55" w:rsidTr="00897B7A">
        <w:trPr>
          <w:cantSplit/>
          <w:jc w:val="center"/>
        </w:trPr>
        <w:tc>
          <w:tcPr>
            <w:tcW w:w="595" w:type="dxa"/>
            <w:tcBorders>
              <w:top w:val="single" w:sz="6" w:space="0" w:color="000000"/>
              <w:left w:val="single" w:sz="6" w:space="0" w:color="000000"/>
              <w:bottom w:val="single" w:sz="6" w:space="0" w:color="000000"/>
              <w:right w:val="single" w:sz="6" w:space="0" w:color="000000"/>
            </w:tcBorders>
          </w:tcPr>
          <w:p w:rsidR="00394F55" w:rsidRDefault="00394F55" w:rsidP="002805CF">
            <w:pPr>
              <w:pStyle w:val="E3TableSubHeading"/>
              <w:rPr>
                <w:rFonts w:eastAsia="Arial" w:hAnsi="Arial" w:cs="Arial"/>
                <w:szCs w:val="13"/>
              </w:rPr>
            </w:pPr>
            <w:r>
              <w:rPr>
                <w:w w:val="105"/>
              </w:rPr>
              <w:t xml:space="preserve">Safety </w:t>
            </w:r>
            <w:r>
              <w:rPr>
                <w:spacing w:val="-1"/>
                <w:w w:val="105"/>
              </w:rPr>
              <w:t>marking</w:t>
            </w:r>
          </w:p>
        </w:tc>
        <w:tc>
          <w:tcPr>
            <w:tcW w:w="767" w:type="dxa"/>
            <w:tcBorders>
              <w:top w:val="single" w:sz="6" w:space="0" w:color="000000"/>
              <w:left w:val="single" w:sz="6" w:space="0" w:color="000000"/>
              <w:bottom w:val="single" w:sz="6" w:space="0" w:color="000000"/>
              <w:right w:val="single" w:sz="6" w:space="0" w:color="000000"/>
            </w:tcBorders>
          </w:tcPr>
          <w:p w:rsidR="00394F55" w:rsidRDefault="00394F55" w:rsidP="00255AA3">
            <w:pPr>
              <w:pStyle w:val="E3Tabletext"/>
              <w:rPr>
                <w:rFonts w:eastAsia="Arial" w:hAnsi="Arial" w:cs="Arial"/>
                <w:szCs w:val="13"/>
              </w:rPr>
            </w:pPr>
            <w:r>
              <w:rPr>
                <w:w w:val="105"/>
              </w:rPr>
              <w:t>Must meet regional requirements for marking, if they exist, for non-grid connected devices</w:t>
            </w:r>
          </w:p>
        </w:tc>
        <w:tc>
          <w:tcPr>
            <w:tcW w:w="2778" w:type="dxa"/>
            <w:gridSpan w:val="6"/>
            <w:tcBorders>
              <w:top w:val="single" w:sz="6" w:space="0" w:color="000000"/>
              <w:left w:val="single" w:sz="6" w:space="0" w:color="000000"/>
              <w:bottom w:val="single" w:sz="6" w:space="0" w:color="000000"/>
              <w:right w:val="single" w:sz="6" w:space="0" w:color="000000"/>
            </w:tcBorders>
          </w:tcPr>
          <w:p w:rsidR="00394F55" w:rsidRDefault="00394F55" w:rsidP="00255AA3">
            <w:pPr>
              <w:pStyle w:val="E3Tabletext"/>
              <w:rPr>
                <w:rFonts w:eastAsia="Arial" w:hAnsi="Arial" w:cs="Arial"/>
                <w:szCs w:val="13"/>
              </w:rPr>
            </w:pPr>
            <w:r>
              <w:rPr>
                <w:w w:val="105"/>
              </w:rPr>
              <w:t>Must meet regional requirements (ANSI/UL1993or CE Mark)</w:t>
            </w:r>
          </w:p>
        </w:tc>
        <w:tc>
          <w:tcPr>
            <w:tcW w:w="2777" w:type="dxa"/>
            <w:gridSpan w:val="6"/>
            <w:tcBorders>
              <w:top w:val="single" w:sz="6" w:space="0" w:color="000000"/>
              <w:left w:val="single" w:sz="6" w:space="0" w:color="000000"/>
              <w:bottom w:val="single" w:sz="6" w:space="0" w:color="000000"/>
              <w:right w:val="single" w:sz="6" w:space="0" w:color="000000"/>
            </w:tcBorders>
          </w:tcPr>
          <w:p w:rsidR="00394F55" w:rsidRDefault="00394F55" w:rsidP="00255AA3">
            <w:pPr>
              <w:pStyle w:val="E3Tabletext"/>
              <w:rPr>
                <w:rFonts w:eastAsia="Arial" w:hAnsi="Arial" w:cs="Arial"/>
                <w:szCs w:val="13"/>
              </w:rPr>
            </w:pPr>
            <w:r>
              <w:rPr>
                <w:w w:val="105"/>
              </w:rPr>
              <w:t>Must meet regional requirements (ANSI/UL1993or CE Mark)</w:t>
            </w:r>
          </w:p>
        </w:tc>
        <w:tc>
          <w:tcPr>
            <w:tcW w:w="2778" w:type="dxa"/>
            <w:gridSpan w:val="6"/>
            <w:tcBorders>
              <w:top w:val="single" w:sz="6" w:space="0" w:color="000000"/>
              <w:left w:val="single" w:sz="6" w:space="0" w:color="000000"/>
              <w:bottom w:val="single" w:sz="6" w:space="0" w:color="000000"/>
              <w:right w:val="single" w:sz="6" w:space="0" w:color="000000"/>
            </w:tcBorders>
          </w:tcPr>
          <w:p w:rsidR="00394F55" w:rsidRDefault="00394F55" w:rsidP="00255AA3">
            <w:pPr>
              <w:pStyle w:val="E3Tabletext"/>
              <w:rPr>
                <w:rFonts w:eastAsia="Arial" w:hAnsi="Arial" w:cs="Arial"/>
                <w:szCs w:val="13"/>
              </w:rPr>
            </w:pPr>
            <w:r>
              <w:rPr>
                <w:w w:val="105"/>
              </w:rPr>
              <w:t>Must meet regional requirements (ANSI/UL1993or CE Mark)</w:t>
            </w:r>
          </w:p>
        </w:tc>
      </w:tr>
      <w:tr w:rsidR="00394F55" w:rsidTr="00897B7A">
        <w:trPr>
          <w:cantSplit/>
          <w:jc w:val="center"/>
        </w:trPr>
        <w:tc>
          <w:tcPr>
            <w:tcW w:w="595" w:type="dxa"/>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805CF">
            <w:pPr>
              <w:pStyle w:val="E3TableSubHeading"/>
              <w:rPr>
                <w:rFonts w:eastAsia="Arial" w:hAnsi="Arial" w:cs="Arial"/>
                <w:szCs w:val="13"/>
              </w:rPr>
            </w:pPr>
            <w:r>
              <w:rPr>
                <w:w w:val="105"/>
              </w:rPr>
              <w:t xml:space="preserve">Warranty </w:t>
            </w:r>
            <w:r>
              <w:rPr>
                <w:spacing w:val="-1"/>
                <w:w w:val="105"/>
              </w:rPr>
              <w:t>Duration</w:t>
            </w:r>
          </w:p>
        </w:tc>
        <w:tc>
          <w:tcPr>
            <w:tcW w:w="767" w:type="dxa"/>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rPr>
                <w:w w:val="105"/>
              </w:rPr>
              <w:t>Minimum 1 year warranty against catastrophic failure unless regional requirement is higher</w:t>
            </w:r>
          </w:p>
        </w:tc>
        <w:tc>
          <w:tcPr>
            <w:tcW w:w="2778" w:type="dxa"/>
            <w:gridSpan w:val="6"/>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rPr>
                <w:w w:val="105"/>
              </w:rPr>
              <w:t>Minimum 1 year warranty against catastrophic failure unless regional requirement is higher</w:t>
            </w:r>
          </w:p>
        </w:tc>
        <w:tc>
          <w:tcPr>
            <w:tcW w:w="2777" w:type="dxa"/>
            <w:gridSpan w:val="6"/>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rPr>
                <w:w w:val="105"/>
              </w:rPr>
              <w:t>Minimum warranty of at least 1 year for every 15,000 hours of rated lifespan unless the national or regional requirement or business practice is different.</w:t>
            </w:r>
          </w:p>
        </w:tc>
        <w:tc>
          <w:tcPr>
            <w:tcW w:w="2778" w:type="dxa"/>
            <w:gridSpan w:val="6"/>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rPr>
                <w:w w:val="105"/>
              </w:rPr>
              <w:t>Minimum warranty of at least 1 year for every 15,000 hours of rated lifespan unless the national or regional requirement or business practice is different.</w:t>
            </w:r>
          </w:p>
        </w:tc>
      </w:tr>
      <w:tr w:rsidR="00394F55" w:rsidTr="00897B7A">
        <w:trPr>
          <w:cantSplit/>
          <w:jc w:val="center"/>
        </w:trPr>
        <w:tc>
          <w:tcPr>
            <w:tcW w:w="595" w:type="dxa"/>
            <w:tcBorders>
              <w:top w:val="single" w:sz="6" w:space="0" w:color="000000"/>
              <w:left w:val="single" w:sz="6" w:space="0" w:color="000000"/>
              <w:bottom w:val="single" w:sz="6" w:space="0" w:color="000000"/>
              <w:right w:val="single" w:sz="6" w:space="0" w:color="000000"/>
            </w:tcBorders>
          </w:tcPr>
          <w:p w:rsidR="00394F55" w:rsidRDefault="00394F55" w:rsidP="002805CF">
            <w:pPr>
              <w:pStyle w:val="E3TableSubHeading"/>
              <w:rPr>
                <w:rFonts w:eastAsia="Arial" w:hAnsi="Arial" w:cs="Arial"/>
                <w:szCs w:val="13"/>
              </w:rPr>
            </w:pPr>
            <w:r>
              <w:rPr>
                <w:spacing w:val="-1"/>
                <w:w w:val="105"/>
              </w:rPr>
              <w:t>RoHS Compliant</w:t>
            </w:r>
          </w:p>
        </w:tc>
        <w:tc>
          <w:tcPr>
            <w:tcW w:w="767" w:type="dxa"/>
            <w:tcBorders>
              <w:top w:val="single" w:sz="6" w:space="0" w:color="000000"/>
              <w:left w:val="single" w:sz="6" w:space="0" w:color="000000"/>
              <w:bottom w:val="single" w:sz="6" w:space="0" w:color="000000"/>
              <w:right w:val="single" w:sz="6" w:space="0" w:color="000000"/>
            </w:tcBorders>
          </w:tcPr>
          <w:p w:rsidR="00394F55" w:rsidRDefault="00394F55" w:rsidP="00255AA3">
            <w:pPr>
              <w:pStyle w:val="E3Tabletext"/>
              <w:rPr>
                <w:rFonts w:eastAsia="Arial" w:hAnsi="Arial" w:cs="Arial"/>
                <w:szCs w:val="13"/>
              </w:rPr>
            </w:pPr>
            <w:r>
              <w:rPr>
                <w:w w:val="105"/>
              </w:rPr>
              <w:t>Yes</w:t>
            </w:r>
          </w:p>
        </w:tc>
        <w:tc>
          <w:tcPr>
            <w:tcW w:w="2778" w:type="dxa"/>
            <w:gridSpan w:val="6"/>
            <w:tcBorders>
              <w:top w:val="single" w:sz="6" w:space="0" w:color="000000"/>
              <w:left w:val="single" w:sz="6" w:space="0" w:color="000000"/>
              <w:bottom w:val="single" w:sz="6" w:space="0" w:color="000000"/>
              <w:right w:val="single" w:sz="6" w:space="0" w:color="000000"/>
            </w:tcBorders>
          </w:tcPr>
          <w:p w:rsidR="00394F55" w:rsidRDefault="00394F55" w:rsidP="00255AA3">
            <w:pPr>
              <w:pStyle w:val="E3Tabletext"/>
              <w:rPr>
                <w:rFonts w:eastAsia="Arial" w:hAnsi="Arial" w:cs="Arial"/>
                <w:szCs w:val="13"/>
              </w:rPr>
            </w:pPr>
            <w:r>
              <w:rPr>
                <w:w w:val="105"/>
              </w:rPr>
              <w:t>Yes</w:t>
            </w:r>
          </w:p>
        </w:tc>
        <w:tc>
          <w:tcPr>
            <w:tcW w:w="2777" w:type="dxa"/>
            <w:gridSpan w:val="6"/>
            <w:tcBorders>
              <w:top w:val="single" w:sz="6" w:space="0" w:color="000000"/>
              <w:left w:val="single" w:sz="6" w:space="0" w:color="000000"/>
              <w:bottom w:val="single" w:sz="6" w:space="0" w:color="000000"/>
              <w:right w:val="single" w:sz="6" w:space="0" w:color="000000"/>
            </w:tcBorders>
          </w:tcPr>
          <w:p w:rsidR="00394F55" w:rsidRDefault="00394F55" w:rsidP="00255AA3">
            <w:pPr>
              <w:pStyle w:val="E3Tabletext"/>
              <w:rPr>
                <w:rFonts w:eastAsia="Arial" w:hAnsi="Arial" w:cs="Arial"/>
                <w:szCs w:val="13"/>
              </w:rPr>
            </w:pPr>
            <w:r>
              <w:rPr>
                <w:w w:val="105"/>
              </w:rPr>
              <w:t>Yes</w:t>
            </w:r>
          </w:p>
        </w:tc>
        <w:tc>
          <w:tcPr>
            <w:tcW w:w="2778" w:type="dxa"/>
            <w:gridSpan w:val="6"/>
            <w:tcBorders>
              <w:top w:val="single" w:sz="6" w:space="0" w:color="000000"/>
              <w:left w:val="single" w:sz="6" w:space="0" w:color="000000"/>
              <w:bottom w:val="single" w:sz="6" w:space="0" w:color="000000"/>
              <w:right w:val="single" w:sz="6" w:space="0" w:color="000000"/>
            </w:tcBorders>
          </w:tcPr>
          <w:p w:rsidR="00394F55" w:rsidRDefault="00394F55" w:rsidP="00255AA3">
            <w:pPr>
              <w:pStyle w:val="E3Tabletext"/>
              <w:rPr>
                <w:rFonts w:eastAsia="Arial" w:hAnsi="Arial" w:cs="Arial"/>
                <w:szCs w:val="13"/>
              </w:rPr>
            </w:pPr>
            <w:r>
              <w:rPr>
                <w:w w:val="105"/>
              </w:rPr>
              <w:t>Yes</w:t>
            </w:r>
          </w:p>
        </w:tc>
      </w:tr>
      <w:tr w:rsidR="00394F55" w:rsidTr="00897B7A">
        <w:trPr>
          <w:cantSplit/>
          <w:jc w:val="center"/>
        </w:trPr>
        <w:tc>
          <w:tcPr>
            <w:tcW w:w="595" w:type="dxa"/>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805CF">
            <w:pPr>
              <w:pStyle w:val="E3TableSubHeading"/>
              <w:rPr>
                <w:rFonts w:eastAsia="Arial" w:hAnsi="Arial" w:cs="Arial"/>
                <w:szCs w:val="13"/>
              </w:rPr>
            </w:pPr>
            <w:r>
              <w:rPr>
                <w:spacing w:val="-1"/>
                <w:w w:val="105"/>
              </w:rPr>
              <w:t xml:space="preserve">Recyclability </w:t>
            </w:r>
            <w:r>
              <w:rPr>
                <w:w w:val="105"/>
              </w:rPr>
              <w:t>(%)</w:t>
            </w:r>
          </w:p>
        </w:tc>
        <w:tc>
          <w:tcPr>
            <w:tcW w:w="767" w:type="dxa"/>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rPr>
                <w:w w:val="105"/>
              </w:rPr>
              <w:t>Yes, following the principles of self-declaration found in ISO14021</w:t>
            </w:r>
          </w:p>
        </w:tc>
        <w:tc>
          <w:tcPr>
            <w:tcW w:w="2778" w:type="dxa"/>
            <w:gridSpan w:val="6"/>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rPr>
                <w:w w:val="105"/>
              </w:rPr>
              <w:t>Yes, following the principles of self-declaration found in ISO14021</w:t>
            </w:r>
          </w:p>
        </w:tc>
        <w:tc>
          <w:tcPr>
            <w:tcW w:w="2777" w:type="dxa"/>
            <w:gridSpan w:val="6"/>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rPr>
                <w:w w:val="105"/>
              </w:rPr>
              <w:t>Yes, following the principles of self-declaration found in ISO14021</w:t>
            </w:r>
          </w:p>
        </w:tc>
        <w:tc>
          <w:tcPr>
            <w:tcW w:w="2778" w:type="dxa"/>
            <w:gridSpan w:val="6"/>
            <w:tcBorders>
              <w:top w:val="single" w:sz="6" w:space="0" w:color="000000"/>
              <w:left w:val="single" w:sz="6" w:space="0" w:color="000000"/>
              <w:bottom w:val="single" w:sz="6" w:space="0" w:color="000000"/>
              <w:right w:val="single" w:sz="6" w:space="0" w:color="000000"/>
            </w:tcBorders>
            <w:shd w:val="clear" w:color="auto" w:fill="D9D9D9"/>
          </w:tcPr>
          <w:p w:rsidR="00394F55" w:rsidRDefault="00394F55" w:rsidP="00255AA3">
            <w:pPr>
              <w:pStyle w:val="E3Tabletext"/>
              <w:rPr>
                <w:rFonts w:eastAsia="Arial" w:hAnsi="Arial" w:cs="Arial"/>
                <w:szCs w:val="13"/>
              </w:rPr>
            </w:pPr>
            <w:r>
              <w:rPr>
                <w:w w:val="105"/>
              </w:rPr>
              <w:t>Yes, following the principles of self-declaration found in ISO14021</w:t>
            </w:r>
          </w:p>
        </w:tc>
      </w:tr>
      <w:tr w:rsidR="00394F55" w:rsidTr="00897B7A">
        <w:trPr>
          <w:cantSplit/>
          <w:jc w:val="center"/>
        </w:trPr>
        <w:tc>
          <w:tcPr>
            <w:tcW w:w="595" w:type="dxa"/>
            <w:tcBorders>
              <w:top w:val="single" w:sz="6" w:space="0" w:color="000000"/>
              <w:left w:val="single" w:sz="6" w:space="0" w:color="000000"/>
              <w:bottom w:val="single" w:sz="6" w:space="0" w:color="000000"/>
              <w:right w:val="single" w:sz="6" w:space="0" w:color="000000"/>
            </w:tcBorders>
          </w:tcPr>
          <w:p w:rsidR="00394F55" w:rsidRDefault="00394F55" w:rsidP="002805CF">
            <w:pPr>
              <w:pStyle w:val="E3TableSubHeading"/>
              <w:rPr>
                <w:rFonts w:eastAsia="Arial" w:hAnsi="Arial" w:cs="Arial"/>
                <w:szCs w:val="13"/>
              </w:rPr>
            </w:pPr>
            <w:r>
              <w:rPr>
                <w:w w:val="105"/>
              </w:rPr>
              <w:t>Endurance Test</w:t>
            </w:r>
          </w:p>
        </w:tc>
        <w:tc>
          <w:tcPr>
            <w:tcW w:w="767" w:type="dxa"/>
            <w:tcBorders>
              <w:top w:val="single" w:sz="6" w:space="0" w:color="000000"/>
              <w:left w:val="single" w:sz="6" w:space="0" w:color="000000"/>
              <w:bottom w:val="single" w:sz="6" w:space="0" w:color="000000"/>
              <w:right w:val="single" w:sz="6" w:space="0" w:color="000000"/>
            </w:tcBorders>
          </w:tcPr>
          <w:p w:rsidR="00394F55" w:rsidRDefault="00394F55" w:rsidP="00255AA3">
            <w:pPr>
              <w:pStyle w:val="E3Tabletext"/>
              <w:rPr>
                <w:rFonts w:eastAsia="Arial" w:hAnsi="Arial" w:cs="Arial"/>
                <w:szCs w:val="13"/>
              </w:rPr>
            </w:pPr>
            <w:r>
              <w:rPr>
                <w:w w:val="105"/>
              </w:rPr>
              <w:t>Using section 10.2 of IEC62612 (on/off for 30 seconds each), product must survive one cycle for every hour of rated life.</w:t>
            </w:r>
          </w:p>
        </w:tc>
        <w:tc>
          <w:tcPr>
            <w:tcW w:w="2778" w:type="dxa"/>
            <w:gridSpan w:val="6"/>
            <w:tcBorders>
              <w:top w:val="single" w:sz="6" w:space="0" w:color="000000"/>
              <w:left w:val="single" w:sz="6" w:space="0" w:color="000000"/>
              <w:bottom w:val="single" w:sz="6" w:space="0" w:color="000000"/>
              <w:right w:val="single" w:sz="6" w:space="0" w:color="000000"/>
            </w:tcBorders>
          </w:tcPr>
          <w:p w:rsidR="00394F55" w:rsidRDefault="00394F55" w:rsidP="00255AA3">
            <w:pPr>
              <w:pStyle w:val="E3Tabletext"/>
              <w:rPr>
                <w:rFonts w:eastAsia="Arial" w:hAnsi="Arial" w:cs="Arial"/>
                <w:szCs w:val="13"/>
              </w:rPr>
            </w:pPr>
            <w:r>
              <w:rPr>
                <w:w w:val="105"/>
              </w:rPr>
              <w:t>Using section 10.2 of IEC62612 (on/off for 30 seconds each), product must survive one cycle for every hour of rated life.</w:t>
            </w:r>
          </w:p>
        </w:tc>
        <w:tc>
          <w:tcPr>
            <w:tcW w:w="2777" w:type="dxa"/>
            <w:gridSpan w:val="6"/>
            <w:tcBorders>
              <w:top w:val="single" w:sz="6" w:space="0" w:color="000000"/>
              <w:left w:val="single" w:sz="6" w:space="0" w:color="000000"/>
              <w:bottom w:val="single" w:sz="6" w:space="0" w:color="000000"/>
              <w:right w:val="single" w:sz="6" w:space="0" w:color="000000"/>
            </w:tcBorders>
          </w:tcPr>
          <w:p w:rsidR="00394F55" w:rsidRDefault="00394F55" w:rsidP="00255AA3">
            <w:pPr>
              <w:pStyle w:val="E3Tabletext"/>
              <w:rPr>
                <w:rFonts w:eastAsia="Arial" w:hAnsi="Arial" w:cs="Arial"/>
                <w:szCs w:val="13"/>
              </w:rPr>
            </w:pPr>
            <w:r>
              <w:rPr>
                <w:w w:val="105"/>
              </w:rPr>
              <w:t>Using section 10.2 of IEC62612 (on/off for 30 seconds each), product must survive one cycle for every hour of rated life.</w:t>
            </w:r>
          </w:p>
        </w:tc>
        <w:tc>
          <w:tcPr>
            <w:tcW w:w="2778" w:type="dxa"/>
            <w:gridSpan w:val="6"/>
            <w:tcBorders>
              <w:top w:val="single" w:sz="6" w:space="0" w:color="000000"/>
              <w:left w:val="single" w:sz="6" w:space="0" w:color="000000"/>
              <w:bottom w:val="single" w:sz="6" w:space="0" w:color="000000"/>
              <w:right w:val="single" w:sz="6" w:space="0" w:color="000000"/>
            </w:tcBorders>
          </w:tcPr>
          <w:p w:rsidR="00394F55" w:rsidRDefault="00394F55" w:rsidP="00255AA3">
            <w:pPr>
              <w:pStyle w:val="E3Tabletext"/>
              <w:rPr>
                <w:rFonts w:eastAsia="Arial" w:hAnsi="Arial" w:cs="Arial"/>
                <w:szCs w:val="13"/>
              </w:rPr>
            </w:pPr>
            <w:r>
              <w:rPr>
                <w:w w:val="105"/>
              </w:rPr>
              <w:t>Using section 10.2 of IEC62612 (on/off for 30 seconds each), product must survive one cycle for every hour of rated life.</w:t>
            </w:r>
          </w:p>
        </w:tc>
      </w:tr>
    </w:tbl>
    <w:p w:rsidR="00334066" w:rsidRPr="00DA113D" w:rsidRDefault="00334066" w:rsidP="00B827D0">
      <w:pPr>
        <w:pStyle w:val="E3BodyText"/>
        <w:rPr>
          <w:lang w:eastAsia="en-AU"/>
        </w:rPr>
      </w:pPr>
    </w:p>
    <w:p w:rsidR="00A069C0" w:rsidRDefault="00A069C0" w:rsidP="00B827D0">
      <w:pPr>
        <w:pStyle w:val="E3BodyText"/>
        <w:rPr>
          <w:lang w:eastAsia="en-AU"/>
        </w:rPr>
      </w:pPr>
    </w:p>
    <w:p w:rsidR="00A069C0" w:rsidRDefault="00A069C0" w:rsidP="00B827D0">
      <w:pPr>
        <w:pStyle w:val="E3BodyText"/>
        <w:rPr>
          <w:lang w:eastAsia="en-AU"/>
        </w:rPr>
      </w:pPr>
    </w:p>
    <w:p w:rsidR="00A069C0" w:rsidRDefault="00A069C0" w:rsidP="00B827D0">
      <w:pPr>
        <w:pStyle w:val="E3BodyText"/>
        <w:rPr>
          <w:lang w:eastAsia="en-AU"/>
        </w:rPr>
      </w:pPr>
    </w:p>
    <w:p w:rsidR="00A069C0" w:rsidRDefault="00A069C0" w:rsidP="00B827D0">
      <w:pPr>
        <w:pStyle w:val="E3BodyText"/>
        <w:rPr>
          <w:lang w:eastAsia="en-AU"/>
        </w:rPr>
      </w:pPr>
    </w:p>
    <w:p w:rsidR="00243DC7" w:rsidRDefault="00243DC7" w:rsidP="00B827D0">
      <w:pPr>
        <w:pStyle w:val="E3BodyText"/>
        <w:rPr>
          <w:lang w:eastAsia="en-AU"/>
        </w:rPr>
      </w:pPr>
    </w:p>
    <w:p w:rsidR="00243DC7" w:rsidRPr="00243DC7" w:rsidRDefault="00243DC7" w:rsidP="00243DC7">
      <w:pPr>
        <w:rPr>
          <w:lang w:eastAsia="en-AU"/>
        </w:rPr>
      </w:pPr>
    </w:p>
    <w:p w:rsidR="00243DC7" w:rsidRPr="00243DC7" w:rsidRDefault="00243DC7" w:rsidP="00243DC7">
      <w:pPr>
        <w:rPr>
          <w:lang w:eastAsia="en-AU"/>
        </w:rPr>
      </w:pPr>
    </w:p>
    <w:p w:rsidR="00243DC7" w:rsidRPr="00243DC7" w:rsidRDefault="00243DC7" w:rsidP="00243DC7">
      <w:pPr>
        <w:rPr>
          <w:lang w:eastAsia="en-AU"/>
        </w:rPr>
      </w:pPr>
    </w:p>
    <w:p w:rsidR="00243DC7" w:rsidRDefault="00243DC7" w:rsidP="00243DC7">
      <w:pPr>
        <w:rPr>
          <w:lang w:eastAsia="en-AU"/>
        </w:rPr>
      </w:pPr>
    </w:p>
    <w:p w:rsidR="00243DC7" w:rsidRDefault="00243DC7" w:rsidP="00243DC7">
      <w:pPr>
        <w:tabs>
          <w:tab w:val="left" w:pos="2426"/>
        </w:tabs>
        <w:rPr>
          <w:lang w:eastAsia="en-AU"/>
        </w:rPr>
      </w:pPr>
      <w:r>
        <w:rPr>
          <w:lang w:eastAsia="en-AU"/>
        </w:rPr>
        <w:tab/>
      </w:r>
    </w:p>
    <w:p w:rsidR="00243DC7" w:rsidRDefault="00243DC7" w:rsidP="00243DC7">
      <w:pPr>
        <w:rPr>
          <w:lang w:eastAsia="en-AU"/>
        </w:rPr>
      </w:pPr>
    </w:p>
    <w:p w:rsidR="00A069C0" w:rsidRPr="00243DC7" w:rsidRDefault="00A069C0" w:rsidP="00243DC7">
      <w:pPr>
        <w:rPr>
          <w:lang w:eastAsia="en-AU"/>
        </w:rPr>
        <w:sectPr w:rsidR="00A069C0" w:rsidRPr="00243DC7" w:rsidSect="00262B5A">
          <w:headerReference w:type="default" r:id="rId152"/>
          <w:footerReference w:type="first" r:id="rId153"/>
          <w:pgSz w:w="11907" w:h="16840" w:code="9"/>
          <w:pgMar w:top="1134" w:right="1134" w:bottom="1418" w:left="1134" w:header="142" w:footer="709" w:gutter="0"/>
          <w:cols w:space="720"/>
          <w:titlePg/>
          <w:docGrid w:linePitch="360"/>
        </w:sectPr>
      </w:pPr>
    </w:p>
    <w:p w:rsidR="00817A2A" w:rsidRPr="003107D2" w:rsidRDefault="00F966C3" w:rsidP="00500411">
      <w:pPr>
        <w:pStyle w:val="E3ChapterTitle"/>
        <w:numPr>
          <w:ilvl w:val="0"/>
          <w:numId w:val="0"/>
        </w:numPr>
        <w:ind w:left="851" w:hanging="851"/>
      </w:pPr>
      <w:bookmarkStart w:id="337" w:name="_Toc426387809"/>
      <w:r w:rsidRPr="003107D2">
        <w:t>Appendix</w:t>
      </w:r>
      <w:r>
        <w:t xml:space="preserve"> C</w:t>
      </w:r>
      <w:bookmarkEnd w:id="337"/>
    </w:p>
    <w:p w:rsidR="00A069C0" w:rsidRPr="009C36A8" w:rsidRDefault="00A069C0" w:rsidP="009C36A8">
      <w:pPr>
        <w:pStyle w:val="Subtitle"/>
        <w:rPr>
          <w:sz w:val="26"/>
          <w:szCs w:val="26"/>
        </w:rPr>
      </w:pPr>
      <w:bookmarkStart w:id="338" w:name="_Toc403034343"/>
      <w:r w:rsidRPr="009C36A8">
        <w:rPr>
          <w:sz w:val="26"/>
          <w:szCs w:val="26"/>
        </w:rPr>
        <w:t xml:space="preserve">Possible Test conditions and methods </w:t>
      </w:r>
      <w:r w:rsidR="00E62E20" w:rsidRPr="009C36A8">
        <w:rPr>
          <w:sz w:val="26"/>
          <w:szCs w:val="26"/>
        </w:rPr>
        <w:t xml:space="preserve">- </w:t>
      </w:r>
      <w:r w:rsidR="00500411" w:rsidRPr="009C36A8">
        <w:rPr>
          <w:sz w:val="26"/>
          <w:szCs w:val="26"/>
        </w:rPr>
        <w:t xml:space="preserve">LED lamps for general service </w:t>
      </w:r>
      <w:r w:rsidRPr="009C36A8">
        <w:rPr>
          <w:sz w:val="26"/>
          <w:szCs w:val="26"/>
        </w:rPr>
        <w:t>lighting</w:t>
      </w:r>
      <w:bookmarkEnd w:id="338"/>
    </w:p>
    <w:p w:rsidR="00A069C0" w:rsidRDefault="00A069C0" w:rsidP="00A069C0">
      <w:pPr>
        <w:pStyle w:val="E3BodyText"/>
        <w:rPr>
          <w:lang w:eastAsia="en-AU"/>
        </w:rPr>
      </w:pPr>
      <w:r>
        <w:rPr>
          <w:lang w:eastAsia="en-AU"/>
        </w:rPr>
        <w:t xml:space="preserve">The following table sets out possible tests that could be included in an Australian and New Zealand LED performance test standard.  The table reviews the </w:t>
      </w:r>
      <w:r w:rsidRPr="00A069C0">
        <w:rPr>
          <w:lang w:eastAsia="en-AU"/>
        </w:rPr>
        <w:t xml:space="preserve">published </w:t>
      </w:r>
      <w:r w:rsidR="007B4C50" w:rsidRPr="007B4C50">
        <w:rPr>
          <w:lang w:eastAsia="en-AU"/>
        </w:rPr>
        <w:t>CIE S 025/E</w:t>
      </w:r>
      <w:r w:rsidR="00F966C3" w:rsidRPr="007B4C50">
        <w:rPr>
          <w:lang w:eastAsia="en-AU"/>
        </w:rPr>
        <w:t>: 2015</w:t>
      </w:r>
      <w:r w:rsidR="007B4C50" w:rsidRPr="007B4C50">
        <w:rPr>
          <w:lang w:eastAsia="en-AU"/>
        </w:rPr>
        <w:t>: Test Method for LED Lamps, LED Luminaires and LED Modules</w:t>
      </w:r>
      <w:r w:rsidRPr="00A069C0">
        <w:rPr>
          <w:lang w:eastAsia="en-AU"/>
        </w:rPr>
        <w:t xml:space="preserve"> for the specific test me</w:t>
      </w:r>
      <w:r>
        <w:rPr>
          <w:lang w:eastAsia="en-AU"/>
        </w:rPr>
        <w:t>thods required for each of the</w:t>
      </w:r>
      <w:r w:rsidRPr="00A069C0">
        <w:rPr>
          <w:lang w:eastAsia="en-AU"/>
        </w:rPr>
        <w:t xml:space="preserve"> parameters and</w:t>
      </w:r>
      <w:r w:rsidR="00E62E20">
        <w:rPr>
          <w:lang w:eastAsia="en-AU"/>
        </w:rPr>
        <w:t>,</w:t>
      </w:r>
      <w:r w:rsidRPr="00A069C0">
        <w:rPr>
          <w:lang w:eastAsia="en-AU"/>
        </w:rPr>
        <w:t xml:space="preserve"> where no such test method is provided</w:t>
      </w:r>
      <w:r w:rsidR="00E62E20">
        <w:rPr>
          <w:lang w:eastAsia="en-AU"/>
        </w:rPr>
        <w:t xml:space="preserve"> in </w:t>
      </w:r>
      <w:r w:rsidR="00E62E20" w:rsidRPr="00E62E20">
        <w:rPr>
          <w:lang w:eastAsia="en-AU"/>
        </w:rPr>
        <w:t>CIE - 025</w:t>
      </w:r>
      <w:r>
        <w:rPr>
          <w:lang w:eastAsia="en-AU"/>
        </w:rPr>
        <w:t>,</w:t>
      </w:r>
      <w:r w:rsidRPr="00A069C0">
        <w:rPr>
          <w:lang w:eastAsia="en-AU"/>
        </w:rPr>
        <w:t xml:space="preserve"> a recommendation from the international standards bodies (IEC, CIE) or a national regulatory authority (USA Energy Star) is provided.</w:t>
      </w:r>
      <w:r>
        <w:rPr>
          <w:lang w:eastAsia="en-AU"/>
        </w:rPr>
        <w:t xml:space="preserve"> Where a relevant test method is available in </w:t>
      </w:r>
      <w:r w:rsidRPr="00A069C0">
        <w:rPr>
          <w:lang w:eastAsia="en-AU"/>
        </w:rPr>
        <w:t>AS/NZS4847</w:t>
      </w:r>
      <w:r>
        <w:rPr>
          <w:lang w:eastAsia="en-AU"/>
        </w:rPr>
        <w:t xml:space="preserve">: </w:t>
      </w:r>
      <w:r w:rsidRPr="00A069C0">
        <w:rPr>
          <w:lang w:val="en-US" w:eastAsia="en-AU"/>
        </w:rPr>
        <w:t>Self-ballasted lamps for general lighting services Part 1: Test methods – Energy performance</w:t>
      </w:r>
      <w:r w:rsidR="00E62E20">
        <w:rPr>
          <w:lang w:val="en-US" w:eastAsia="en-AU"/>
        </w:rPr>
        <w:t xml:space="preserve"> this is also noted.</w:t>
      </w:r>
    </w:p>
    <w:p w:rsidR="00A069C0" w:rsidRPr="00A069C0" w:rsidRDefault="00A069C0" w:rsidP="001A3AE7">
      <w:pPr>
        <w:rPr>
          <w:lang w:eastAsia="en-AU"/>
        </w:rPr>
      </w:pPr>
    </w:p>
    <w:tbl>
      <w:tblPr>
        <w:tblStyle w:val="TableGrid6"/>
        <w:tblW w:w="5000" w:type="pct"/>
        <w:tblInd w:w="108" w:type="dxa"/>
        <w:tblLook w:val="04A0" w:firstRow="1" w:lastRow="0" w:firstColumn="1" w:lastColumn="0" w:noHBand="0" w:noVBand="1"/>
      </w:tblPr>
      <w:tblGrid>
        <w:gridCol w:w="2033"/>
        <w:gridCol w:w="2557"/>
        <w:gridCol w:w="2446"/>
        <w:gridCol w:w="2819"/>
      </w:tblGrid>
      <w:tr w:rsidR="00A069C0" w:rsidRPr="00FB6F11" w:rsidTr="00FB6F11">
        <w:trPr>
          <w:cantSplit/>
          <w:trHeight w:val="968"/>
          <w:tblHeader/>
        </w:trPr>
        <w:tc>
          <w:tcPr>
            <w:tcW w:w="2552" w:type="dxa"/>
          </w:tcPr>
          <w:p w:rsidR="00A069C0" w:rsidRPr="00343317" w:rsidRDefault="00A069C0" w:rsidP="003E2D6A">
            <w:pPr>
              <w:pStyle w:val="TableParagraph"/>
              <w:rPr>
                <w:b/>
                <w:sz w:val="20"/>
              </w:rPr>
            </w:pPr>
            <w:r w:rsidRPr="00343317">
              <w:rPr>
                <w:b/>
                <w:sz w:val="20"/>
              </w:rPr>
              <w:t>Test conditions</w:t>
            </w:r>
          </w:p>
        </w:tc>
        <w:tc>
          <w:tcPr>
            <w:tcW w:w="2835" w:type="dxa"/>
          </w:tcPr>
          <w:p w:rsidR="00A069C0" w:rsidRPr="00343317" w:rsidRDefault="007B4C50" w:rsidP="003E2D6A">
            <w:pPr>
              <w:pStyle w:val="TableParagraph"/>
              <w:rPr>
                <w:b/>
                <w:sz w:val="20"/>
              </w:rPr>
            </w:pPr>
            <w:r w:rsidRPr="00343317">
              <w:rPr>
                <w:b/>
                <w:sz w:val="20"/>
              </w:rPr>
              <w:t>CIE S 025</w:t>
            </w:r>
          </w:p>
        </w:tc>
        <w:tc>
          <w:tcPr>
            <w:tcW w:w="3118" w:type="dxa"/>
          </w:tcPr>
          <w:p w:rsidR="00A069C0" w:rsidRPr="00343317" w:rsidRDefault="00A069C0" w:rsidP="003E2D6A">
            <w:pPr>
              <w:pStyle w:val="TableParagraph"/>
              <w:rPr>
                <w:b/>
                <w:sz w:val="20"/>
              </w:rPr>
            </w:pPr>
            <w:r w:rsidRPr="00343317">
              <w:rPr>
                <w:b/>
                <w:sz w:val="20"/>
              </w:rPr>
              <w:t>AS/NZS4847</w:t>
            </w:r>
          </w:p>
        </w:tc>
        <w:tc>
          <w:tcPr>
            <w:tcW w:w="3828" w:type="dxa"/>
          </w:tcPr>
          <w:p w:rsidR="00A069C0" w:rsidRPr="00343317" w:rsidRDefault="00A069C0" w:rsidP="003E2D6A">
            <w:pPr>
              <w:pStyle w:val="TableParagraph"/>
              <w:rPr>
                <w:b/>
                <w:sz w:val="20"/>
              </w:rPr>
            </w:pPr>
            <w:r w:rsidRPr="00343317">
              <w:rPr>
                <w:b/>
                <w:sz w:val="20"/>
              </w:rPr>
              <w:t>Test method details to be included in AU/NZ LED MEPS(including criteria from other entities)</w:t>
            </w:r>
          </w:p>
        </w:tc>
      </w:tr>
      <w:tr w:rsidR="00A069C0" w:rsidRPr="00FB6F11" w:rsidTr="00FB6F11">
        <w:trPr>
          <w:cantSplit/>
        </w:trPr>
        <w:tc>
          <w:tcPr>
            <w:tcW w:w="2552" w:type="dxa"/>
          </w:tcPr>
          <w:p w:rsidR="00A069C0" w:rsidRPr="00FB6F11" w:rsidRDefault="00A069C0" w:rsidP="003E2D6A">
            <w:pPr>
              <w:pStyle w:val="TableParagraph"/>
              <w:rPr>
                <w:sz w:val="20"/>
              </w:rPr>
            </w:pPr>
            <w:r w:rsidRPr="00FB6F11">
              <w:rPr>
                <w:sz w:val="20"/>
              </w:rPr>
              <w:t>Air movement and temperature</w:t>
            </w:r>
          </w:p>
        </w:tc>
        <w:tc>
          <w:tcPr>
            <w:tcW w:w="2835" w:type="dxa"/>
          </w:tcPr>
          <w:p w:rsidR="00A069C0" w:rsidRPr="00FB6F11" w:rsidRDefault="00A069C0" w:rsidP="003E2D6A">
            <w:pPr>
              <w:pStyle w:val="TableParagraph"/>
              <w:rPr>
                <w:sz w:val="20"/>
              </w:rPr>
            </w:pPr>
            <w:r w:rsidRPr="00FB6F11">
              <w:rPr>
                <w:sz w:val="20"/>
              </w:rPr>
              <w:t>Satisfactorily covered</w:t>
            </w:r>
          </w:p>
        </w:tc>
        <w:tc>
          <w:tcPr>
            <w:tcW w:w="3118" w:type="dxa"/>
            <w:shd w:val="clear" w:color="auto" w:fill="auto"/>
          </w:tcPr>
          <w:p w:rsidR="00A069C0" w:rsidRPr="00FB6F11" w:rsidRDefault="00A069C0" w:rsidP="003E2D6A">
            <w:pPr>
              <w:pStyle w:val="TableParagraph"/>
              <w:rPr>
                <w:sz w:val="20"/>
              </w:rPr>
            </w:pPr>
          </w:p>
        </w:tc>
        <w:tc>
          <w:tcPr>
            <w:tcW w:w="3828" w:type="dxa"/>
            <w:shd w:val="clear" w:color="auto" w:fill="auto"/>
          </w:tcPr>
          <w:p w:rsidR="00A069C0" w:rsidRPr="00FB6F11" w:rsidRDefault="007B4C50" w:rsidP="003E2D6A">
            <w:pPr>
              <w:pStyle w:val="TableParagraph"/>
              <w:rPr>
                <w:sz w:val="20"/>
              </w:rPr>
            </w:pPr>
            <w:r w:rsidRPr="00FB6F11">
              <w:rPr>
                <w:sz w:val="20"/>
              </w:rPr>
              <w:t>CIE S 025</w:t>
            </w:r>
          </w:p>
        </w:tc>
      </w:tr>
      <w:tr w:rsidR="00A069C0" w:rsidRPr="00FB6F11" w:rsidTr="00FB6F11">
        <w:trPr>
          <w:cantSplit/>
        </w:trPr>
        <w:tc>
          <w:tcPr>
            <w:tcW w:w="2552" w:type="dxa"/>
          </w:tcPr>
          <w:p w:rsidR="00A069C0" w:rsidRPr="00FB6F11" w:rsidRDefault="00A069C0" w:rsidP="003E2D6A">
            <w:pPr>
              <w:pStyle w:val="TableParagraph"/>
              <w:rPr>
                <w:sz w:val="20"/>
              </w:rPr>
            </w:pPr>
            <w:r w:rsidRPr="00FB6F11">
              <w:rPr>
                <w:sz w:val="20"/>
              </w:rPr>
              <w:t>Electrical conditions</w:t>
            </w:r>
          </w:p>
        </w:tc>
        <w:tc>
          <w:tcPr>
            <w:tcW w:w="2835" w:type="dxa"/>
          </w:tcPr>
          <w:p w:rsidR="00A069C0" w:rsidRPr="00FB6F11" w:rsidRDefault="00A069C0" w:rsidP="003E2D6A">
            <w:pPr>
              <w:pStyle w:val="TableParagraph"/>
              <w:rPr>
                <w:sz w:val="20"/>
              </w:rPr>
            </w:pPr>
            <w:r w:rsidRPr="00FB6F11">
              <w:rPr>
                <w:sz w:val="20"/>
              </w:rPr>
              <w:t>Satisfactorily covered</w:t>
            </w:r>
          </w:p>
        </w:tc>
        <w:tc>
          <w:tcPr>
            <w:tcW w:w="3118" w:type="dxa"/>
            <w:shd w:val="clear" w:color="auto" w:fill="auto"/>
          </w:tcPr>
          <w:p w:rsidR="00A069C0" w:rsidRPr="00FB6F11" w:rsidRDefault="00A069C0" w:rsidP="003E2D6A">
            <w:pPr>
              <w:pStyle w:val="TableParagraph"/>
              <w:rPr>
                <w:sz w:val="20"/>
              </w:rPr>
            </w:pPr>
          </w:p>
        </w:tc>
        <w:tc>
          <w:tcPr>
            <w:tcW w:w="3828" w:type="dxa"/>
            <w:shd w:val="clear" w:color="auto" w:fill="auto"/>
          </w:tcPr>
          <w:p w:rsidR="00A069C0" w:rsidRPr="00FB6F11" w:rsidRDefault="007B4C50" w:rsidP="003E2D6A">
            <w:pPr>
              <w:pStyle w:val="TableParagraph"/>
              <w:rPr>
                <w:sz w:val="20"/>
              </w:rPr>
            </w:pPr>
            <w:r w:rsidRPr="00FB6F11">
              <w:rPr>
                <w:sz w:val="20"/>
              </w:rPr>
              <w:t>CIE S 025</w:t>
            </w:r>
          </w:p>
        </w:tc>
      </w:tr>
      <w:tr w:rsidR="00A069C0" w:rsidRPr="00FB6F11" w:rsidTr="00FB6F11">
        <w:trPr>
          <w:cantSplit/>
        </w:trPr>
        <w:tc>
          <w:tcPr>
            <w:tcW w:w="2552" w:type="dxa"/>
          </w:tcPr>
          <w:p w:rsidR="00A069C0" w:rsidRPr="00FB6F11" w:rsidRDefault="00A069C0" w:rsidP="003E2D6A">
            <w:pPr>
              <w:pStyle w:val="TableParagraph"/>
              <w:rPr>
                <w:sz w:val="20"/>
              </w:rPr>
            </w:pPr>
            <w:r w:rsidRPr="00FB6F11">
              <w:rPr>
                <w:sz w:val="20"/>
              </w:rPr>
              <w:t>Measurement instruments (photometry &amp; general electrical)</w:t>
            </w:r>
          </w:p>
        </w:tc>
        <w:tc>
          <w:tcPr>
            <w:tcW w:w="2835" w:type="dxa"/>
          </w:tcPr>
          <w:p w:rsidR="00A069C0" w:rsidRPr="00FB6F11" w:rsidRDefault="00A069C0" w:rsidP="003E2D6A">
            <w:pPr>
              <w:pStyle w:val="TableParagraph"/>
              <w:rPr>
                <w:sz w:val="20"/>
              </w:rPr>
            </w:pPr>
            <w:r w:rsidRPr="00FB6F11">
              <w:rPr>
                <w:sz w:val="20"/>
              </w:rPr>
              <w:t>Satisfactorily covered</w:t>
            </w:r>
          </w:p>
        </w:tc>
        <w:tc>
          <w:tcPr>
            <w:tcW w:w="3118" w:type="dxa"/>
            <w:shd w:val="clear" w:color="auto" w:fill="auto"/>
          </w:tcPr>
          <w:p w:rsidR="00A069C0" w:rsidRPr="00FB6F11" w:rsidRDefault="00A069C0" w:rsidP="003E2D6A">
            <w:pPr>
              <w:pStyle w:val="TableParagraph"/>
              <w:rPr>
                <w:sz w:val="20"/>
              </w:rPr>
            </w:pPr>
          </w:p>
        </w:tc>
        <w:tc>
          <w:tcPr>
            <w:tcW w:w="3828" w:type="dxa"/>
            <w:shd w:val="clear" w:color="auto" w:fill="auto"/>
          </w:tcPr>
          <w:p w:rsidR="00A069C0" w:rsidRPr="00FB6F11" w:rsidRDefault="007B4C50" w:rsidP="003E2D6A">
            <w:pPr>
              <w:pStyle w:val="TableParagraph"/>
              <w:rPr>
                <w:sz w:val="20"/>
              </w:rPr>
            </w:pPr>
            <w:r w:rsidRPr="00FB6F11">
              <w:rPr>
                <w:sz w:val="20"/>
              </w:rPr>
              <w:t>CIE S 025</w:t>
            </w:r>
          </w:p>
        </w:tc>
      </w:tr>
      <w:tr w:rsidR="00A069C0" w:rsidRPr="00FB6F11" w:rsidTr="00FB6F11">
        <w:trPr>
          <w:cantSplit/>
        </w:trPr>
        <w:tc>
          <w:tcPr>
            <w:tcW w:w="2552" w:type="dxa"/>
          </w:tcPr>
          <w:p w:rsidR="00A069C0" w:rsidRPr="00FB6F11" w:rsidRDefault="00A069C0" w:rsidP="003E2D6A">
            <w:pPr>
              <w:pStyle w:val="TableParagraph"/>
              <w:rPr>
                <w:sz w:val="20"/>
              </w:rPr>
            </w:pPr>
            <w:r w:rsidRPr="00FB6F11">
              <w:rPr>
                <w:sz w:val="20"/>
              </w:rPr>
              <w:t>Operating position of lamp</w:t>
            </w:r>
          </w:p>
        </w:tc>
        <w:tc>
          <w:tcPr>
            <w:tcW w:w="2835" w:type="dxa"/>
          </w:tcPr>
          <w:p w:rsidR="00A069C0" w:rsidRPr="00FB6F11" w:rsidRDefault="00A069C0" w:rsidP="003E2D6A">
            <w:pPr>
              <w:pStyle w:val="TableParagraph"/>
              <w:rPr>
                <w:sz w:val="20"/>
              </w:rPr>
            </w:pPr>
            <w:r w:rsidRPr="00FB6F11">
              <w:rPr>
                <w:sz w:val="20"/>
              </w:rPr>
              <w:t>States as per designed operating condition</w:t>
            </w:r>
          </w:p>
        </w:tc>
        <w:tc>
          <w:tcPr>
            <w:tcW w:w="3118" w:type="dxa"/>
          </w:tcPr>
          <w:p w:rsidR="00A069C0" w:rsidRPr="00FB6F11" w:rsidRDefault="00A069C0" w:rsidP="003E2D6A">
            <w:pPr>
              <w:pStyle w:val="TableParagraph"/>
              <w:rPr>
                <w:sz w:val="20"/>
              </w:rPr>
            </w:pPr>
            <w:r w:rsidRPr="00FB6F11">
              <w:rPr>
                <w:sz w:val="20"/>
              </w:rPr>
              <w:t>Cap up unless specified otherwise</w:t>
            </w:r>
          </w:p>
        </w:tc>
        <w:tc>
          <w:tcPr>
            <w:tcW w:w="3828" w:type="dxa"/>
          </w:tcPr>
          <w:p w:rsidR="00A069C0" w:rsidRPr="00FB6F11" w:rsidRDefault="00A069C0" w:rsidP="003E2D6A">
            <w:pPr>
              <w:pStyle w:val="TableParagraph"/>
              <w:rPr>
                <w:sz w:val="20"/>
              </w:rPr>
            </w:pPr>
            <w:r w:rsidRPr="00FB6F11">
              <w:rPr>
                <w:sz w:val="20"/>
              </w:rPr>
              <w:t>Consider Energy Star: equal no of lamps in each of 3 orientation axes</w:t>
            </w:r>
            <w:r w:rsidR="00221E6C" w:rsidRPr="00FB6F11">
              <w:rPr>
                <w:sz w:val="20"/>
              </w:rPr>
              <w:t xml:space="preserve">, </w:t>
            </w:r>
            <w:r w:rsidR="00221E6C" w:rsidRPr="00FB6F11">
              <w:rPr>
                <w:sz w:val="20"/>
                <w:lang w:val="en-AU"/>
              </w:rPr>
              <w:t>or as specified by manufacturer.</w:t>
            </w:r>
          </w:p>
        </w:tc>
      </w:tr>
      <w:tr w:rsidR="00A069C0" w:rsidRPr="00FB6F11" w:rsidTr="00FB6F11">
        <w:trPr>
          <w:cantSplit/>
        </w:trPr>
        <w:tc>
          <w:tcPr>
            <w:tcW w:w="2552" w:type="dxa"/>
          </w:tcPr>
          <w:p w:rsidR="00A069C0" w:rsidRPr="00FB6F11" w:rsidRDefault="00A069C0" w:rsidP="003E2D6A">
            <w:pPr>
              <w:pStyle w:val="TableParagraph"/>
              <w:rPr>
                <w:sz w:val="20"/>
              </w:rPr>
            </w:pPr>
            <w:r w:rsidRPr="00FB6F11">
              <w:rPr>
                <w:sz w:val="20"/>
              </w:rPr>
              <w:t>Lamp Mounting</w:t>
            </w:r>
          </w:p>
        </w:tc>
        <w:tc>
          <w:tcPr>
            <w:tcW w:w="2835" w:type="dxa"/>
          </w:tcPr>
          <w:p w:rsidR="00A069C0" w:rsidRPr="00FB6F11" w:rsidRDefault="00A069C0" w:rsidP="003E2D6A">
            <w:pPr>
              <w:pStyle w:val="TableParagraph"/>
              <w:rPr>
                <w:sz w:val="20"/>
              </w:rPr>
            </w:pPr>
            <w:r w:rsidRPr="00FB6F11">
              <w:rPr>
                <w:sz w:val="20"/>
              </w:rPr>
              <w:t>Satisfactorily covered</w:t>
            </w:r>
          </w:p>
        </w:tc>
        <w:tc>
          <w:tcPr>
            <w:tcW w:w="3118" w:type="dxa"/>
            <w:shd w:val="clear" w:color="auto" w:fill="auto"/>
          </w:tcPr>
          <w:p w:rsidR="00A069C0" w:rsidRPr="00FB6F11" w:rsidRDefault="00A069C0" w:rsidP="003E2D6A">
            <w:pPr>
              <w:pStyle w:val="TableParagraph"/>
              <w:rPr>
                <w:sz w:val="20"/>
              </w:rPr>
            </w:pPr>
          </w:p>
        </w:tc>
        <w:tc>
          <w:tcPr>
            <w:tcW w:w="3828" w:type="dxa"/>
            <w:shd w:val="clear" w:color="auto" w:fill="auto"/>
          </w:tcPr>
          <w:p w:rsidR="00A069C0" w:rsidRPr="00FB6F11" w:rsidRDefault="007B4C50" w:rsidP="003E2D6A">
            <w:pPr>
              <w:pStyle w:val="TableParagraph"/>
              <w:rPr>
                <w:sz w:val="20"/>
              </w:rPr>
            </w:pPr>
            <w:r w:rsidRPr="00FB6F11">
              <w:rPr>
                <w:sz w:val="20"/>
              </w:rPr>
              <w:t>CIE S 025</w:t>
            </w:r>
          </w:p>
        </w:tc>
      </w:tr>
      <w:tr w:rsidR="00A069C0" w:rsidRPr="00FB6F11" w:rsidTr="00FB6F11">
        <w:trPr>
          <w:cantSplit/>
        </w:trPr>
        <w:tc>
          <w:tcPr>
            <w:tcW w:w="2552" w:type="dxa"/>
          </w:tcPr>
          <w:p w:rsidR="00A069C0" w:rsidRPr="00FB6F11" w:rsidRDefault="00A069C0" w:rsidP="003E2D6A">
            <w:pPr>
              <w:pStyle w:val="TableParagraph"/>
              <w:rPr>
                <w:sz w:val="20"/>
              </w:rPr>
            </w:pPr>
            <w:r w:rsidRPr="00FB6F11">
              <w:rPr>
                <w:sz w:val="20"/>
              </w:rPr>
              <w:t>Lamp Operating Conditions</w:t>
            </w:r>
          </w:p>
        </w:tc>
        <w:tc>
          <w:tcPr>
            <w:tcW w:w="2835" w:type="dxa"/>
          </w:tcPr>
          <w:p w:rsidR="00A069C0" w:rsidRPr="00FB6F11" w:rsidRDefault="00A267BD" w:rsidP="003E2D6A">
            <w:pPr>
              <w:pStyle w:val="TableParagraph"/>
              <w:rPr>
                <w:sz w:val="20"/>
              </w:rPr>
            </w:pPr>
            <w:r w:rsidRPr="00FB6F11">
              <w:rPr>
                <w:sz w:val="20"/>
              </w:rPr>
              <w:t xml:space="preserve">Satisfactorily covered for </w:t>
            </w:r>
            <w:r w:rsidR="00A069C0" w:rsidRPr="00FB6F11">
              <w:rPr>
                <w:sz w:val="20"/>
              </w:rPr>
              <w:t>ambient temperature</w:t>
            </w:r>
            <w:r w:rsidRPr="00FB6F11">
              <w:rPr>
                <w:sz w:val="20"/>
              </w:rPr>
              <w:t>.</w:t>
            </w:r>
          </w:p>
          <w:p w:rsidR="003E2D6A" w:rsidRPr="00FB6F11" w:rsidRDefault="00A069C0" w:rsidP="003E2D6A">
            <w:pPr>
              <w:pStyle w:val="TableParagraph"/>
              <w:rPr>
                <w:sz w:val="20"/>
              </w:rPr>
            </w:pPr>
            <w:r w:rsidRPr="00FB6F11">
              <w:rPr>
                <w:sz w:val="20"/>
              </w:rPr>
              <w:t>Matters partially addressed:</w:t>
            </w:r>
          </w:p>
          <w:p w:rsidR="00A267BD" w:rsidRPr="00FB6F11" w:rsidRDefault="00A069C0" w:rsidP="00F1452F">
            <w:pPr>
              <w:pStyle w:val="TableParagraph"/>
              <w:numPr>
                <w:ilvl w:val="0"/>
                <w:numId w:val="39"/>
              </w:numPr>
              <w:rPr>
                <w:sz w:val="20"/>
              </w:rPr>
            </w:pPr>
            <w:r w:rsidRPr="00FB6F11">
              <w:rPr>
                <w:sz w:val="20"/>
              </w:rPr>
              <w:t xml:space="preserve">Dimmable, </w:t>
            </w:r>
          </w:p>
          <w:p w:rsidR="00A267BD" w:rsidRPr="00FB6F11" w:rsidRDefault="00A069C0" w:rsidP="00F1452F">
            <w:pPr>
              <w:pStyle w:val="TableParagraph"/>
              <w:numPr>
                <w:ilvl w:val="0"/>
                <w:numId w:val="39"/>
              </w:numPr>
              <w:rPr>
                <w:sz w:val="20"/>
              </w:rPr>
            </w:pPr>
            <w:r w:rsidRPr="00FB6F11">
              <w:rPr>
                <w:sz w:val="20"/>
              </w:rPr>
              <w:t>Internal</w:t>
            </w:r>
            <w:r w:rsidR="001C7E9A">
              <w:rPr>
                <w:sz w:val="20"/>
              </w:rPr>
              <w:t xml:space="preserve"> </w:t>
            </w:r>
            <w:r w:rsidR="00FB6F11">
              <w:rPr>
                <w:sz w:val="20"/>
              </w:rPr>
              <w:t>thermal</w:t>
            </w:r>
            <w:r w:rsidR="001C7E9A">
              <w:rPr>
                <w:sz w:val="20"/>
              </w:rPr>
              <w:t xml:space="preserve"> </w:t>
            </w:r>
            <w:r w:rsidRPr="00FB6F11">
              <w:rPr>
                <w:sz w:val="20"/>
              </w:rPr>
              <w:t xml:space="preserve">feedback, </w:t>
            </w:r>
          </w:p>
          <w:p w:rsidR="00A267BD" w:rsidRPr="00FB6F11" w:rsidRDefault="00A267BD" w:rsidP="00F1452F">
            <w:pPr>
              <w:pStyle w:val="TableParagraph"/>
              <w:numPr>
                <w:ilvl w:val="0"/>
                <w:numId w:val="39"/>
              </w:numPr>
              <w:rPr>
                <w:sz w:val="20"/>
              </w:rPr>
            </w:pPr>
            <w:r w:rsidRPr="00FB6F11">
              <w:rPr>
                <w:sz w:val="20"/>
              </w:rPr>
              <w:t>A</w:t>
            </w:r>
            <w:r w:rsidR="00A069C0" w:rsidRPr="00FB6F11">
              <w:rPr>
                <w:sz w:val="20"/>
              </w:rPr>
              <w:t xml:space="preserve">djustable colour, </w:t>
            </w:r>
          </w:p>
          <w:p w:rsidR="00A267BD" w:rsidRPr="00FB6F11" w:rsidRDefault="00A267BD" w:rsidP="00F1452F">
            <w:pPr>
              <w:pStyle w:val="TableParagraph"/>
              <w:numPr>
                <w:ilvl w:val="0"/>
                <w:numId w:val="39"/>
              </w:numPr>
              <w:rPr>
                <w:sz w:val="20"/>
              </w:rPr>
            </w:pPr>
            <w:r w:rsidRPr="00FB6F11">
              <w:rPr>
                <w:sz w:val="20"/>
              </w:rPr>
              <w:t>Adjustable white,</w:t>
            </w:r>
          </w:p>
          <w:p w:rsidR="00A069C0" w:rsidRPr="00FB6F11" w:rsidRDefault="00A267BD" w:rsidP="00F1452F">
            <w:pPr>
              <w:pStyle w:val="TableParagraph"/>
              <w:numPr>
                <w:ilvl w:val="0"/>
                <w:numId w:val="39"/>
              </w:numPr>
              <w:rPr>
                <w:sz w:val="20"/>
              </w:rPr>
            </w:pPr>
            <w:r w:rsidRPr="00FB6F11">
              <w:rPr>
                <w:sz w:val="20"/>
              </w:rPr>
              <w:t>multicolour</w:t>
            </w:r>
          </w:p>
          <w:p w:rsidR="00A069C0" w:rsidRPr="00FB6F11" w:rsidRDefault="00A069C0" w:rsidP="003E2D6A">
            <w:pPr>
              <w:pStyle w:val="TableParagraph"/>
              <w:rPr>
                <w:sz w:val="20"/>
              </w:rPr>
            </w:pPr>
          </w:p>
        </w:tc>
        <w:tc>
          <w:tcPr>
            <w:tcW w:w="3118" w:type="dxa"/>
            <w:shd w:val="clear" w:color="auto" w:fill="auto"/>
          </w:tcPr>
          <w:p w:rsidR="00A069C0" w:rsidRPr="00FB6F11" w:rsidRDefault="00A069C0" w:rsidP="003E2D6A">
            <w:pPr>
              <w:pStyle w:val="TableParagraph"/>
              <w:rPr>
                <w:sz w:val="20"/>
              </w:rPr>
            </w:pPr>
          </w:p>
        </w:tc>
        <w:tc>
          <w:tcPr>
            <w:tcW w:w="3828" w:type="dxa"/>
            <w:shd w:val="clear" w:color="auto" w:fill="auto"/>
          </w:tcPr>
          <w:p w:rsidR="00A267BD" w:rsidRPr="00FB6F11" w:rsidRDefault="007B4C50" w:rsidP="003E2D6A">
            <w:pPr>
              <w:pStyle w:val="TableParagraph"/>
              <w:rPr>
                <w:sz w:val="20"/>
              </w:rPr>
            </w:pPr>
            <w:r w:rsidRPr="00FB6F11">
              <w:rPr>
                <w:sz w:val="20"/>
                <w:lang w:val="en-AU"/>
              </w:rPr>
              <w:t xml:space="preserve">CIE S 025 </w:t>
            </w:r>
            <w:r w:rsidR="00A267BD" w:rsidRPr="00FB6F11">
              <w:rPr>
                <w:sz w:val="20"/>
                <w:lang w:val="en-AU"/>
              </w:rPr>
              <w:t>and</w:t>
            </w:r>
          </w:p>
          <w:p w:rsidR="00A069C0" w:rsidRPr="00FB6F11" w:rsidRDefault="00A069C0" w:rsidP="003E2D6A">
            <w:pPr>
              <w:pStyle w:val="TableParagraph"/>
              <w:rPr>
                <w:sz w:val="20"/>
              </w:rPr>
            </w:pPr>
            <w:r w:rsidRPr="00FB6F11">
              <w:rPr>
                <w:sz w:val="20"/>
              </w:rPr>
              <w:t>Dimmable: Maximum and other specified relative levels.</w:t>
            </w:r>
          </w:p>
          <w:p w:rsidR="00A069C0" w:rsidRPr="00FB6F11" w:rsidRDefault="00A069C0" w:rsidP="003E2D6A">
            <w:pPr>
              <w:pStyle w:val="TableParagraph"/>
              <w:rPr>
                <w:sz w:val="20"/>
              </w:rPr>
            </w:pPr>
            <w:r w:rsidRPr="00FB6F11">
              <w:rPr>
                <w:sz w:val="20"/>
              </w:rPr>
              <w:t xml:space="preserve">Internal </w:t>
            </w:r>
            <w:r w:rsidR="00FB6F11">
              <w:rPr>
                <w:sz w:val="20"/>
              </w:rPr>
              <w:t xml:space="preserve">thermal </w:t>
            </w:r>
            <w:r w:rsidRPr="00FB6F11">
              <w:rPr>
                <w:sz w:val="20"/>
              </w:rPr>
              <w:t>feedback</w:t>
            </w:r>
          </w:p>
          <w:p w:rsidR="00A069C0" w:rsidRPr="00FB6F11" w:rsidRDefault="00A069C0" w:rsidP="003E2D6A">
            <w:pPr>
              <w:pStyle w:val="TableParagraph"/>
              <w:rPr>
                <w:sz w:val="20"/>
              </w:rPr>
            </w:pPr>
            <w:r w:rsidRPr="00FB6F11">
              <w:rPr>
                <w:sz w:val="20"/>
              </w:rPr>
              <w:t>Adjustable white (CCT): need to specify settings</w:t>
            </w:r>
          </w:p>
          <w:p w:rsidR="00A069C0" w:rsidRPr="00FB6F11" w:rsidRDefault="00A069C0" w:rsidP="003E2D6A">
            <w:pPr>
              <w:pStyle w:val="TableParagraph"/>
              <w:rPr>
                <w:sz w:val="20"/>
              </w:rPr>
            </w:pPr>
            <w:r w:rsidRPr="00FB6F11">
              <w:rPr>
                <w:sz w:val="20"/>
              </w:rPr>
              <w:t xml:space="preserve">Adjustable colour: </w:t>
            </w:r>
            <w:r w:rsidR="00221E6C" w:rsidRPr="00FB6F11">
              <w:rPr>
                <w:sz w:val="20"/>
                <w:lang w:val="en-AU"/>
              </w:rPr>
              <w:t>At standard CCTs</w:t>
            </w:r>
          </w:p>
        </w:tc>
      </w:tr>
      <w:tr w:rsidR="00A069C0" w:rsidRPr="00FB6F11" w:rsidTr="00FB6F11">
        <w:trPr>
          <w:cantSplit/>
        </w:trPr>
        <w:tc>
          <w:tcPr>
            <w:tcW w:w="2552" w:type="dxa"/>
          </w:tcPr>
          <w:p w:rsidR="00A069C0" w:rsidRPr="00FB6F11" w:rsidRDefault="00A069C0" w:rsidP="003E2D6A">
            <w:pPr>
              <w:pStyle w:val="TableParagraph"/>
              <w:rPr>
                <w:sz w:val="20"/>
              </w:rPr>
            </w:pPr>
            <w:r w:rsidRPr="00FB6F11">
              <w:rPr>
                <w:sz w:val="20"/>
              </w:rPr>
              <w:t>Lamp aging</w:t>
            </w:r>
          </w:p>
        </w:tc>
        <w:tc>
          <w:tcPr>
            <w:tcW w:w="2835" w:type="dxa"/>
          </w:tcPr>
          <w:p w:rsidR="00A069C0" w:rsidRPr="00FB6F11" w:rsidRDefault="00A069C0" w:rsidP="003E2D6A">
            <w:pPr>
              <w:pStyle w:val="TableParagraph"/>
              <w:rPr>
                <w:sz w:val="20"/>
              </w:rPr>
            </w:pPr>
            <w:r w:rsidRPr="00FB6F11">
              <w:rPr>
                <w:sz w:val="20"/>
              </w:rPr>
              <w:t>In accordance with LED product performance standard</w:t>
            </w:r>
          </w:p>
        </w:tc>
        <w:tc>
          <w:tcPr>
            <w:tcW w:w="3118" w:type="dxa"/>
          </w:tcPr>
          <w:p w:rsidR="00A069C0" w:rsidRPr="00FB6F11" w:rsidRDefault="00A069C0" w:rsidP="003E2D6A">
            <w:pPr>
              <w:pStyle w:val="TableParagraph"/>
              <w:rPr>
                <w:sz w:val="20"/>
              </w:rPr>
            </w:pPr>
            <w:r w:rsidRPr="00FB6F11">
              <w:rPr>
                <w:sz w:val="20"/>
              </w:rPr>
              <w:t xml:space="preserve">100 </w:t>
            </w:r>
            <w:r w:rsidR="00F966C3" w:rsidRPr="00FB6F11">
              <w:rPr>
                <w:sz w:val="20"/>
              </w:rPr>
              <w:t>hrs.</w:t>
            </w:r>
            <w:r w:rsidRPr="00FB6F11">
              <w:rPr>
                <w:sz w:val="20"/>
              </w:rPr>
              <w:t xml:space="preserve"> (2.75 ON 0.25 OFF)</w:t>
            </w:r>
          </w:p>
          <w:p w:rsidR="00A069C0" w:rsidRPr="00FB6F11" w:rsidRDefault="00A069C0" w:rsidP="003E2D6A">
            <w:pPr>
              <w:pStyle w:val="TableParagraph"/>
              <w:rPr>
                <w:sz w:val="20"/>
              </w:rPr>
            </w:pPr>
            <w:r w:rsidRPr="00FB6F11">
              <w:rPr>
                <w:sz w:val="20"/>
              </w:rPr>
              <w:t>Aging environment: T</w:t>
            </w:r>
            <w:r w:rsidRPr="00FB6F11">
              <w:rPr>
                <w:sz w:val="20"/>
                <w:vertAlign w:val="subscript"/>
              </w:rPr>
              <w:t>a</w:t>
            </w:r>
            <w:r w:rsidRPr="00FB6F11">
              <w:rPr>
                <w:sz w:val="20"/>
              </w:rPr>
              <w:t xml:space="preserve"> 25±1</w:t>
            </w:r>
            <w:r w:rsidRPr="00FB6F11">
              <w:rPr>
                <w:sz w:val="20"/>
              </w:rPr>
              <w:sym w:font="Symbol" w:char="F0B0"/>
            </w:r>
            <w:r w:rsidRPr="00FB6F11">
              <w:rPr>
                <w:sz w:val="20"/>
              </w:rPr>
              <w:t>C, RH≤65%</w:t>
            </w:r>
          </w:p>
        </w:tc>
        <w:tc>
          <w:tcPr>
            <w:tcW w:w="3828" w:type="dxa"/>
          </w:tcPr>
          <w:p w:rsidR="00A069C0" w:rsidRPr="00FB6F11" w:rsidRDefault="00A069C0" w:rsidP="003E2D6A">
            <w:pPr>
              <w:pStyle w:val="TableParagraph"/>
              <w:rPr>
                <w:sz w:val="20"/>
              </w:rPr>
            </w:pPr>
            <w:r w:rsidRPr="00FB6F11">
              <w:rPr>
                <w:sz w:val="20"/>
              </w:rPr>
              <w:t>IEA 4E SSL IC2013 protocol suggested a Preconditioning of 24hrs</w:t>
            </w:r>
          </w:p>
          <w:p w:rsidR="00A069C0" w:rsidRPr="00FB6F11" w:rsidRDefault="00A069C0" w:rsidP="003E2D6A">
            <w:pPr>
              <w:pStyle w:val="TableParagraph"/>
              <w:rPr>
                <w:sz w:val="20"/>
              </w:rPr>
            </w:pPr>
            <w:r w:rsidRPr="00FB6F11">
              <w:rPr>
                <w:sz w:val="20"/>
              </w:rPr>
              <w:t xml:space="preserve">(US DOE rule making: 1000 </w:t>
            </w:r>
            <w:r w:rsidR="00F966C3" w:rsidRPr="00FB6F11">
              <w:rPr>
                <w:sz w:val="20"/>
              </w:rPr>
              <w:t>hrs.</w:t>
            </w:r>
            <w:r w:rsidRPr="00FB6F11">
              <w:rPr>
                <w:sz w:val="20"/>
              </w:rPr>
              <w:t>)</w:t>
            </w:r>
          </w:p>
        </w:tc>
      </w:tr>
      <w:tr w:rsidR="00A069C0" w:rsidRPr="00FB6F11" w:rsidTr="00FB6F11">
        <w:trPr>
          <w:cantSplit/>
        </w:trPr>
        <w:tc>
          <w:tcPr>
            <w:tcW w:w="2552" w:type="dxa"/>
          </w:tcPr>
          <w:p w:rsidR="00A069C0" w:rsidRPr="00FB6F11" w:rsidRDefault="00A069C0" w:rsidP="003E2D6A">
            <w:pPr>
              <w:pStyle w:val="TableParagraph"/>
              <w:rPr>
                <w:sz w:val="20"/>
              </w:rPr>
            </w:pPr>
            <w:r w:rsidRPr="00FB6F11">
              <w:rPr>
                <w:sz w:val="20"/>
              </w:rPr>
              <w:t>Lamp stabilisation</w:t>
            </w:r>
          </w:p>
        </w:tc>
        <w:tc>
          <w:tcPr>
            <w:tcW w:w="2835" w:type="dxa"/>
          </w:tcPr>
          <w:p w:rsidR="00A069C0" w:rsidRPr="00FB6F11" w:rsidRDefault="00A069C0" w:rsidP="003E2D6A">
            <w:pPr>
              <w:pStyle w:val="TableParagraph"/>
              <w:rPr>
                <w:sz w:val="20"/>
              </w:rPr>
            </w:pPr>
            <w:r w:rsidRPr="00FB6F11">
              <w:rPr>
                <w:sz w:val="20"/>
              </w:rPr>
              <w:t xml:space="preserve">Measurements of light output and electrical power at minimum intervals of 1 minute. </w:t>
            </w:r>
          </w:p>
          <w:p w:rsidR="00A069C0" w:rsidRPr="00FB6F11" w:rsidRDefault="00A069C0" w:rsidP="003E2D6A">
            <w:pPr>
              <w:pStyle w:val="TableParagraph"/>
              <w:rPr>
                <w:sz w:val="20"/>
              </w:rPr>
            </w:pPr>
            <w:r w:rsidRPr="00FB6F11">
              <w:rPr>
                <w:sz w:val="20"/>
              </w:rPr>
              <w:t>No criteria for stabilised operation provided</w:t>
            </w:r>
          </w:p>
        </w:tc>
        <w:tc>
          <w:tcPr>
            <w:tcW w:w="3118" w:type="dxa"/>
          </w:tcPr>
          <w:p w:rsidR="00A069C0" w:rsidRPr="00FB6F11" w:rsidRDefault="00A069C0" w:rsidP="003E2D6A">
            <w:pPr>
              <w:pStyle w:val="TableParagraph"/>
              <w:rPr>
                <w:sz w:val="20"/>
              </w:rPr>
            </w:pPr>
            <w:r w:rsidRPr="00FB6F11">
              <w:rPr>
                <w:sz w:val="20"/>
              </w:rPr>
              <w:t>After 15 min of operation the light output variation from the minimum reading is less than 1%</w:t>
            </w:r>
          </w:p>
        </w:tc>
        <w:tc>
          <w:tcPr>
            <w:tcW w:w="3828" w:type="dxa"/>
          </w:tcPr>
          <w:p w:rsidR="00A069C0" w:rsidRPr="00FB6F11" w:rsidRDefault="00221E6C" w:rsidP="003E2D6A">
            <w:pPr>
              <w:pStyle w:val="TableParagraph"/>
              <w:rPr>
                <w:sz w:val="20"/>
              </w:rPr>
            </w:pPr>
            <w:r w:rsidRPr="00FB6F11">
              <w:rPr>
                <w:sz w:val="20"/>
                <w:lang w:val="en-AU"/>
              </w:rPr>
              <w:t>CIE S025</w:t>
            </w:r>
            <w:r w:rsidR="00A069C0" w:rsidRPr="00FB6F11">
              <w:rPr>
                <w:sz w:val="20"/>
              </w:rPr>
              <w:t xml:space="preserve"> test method: “changes of total luminous flux (for integrating sphere) or luminous intensity in a fixed direction (for a goniophotometer setup) and electrical power are less than 0.5 % over a 30 minute window by monitoring the signal every minute”</w:t>
            </w:r>
          </w:p>
          <w:p w:rsidR="00A069C0" w:rsidRPr="00FB6F11" w:rsidRDefault="00A069C0" w:rsidP="003E2D6A">
            <w:pPr>
              <w:pStyle w:val="TableParagraph"/>
              <w:rPr>
                <w:sz w:val="20"/>
              </w:rPr>
            </w:pPr>
          </w:p>
          <w:p w:rsidR="00A069C0" w:rsidRPr="00FB6F11" w:rsidRDefault="00221E6C" w:rsidP="003E2D6A">
            <w:pPr>
              <w:pStyle w:val="TableParagraph"/>
              <w:rPr>
                <w:sz w:val="20"/>
              </w:rPr>
            </w:pPr>
            <w:r w:rsidRPr="00FB6F11">
              <w:rPr>
                <w:sz w:val="20"/>
              </w:rPr>
              <w:t>IEC 62612</w:t>
            </w:r>
            <w:r w:rsidRPr="00FB6F11">
              <w:rPr>
                <w:sz w:val="20"/>
                <w:lang w:val="en-AU"/>
              </w:rPr>
              <w:t>: luminous intensity in a fixed direction is less than 0.5 % and electrical power is less than 1.0 % are over a 15 minute window when  monitoring the signal every minute</w:t>
            </w:r>
          </w:p>
        </w:tc>
      </w:tr>
      <w:tr w:rsidR="00A069C0" w:rsidRPr="00FB6F11" w:rsidTr="00FB6F11">
        <w:trPr>
          <w:cantSplit/>
        </w:trPr>
        <w:tc>
          <w:tcPr>
            <w:tcW w:w="2552" w:type="dxa"/>
          </w:tcPr>
          <w:p w:rsidR="00A069C0" w:rsidRPr="00FB6F11" w:rsidRDefault="00A069C0" w:rsidP="003E2D6A">
            <w:pPr>
              <w:pStyle w:val="TableParagraph"/>
              <w:rPr>
                <w:sz w:val="20"/>
              </w:rPr>
            </w:pPr>
            <w:r w:rsidRPr="00FB6F11">
              <w:rPr>
                <w:sz w:val="20"/>
              </w:rPr>
              <w:t>Initial total luminous flux</w:t>
            </w:r>
          </w:p>
        </w:tc>
        <w:tc>
          <w:tcPr>
            <w:tcW w:w="2835" w:type="dxa"/>
          </w:tcPr>
          <w:p w:rsidR="00A069C0" w:rsidRPr="00FB6F11" w:rsidRDefault="00A069C0" w:rsidP="003E2D6A">
            <w:pPr>
              <w:pStyle w:val="TableParagraph"/>
              <w:rPr>
                <w:sz w:val="20"/>
              </w:rPr>
            </w:pPr>
            <w:r w:rsidRPr="00FB6F11">
              <w:rPr>
                <w:sz w:val="20"/>
              </w:rPr>
              <w:t>Satisfactorily covered for spheres and goniophotometers (except for measurement angles as discussed for “intensity distribution” below)</w:t>
            </w:r>
          </w:p>
        </w:tc>
        <w:tc>
          <w:tcPr>
            <w:tcW w:w="3118" w:type="dxa"/>
            <w:shd w:val="clear" w:color="auto" w:fill="auto"/>
          </w:tcPr>
          <w:p w:rsidR="00A069C0" w:rsidRPr="00FB6F11" w:rsidRDefault="00A069C0" w:rsidP="003E2D6A">
            <w:pPr>
              <w:pStyle w:val="TableParagraph"/>
              <w:rPr>
                <w:sz w:val="20"/>
              </w:rPr>
            </w:pPr>
          </w:p>
        </w:tc>
        <w:tc>
          <w:tcPr>
            <w:tcW w:w="3828" w:type="dxa"/>
            <w:shd w:val="clear" w:color="auto" w:fill="auto"/>
          </w:tcPr>
          <w:p w:rsidR="00A069C0" w:rsidRPr="00FB6F11" w:rsidRDefault="007B4C50" w:rsidP="003E2D6A">
            <w:pPr>
              <w:pStyle w:val="TableParagraph"/>
              <w:rPr>
                <w:sz w:val="20"/>
              </w:rPr>
            </w:pPr>
            <w:r w:rsidRPr="00FB6F11">
              <w:rPr>
                <w:sz w:val="20"/>
                <w:lang w:val="en-AU"/>
              </w:rPr>
              <w:t>CIE S 025</w:t>
            </w:r>
          </w:p>
        </w:tc>
      </w:tr>
      <w:tr w:rsidR="00A069C0" w:rsidRPr="00FB6F11" w:rsidTr="00FB6F11">
        <w:trPr>
          <w:cantSplit/>
        </w:trPr>
        <w:tc>
          <w:tcPr>
            <w:tcW w:w="2552" w:type="dxa"/>
          </w:tcPr>
          <w:p w:rsidR="00A069C0" w:rsidRPr="00FB6F11" w:rsidRDefault="00A069C0" w:rsidP="003E2D6A">
            <w:pPr>
              <w:pStyle w:val="TableParagraph"/>
              <w:rPr>
                <w:sz w:val="20"/>
              </w:rPr>
            </w:pPr>
            <w:r w:rsidRPr="00FB6F11">
              <w:rPr>
                <w:sz w:val="20"/>
              </w:rPr>
              <w:t>Maintained luminous flux</w:t>
            </w:r>
          </w:p>
        </w:tc>
        <w:tc>
          <w:tcPr>
            <w:tcW w:w="2835" w:type="dxa"/>
          </w:tcPr>
          <w:p w:rsidR="00A069C0" w:rsidRPr="00FB6F11" w:rsidRDefault="00A069C0" w:rsidP="003E2D6A">
            <w:pPr>
              <w:pStyle w:val="TableParagraph"/>
              <w:rPr>
                <w:sz w:val="20"/>
              </w:rPr>
            </w:pPr>
            <w:r w:rsidRPr="00FB6F11">
              <w:rPr>
                <w:sz w:val="20"/>
              </w:rPr>
              <w:t>Not covered</w:t>
            </w:r>
          </w:p>
        </w:tc>
        <w:tc>
          <w:tcPr>
            <w:tcW w:w="3118" w:type="dxa"/>
            <w:shd w:val="clear" w:color="auto" w:fill="auto"/>
          </w:tcPr>
          <w:p w:rsidR="00A069C0" w:rsidRPr="00FB6F11" w:rsidRDefault="00A069C0" w:rsidP="003E2D6A">
            <w:pPr>
              <w:pStyle w:val="TableParagraph"/>
              <w:rPr>
                <w:sz w:val="20"/>
              </w:rPr>
            </w:pPr>
            <w:r w:rsidRPr="00FB6F11">
              <w:rPr>
                <w:sz w:val="20"/>
              </w:rPr>
              <w:t>Section D5: Measurements at 100, 2000, 5000, 0.4xrated life</w:t>
            </w:r>
          </w:p>
        </w:tc>
        <w:tc>
          <w:tcPr>
            <w:tcW w:w="3828" w:type="dxa"/>
            <w:shd w:val="clear" w:color="auto" w:fill="auto"/>
          </w:tcPr>
          <w:p w:rsidR="00A069C0" w:rsidRPr="00FB6F11" w:rsidRDefault="00A069C0" w:rsidP="003E2D6A">
            <w:pPr>
              <w:pStyle w:val="TableParagraph"/>
              <w:rPr>
                <w:sz w:val="20"/>
              </w:rPr>
            </w:pPr>
            <w:r w:rsidRPr="00FB6F11">
              <w:rPr>
                <w:sz w:val="20"/>
              </w:rPr>
              <w:t>Consider referencing IEC 62612 or IESNA LM80/TM21</w:t>
            </w:r>
          </w:p>
        </w:tc>
      </w:tr>
      <w:tr w:rsidR="00A069C0" w:rsidRPr="00FB6F11" w:rsidTr="00FB6F11">
        <w:trPr>
          <w:cantSplit/>
        </w:trPr>
        <w:tc>
          <w:tcPr>
            <w:tcW w:w="2552" w:type="dxa"/>
          </w:tcPr>
          <w:p w:rsidR="00A069C0" w:rsidRPr="00FB6F11" w:rsidRDefault="00A069C0" w:rsidP="003E2D6A">
            <w:pPr>
              <w:pStyle w:val="TableParagraph"/>
              <w:rPr>
                <w:sz w:val="20"/>
              </w:rPr>
            </w:pPr>
            <w:r w:rsidRPr="00FB6F11">
              <w:rPr>
                <w:sz w:val="20"/>
              </w:rPr>
              <w:t>Centre beam and beam angles</w:t>
            </w:r>
          </w:p>
        </w:tc>
        <w:tc>
          <w:tcPr>
            <w:tcW w:w="2835" w:type="dxa"/>
          </w:tcPr>
          <w:p w:rsidR="00A069C0" w:rsidRPr="00FB6F11" w:rsidRDefault="00A069C0" w:rsidP="003E2D6A">
            <w:pPr>
              <w:pStyle w:val="TableParagraph"/>
              <w:rPr>
                <w:sz w:val="20"/>
              </w:rPr>
            </w:pPr>
            <w:r w:rsidRPr="00FB6F11">
              <w:rPr>
                <w:sz w:val="20"/>
              </w:rPr>
              <w:t>References IEC61341:2012</w:t>
            </w:r>
          </w:p>
        </w:tc>
        <w:tc>
          <w:tcPr>
            <w:tcW w:w="3118" w:type="dxa"/>
            <w:shd w:val="clear" w:color="auto" w:fill="auto"/>
          </w:tcPr>
          <w:p w:rsidR="00A069C0" w:rsidRPr="00FB6F11" w:rsidRDefault="00A069C0" w:rsidP="003E2D6A">
            <w:pPr>
              <w:pStyle w:val="TableParagraph"/>
              <w:rPr>
                <w:sz w:val="20"/>
              </w:rPr>
            </w:pPr>
          </w:p>
        </w:tc>
        <w:tc>
          <w:tcPr>
            <w:tcW w:w="3828" w:type="dxa"/>
            <w:shd w:val="clear" w:color="auto" w:fill="auto"/>
          </w:tcPr>
          <w:p w:rsidR="00A069C0" w:rsidRPr="00FB6F11" w:rsidRDefault="007B4C50" w:rsidP="003E2D6A">
            <w:pPr>
              <w:pStyle w:val="TableParagraph"/>
              <w:rPr>
                <w:sz w:val="20"/>
              </w:rPr>
            </w:pPr>
            <w:r w:rsidRPr="00FB6F11">
              <w:rPr>
                <w:sz w:val="20"/>
                <w:lang w:val="en-AU"/>
              </w:rPr>
              <w:t>CIE S 025</w:t>
            </w:r>
            <w:r w:rsidR="00A267BD" w:rsidRPr="00FB6F11">
              <w:rPr>
                <w:sz w:val="20"/>
                <w:lang w:val="en-AU"/>
              </w:rPr>
              <w:t xml:space="preserve"> / </w:t>
            </w:r>
            <w:r w:rsidR="00A069C0" w:rsidRPr="00FB6F11">
              <w:rPr>
                <w:sz w:val="20"/>
                <w:lang w:val="en-AU"/>
              </w:rPr>
              <w:t>IEC61341:2012</w:t>
            </w:r>
          </w:p>
        </w:tc>
      </w:tr>
      <w:tr w:rsidR="00A069C0" w:rsidRPr="00FB6F11" w:rsidTr="00FB6F11">
        <w:trPr>
          <w:cantSplit/>
        </w:trPr>
        <w:tc>
          <w:tcPr>
            <w:tcW w:w="2552" w:type="dxa"/>
          </w:tcPr>
          <w:p w:rsidR="00A069C0" w:rsidRPr="00FB6F11" w:rsidRDefault="00A069C0" w:rsidP="003E2D6A">
            <w:pPr>
              <w:pStyle w:val="TableParagraph"/>
              <w:rPr>
                <w:sz w:val="20"/>
              </w:rPr>
            </w:pPr>
            <w:r w:rsidRPr="00FB6F11">
              <w:rPr>
                <w:sz w:val="20"/>
              </w:rPr>
              <w:t>Intensity distribution</w:t>
            </w:r>
          </w:p>
        </w:tc>
        <w:tc>
          <w:tcPr>
            <w:tcW w:w="2835" w:type="dxa"/>
          </w:tcPr>
          <w:p w:rsidR="00A069C0" w:rsidRPr="00FB6F11" w:rsidRDefault="00A069C0" w:rsidP="003E2D6A">
            <w:pPr>
              <w:pStyle w:val="TableParagraph"/>
              <w:rPr>
                <w:sz w:val="20"/>
              </w:rPr>
            </w:pPr>
            <w:r w:rsidRPr="00FB6F11">
              <w:rPr>
                <w:sz w:val="20"/>
              </w:rPr>
              <w:t>Covers test distance for far-field pho</w:t>
            </w:r>
            <w:r w:rsidR="00A267BD" w:rsidRPr="00FB6F11">
              <w:rPr>
                <w:sz w:val="20"/>
              </w:rPr>
              <w:t xml:space="preserve">tometry but no requirements for </w:t>
            </w:r>
            <w:r w:rsidRPr="00FB6F11">
              <w:rPr>
                <w:sz w:val="20"/>
              </w:rPr>
              <w:t>measurement angles (</w:t>
            </w:r>
            <w:r w:rsidR="00F966C3" w:rsidRPr="00FB6F11">
              <w:rPr>
                <w:sz w:val="20"/>
              </w:rPr>
              <w:t>i.e.</w:t>
            </w:r>
            <w:r w:rsidRPr="00FB6F11">
              <w:rPr>
                <w:sz w:val="20"/>
              </w:rPr>
              <w:sym w:font="Symbol" w:char="F044"/>
            </w:r>
            <w:r w:rsidRPr="00FB6F11">
              <w:rPr>
                <w:sz w:val="20"/>
              </w:rPr>
              <w:t>C &amp;</w:t>
            </w:r>
            <w:r w:rsidRPr="00FB6F11">
              <w:rPr>
                <w:sz w:val="20"/>
              </w:rPr>
              <w:sym w:font="Symbol" w:char="F044"/>
            </w:r>
            <w:r w:rsidRPr="00FB6F11">
              <w:rPr>
                <w:sz w:val="20"/>
              </w:rPr>
              <w:sym w:font="Symbol" w:char="F067"/>
            </w:r>
            <w:r w:rsidRPr="00FB6F11">
              <w:rPr>
                <w:sz w:val="20"/>
              </w:rPr>
              <w:t>)</w:t>
            </w:r>
          </w:p>
        </w:tc>
        <w:tc>
          <w:tcPr>
            <w:tcW w:w="3118" w:type="dxa"/>
            <w:shd w:val="clear" w:color="auto" w:fill="auto"/>
          </w:tcPr>
          <w:p w:rsidR="00A069C0" w:rsidRPr="00FB6F11" w:rsidRDefault="00A069C0" w:rsidP="003E2D6A">
            <w:pPr>
              <w:pStyle w:val="TableParagraph"/>
              <w:rPr>
                <w:sz w:val="20"/>
              </w:rPr>
            </w:pPr>
            <w:r w:rsidRPr="00FB6F11">
              <w:rPr>
                <w:sz w:val="20"/>
              </w:rPr>
              <w:t>Section D3.3.1 for measurement angles and planes (</w:t>
            </w:r>
            <w:r w:rsidRPr="00FB6F11">
              <w:rPr>
                <w:sz w:val="20"/>
              </w:rPr>
              <w:sym w:font="Symbol" w:char="F044"/>
            </w:r>
            <w:r w:rsidRPr="00FB6F11">
              <w:rPr>
                <w:sz w:val="20"/>
              </w:rPr>
              <w:t>C≤10</w:t>
            </w:r>
            <w:r w:rsidRPr="00FB6F11">
              <w:rPr>
                <w:sz w:val="20"/>
              </w:rPr>
              <w:sym w:font="Symbol" w:char="F0B0"/>
            </w:r>
            <w:r w:rsidRPr="00FB6F11">
              <w:rPr>
                <w:sz w:val="20"/>
              </w:rPr>
              <w:t>&amp;</w:t>
            </w:r>
            <w:r w:rsidRPr="00FB6F11">
              <w:rPr>
                <w:sz w:val="20"/>
              </w:rPr>
              <w:sym w:font="Symbol" w:char="F044"/>
            </w:r>
            <w:r w:rsidRPr="00FB6F11">
              <w:rPr>
                <w:sz w:val="20"/>
              </w:rPr>
              <w:sym w:font="Symbol" w:char="F067"/>
            </w:r>
            <w:r w:rsidRPr="00FB6F11">
              <w:rPr>
                <w:sz w:val="20"/>
              </w:rPr>
              <w:t>≤10</w:t>
            </w:r>
            <w:r w:rsidRPr="00FB6F11">
              <w:rPr>
                <w:sz w:val="20"/>
              </w:rPr>
              <w:sym w:font="Symbol" w:char="F0B0"/>
            </w:r>
            <w:r w:rsidRPr="00FB6F11">
              <w:rPr>
                <w:sz w:val="20"/>
              </w:rPr>
              <w:t>)</w:t>
            </w:r>
          </w:p>
        </w:tc>
        <w:tc>
          <w:tcPr>
            <w:tcW w:w="3828" w:type="dxa"/>
            <w:shd w:val="clear" w:color="auto" w:fill="auto"/>
          </w:tcPr>
          <w:p w:rsidR="00A069C0" w:rsidRPr="00FB6F11" w:rsidRDefault="00A069C0" w:rsidP="003E2D6A">
            <w:pPr>
              <w:pStyle w:val="TableParagraph"/>
              <w:rPr>
                <w:sz w:val="20"/>
              </w:rPr>
            </w:pPr>
            <w:r w:rsidRPr="00FB6F11">
              <w:rPr>
                <w:sz w:val="20"/>
              </w:rPr>
              <w:t>Will need to specify measurement planes and angular step (</w:t>
            </w:r>
            <w:r w:rsidR="00F966C3" w:rsidRPr="00FB6F11">
              <w:rPr>
                <w:sz w:val="20"/>
              </w:rPr>
              <w:t>i.e.</w:t>
            </w:r>
            <w:r w:rsidR="001C7E9A">
              <w:rPr>
                <w:sz w:val="20"/>
              </w:rPr>
              <w:t xml:space="preserve"> </w:t>
            </w:r>
            <w:r w:rsidRPr="00FB6F11">
              <w:rPr>
                <w:sz w:val="20"/>
              </w:rPr>
              <w:sym w:font="Symbol" w:char="F044"/>
            </w:r>
            <w:r w:rsidRPr="00FB6F11">
              <w:rPr>
                <w:sz w:val="20"/>
              </w:rPr>
              <w:t>C &amp;</w:t>
            </w:r>
            <w:r w:rsidRPr="00FB6F11">
              <w:rPr>
                <w:sz w:val="20"/>
              </w:rPr>
              <w:sym w:font="Symbol" w:char="F044"/>
            </w:r>
            <w:r w:rsidRPr="00FB6F11">
              <w:rPr>
                <w:sz w:val="20"/>
              </w:rPr>
              <w:sym w:font="Symbol" w:char="F067"/>
            </w:r>
            <w:r w:rsidRPr="00FB6F11">
              <w:rPr>
                <w:sz w:val="20"/>
              </w:rPr>
              <w:t>) for omni-directional &amp; various beam angle directional lamps</w:t>
            </w:r>
          </w:p>
        </w:tc>
      </w:tr>
      <w:tr w:rsidR="00A069C0" w:rsidRPr="00FB6F11" w:rsidTr="00FB6F11">
        <w:trPr>
          <w:cantSplit/>
        </w:trPr>
        <w:tc>
          <w:tcPr>
            <w:tcW w:w="2552" w:type="dxa"/>
          </w:tcPr>
          <w:p w:rsidR="00A069C0" w:rsidRPr="00FB6F11" w:rsidRDefault="00A069C0" w:rsidP="003E2D6A">
            <w:pPr>
              <w:pStyle w:val="TableParagraph"/>
              <w:rPr>
                <w:sz w:val="20"/>
              </w:rPr>
            </w:pPr>
            <w:r w:rsidRPr="00FB6F11">
              <w:rPr>
                <w:sz w:val="20"/>
              </w:rPr>
              <w:t>Partial luminous flux (Useful lumens)</w:t>
            </w:r>
          </w:p>
        </w:tc>
        <w:tc>
          <w:tcPr>
            <w:tcW w:w="2835" w:type="dxa"/>
          </w:tcPr>
          <w:p w:rsidR="00A069C0" w:rsidRPr="00FB6F11" w:rsidRDefault="00A069C0" w:rsidP="003E2D6A">
            <w:pPr>
              <w:pStyle w:val="TableParagraph"/>
              <w:rPr>
                <w:sz w:val="20"/>
              </w:rPr>
            </w:pPr>
            <w:r w:rsidRPr="00FB6F11">
              <w:rPr>
                <w:sz w:val="20"/>
              </w:rPr>
              <w:t>Equation and general measurement procedure provided (no definition of the useful lumen solid angle)</w:t>
            </w:r>
          </w:p>
        </w:tc>
        <w:tc>
          <w:tcPr>
            <w:tcW w:w="3118" w:type="dxa"/>
            <w:shd w:val="clear" w:color="auto" w:fill="auto"/>
          </w:tcPr>
          <w:p w:rsidR="00A069C0" w:rsidRPr="00FB6F11" w:rsidRDefault="00A069C0" w:rsidP="003E2D6A">
            <w:pPr>
              <w:pStyle w:val="TableParagraph"/>
              <w:rPr>
                <w:sz w:val="20"/>
              </w:rPr>
            </w:pPr>
            <w:r w:rsidRPr="00FB6F11">
              <w:rPr>
                <w:sz w:val="20"/>
              </w:rPr>
              <w:t>Not covered</w:t>
            </w:r>
          </w:p>
        </w:tc>
        <w:tc>
          <w:tcPr>
            <w:tcW w:w="3828" w:type="dxa"/>
            <w:shd w:val="clear" w:color="auto" w:fill="auto"/>
          </w:tcPr>
          <w:p w:rsidR="00A069C0" w:rsidRPr="00FB6F11" w:rsidRDefault="00A069C0" w:rsidP="003E2D6A">
            <w:pPr>
              <w:pStyle w:val="TableParagraph"/>
              <w:rPr>
                <w:sz w:val="20"/>
              </w:rPr>
            </w:pPr>
            <w:r w:rsidRPr="00FB6F11">
              <w:rPr>
                <w:sz w:val="20"/>
              </w:rPr>
              <w:t>If deemed a requirement: Need to define the solid angle for useful lumens.</w:t>
            </w:r>
          </w:p>
        </w:tc>
      </w:tr>
      <w:tr w:rsidR="00A069C0" w:rsidRPr="00FB6F11" w:rsidTr="00FB6F11">
        <w:trPr>
          <w:cantSplit/>
        </w:trPr>
        <w:tc>
          <w:tcPr>
            <w:tcW w:w="2552" w:type="dxa"/>
          </w:tcPr>
          <w:p w:rsidR="00A069C0" w:rsidRPr="00FB6F11" w:rsidRDefault="00A069C0" w:rsidP="003E2D6A">
            <w:pPr>
              <w:pStyle w:val="TableParagraph"/>
              <w:rPr>
                <w:sz w:val="20"/>
              </w:rPr>
            </w:pPr>
            <w:r w:rsidRPr="00FB6F11">
              <w:rPr>
                <w:sz w:val="20"/>
              </w:rPr>
              <w:t>Omni-directional assessment</w:t>
            </w:r>
          </w:p>
        </w:tc>
        <w:tc>
          <w:tcPr>
            <w:tcW w:w="2835" w:type="dxa"/>
          </w:tcPr>
          <w:p w:rsidR="00A069C0" w:rsidRPr="00FB6F11" w:rsidRDefault="00A069C0" w:rsidP="003E2D6A">
            <w:pPr>
              <w:pStyle w:val="TableParagraph"/>
              <w:rPr>
                <w:sz w:val="20"/>
              </w:rPr>
            </w:pPr>
            <w:r w:rsidRPr="00FB6F11">
              <w:rPr>
                <w:sz w:val="20"/>
              </w:rPr>
              <w:t>Not covered</w:t>
            </w:r>
          </w:p>
        </w:tc>
        <w:tc>
          <w:tcPr>
            <w:tcW w:w="3118" w:type="dxa"/>
            <w:shd w:val="clear" w:color="auto" w:fill="auto"/>
          </w:tcPr>
          <w:p w:rsidR="00A069C0" w:rsidRPr="00FB6F11" w:rsidRDefault="00A069C0" w:rsidP="003E2D6A">
            <w:pPr>
              <w:pStyle w:val="TableParagraph"/>
              <w:rPr>
                <w:sz w:val="20"/>
              </w:rPr>
            </w:pPr>
            <w:r w:rsidRPr="00FB6F11">
              <w:rPr>
                <w:sz w:val="20"/>
              </w:rPr>
              <w:t>Not covered</w:t>
            </w:r>
          </w:p>
        </w:tc>
        <w:tc>
          <w:tcPr>
            <w:tcW w:w="3828" w:type="dxa"/>
            <w:shd w:val="clear" w:color="auto" w:fill="auto"/>
          </w:tcPr>
          <w:p w:rsidR="00A069C0" w:rsidRPr="00FB6F11" w:rsidRDefault="00A069C0" w:rsidP="003E2D6A">
            <w:pPr>
              <w:pStyle w:val="TableParagraph"/>
              <w:rPr>
                <w:sz w:val="20"/>
              </w:rPr>
            </w:pPr>
            <w:r w:rsidRPr="00FB6F11">
              <w:rPr>
                <w:sz w:val="20"/>
              </w:rPr>
              <w:t>Energy Star has test method &amp; criteria (used in IEA performance Tiers) which are under review.</w:t>
            </w:r>
          </w:p>
        </w:tc>
      </w:tr>
      <w:tr w:rsidR="00A069C0" w:rsidRPr="00FB6F11" w:rsidTr="00FB6F11">
        <w:trPr>
          <w:cantSplit/>
        </w:trPr>
        <w:tc>
          <w:tcPr>
            <w:tcW w:w="2552" w:type="dxa"/>
          </w:tcPr>
          <w:p w:rsidR="00A069C0" w:rsidRPr="00FB6F11" w:rsidRDefault="00A069C0" w:rsidP="003E2D6A">
            <w:pPr>
              <w:pStyle w:val="TableParagraph"/>
              <w:rPr>
                <w:sz w:val="20"/>
              </w:rPr>
            </w:pPr>
            <w:r w:rsidRPr="00FB6F11">
              <w:rPr>
                <w:sz w:val="20"/>
              </w:rPr>
              <w:t>Initial colour measurements</w:t>
            </w:r>
          </w:p>
        </w:tc>
        <w:tc>
          <w:tcPr>
            <w:tcW w:w="2835" w:type="dxa"/>
          </w:tcPr>
          <w:p w:rsidR="00A069C0" w:rsidRPr="00FB6F11" w:rsidRDefault="00A069C0" w:rsidP="003E2D6A">
            <w:pPr>
              <w:pStyle w:val="TableParagraph"/>
              <w:rPr>
                <w:sz w:val="20"/>
              </w:rPr>
            </w:pPr>
            <w:r w:rsidRPr="00FB6F11">
              <w:rPr>
                <w:sz w:val="20"/>
              </w:rPr>
              <w:t>Satisfactorily covered for chromaticity co-ordinates, CCT, CRI, angular chromaticity uniformity</w:t>
            </w:r>
          </w:p>
        </w:tc>
        <w:tc>
          <w:tcPr>
            <w:tcW w:w="3118" w:type="dxa"/>
            <w:shd w:val="clear" w:color="auto" w:fill="auto"/>
          </w:tcPr>
          <w:p w:rsidR="00A069C0" w:rsidRPr="00FB6F11" w:rsidRDefault="00A069C0" w:rsidP="003E2D6A">
            <w:pPr>
              <w:pStyle w:val="TableParagraph"/>
              <w:rPr>
                <w:sz w:val="20"/>
              </w:rPr>
            </w:pPr>
          </w:p>
        </w:tc>
        <w:tc>
          <w:tcPr>
            <w:tcW w:w="3828" w:type="dxa"/>
            <w:shd w:val="clear" w:color="auto" w:fill="auto"/>
          </w:tcPr>
          <w:p w:rsidR="00A069C0" w:rsidRPr="00FB6F11" w:rsidRDefault="007B4C50" w:rsidP="003E2D6A">
            <w:pPr>
              <w:pStyle w:val="TableParagraph"/>
              <w:rPr>
                <w:sz w:val="20"/>
              </w:rPr>
            </w:pPr>
            <w:r w:rsidRPr="00FB6F11">
              <w:rPr>
                <w:sz w:val="20"/>
                <w:lang w:val="en-AU"/>
              </w:rPr>
              <w:t>CIE S 025</w:t>
            </w:r>
          </w:p>
        </w:tc>
      </w:tr>
      <w:tr w:rsidR="00A069C0" w:rsidRPr="00FB6F11" w:rsidTr="00FB6F11">
        <w:trPr>
          <w:cantSplit/>
        </w:trPr>
        <w:tc>
          <w:tcPr>
            <w:tcW w:w="2552" w:type="dxa"/>
          </w:tcPr>
          <w:p w:rsidR="00A069C0" w:rsidRPr="00FB6F11" w:rsidRDefault="00A069C0" w:rsidP="003E2D6A">
            <w:pPr>
              <w:pStyle w:val="TableParagraph"/>
              <w:rPr>
                <w:sz w:val="20"/>
              </w:rPr>
            </w:pPr>
            <w:r w:rsidRPr="00FB6F11">
              <w:rPr>
                <w:sz w:val="20"/>
              </w:rPr>
              <w:t>Maintained colour measurements</w:t>
            </w:r>
          </w:p>
        </w:tc>
        <w:tc>
          <w:tcPr>
            <w:tcW w:w="2835" w:type="dxa"/>
          </w:tcPr>
          <w:p w:rsidR="00A069C0" w:rsidRPr="00FB6F11" w:rsidRDefault="00A069C0" w:rsidP="003E2D6A">
            <w:pPr>
              <w:pStyle w:val="TableParagraph"/>
              <w:rPr>
                <w:sz w:val="20"/>
              </w:rPr>
            </w:pPr>
            <w:r w:rsidRPr="00FB6F11">
              <w:rPr>
                <w:sz w:val="20"/>
              </w:rPr>
              <w:t>Not covered</w:t>
            </w:r>
          </w:p>
        </w:tc>
        <w:tc>
          <w:tcPr>
            <w:tcW w:w="3118" w:type="dxa"/>
            <w:shd w:val="clear" w:color="auto" w:fill="auto"/>
          </w:tcPr>
          <w:p w:rsidR="00A069C0" w:rsidRPr="00FB6F11" w:rsidRDefault="00A069C0" w:rsidP="003E2D6A">
            <w:pPr>
              <w:pStyle w:val="TableParagraph"/>
              <w:rPr>
                <w:sz w:val="20"/>
              </w:rPr>
            </w:pPr>
            <w:r w:rsidRPr="00FB6F11">
              <w:rPr>
                <w:sz w:val="20"/>
              </w:rPr>
              <w:t>Not covered</w:t>
            </w:r>
          </w:p>
        </w:tc>
        <w:tc>
          <w:tcPr>
            <w:tcW w:w="3828" w:type="dxa"/>
            <w:shd w:val="clear" w:color="auto" w:fill="auto"/>
          </w:tcPr>
          <w:p w:rsidR="00A069C0" w:rsidRPr="00FB6F11" w:rsidRDefault="00A069C0" w:rsidP="003E2D6A">
            <w:pPr>
              <w:pStyle w:val="TableParagraph"/>
              <w:rPr>
                <w:sz w:val="20"/>
              </w:rPr>
            </w:pPr>
            <w:r w:rsidRPr="00FB6F11">
              <w:rPr>
                <w:sz w:val="20"/>
              </w:rPr>
              <w:t xml:space="preserve">Consider using particular subset of time intervals used for maintained luminous flux measurement above. </w:t>
            </w:r>
          </w:p>
          <w:p w:rsidR="00A069C0" w:rsidRPr="00FB6F11" w:rsidRDefault="00A069C0" w:rsidP="003E2D6A">
            <w:pPr>
              <w:pStyle w:val="TableParagraph"/>
              <w:rPr>
                <w:sz w:val="20"/>
              </w:rPr>
            </w:pPr>
            <w:r w:rsidRPr="00FB6F11">
              <w:rPr>
                <w:sz w:val="20"/>
              </w:rPr>
              <w:t>Need to determine which parameters to measure (chromaticity co-ordinates, CCT, CRI, angular chromaticity uniformity)</w:t>
            </w:r>
          </w:p>
        </w:tc>
      </w:tr>
      <w:tr w:rsidR="00A069C0" w:rsidRPr="00FB6F11" w:rsidTr="00FB6F11">
        <w:trPr>
          <w:cantSplit/>
        </w:trPr>
        <w:tc>
          <w:tcPr>
            <w:tcW w:w="2552" w:type="dxa"/>
          </w:tcPr>
          <w:p w:rsidR="00A069C0" w:rsidRPr="00FB6F11" w:rsidRDefault="00A069C0" w:rsidP="003E2D6A">
            <w:pPr>
              <w:pStyle w:val="TableParagraph"/>
              <w:rPr>
                <w:sz w:val="20"/>
              </w:rPr>
            </w:pPr>
            <w:r w:rsidRPr="00FB6F11">
              <w:rPr>
                <w:sz w:val="20"/>
              </w:rPr>
              <w:t>Harmonics &amp; EMC</w:t>
            </w:r>
          </w:p>
        </w:tc>
        <w:tc>
          <w:tcPr>
            <w:tcW w:w="2835" w:type="dxa"/>
          </w:tcPr>
          <w:p w:rsidR="00A069C0" w:rsidRPr="00FB6F11" w:rsidRDefault="00A069C0" w:rsidP="003E2D6A">
            <w:pPr>
              <w:pStyle w:val="TableParagraph"/>
              <w:rPr>
                <w:sz w:val="20"/>
              </w:rPr>
            </w:pPr>
            <w:r w:rsidRPr="00FB6F11">
              <w:rPr>
                <w:sz w:val="20"/>
              </w:rPr>
              <w:t>Not covered</w:t>
            </w:r>
          </w:p>
        </w:tc>
        <w:tc>
          <w:tcPr>
            <w:tcW w:w="3118" w:type="dxa"/>
            <w:shd w:val="clear" w:color="auto" w:fill="auto"/>
          </w:tcPr>
          <w:p w:rsidR="00A069C0" w:rsidRPr="00FB6F11" w:rsidRDefault="00A069C0" w:rsidP="003E2D6A">
            <w:pPr>
              <w:pStyle w:val="TableParagraph"/>
              <w:rPr>
                <w:sz w:val="20"/>
              </w:rPr>
            </w:pPr>
            <w:r w:rsidRPr="00FB6F11">
              <w:rPr>
                <w:sz w:val="20"/>
              </w:rPr>
              <w:t>Section 4.13: references AS/NZS 61000.3.2:2007, AS/NZS CIPSR 15,  IEC 61547</w:t>
            </w:r>
          </w:p>
        </w:tc>
        <w:tc>
          <w:tcPr>
            <w:tcW w:w="3828" w:type="dxa"/>
            <w:shd w:val="clear" w:color="auto" w:fill="auto"/>
          </w:tcPr>
          <w:p w:rsidR="00A069C0" w:rsidRPr="00FB6F11" w:rsidRDefault="00A069C0" w:rsidP="003E2D6A">
            <w:pPr>
              <w:pStyle w:val="TableParagraph"/>
              <w:rPr>
                <w:sz w:val="20"/>
              </w:rPr>
            </w:pPr>
            <w:r w:rsidRPr="00FB6F11">
              <w:rPr>
                <w:sz w:val="20"/>
              </w:rPr>
              <w:t>Same as methods referenced in AS/NZS4847</w:t>
            </w:r>
          </w:p>
        </w:tc>
      </w:tr>
      <w:tr w:rsidR="00A069C0" w:rsidRPr="00FB6F11" w:rsidTr="00FB6F11">
        <w:trPr>
          <w:cantSplit/>
        </w:trPr>
        <w:tc>
          <w:tcPr>
            <w:tcW w:w="2552" w:type="dxa"/>
          </w:tcPr>
          <w:p w:rsidR="00A069C0" w:rsidRPr="00FB6F11" w:rsidRDefault="00A069C0" w:rsidP="003E2D6A">
            <w:pPr>
              <w:pStyle w:val="TableParagraph"/>
              <w:rPr>
                <w:sz w:val="20"/>
              </w:rPr>
            </w:pPr>
            <w:r w:rsidRPr="00FB6F11">
              <w:rPr>
                <w:sz w:val="20"/>
              </w:rPr>
              <w:t>Start time</w:t>
            </w:r>
          </w:p>
        </w:tc>
        <w:tc>
          <w:tcPr>
            <w:tcW w:w="2835" w:type="dxa"/>
          </w:tcPr>
          <w:p w:rsidR="00A069C0" w:rsidRPr="00FB6F11" w:rsidRDefault="00A069C0" w:rsidP="003E2D6A">
            <w:pPr>
              <w:pStyle w:val="TableParagraph"/>
              <w:rPr>
                <w:sz w:val="20"/>
              </w:rPr>
            </w:pPr>
            <w:r w:rsidRPr="00FB6F11">
              <w:rPr>
                <w:sz w:val="20"/>
              </w:rPr>
              <w:t>Not required</w:t>
            </w:r>
          </w:p>
        </w:tc>
        <w:tc>
          <w:tcPr>
            <w:tcW w:w="3118" w:type="dxa"/>
            <w:shd w:val="clear" w:color="auto" w:fill="auto"/>
          </w:tcPr>
          <w:p w:rsidR="00A069C0" w:rsidRPr="00FB6F11" w:rsidRDefault="00A069C0" w:rsidP="003E2D6A">
            <w:pPr>
              <w:pStyle w:val="TableParagraph"/>
              <w:rPr>
                <w:sz w:val="20"/>
              </w:rPr>
            </w:pPr>
            <w:r w:rsidRPr="00FB6F11">
              <w:rPr>
                <w:sz w:val="20"/>
              </w:rPr>
              <w:t xml:space="preserve">Covered but </w:t>
            </w:r>
            <w:r w:rsidR="00221E6C" w:rsidRPr="00FB6F11">
              <w:rPr>
                <w:sz w:val="20"/>
              </w:rPr>
              <w:t xml:space="preserve">may </w:t>
            </w:r>
            <w:r w:rsidRPr="00FB6F11">
              <w:rPr>
                <w:sz w:val="20"/>
              </w:rPr>
              <w:t xml:space="preserve">not </w:t>
            </w:r>
            <w:r w:rsidR="00221E6C" w:rsidRPr="00FB6F11">
              <w:rPr>
                <w:sz w:val="20"/>
              </w:rPr>
              <w:t xml:space="preserve">be </w:t>
            </w:r>
            <w:r w:rsidRPr="00FB6F11">
              <w:rPr>
                <w:sz w:val="20"/>
              </w:rPr>
              <w:t>applicable to LED</w:t>
            </w:r>
          </w:p>
        </w:tc>
        <w:tc>
          <w:tcPr>
            <w:tcW w:w="3828" w:type="dxa"/>
            <w:shd w:val="clear" w:color="auto" w:fill="auto"/>
          </w:tcPr>
          <w:p w:rsidR="00A069C0" w:rsidRPr="00FB6F11" w:rsidRDefault="00A069C0" w:rsidP="003E2D6A">
            <w:pPr>
              <w:pStyle w:val="TableParagraph"/>
              <w:rPr>
                <w:sz w:val="20"/>
              </w:rPr>
            </w:pPr>
            <w:r w:rsidRPr="006A24F8">
              <w:rPr>
                <w:sz w:val="20"/>
              </w:rPr>
              <w:t>Not required</w:t>
            </w:r>
            <w:r w:rsidR="00221E6C" w:rsidRPr="006A24F8">
              <w:rPr>
                <w:sz w:val="20"/>
              </w:rPr>
              <w:t>?</w:t>
            </w:r>
          </w:p>
        </w:tc>
      </w:tr>
      <w:tr w:rsidR="00A069C0" w:rsidRPr="00FB6F11" w:rsidTr="00FB6F11">
        <w:trPr>
          <w:cantSplit/>
        </w:trPr>
        <w:tc>
          <w:tcPr>
            <w:tcW w:w="2552" w:type="dxa"/>
          </w:tcPr>
          <w:p w:rsidR="00A069C0" w:rsidRPr="00FB6F11" w:rsidRDefault="00A069C0" w:rsidP="003E2D6A">
            <w:pPr>
              <w:pStyle w:val="TableParagraph"/>
              <w:rPr>
                <w:sz w:val="20"/>
              </w:rPr>
            </w:pPr>
            <w:r w:rsidRPr="00FB6F11">
              <w:rPr>
                <w:sz w:val="20"/>
              </w:rPr>
              <w:t>Switch withstand</w:t>
            </w:r>
          </w:p>
        </w:tc>
        <w:tc>
          <w:tcPr>
            <w:tcW w:w="2835" w:type="dxa"/>
          </w:tcPr>
          <w:p w:rsidR="00A069C0" w:rsidRPr="00FB6F11" w:rsidRDefault="00A069C0" w:rsidP="003E2D6A">
            <w:pPr>
              <w:pStyle w:val="TableParagraph"/>
              <w:rPr>
                <w:sz w:val="20"/>
              </w:rPr>
            </w:pPr>
            <w:r w:rsidRPr="00FB6F11">
              <w:rPr>
                <w:sz w:val="20"/>
              </w:rPr>
              <w:t>Not covered</w:t>
            </w:r>
          </w:p>
        </w:tc>
        <w:tc>
          <w:tcPr>
            <w:tcW w:w="3118" w:type="dxa"/>
            <w:shd w:val="clear" w:color="auto" w:fill="auto"/>
          </w:tcPr>
          <w:p w:rsidR="00A069C0" w:rsidRPr="00FB6F11" w:rsidRDefault="00A069C0" w:rsidP="003E2D6A">
            <w:pPr>
              <w:pStyle w:val="TableParagraph"/>
              <w:rPr>
                <w:sz w:val="20"/>
              </w:rPr>
            </w:pPr>
            <w:r w:rsidRPr="00FB6F11">
              <w:rPr>
                <w:sz w:val="20"/>
              </w:rPr>
              <w:t xml:space="preserve">Section F: 30s ON, 270s OFF for No. of cycles = 2 x life </w:t>
            </w:r>
            <w:r w:rsidR="00F966C3" w:rsidRPr="00FB6F11">
              <w:rPr>
                <w:sz w:val="20"/>
              </w:rPr>
              <w:t>hrs.</w:t>
            </w:r>
          </w:p>
        </w:tc>
        <w:tc>
          <w:tcPr>
            <w:tcW w:w="3828" w:type="dxa"/>
            <w:shd w:val="clear" w:color="auto" w:fill="auto"/>
          </w:tcPr>
          <w:p w:rsidR="00A069C0" w:rsidRPr="00FB6F11" w:rsidRDefault="00A069C0" w:rsidP="00221E6C">
            <w:pPr>
              <w:pStyle w:val="TableParagraph"/>
              <w:rPr>
                <w:sz w:val="20"/>
              </w:rPr>
            </w:pPr>
            <w:r w:rsidRPr="00FB6F11">
              <w:rPr>
                <w:sz w:val="20"/>
              </w:rPr>
              <w:t xml:space="preserve">IEC 62612: 30s ON, 30s OFF for No. of cycles = 1/2 x life </w:t>
            </w:r>
            <w:r w:rsidR="00F966C3" w:rsidRPr="00FB6F11">
              <w:rPr>
                <w:sz w:val="20"/>
              </w:rPr>
              <w:t>hrs.</w:t>
            </w:r>
          </w:p>
        </w:tc>
      </w:tr>
      <w:tr w:rsidR="00A069C0" w:rsidRPr="00FB6F11" w:rsidTr="00FB6F11">
        <w:trPr>
          <w:cantSplit/>
        </w:trPr>
        <w:tc>
          <w:tcPr>
            <w:tcW w:w="2552" w:type="dxa"/>
          </w:tcPr>
          <w:p w:rsidR="00A069C0" w:rsidRPr="00FB6F11" w:rsidRDefault="00A069C0" w:rsidP="003E2D6A">
            <w:pPr>
              <w:pStyle w:val="TableParagraph"/>
              <w:rPr>
                <w:sz w:val="20"/>
              </w:rPr>
            </w:pPr>
            <w:r w:rsidRPr="00FB6F11">
              <w:rPr>
                <w:sz w:val="20"/>
              </w:rPr>
              <w:t>Lamp Life</w:t>
            </w:r>
            <w:r w:rsidR="00221E6C" w:rsidRPr="00FB6F11">
              <w:rPr>
                <w:sz w:val="20"/>
              </w:rPr>
              <w:t xml:space="preserve"> - endurance</w:t>
            </w:r>
          </w:p>
        </w:tc>
        <w:tc>
          <w:tcPr>
            <w:tcW w:w="2835" w:type="dxa"/>
          </w:tcPr>
          <w:p w:rsidR="00A069C0" w:rsidRPr="00FB6F11" w:rsidRDefault="00A069C0" w:rsidP="003E2D6A">
            <w:pPr>
              <w:pStyle w:val="TableParagraph"/>
              <w:rPr>
                <w:sz w:val="20"/>
              </w:rPr>
            </w:pPr>
            <w:r w:rsidRPr="00FB6F11">
              <w:rPr>
                <w:sz w:val="20"/>
              </w:rPr>
              <w:t>Not covered</w:t>
            </w:r>
          </w:p>
        </w:tc>
        <w:tc>
          <w:tcPr>
            <w:tcW w:w="3118" w:type="dxa"/>
            <w:shd w:val="clear" w:color="auto" w:fill="auto"/>
          </w:tcPr>
          <w:p w:rsidR="00A069C0" w:rsidRPr="00FB6F11" w:rsidRDefault="00A069C0" w:rsidP="003E2D6A">
            <w:pPr>
              <w:pStyle w:val="TableParagraph"/>
              <w:rPr>
                <w:sz w:val="20"/>
              </w:rPr>
            </w:pPr>
            <w:r w:rsidRPr="00FB6F11">
              <w:rPr>
                <w:sz w:val="20"/>
              </w:rPr>
              <w:t>ON/OFF cycle same as aging. Time to 50% of lamps failing (defined as failing to light or delivers &lt;50% light output)</w:t>
            </w:r>
          </w:p>
        </w:tc>
        <w:tc>
          <w:tcPr>
            <w:tcW w:w="3828" w:type="dxa"/>
            <w:shd w:val="clear" w:color="auto" w:fill="auto"/>
          </w:tcPr>
          <w:p w:rsidR="00A069C0" w:rsidRPr="00FB6F11" w:rsidRDefault="00A069C0" w:rsidP="003E2D6A">
            <w:pPr>
              <w:pStyle w:val="TableParagraph"/>
              <w:rPr>
                <w:sz w:val="20"/>
              </w:rPr>
            </w:pPr>
            <w:r w:rsidRPr="00FB6F11">
              <w:rPr>
                <w:sz w:val="20"/>
              </w:rPr>
              <w:t>IEC 62612: combination of switch withstand and lumen maintenance</w:t>
            </w:r>
          </w:p>
          <w:p w:rsidR="00A069C0" w:rsidRPr="00FB6F11" w:rsidRDefault="00A069C0" w:rsidP="003E2D6A">
            <w:pPr>
              <w:pStyle w:val="TableParagraph"/>
              <w:rPr>
                <w:sz w:val="20"/>
              </w:rPr>
            </w:pPr>
            <w:r w:rsidRPr="00FB6F11">
              <w:rPr>
                <w:sz w:val="20"/>
              </w:rPr>
              <w:t>Consider: (Early failures + predicted failures) &amp; (lumen maintenance + predicted maintenance)</w:t>
            </w:r>
          </w:p>
          <w:p w:rsidR="00A069C0" w:rsidRPr="00FB6F11" w:rsidRDefault="00A267BD" w:rsidP="003E2D6A">
            <w:pPr>
              <w:pStyle w:val="TableParagraph"/>
              <w:rPr>
                <w:sz w:val="20"/>
              </w:rPr>
            </w:pPr>
            <w:r w:rsidRPr="00FB6F11">
              <w:rPr>
                <w:sz w:val="20"/>
              </w:rPr>
              <w:t>To be further considered following IEA 4ESSL review of LED lifetime metrics and testing.</w:t>
            </w:r>
          </w:p>
        </w:tc>
      </w:tr>
      <w:tr w:rsidR="00A069C0" w:rsidRPr="00FB6F11" w:rsidTr="00FB6F11">
        <w:trPr>
          <w:cantSplit/>
        </w:trPr>
        <w:tc>
          <w:tcPr>
            <w:tcW w:w="2552" w:type="dxa"/>
          </w:tcPr>
          <w:p w:rsidR="00A069C0" w:rsidRPr="00FB6F11" w:rsidRDefault="00A069C0" w:rsidP="003E2D6A">
            <w:pPr>
              <w:pStyle w:val="TableParagraph"/>
              <w:rPr>
                <w:sz w:val="20"/>
              </w:rPr>
            </w:pPr>
            <w:r w:rsidRPr="00FB6F11">
              <w:rPr>
                <w:sz w:val="20"/>
              </w:rPr>
              <w:t>Temperature cycling shock</w:t>
            </w:r>
          </w:p>
        </w:tc>
        <w:tc>
          <w:tcPr>
            <w:tcW w:w="2835" w:type="dxa"/>
          </w:tcPr>
          <w:p w:rsidR="00A069C0" w:rsidRPr="00FB6F11" w:rsidRDefault="00A069C0" w:rsidP="003E2D6A">
            <w:pPr>
              <w:pStyle w:val="TableParagraph"/>
              <w:rPr>
                <w:sz w:val="20"/>
              </w:rPr>
            </w:pPr>
            <w:r w:rsidRPr="00FB6F11">
              <w:rPr>
                <w:sz w:val="20"/>
              </w:rPr>
              <w:t>Not covered</w:t>
            </w:r>
          </w:p>
        </w:tc>
        <w:tc>
          <w:tcPr>
            <w:tcW w:w="3118" w:type="dxa"/>
            <w:shd w:val="clear" w:color="auto" w:fill="auto"/>
          </w:tcPr>
          <w:p w:rsidR="00A069C0" w:rsidRPr="00FB6F11" w:rsidRDefault="00A069C0" w:rsidP="003E2D6A">
            <w:pPr>
              <w:pStyle w:val="TableParagraph"/>
              <w:rPr>
                <w:sz w:val="20"/>
              </w:rPr>
            </w:pPr>
            <w:r w:rsidRPr="00FB6F11">
              <w:rPr>
                <w:sz w:val="20"/>
              </w:rPr>
              <w:t>Not covered</w:t>
            </w:r>
          </w:p>
        </w:tc>
        <w:tc>
          <w:tcPr>
            <w:tcW w:w="3828" w:type="dxa"/>
            <w:shd w:val="clear" w:color="auto" w:fill="auto"/>
          </w:tcPr>
          <w:p w:rsidR="00A069C0" w:rsidRPr="00FB6F11" w:rsidRDefault="00A069C0" w:rsidP="003E2D6A">
            <w:pPr>
              <w:pStyle w:val="TableParagraph"/>
              <w:rPr>
                <w:sz w:val="20"/>
              </w:rPr>
            </w:pPr>
            <w:r w:rsidRPr="00FB6F11">
              <w:rPr>
                <w:sz w:val="20"/>
              </w:rPr>
              <w:t xml:space="preserve">IEC PAS 62612: non-energised lamp </w:t>
            </w:r>
          </w:p>
          <w:p w:rsidR="00A069C0" w:rsidRPr="00FB6F11" w:rsidRDefault="00A069C0" w:rsidP="003E2D6A">
            <w:pPr>
              <w:pStyle w:val="TableParagraph"/>
              <w:rPr>
                <w:sz w:val="20"/>
              </w:rPr>
            </w:pPr>
            <w:r w:rsidRPr="00FB6F11">
              <w:rPr>
                <w:sz w:val="20"/>
              </w:rPr>
              <w:t xml:space="preserve">5 x 1 </w:t>
            </w:r>
            <w:r w:rsidR="00F966C3" w:rsidRPr="00FB6F11">
              <w:rPr>
                <w:sz w:val="20"/>
              </w:rPr>
              <w:t>hr.</w:t>
            </w:r>
            <w:r w:rsidRPr="00FB6F11">
              <w:rPr>
                <w:sz w:val="20"/>
              </w:rPr>
              <w:t xml:space="preserve"> cycles of -10</w:t>
            </w:r>
            <w:r w:rsidRPr="00FB6F11">
              <w:rPr>
                <w:sz w:val="20"/>
              </w:rPr>
              <w:sym w:font="Symbol" w:char="F0B0"/>
            </w:r>
            <w:r w:rsidRPr="00FB6F11">
              <w:rPr>
                <w:sz w:val="20"/>
              </w:rPr>
              <w:t>C then +50</w:t>
            </w:r>
            <w:r w:rsidRPr="00FB6F11">
              <w:rPr>
                <w:sz w:val="20"/>
              </w:rPr>
              <w:sym w:font="Symbol" w:char="F0B0"/>
            </w:r>
            <w:r w:rsidRPr="00FB6F11">
              <w:rPr>
                <w:sz w:val="20"/>
              </w:rPr>
              <w:t>C</w:t>
            </w:r>
          </w:p>
        </w:tc>
      </w:tr>
      <w:tr w:rsidR="00A069C0" w:rsidRPr="008A65AF" w:rsidTr="00FB6F11">
        <w:trPr>
          <w:cantSplit/>
        </w:trPr>
        <w:tc>
          <w:tcPr>
            <w:tcW w:w="2552" w:type="dxa"/>
          </w:tcPr>
          <w:p w:rsidR="00A069C0" w:rsidRPr="00FB6F11" w:rsidRDefault="00A069C0" w:rsidP="003E2D6A">
            <w:pPr>
              <w:pStyle w:val="TableParagraph"/>
              <w:rPr>
                <w:sz w:val="20"/>
              </w:rPr>
            </w:pPr>
            <w:r w:rsidRPr="00FB6F11">
              <w:rPr>
                <w:sz w:val="20"/>
              </w:rPr>
              <w:t xml:space="preserve">Endurance </w:t>
            </w:r>
          </w:p>
        </w:tc>
        <w:tc>
          <w:tcPr>
            <w:tcW w:w="2835" w:type="dxa"/>
          </w:tcPr>
          <w:p w:rsidR="00A069C0" w:rsidRPr="00FB6F11" w:rsidRDefault="00A069C0" w:rsidP="003E2D6A">
            <w:pPr>
              <w:pStyle w:val="TableParagraph"/>
              <w:rPr>
                <w:sz w:val="20"/>
              </w:rPr>
            </w:pPr>
            <w:r w:rsidRPr="00FB6F11">
              <w:rPr>
                <w:sz w:val="20"/>
              </w:rPr>
              <w:t>Not covered</w:t>
            </w:r>
          </w:p>
        </w:tc>
        <w:tc>
          <w:tcPr>
            <w:tcW w:w="3118" w:type="dxa"/>
            <w:shd w:val="clear" w:color="auto" w:fill="auto"/>
          </w:tcPr>
          <w:p w:rsidR="00A069C0" w:rsidRPr="00FB6F11" w:rsidRDefault="00A069C0" w:rsidP="003E2D6A">
            <w:pPr>
              <w:pStyle w:val="TableParagraph"/>
              <w:rPr>
                <w:sz w:val="20"/>
              </w:rPr>
            </w:pPr>
            <w:r w:rsidRPr="00FB6F11">
              <w:rPr>
                <w:sz w:val="20"/>
              </w:rPr>
              <w:t>Not covered</w:t>
            </w:r>
          </w:p>
        </w:tc>
        <w:tc>
          <w:tcPr>
            <w:tcW w:w="3828" w:type="dxa"/>
            <w:shd w:val="clear" w:color="auto" w:fill="auto"/>
          </w:tcPr>
          <w:p w:rsidR="00A069C0" w:rsidRPr="00FB6F11" w:rsidRDefault="00A069C0" w:rsidP="003E2D6A">
            <w:pPr>
              <w:pStyle w:val="TableParagraph"/>
              <w:rPr>
                <w:sz w:val="20"/>
              </w:rPr>
            </w:pPr>
            <w:r w:rsidRPr="00FB6F11">
              <w:rPr>
                <w:sz w:val="20"/>
              </w:rPr>
              <w:t>Consider: IEC PAS 62612: operation for 25% of life (max 6000hrs) at =45</w:t>
            </w:r>
            <w:r w:rsidRPr="00FB6F11">
              <w:rPr>
                <w:sz w:val="20"/>
              </w:rPr>
              <w:sym w:font="Symbol" w:char="F0B0"/>
            </w:r>
            <w:r w:rsidRPr="00FB6F11">
              <w:rPr>
                <w:sz w:val="20"/>
              </w:rPr>
              <w:t>C</w:t>
            </w:r>
          </w:p>
          <w:p w:rsidR="00A069C0" w:rsidRPr="00FB6F11" w:rsidRDefault="00A069C0" w:rsidP="003E2D6A">
            <w:pPr>
              <w:pStyle w:val="TableParagraph"/>
              <w:rPr>
                <w:sz w:val="20"/>
                <w:lang w:val="es-ES"/>
              </w:rPr>
            </w:pPr>
            <w:r w:rsidRPr="00FB6F11">
              <w:rPr>
                <w:sz w:val="20"/>
                <w:lang w:val="es-ES"/>
              </w:rPr>
              <w:t>Lites.asia Tropical performance criteria</w:t>
            </w:r>
          </w:p>
        </w:tc>
      </w:tr>
      <w:tr w:rsidR="00A069C0" w:rsidRPr="00FB6F11" w:rsidTr="00FB6F11">
        <w:trPr>
          <w:cantSplit/>
        </w:trPr>
        <w:tc>
          <w:tcPr>
            <w:tcW w:w="2552" w:type="dxa"/>
          </w:tcPr>
          <w:p w:rsidR="00A069C0" w:rsidRPr="00FB6F11" w:rsidRDefault="00F966C3" w:rsidP="003E2D6A">
            <w:pPr>
              <w:pStyle w:val="TableParagraph"/>
              <w:rPr>
                <w:sz w:val="20"/>
              </w:rPr>
            </w:pPr>
            <w:r w:rsidRPr="00FB6F11">
              <w:rPr>
                <w:sz w:val="20"/>
              </w:rPr>
              <w:t>Photo biological</w:t>
            </w:r>
            <w:r w:rsidR="00A069C0" w:rsidRPr="00FB6F11">
              <w:rPr>
                <w:sz w:val="20"/>
              </w:rPr>
              <w:t xml:space="preserve"> (Blue light &amp; UV)</w:t>
            </w:r>
          </w:p>
        </w:tc>
        <w:tc>
          <w:tcPr>
            <w:tcW w:w="2835" w:type="dxa"/>
          </w:tcPr>
          <w:p w:rsidR="00A069C0" w:rsidRPr="00FB6F11" w:rsidRDefault="00A069C0" w:rsidP="003E2D6A">
            <w:pPr>
              <w:pStyle w:val="TableParagraph"/>
              <w:rPr>
                <w:sz w:val="20"/>
              </w:rPr>
            </w:pPr>
            <w:r w:rsidRPr="00FB6F11">
              <w:rPr>
                <w:sz w:val="20"/>
              </w:rPr>
              <w:t>Not covered</w:t>
            </w:r>
          </w:p>
        </w:tc>
        <w:tc>
          <w:tcPr>
            <w:tcW w:w="3118" w:type="dxa"/>
            <w:shd w:val="clear" w:color="auto" w:fill="auto"/>
          </w:tcPr>
          <w:p w:rsidR="00A069C0" w:rsidRPr="00FB6F11" w:rsidRDefault="00A069C0" w:rsidP="003E2D6A">
            <w:pPr>
              <w:pStyle w:val="TableParagraph"/>
              <w:rPr>
                <w:sz w:val="20"/>
              </w:rPr>
            </w:pPr>
            <w:r w:rsidRPr="00FB6F11">
              <w:rPr>
                <w:sz w:val="20"/>
              </w:rPr>
              <w:t>Not covered</w:t>
            </w:r>
          </w:p>
        </w:tc>
        <w:tc>
          <w:tcPr>
            <w:tcW w:w="3828" w:type="dxa"/>
            <w:shd w:val="clear" w:color="auto" w:fill="auto"/>
          </w:tcPr>
          <w:p w:rsidR="00A069C0" w:rsidRPr="00FB6F11" w:rsidRDefault="00A069C0" w:rsidP="003E2D6A">
            <w:pPr>
              <w:pStyle w:val="TableParagraph"/>
              <w:rPr>
                <w:sz w:val="20"/>
              </w:rPr>
            </w:pPr>
            <w:r w:rsidRPr="00FB6F11">
              <w:rPr>
                <w:sz w:val="20"/>
              </w:rPr>
              <w:t>Reference: CIE S009/IEC62471</w:t>
            </w:r>
          </w:p>
        </w:tc>
      </w:tr>
      <w:tr w:rsidR="00A069C0" w:rsidRPr="00FB6F11" w:rsidTr="00FB6F11">
        <w:trPr>
          <w:cantSplit/>
        </w:trPr>
        <w:tc>
          <w:tcPr>
            <w:tcW w:w="2552" w:type="dxa"/>
          </w:tcPr>
          <w:p w:rsidR="00A069C0" w:rsidRPr="00FB6F11" w:rsidRDefault="00A069C0" w:rsidP="003E2D6A">
            <w:pPr>
              <w:pStyle w:val="TableParagraph"/>
              <w:rPr>
                <w:sz w:val="20"/>
              </w:rPr>
            </w:pPr>
            <w:r w:rsidRPr="00FB6F11">
              <w:rPr>
                <w:sz w:val="20"/>
              </w:rPr>
              <w:t>Flicker</w:t>
            </w:r>
          </w:p>
        </w:tc>
        <w:tc>
          <w:tcPr>
            <w:tcW w:w="2835" w:type="dxa"/>
          </w:tcPr>
          <w:p w:rsidR="00A069C0" w:rsidRPr="00FB6F11" w:rsidRDefault="00A069C0" w:rsidP="003E2D6A">
            <w:pPr>
              <w:pStyle w:val="TableParagraph"/>
              <w:rPr>
                <w:sz w:val="20"/>
              </w:rPr>
            </w:pPr>
            <w:r w:rsidRPr="00FB6F11">
              <w:rPr>
                <w:sz w:val="20"/>
              </w:rPr>
              <w:t>Not covered</w:t>
            </w:r>
          </w:p>
        </w:tc>
        <w:tc>
          <w:tcPr>
            <w:tcW w:w="3118" w:type="dxa"/>
            <w:shd w:val="clear" w:color="auto" w:fill="auto"/>
          </w:tcPr>
          <w:p w:rsidR="00A069C0" w:rsidRPr="00FB6F11" w:rsidRDefault="00A069C0" w:rsidP="003E2D6A">
            <w:pPr>
              <w:pStyle w:val="TableParagraph"/>
              <w:rPr>
                <w:sz w:val="20"/>
              </w:rPr>
            </w:pPr>
            <w:r w:rsidRPr="00FB6F11">
              <w:rPr>
                <w:sz w:val="20"/>
              </w:rPr>
              <w:t>Not covered</w:t>
            </w:r>
          </w:p>
        </w:tc>
        <w:tc>
          <w:tcPr>
            <w:tcW w:w="3828" w:type="dxa"/>
            <w:shd w:val="clear" w:color="auto" w:fill="auto"/>
          </w:tcPr>
          <w:p w:rsidR="00A069C0" w:rsidRPr="00FB6F11" w:rsidRDefault="00A069C0" w:rsidP="003E2D6A">
            <w:pPr>
              <w:pStyle w:val="TableParagraph"/>
              <w:rPr>
                <w:sz w:val="20"/>
              </w:rPr>
            </w:pPr>
            <w:r w:rsidRPr="00FB6F11">
              <w:rPr>
                <w:sz w:val="20"/>
              </w:rPr>
              <w:t>Consider Energy Star test method</w:t>
            </w:r>
          </w:p>
        </w:tc>
      </w:tr>
      <w:tr w:rsidR="00A069C0" w:rsidRPr="00FB6F11" w:rsidTr="00FB6F11">
        <w:trPr>
          <w:cantSplit/>
        </w:trPr>
        <w:tc>
          <w:tcPr>
            <w:tcW w:w="2552" w:type="dxa"/>
          </w:tcPr>
          <w:p w:rsidR="00A069C0" w:rsidRPr="00FB6F11" w:rsidRDefault="00A069C0" w:rsidP="003E2D6A">
            <w:pPr>
              <w:pStyle w:val="TableParagraph"/>
              <w:rPr>
                <w:sz w:val="20"/>
              </w:rPr>
            </w:pPr>
            <w:r w:rsidRPr="00FB6F11">
              <w:rPr>
                <w:sz w:val="20"/>
              </w:rPr>
              <w:t>Dimmer compatibility</w:t>
            </w:r>
          </w:p>
        </w:tc>
        <w:tc>
          <w:tcPr>
            <w:tcW w:w="2835" w:type="dxa"/>
          </w:tcPr>
          <w:p w:rsidR="00A069C0" w:rsidRPr="00FB6F11" w:rsidRDefault="00A069C0" w:rsidP="003E2D6A">
            <w:pPr>
              <w:pStyle w:val="TableParagraph"/>
              <w:rPr>
                <w:sz w:val="20"/>
              </w:rPr>
            </w:pPr>
            <w:r w:rsidRPr="00FB6F11">
              <w:rPr>
                <w:sz w:val="20"/>
              </w:rPr>
              <w:t>Not covered</w:t>
            </w:r>
          </w:p>
        </w:tc>
        <w:tc>
          <w:tcPr>
            <w:tcW w:w="3118" w:type="dxa"/>
            <w:shd w:val="clear" w:color="auto" w:fill="auto"/>
          </w:tcPr>
          <w:p w:rsidR="00A069C0" w:rsidRPr="00FB6F11" w:rsidRDefault="00A069C0" w:rsidP="003E2D6A">
            <w:pPr>
              <w:pStyle w:val="TableParagraph"/>
              <w:rPr>
                <w:sz w:val="20"/>
              </w:rPr>
            </w:pPr>
            <w:r w:rsidRPr="00FB6F11">
              <w:rPr>
                <w:sz w:val="20"/>
              </w:rPr>
              <w:t>Not covered</w:t>
            </w:r>
          </w:p>
        </w:tc>
        <w:tc>
          <w:tcPr>
            <w:tcW w:w="3828" w:type="dxa"/>
            <w:shd w:val="clear" w:color="auto" w:fill="auto"/>
          </w:tcPr>
          <w:p w:rsidR="00A069C0" w:rsidRPr="00FB6F11" w:rsidRDefault="00A069C0" w:rsidP="003E2D6A">
            <w:pPr>
              <w:pStyle w:val="TableParagraph"/>
              <w:rPr>
                <w:sz w:val="20"/>
              </w:rPr>
            </w:pPr>
            <w:r w:rsidRPr="00FB6F11">
              <w:rPr>
                <w:sz w:val="20"/>
              </w:rPr>
              <w:t>Consider basic test method such as NEMA SSL7a</w:t>
            </w:r>
          </w:p>
        </w:tc>
      </w:tr>
    </w:tbl>
    <w:p w:rsidR="00243DC7" w:rsidRDefault="00243DC7" w:rsidP="00500411">
      <w:pPr>
        <w:pStyle w:val="E3ChapterTitle"/>
        <w:numPr>
          <w:ilvl w:val="0"/>
          <w:numId w:val="0"/>
        </w:numPr>
        <w:rPr>
          <w:rFonts w:asciiTheme="minorHAnsi" w:eastAsiaTheme="minorHAnsi" w:hAnsiTheme="minorHAnsi" w:cstheme="minorBidi"/>
          <w:b w:val="0"/>
          <w:bCs w:val="0"/>
          <w:color w:val="auto"/>
          <w:sz w:val="22"/>
          <w:szCs w:val="22"/>
          <w:lang w:val="en-US"/>
        </w:rPr>
        <w:sectPr w:rsidR="00243DC7" w:rsidSect="00262B5A">
          <w:pgSz w:w="11907" w:h="16840" w:code="9"/>
          <w:pgMar w:top="1134" w:right="1134" w:bottom="1418" w:left="1134" w:header="142" w:footer="709" w:gutter="0"/>
          <w:cols w:space="720"/>
          <w:titlePg/>
          <w:docGrid w:linePitch="360"/>
        </w:sectPr>
      </w:pPr>
    </w:p>
    <w:p w:rsidR="001A3AE7" w:rsidRPr="003107D2" w:rsidRDefault="001A3AE7" w:rsidP="00500411">
      <w:pPr>
        <w:pStyle w:val="E3ChapterTitle"/>
        <w:numPr>
          <w:ilvl w:val="0"/>
          <w:numId w:val="0"/>
        </w:numPr>
      </w:pPr>
      <w:bookmarkStart w:id="339" w:name="_Toc426387810"/>
      <w:r w:rsidRPr="003107D2">
        <w:t>Appendix</w:t>
      </w:r>
      <w:r>
        <w:t xml:space="preserve"> D</w:t>
      </w:r>
      <w:bookmarkEnd w:id="339"/>
    </w:p>
    <w:p w:rsidR="001A3AE7" w:rsidRDefault="001A3AE7" w:rsidP="00500411">
      <w:pPr>
        <w:pStyle w:val="E3Heading2"/>
        <w:numPr>
          <w:ilvl w:val="0"/>
          <w:numId w:val="0"/>
        </w:numPr>
        <w:ind w:left="720" w:hanging="720"/>
      </w:pPr>
      <w:bookmarkStart w:id="340" w:name="_Toc426387811"/>
      <w:r>
        <w:t>E3 2015 Commercial Lighting Stock Model -Data Sources and</w:t>
      </w:r>
      <w:r w:rsidR="00A17400">
        <w:t xml:space="preserve"> </w:t>
      </w:r>
      <w:r>
        <w:t>Assumptions</w:t>
      </w:r>
      <w:bookmarkEnd w:id="340"/>
    </w:p>
    <w:p w:rsidR="001A3AE7" w:rsidRDefault="001A3AE7" w:rsidP="001A3AE7">
      <w:pPr>
        <w:rPr>
          <w:lang w:val="en-US"/>
        </w:rPr>
      </w:pPr>
      <w:r>
        <w:rPr>
          <w:lang w:val="en-US"/>
        </w:rPr>
        <w:t>The Australian Commercial Lighting Stock Model builds on the lighting model that was developed for the Australian Residential Lighting Overview Report (December 2014). The model is designed to capture the Australian lighting market for general lighting, including commercial and residential components for the sales calculations, but does not include figures for industrial lighting due to a lack of data related to industrial spaces. It also does not include outdoor lighting.</w:t>
      </w:r>
    </w:p>
    <w:p w:rsidR="001A3AE7" w:rsidRDefault="001A3AE7" w:rsidP="001A3AE7">
      <w:pPr>
        <w:rPr>
          <w:lang w:val="en-US"/>
        </w:rPr>
      </w:pPr>
      <w:r>
        <w:rPr>
          <w:lang w:val="en-US"/>
        </w:rPr>
        <w:t>In constructing the market model, several simplifying assumptions were necessary to manage the analytical complexity and dearth of factual data for explaining the Australian lighting market. Assumptions were guided by estimates given by industry experts, technical reports released by the Australian Government and international lighting market modelling, as well as lamp import data (which does not provide specificity between linear fluorescent or compact fluorescent lamp types, and does not include any information at all regarding LED lighting imports). Due to the high level of uncertainty and lack of data in the areas listed below, no attempt is made to quantify the magnitude of the effects.</w:t>
      </w:r>
    </w:p>
    <w:p w:rsidR="001A3AE7" w:rsidRDefault="001A3AE7" w:rsidP="001A3AE7">
      <w:pPr>
        <w:rPr>
          <w:lang w:val="en-US"/>
        </w:rPr>
      </w:pPr>
      <w:r>
        <w:rPr>
          <w:lang w:val="en-US"/>
        </w:rPr>
        <w:t xml:space="preserve">A number of data sources and reports were referenced for building the Australian commercial stock model; these are listed below with a statement as to how they were adopted for use. </w:t>
      </w:r>
    </w:p>
    <w:p w:rsidR="001A3AE7" w:rsidRDefault="001A3AE7" w:rsidP="00E65B09">
      <w:pPr>
        <w:pStyle w:val="Heading3"/>
        <w:numPr>
          <w:ilvl w:val="0"/>
          <w:numId w:val="0"/>
        </w:numPr>
        <w:ind w:left="720" w:hanging="720"/>
        <w:rPr>
          <w:lang w:val="en-US"/>
        </w:rPr>
      </w:pPr>
      <w:bookmarkStart w:id="341" w:name="_Toc426387812"/>
      <w:r>
        <w:rPr>
          <w:lang w:val="en-US"/>
        </w:rPr>
        <w:t>Data Sources</w:t>
      </w:r>
      <w:bookmarkEnd w:id="341"/>
      <w:r w:rsidR="0050545F">
        <w:rPr>
          <w:lang w:val="en-US"/>
        </w:rPr>
        <w:t xml:space="preserve"> </w:t>
      </w:r>
    </w:p>
    <w:p w:rsidR="001A3AE7" w:rsidRDefault="001A3AE7" w:rsidP="00E65B09">
      <w:pPr>
        <w:pStyle w:val="Heading4"/>
        <w:numPr>
          <w:ilvl w:val="0"/>
          <w:numId w:val="0"/>
        </w:numPr>
        <w:ind w:left="864" w:hanging="864"/>
      </w:pPr>
      <w:r>
        <w:t>McKinsey Reports 1</w:t>
      </w:r>
      <w:r w:rsidRPr="002908E5">
        <w:rPr>
          <w:vertAlign w:val="superscript"/>
        </w:rPr>
        <w:t>st</w:t>
      </w:r>
      <w:r>
        <w:t>, 2</w:t>
      </w:r>
      <w:r w:rsidRPr="002908E5">
        <w:rPr>
          <w:vertAlign w:val="superscript"/>
        </w:rPr>
        <w:t>nd</w:t>
      </w:r>
      <w:r>
        <w:t xml:space="preserve"> Editions (2011, 2012)</w:t>
      </w:r>
    </w:p>
    <w:p w:rsidR="001A3AE7" w:rsidRDefault="001A3AE7" w:rsidP="001A3AE7">
      <w:r>
        <w:rPr>
          <w:lang w:val="en-US"/>
        </w:rPr>
        <w:t xml:space="preserve">The commercial lighting stock model follows an internationally derived model developed by McKinsey &amp; Company for the 2011 and 2012 “Lighting the way” report, which </w:t>
      </w:r>
      <w:r w:rsidRPr="00B07D31">
        <w:t>was put together to provide an overvie</w:t>
      </w:r>
      <w:r>
        <w:t>w of the global lighting market.</w:t>
      </w:r>
      <w:r w:rsidR="001C7E9A">
        <w:t xml:space="preserve"> </w:t>
      </w:r>
      <w:r>
        <w:t xml:space="preserve">Although </w:t>
      </w:r>
      <w:r w:rsidRPr="00B07D31">
        <w:t>Australia was not specifically one</w:t>
      </w:r>
      <w:r>
        <w:t xml:space="preserve"> of the countries investigated, the McKinsey report</w:t>
      </w:r>
      <w:r w:rsidRPr="00B07D31">
        <w:t xml:space="preserve"> looked at Europe, North America, Asia </w:t>
      </w:r>
      <w:r>
        <w:t>(</w:t>
      </w:r>
      <w:r w:rsidRPr="00B07D31">
        <w:t>incl</w:t>
      </w:r>
      <w:r>
        <w:t>uding</w:t>
      </w:r>
      <w:r w:rsidRPr="00B07D31">
        <w:t xml:space="preserve"> China</w:t>
      </w:r>
      <w:r>
        <w:t>)</w:t>
      </w:r>
      <w:r w:rsidRPr="00B07D31">
        <w:t xml:space="preserve">, Latin America, </w:t>
      </w:r>
      <w:r>
        <w:t xml:space="preserve">the </w:t>
      </w:r>
      <w:r w:rsidRPr="00B07D31">
        <w:t>Middle</w:t>
      </w:r>
      <w:r>
        <w:t xml:space="preserve"> East &amp; Africa; taking into consideration the world’s ongoing financial turbulence, impacts of the European debt crisis on global and regional economic growth, and also how rising energy demand and costs and increasingly stringent lighting regulations around the world have fuelled the penetration of more energy efficient lighting sources. Aggressive price erosion of LED lighting products is also cited as a vital instigator of change to the long-term forecasts of the lighting market. The study provides market projections to 2020 for installed fixtures, annual new installations and lamp/module replacements. </w:t>
      </w:r>
    </w:p>
    <w:p w:rsidR="001A3AE7" w:rsidRDefault="001A3AE7" w:rsidP="001A3AE7">
      <w:r>
        <w:t>McKinsey assesses the lighting market in terms of a range of lighting technologies and groupings in various situational applications in the following way: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5275"/>
      </w:tblGrid>
      <w:tr w:rsidR="001A3AE7" w:rsidTr="00E53BAB">
        <w:trPr>
          <w:tblHeader/>
        </w:trPr>
        <w:tc>
          <w:tcPr>
            <w:tcW w:w="4580" w:type="dxa"/>
          </w:tcPr>
          <w:p w:rsidR="001A3AE7" w:rsidRDefault="001A3AE7" w:rsidP="00101B33">
            <w:r>
              <w:t>Technology mix between:</w:t>
            </w:r>
          </w:p>
          <w:p w:rsidR="001A3AE7" w:rsidRDefault="001A3AE7" w:rsidP="00F1452F">
            <w:pPr>
              <w:pStyle w:val="ListParagraph"/>
              <w:numPr>
                <w:ilvl w:val="0"/>
                <w:numId w:val="43"/>
              </w:numPr>
              <w:contextualSpacing/>
            </w:pPr>
            <w:r>
              <w:t>Incandescent</w:t>
            </w:r>
          </w:p>
          <w:p w:rsidR="001A3AE7" w:rsidRDefault="001A3AE7" w:rsidP="00F1452F">
            <w:pPr>
              <w:pStyle w:val="ListParagraph"/>
              <w:numPr>
                <w:ilvl w:val="0"/>
                <w:numId w:val="43"/>
              </w:numPr>
              <w:contextualSpacing/>
            </w:pPr>
            <w:r>
              <w:t>Halogen</w:t>
            </w:r>
          </w:p>
          <w:p w:rsidR="001A3AE7" w:rsidRDefault="001A3AE7" w:rsidP="00F1452F">
            <w:pPr>
              <w:pStyle w:val="ListParagraph"/>
              <w:numPr>
                <w:ilvl w:val="0"/>
                <w:numId w:val="43"/>
              </w:numPr>
              <w:contextualSpacing/>
            </w:pPr>
            <w:r>
              <w:t>HID</w:t>
            </w:r>
          </w:p>
          <w:p w:rsidR="001A3AE7" w:rsidRDefault="001A3AE7" w:rsidP="00F1452F">
            <w:pPr>
              <w:pStyle w:val="ListParagraph"/>
              <w:numPr>
                <w:ilvl w:val="0"/>
                <w:numId w:val="43"/>
              </w:numPr>
              <w:contextualSpacing/>
            </w:pPr>
            <w:r>
              <w:t>LFL</w:t>
            </w:r>
          </w:p>
          <w:p w:rsidR="001A3AE7" w:rsidRDefault="00D05607" w:rsidP="00F1452F">
            <w:pPr>
              <w:pStyle w:val="ListParagraph"/>
              <w:numPr>
                <w:ilvl w:val="0"/>
                <w:numId w:val="43"/>
              </w:numPr>
              <w:contextualSpacing/>
            </w:pPr>
            <w:r>
              <w:rPr>
                <w:noProof/>
              </w:rPr>
              <mc:AlternateContent>
                <mc:Choice Requires="wps">
                  <w:drawing>
                    <wp:anchor distT="0" distB="0" distL="114300" distR="114300" simplePos="0" relativeHeight="251660288" behindDoc="0" locked="0" layoutInCell="1" allowOverlap="1" wp14:anchorId="36A081BF" wp14:editId="469E40A5">
                      <wp:simplePos x="0" y="0"/>
                      <wp:positionH relativeFrom="column">
                        <wp:posOffset>389255</wp:posOffset>
                      </wp:positionH>
                      <wp:positionV relativeFrom="paragraph">
                        <wp:posOffset>168275</wp:posOffset>
                      </wp:positionV>
                      <wp:extent cx="816610" cy="398780"/>
                      <wp:effectExtent l="0" t="0" r="154940" b="20320"/>
                      <wp:wrapNone/>
                      <wp:docPr id="59" name="Rectangular Callou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610" cy="398780"/>
                              </a:xfrm>
                              <a:prstGeom prst="wedgeRectCallout">
                                <a:avLst>
                                  <a:gd name="adj1" fmla="val 64707"/>
                                  <a:gd name="adj2" fmla="val -26465"/>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 o:spid="_x0000_s1026" type="#_x0000_t61" style="position:absolute;margin-left:30.65pt;margin-top:13.25pt;width:64.3pt;height:3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" adj="24777,5084" filled="f" strokecolor="#243f60 [1604]">
                      <v:path arrowok="t"/>
                    </v:shape>
                  </w:pict>
                </mc:Fallback>
              </mc:AlternateContent>
            </w:r>
            <w:r w:rsidR="001A3AE7">
              <w:t>CFL</w:t>
            </w:r>
          </w:p>
          <w:p w:rsidR="001A3AE7" w:rsidRDefault="001A3AE7" w:rsidP="00F1452F">
            <w:pPr>
              <w:pStyle w:val="ListParagraph"/>
              <w:numPr>
                <w:ilvl w:val="0"/>
                <w:numId w:val="43"/>
              </w:numPr>
              <w:contextualSpacing/>
            </w:pPr>
            <w:r>
              <w:t>LED lamp</w:t>
            </w:r>
            <w:r>
              <w:tab/>
              <w:t>- group: LED</w:t>
            </w:r>
          </w:p>
          <w:p w:rsidR="001A3AE7" w:rsidRDefault="001A3AE7" w:rsidP="00F1452F">
            <w:pPr>
              <w:pStyle w:val="ListParagraph"/>
              <w:numPr>
                <w:ilvl w:val="0"/>
                <w:numId w:val="43"/>
              </w:numPr>
              <w:contextualSpacing/>
            </w:pPr>
            <w:r>
              <w:t>LED module</w:t>
            </w:r>
          </w:p>
          <w:p w:rsidR="001A3AE7" w:rsidRDefault="001A3AE7" w:rsidP="00101B33"/>
        </w:tc>
        <w:tc>
          <w:tcPr>
            <w:tcW w:w="5275" w:type="dxa"/>
          </w:tcPr>
          <w:p w:rsidR="001A3AE7" w:rsidRPr="00B07D31" w:rsidRDefault="001A3AE7" w:rsidP="00101B33">
            <w:r>
              <w:t>Groupings in 7 lighting</w:t>
            </w:r>
            <w:r w:rsidRPr="00B07D31">
              <w:t xml:space="preserve"> applications: </w:t>
            </w:r>
          </w:p>
          <w:p w:rsidR="001A3AE7" w:rsidRPr="00B07D31" w:rsidRDefault="00D05607" w:rsidP="00F1452F">
            <w:pPr>
              <w:pStyle w:val="ListParagraph"/>
              <w:numPr>
                <w:ilvl w:val="0"/>
                <w:numId w:val="41"/>
              </w:numPr>
              <w:contextualSpacing/>
            </w:pPr>
            <w:r>
              <w:rPr>
                <w:noProof/>
              </w:rPr>
              <mc:AlternateContent>
                <mc:Choice Requires="wps">
                  <w:drawing>
                    <wp:anchor distT="0" distB="0" distL="114300" distR="114300" simplePos="0" relativeHeight="251661312" behindDoc="0" locked="0" layoutInCell="1" allowOverlap="1" wp14:anchorId="4022E5FD" wp14:editId="15DDF1E8">
                      <wp:simplePos x="0" y="0"/>
                      <wp:positionH relativeFrom="column">
                        <wp:posOffset>393065</wp:posOffset>
                      </wp:positionH>
                      <wp:positionV relativeFrom="paragraph">
                        <wp:posOffset>3175</wp:posOffset>
                      </wp:positionV>
                      <wp:extent cx="728980" cy="602615"/>
                      <wp:effectExtent l="12065" t="12700" r="211455" b="13335"/>
                      <wp:wrapNone/>
                      <wp:docPr id="54" name="Rectangular Callou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980" cy="602615"/>
                              </a:xfrm>
                              <a:prstGeom prst="wedgeRectCallout">
                                <a:avLst>
                                  <a:gd name="adj1" fmla="val 75347"/>
                                  <a:gd name="adj2" fmla="val -7324"/>
                                </a:avLst>
                              </a:prstGeom>
                              <a:noFill/>
                              <a:ln w="9525">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ectangular Callout 2" o:spid="_x0000_s1026" type="#_x0000_t61" style="position:absolute;margin-left:30.95pt;margin-top:.25pt;width:57.4pt;height:4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" adj="27075,9218" filled="f" strokecolor="#243f60 [1604]"/>
                  </w:pict>
                </mc:Fallback>
              </mc:AlternateContent>
            </w:r>
            <w:r w:rsidR="001A3AE7" w:rsidRPr="00B07D31">
              <w:t>residential</w:t>
            </w:r>
          </w:p>
          <w:p w:rsidR="001A3AE7" w:rsidRPr="00B07D31" w:rsidRDefault="001A3AE7" w:rsidP="00F1452F">
            <w:pPr>
              <w:pStyle w:val="ListParagraph"/>
              <w:numPr>
                <w:ilvl w:val="0"/>
                <w:numId w:val="41"/>
              </w:numPr>
              <w:contextualSpacing/>
            </w:pPr>
            <w:r w:rsidRPr="00B07D31">
              <w:t>office</w:t>
            </w:r>
          </w:p>
          <w:p w:rsidR="001A3AE7" w:rsidRPr="00B07D31" w:rsidRDefault="001A3AE7" w:rsidP="00F1452F">
            <w:pPr>
              <w:pStyle w:val="ListParagraph"/>
              <w:numPr>
                <w:ilvl w:val="0"/>
                <w:numId w:val="41"/>
              </w:numPr>
              <w:contextualSpacing/>
            </w:pPr>
            <w:r>
              <w:t xml:space="preserve">shop      </w:t>
            </w:r>
            <w:r>
              <w:tab/>
              <w:t>- group: commercial</w:t>
            </w:r>
            <w:r>
              <w:tab/>
            </w:r>
          </w:p>
          <w:p w:rsidR="001A3AE7" w:rsidRPr="00B07D31" w:rsidRDefault="001A3AE7" w:rsidP="00F1452F">
            <w:pPr>
              <w:pStyle w:val="ListParagraph"/>
              <w:numPr>
                <w:ilvl w:val="0"/>
                <w:numId w:val="41"/>
              </w:numPr>
              <w:contextualSpacing/>
            </w:pPr>
            <w:r>
              <w:t>hospitality</w:t>
            </w:r>
          </w:p>
          <w:p w:rsidR="001A3AE7" w:rsidRPr="00B07D31" w:rsidRDefault="001A3AE7" w:rsidP="00F1452F">
            <w:pPr>
              <w:pStyle w:val="ListParagraph"/>
              <w:numPr>
                <w:ilvl w:val="0"/>
                <w:numId w:val="41"/>
              </w:numPr>
              <w:contextualSpacing/>
            </w:pPr>
            <w:r>
              <w:t>industrial</w:t>
            </w:r>
            <w:r>
              <w:tab/>
              <w:t>- outside data availability</w:t>
            </w:r>
          </w:p>
          <w:p w:rsidR="001A3AE7" w:rsidRPr="00B07D31" w:rsidRDefault="001A3AE7" w:rsidP="00F1452F">
            <w:pPr>
              <w:pStyle w:val="ListParagraph"/>
              <w:numPr>
                <w:ilvl w:val="0"/>
                <w:numId w:val="41"/>
              </w:numPr>
              <w:contextualSpacing/>
            </w:pPr>
            <w:r w:rsidRPr="00B07D31">
              <w:t>outdoor</w:t>
            </w:r>
            <w:r>
              <w:tab/>
              <w:t>- outside scope</w:t>
            </w:r>
          </w:p>
          <w:p w:rsidR="001A3AE7" w:rsidRPr="00B07D31" w:rsidRDefault="001A3AE7" w:rsidP="00F1452F">
            <w:pPr>
              <w:pStyle w:val="ListParagraph"/>
              <w:numPr>
                <w:ilvl w:val="0"/>
                <w:numId w:val="41"/>
              </w:numPr>
              <w:contextualSpacing/>
            </w:pPr>
            <w:r w:rsidRPr="00B07D31">
              <w:t>architectural</w:t>
            </w:r>
            <w:r>
              <w:tab/>
              <w:t>- small market (negligible)</w:t>
            </w:r>
          </w:p>
          <w:p w:rsidR="001A3AE7" w:rsidRDefault="001A3AE7" w:rsidP="00101B33"/>
        </w:tc>
      </w:tr>
    </w:tbl>
    <w:p w:rsidR="001A3AE7" w:rsidRDefault="001A3AE7" w:rsidP="001A3AE7">
      <w:r>
        <w:t xml:space="preserve">Application of this model into the Australian context saw some category groupings; LED lamp (retrofit) and LED module are grouped simply as ‘LED’; for lighting applications, office, shop and hospitality was grouped into a category ‘commercial’. </w:t>
      </w:r>
    </w:p>
    <w:p w:rsidR="001A3AE7" w:rsidRDefault="001A3AE7" w:rsidP="001A3AE7">
      <w:r>
        <w:t xml:space="preserve">Estimates of LED market share (from McKinsey) were established following a global lighting survey of lighting professionals and consumers in June 2011. Questions in this survey targeted 1) levels of price acceptance in order to estimate LED market share, and projections were calculated using responses and the future lighting product price trend by technology. The survey also addressed 2) levels of payback time acceptance, by calculating lamp technology payback time trends against the traditional technology by application based on different countries’ current electricity prices. 3) Major technology barriers were surveyed with inclusion of a timeline by which the barrier was expected to disappear. 4) Lighting professionals with high levels of expertise were asked to provide general estimations of LED market share by application, with adjustments applied for country-specific positive/negative bias. </w:t>
      </w:r>
    </w:p>
    <w:p w:rsidR="001A3AE7" w:rsidRPr="00C24C6B" w:rsidRDefault="001A3AE7" w:rsidP="00E65B09">
      <w:pPr>
        <w:pStyle w:val="Heading4"/>
        <w:numPr>
          <w:ilvl w:val="0"/>
          <w:numId w:val="0"/>
        </w:numPr>
        <w:ind w:left="864" w:hanging="864"/>
      </w:pPr>
      <w:r w:rsidRPr="00C24C6B">
        <w:t xml:space="preserve">Building Code of Australia’s (BCA) National Construction Code (NCC) </w:t>
      </w:r>
    </w:p>
    <w:p w:rsidR="001A3AE7" w:rsidRDefault="001A3AE7" w:rsidP="001A3AE7">
      <w:pPr>
        <w:rPr>
          <w:lang w:val="en-US"/>
        </w:rPr>
      </w:pPr>
      <w:r w:rsidRPr="00C24C6B">
        <w:rPr>
          <w:b/>
          <w:lang w:val="en-US"/>
        </w:rPr>
        <w:t>Section J6</w:t>
      </w:r>
      <w:r>
        <w:rPr>
          <w:lang w:val="en-US"/>
        </w:rPr>
        <w:t xml:space="preserve"> Artificial Lighting and Power</w:t>
      </w:r>
      <w:r>
        <w:rPr>
          <w:lang w:val="en-US"/>
        </w:rPr>
        <w:br/>
        <w:t xml:space="preserve">The NCC outlines maximum power density </w:t>
      </w:r>
      <w:r w:rsidRPr="001173F3">
        <w:rPr>
          <w:lang w:val="en-US"/>
        </w:rPr>
        <w:t>limits</w:t>
      </w:r>
      <w:r>
        <w:rPr>
          <w:lang w:val="en-US"/>
        </w:rPr>
        <w:t xml:space="preserve"> for all building categories in Australia. </w:t>
      </w:r>
    </w:p>
    <w:p w:rsidR="001A3AE7" w:rsidRPr="002B4D30" w:rsidRDefault="001A3AE7" w:rsidP="001A3AE7">
      <w:r>
        <w:rPr>
          <w:lang w:val="en-US"/>
        </w:rPr>
        <w:t xml:space="preserve">In this stock model, the </w:t>
      </w:r>
      <w:r w:rsidR="00F966C3">
        <w:rPr>
          <w:lang w:val="en-US"/>
        </w:rPr>
        <w:t>impacts of limiting allowable power consumption in commercial spaces are</w:t>
      </w:r>
      <w:r>
        <w:rPr>
          <w:lang w:val="en-US"/>
        </w:rPr>
        <w:t xml:space="preserve"> given as a boundary condition. </w:t>
      </w:r>
    </w:p>
    <w:p w:rsidR="001A3AE7" w:rsidRDefault="001A3AE7" w:rsidP="00E65B09">
      <w:pPr>
        <w:pStyle w:val="Heading4"/>
        <w:numPr>
          <w:ilvl w:val="0"/>
          <w:numId w:val="0"/>
        </w:numPr>
        <w:ind w:left="864" w:hanging="864"/>
      </w:pPr>
      <w:r>
        <w:t>Residential Lighting Australasian Model Project (ReLAMP)</w:t>
      </w:r>
    </w:p>
    <w:p w:rsidR="001A3AE7" w:rsidRPr="001A3AE7" w:rsidRDefault="001A3AE7" w:rsidP="001A3AE7">
      <w:pPr>
        <w:rPr>
          <w:szCs w:val="19"/>
        </w:rPr>
      </w:pPr>
      <w:r w:rsidRPr="001A3AE7">
        <w:rPr>
          <w:szCs w:val="19"/>
        </w:rPr>
        <w:t>(www.energyrating.gov.au/products-themes/lighting/lighting-and-phase-out-general-information/lighting-data/)</w:t>
      </w:r>
    </w:p>
    <w:p w:rsidR="001A3AE7" w:rsidRPr="001A3AE7" w:rsidRDefault="001A3AE7" w:rsidP="00F1452F">
      <w:pPr>
        <w:pStyle w:val="ListParagraph"/>
        <w:numPr>
          <w:ilvl w:val="0"/>
          <w:numId w:val="42"/>
        </w:numPr>
        <w:spacing w:after="200" w:line="276" w:lineRule="auto"/>
        <w:contextualSpacing/>
        <w:rPr>
          <w:rFonts w:ascii="Georgia" w:hAnsi="Georgia"/>
          <w:sz w:val="19"/>
          <w:szCs w:val="19"/>
        </w:rPr>
      </w:pPr>
      <w:r w:rsidRPr="001A3AE7">
        <w:rPr>
          <w:rFonts w:ascii="Georgia" w:hAnsi="Georgia"/>
          <w:sz w:val="19"/>
          <w:szCs w:val="19"/>
        </w:rPr>
        <w:t xml:space="preserve">Includes LED </w:t>
      </w:r>
    </w:p>
    <w:p w:rsidR="001A3AE7" w:rsidRPr="001A3AE7" w:rsidRDefault="001A3AE7" w:rsidP="00F1452F">
      <w:pPr>
        <w:pStyle w:val="ListParagraph"/>
        <w:numPr>
          <w:ilvl w:val="0"/>
          <w:numId w:val="42"/>
        </w:numPr>
        <w:spacing w:after="200" w:line="276" w:lineRule="auto"/>
        <w:contextualSpacing/>
        <w:rPr>
          <w:rFonts w:ascii="Georgia" w:hAnsi="Georgia"/>
          <w:sz w:val="19"/>
          <w:szCs w:val="19"/>
        </w:rPr>
      </w:pPr>
      <w:r w:rsidRPr="001A3AE7">
        <w:rPr>
          <w:rFonts w:ascii="Georgia" w:hAnsi="Georgia"/>
          <w:sz w:val="19"/>
          <w:szCs w:val="19"/>
        </w:rPr>
        <w:t>Data to 2012</w:t>
      </w:r>
    </w:p>
    <w:p w:rsidR="001A3AE7" w:rsidRPr="001A3AE7" w:rsidRDefault="001A3AE7" w:rsidP="00F1452F">
      <w:pPr>
        <w:pStyle w:val="ListParagraph"/>
        <w:numPr>
          <w:ilvl w:val="0"/>
          <w:numId w:val="42"/>
        </w:numPr>
        <w:spacing w:after="200" w:line="276" w:lineRule="auto"/>
        <w:contextualSpacing/>
        <w:rPr>
          <w:rFonts w:ascii="Georgia" w:hAnsi="Georgia"/>
          <w:sz w:val="19"/>
          <w:szCs w:val="19"/>
        </w:rPr>
      </w:pPr>
      <w:r w:rsidRPr="001A3AE7">
        <w:rPr>
          <w:rFonts w:ascii="Georgia" w:hAnsi="Georgia"/>
          <w:sz w:val="19"/>
          <w:szCs w:val="19"/>
        </w:rPr>
        <w:t>For residential market only</w:t>
      </w:r>
    </w:p>
    <w:p w:rsidR="001A3AE7" w:rsidRPr="001A3AE7" w:rsidRDefault="001A3AE7" w:rsidP="00F1452F">
      <w:pPr>
        <w:pStyle w:val="ListParagraph"/>
        <w:numPr>
          <w:ilvl w:val="0"/>
          <w:numId w:val="42"/>
        </w:numPr>
        <w:spacing w:after="200" w:line="276" w:lineRule="auto"/>
        <w:contextualSpacing/>
        <w:rPr>
          <w:rFonts w:ascii="Georgia" w:hAnsi="Georgia"/>
          <w:sz w:val="19"/>
          <w:szCs w:val="19"/>
        </w:rPr>
      </w:pPr>
      <w:r w:rsidRPr="001A3AE7">
        <w:rPr>
          <w:rFonts w:ascii="Georgia" w:hAnsi="Georgia"/>
          <w:sz w:val="19"/>
          <w:szCs w:val="19"/>
        </w:rPr>
        <w:t>No projections for commercial lighting</w:t>
      </w:r>
    </w:p>
    <w:p w:rsidR="001A3AE7" w:rsidRDefault="001A3AE7" w:rsidP="00E65B09">
      <w:pPr>
        <w:pStyle w:val="Heading4"/>
        <w:numPr>
          <w:ilvl w:val="0"/>
          <w:numId w:val="0"/>
        </w:numPr>
        <w:ind w:left="864" w:hanging="864"/>
      </w:pPr>
      <w:r>
        <w:t>Australian Bureau of Statistics import data to 2013</w:t>
      </w:r>
    </w:p>
    <w:p w:rsidR="001A3AE7" w:rsidRPr="001A3AE7" w:rsidRDefault="001A3AE7" w:rsidP="001A3AE7">
      <w:pPr>
        <w:rPr>
          <w:szCs w:val="19"/>
        </w:rPr>
      </w:pPr>
      <w:r w:rsidRPr="001A3AE7">
        <w:rPr>
          <w:szCs w:val="19"/>
        </w:rPr>
        <w:t xml:space="preserve">This includes import data of lighting products, as grouped into specific categories. This applies to all market applications whether they </w:t>
      </w:r>
      <w:r w:rsidR="00F966C3" w:rsidRPr="001A3AE7">
        <w:rPr>
          <w:szCs w:val="19"/>
        </w:rPr>
        <w:t>are</w:t>
      </w:r>
      <w:r w:rsidRPr="001A3AE7">
        <w:rPr>
          <w:szCs w:val="19"/>
        </w:rPr>
        <w:t xml:space="preserve"> used for residential, commercial, or other purposes.</w:t>
      </w:r>
    </w:p>
    <w:p w:rsidR="001A3AE7" w:rsidRPr="001A3AE7" w:rsidRDefault="001A3AE7" w:rsidP="00F1452F">
      <w:pPr>
        <w:pStyle w:val="ListParagraph"/>
        <w:numPr>
          <w:ilvl w:val="0"/>
          <w:numId w:val="42"/>
        </w:numPr>
        <w:spacing w:after="200" w:line="276" w:lineRule="auto"/>
        <w:contextualSpacing/>
        <w:rPr>
          <w:rFonts w:ascii="Georgia" w:hAnsi="Georgia"/>
          <w:sz w:val="19"/>
          <w:szCs w:val="19"/>
        </w:rPr>
      </w:pPr>
      <w:r w:rsidRPr="001A3AE7">
        <w:rPr>
          <w:rFonts w:ascii="Georgia" w:hAnsi="Georgia"/>
          <w:sz w:val="19"/>
          <w:szCs w:val="19"/>
        </w:rPr>
        <w:t>MV incandescent</w:t>
      </w:r>
    </w:p>
    <w:p w:rsidR="001A3AE7" w:rsidRPr="001A3AE7" w:rsidRDefault="001A3AE7" w:rsidP="00F1452F">
      <w:pPr>
        <w:pStyle w:val="ListParagraph"/>
        <w:numPr>
          <w:ilvl w:val="0"/>
          <w:numId w:val="42"/>
        </w:numPr>
        <w:spacing w:after="200" w:line="276" w:lineRule="auto"/>
        <w:contextualSpacing/>
        <w:rPr>
          <w:rFonts w:ascii="Georgia" w:hAnsi="Georgia"/>
          <w:sz w:val="19"/>
          <w:szCs w:val="19"/>
        </w:rPr>
      </w:pPr>
      <w:r w:rsidRPr="001A3AE7">
        <w:rPr>
          <w:rFonts w:ascii="Georgia" w:hAnsi="Georgia"/>
          <w:sz w:val="19"/>
          <w:szCs w:val="19"/>
        </w:rPr>
        <w:t>MV halogen</w:t>
      </w:r>
    </w:p>
    <w:p w:rsidR="001A3AE7" w:rsidRPr="001A3AE7" w:rsidRDefault="001A3AE7" w:rsidP="00F1452F">
      <w:pPr>
        <w:pStyle w:val="ListParagraph"/>
        <w:numPr>
          <w:ilvl w:val="0"/>
          <w:numId w:val="42"/>
        </w:numPr>
        <w:spacing w:after="200" w:line="276" w:lineRule="auto"/>
        <w:contextualSpacing/>
        <w:rPr>
          <w:rFonts w:ascii="Georgia" w:hAnsi="Georgia"/>
          <w:sz w:val="19"/>
          <w:szCs w:val="19"/>
        </w:rPr>
      </w:pPr>
      <w:r w:rsidRPr="001A3AE7">
        <w:rPr>
          <w:rFonts w:ascii="Georgia" w:hAnsi="Georgia"/>
          <w:sz w:val="19"/>
          <w:szCs w:val="19"/>
        </w:rPr>
        <w:t>ELV halogen</w:t>
      </w:r>
    </w:p>
    <w:p w:rsidR="001A3AE7" w:rsidRPr="001A3AE7" w:rsidRDefault="001A3AE7" w:rsidP="00F1452F">
      <w:pPr>
        <w:pStyle w:val="ListParagraph"/>
        <w:numPr>
          <w:ilvl w:val="0"/>
          <w:numId w:val="42"/>
        </w:numPr>
        <w:spacing w:after="200" w:line="276" w:lineRule="auto"/>
        <w:contextualSpacing/>
        <w:rPr>
          <w:rFonts w:ascii="Georgia" w:hAnsi="Georgia"/>
          <w:sz w:val="19"/>
          <w:szCs w:val="19"/>
        </w:rPr>
      </w:pPr>
      <w:r w:rsidRPr="001A3AE7">
        <w:rPr>
          <w:rFonts w:ascii="Georgia" w:hAnsi="Georgia"/>
          <w:sz w:val="19"/>
          <w:szCs w:val="19"/>
        </w:rPr>
        <w:t>CFL (a combination of CFLi and CFLn numbers)</w:t>
      </w:r>
    </w:p>
    <w:p w:rsidR="001A3AE7" w:rsidRPr="001A3AE7" w:rsidRDefault="001A3AE7" w:rsidP="00F1452F">
      <w:pPr>
        <w:pStyle w:val="ListParagraph"/>
        <w:numPr>
          <w:ilvl w:val="0"/>
          <w:numId w:val="42"/>
        </w:numPr>
        <w:spacing w:after="200" w:line="276" w:lineRule="auto"/>
        <w:contextualSpacing/>
        <w:rPr>
          <w:rFonts w:ascii="Georgia" w:hAnsi="Georgia"/>
          <w:sz w:val="19"/>
          <w:szCs w:val="19"/>
        </w:rPr>
      </w:pPr>
      <w:r w:rsidRPr="001A3AE7">
        <w:rPr>
          <w:rFonts w:ascii="Georgia" w:hAnsi="Georgia"/>
          <w:sz w:val="19"/>
          <w:szCs w:val="19"/>
        </w:rPr>
        <w:t>linear fluorescent lamps &lt;=600mm</w:t>
      </w:r>
    </w:p>
    <w:p w:rsidR="001A3AE7" w:rsidRPr="001A3AE7" w:rsidRDefault="001A3AE7" w:rsidP="00F1452F">
      <w:pPr>
        <w:pStyle w:val="ListParagraph"/>
        <w:numPr>
          <w:ilvl w:val="0"/>
          <w:numId w:val="42"/>
        </w:numPr>
        <w:spacing w:after="200" w:line="276" w:lineRule="auto"/>
        <w:contextualSpacing/>
        <w:rPr>
          <w:rFonts w:ascii="Georgia" w:hAnsi="Georgia"/>
          <w:sz w:val="19"/>
          <w:szCs w:val="19"/>
        </w:rPr>
      </w:pPr>
      <w:r w:rsidRPr="001A3AE7">
        <w:rPr>
          <w:rFonts w:ascii="Georgia" w:hAnsi="Georgia"/>
          <w:sz w:val="19"/>
          <w:szCs w:val="19"/>
        </w:rPr>
        <w:t>linear fluorescent lamps =1200mm</w:t>
      </w:r>
    </w:p>
    <w:p w:rsidR="001A3AE7" w:rsidRPr="001A3AE7" w:rsidRDefault="001A3AE7" w:rsidP="00F1452F">
      <w:pPr>
        <w:pStyle w:val="ListParagraph"/>
        <w:numPr>
          <w:ilvl w:val="0"/>
          <w:numId w:val="42"/>
        </w:numPr>
        <w:spacing w:after="200" w:line="276" w:lineRule="auto"/>
        <w:contextualSpacing/>
        <w:rPr>
          <w:rFonts w:ascii="Georgia" w:hAnsi="Georgia"/>
          <w:sz w:val="19"/>
          <w:szCs w:val="19"/>
        </w:rPr>
      </w:pPr>
      <w:r w:rsidRPr="001A3AE7">
        <w:rPr>
          <w:rFonts w:ascii="Georgia" w:hAnsi="Georgia"/>
          <w:sz w:val="19"/>
          <w:szCs w:val="19"/>
        </w:rPr>
        <w:t>linear fluorescent lamps, other than &lt;=600mm, 1200mm</w:t>
      </w:r>
    </w:p>
    <w:p w:rsidR="001A3AE7" w:rsidRPr="001A3AE7" w:rsidRDefault="001A3AE7" w:rsidP="00F1452F">
      <w:pPr>
        <w:pStyle w:val="ListParagraph"/>
        <w:numPr>
          <w:ilvl w:val="0"/>
          <w:numId w:val="42"/>
        </w:numPr>
        <w:spacing w:after="200" w:line="276" w:lineRule="auto"/>
        <w:contextualSpacing/>
        <w:rPr>
          <w:rFonts w:ascii="Georgia" w:hAnsi="Georgia"/>
          <w:sz w:val="19"/>
          <w:szCs w:val="19"/>
        </w:rPr>
      </w:pPr>
      <w:r w:rsidRPr="001A3AE7">
        <w:rPr>
          <w:rFonts w:ascii="Georgia" w:hAnsi="Georgia"/>
          <w:sz w:val="19"/>
          <w:szCs w:val="19"/>
        </w:rPr>
        <w:t>HID</w:t>
      </w:r>
    </w:p>
    <w:p w:rsidR="001A3AE7" w:rsidRDefault="001A3AE7" w:rsidP="00E65B09">
      <w:pPr>
        <w:pStyle w:val="Heading4"/>
        <w:numPr>
          <w:ilvl w:val="0"/>
          <w:numId w:val="0"/>
        </w:numPr>
        <w:ind w:left="864" w:hanging="864"/>
      </w:pPr>
      <w:r>
        <w:t xml:space="preserve">Report:  Baseline Energy Consumption and Greenhouse Gas Emissions in Commercial Buildings in Australia, November 2012 (DoI) </w:t>
      </w:r>
    </w:p>
    <w:p w:rsidR="001A3AE7" w:rsidRPr="001A3AE7" w:rsidRDefault="001A3AE7" w:rsidP="001A3AE7">
      <w:pPr>
        <w:rPr>
          <w:szCs w:val="19"/>
        </w:rPr>
      </w:pPr>
      <w:r w:rsidRPr="001A3AE7">
        <w:rPr>
          <w:szCs w:val="19"/>
        </w:rPr>
        <w:t>(www.industry.gov.au/Energy/EnergyEfficiency/Non-residentialBuildings/Documents/CBBS-Part-1.pdf)</w:t>
      </w:r>
    </w:p>
    <w:p w:rsidR="001A3AE7" w:rsidRPr="001A3AE7" w:rsidRDefault="001A3AE7" w:rsidP="001A3AE7">
      <w:pPr>
        <w:rPr>
          <w:szCs w:val="19"/>
        </w:rPr>
      </w:pPr>
      <w:r w:rsidRPr="001A3AE7">
        <w:rPr>
          <w:szCs w:val="19"/>
        </w:rPr>
        <w:t xml:space="preserve">Provides data and projections of non-residential, non-industrial building stock in Australia 1999-2020, in the form of floor area in ‘000m². </w:t>
      </w:r>
    </w:p>
    <w:p w:rsidR="001A3AE7" w:rsidRPr="001A3AE7" w:rsidRDefault="001A3AE7" w:rsidP="00F1452F">
      <w:pPr>
        <w:pStyle w:val="ListParagraph"/>
        <w:numPr>
          <w:ilvl w:val="0"/>
          <w:numId w:val="44"/>
        </w:numPr>
        <w:spacing w:after="200" w:line="276" w:lineRule="auto"/>
        <w:contextualSpacing/>
        <w:rPr>
          <w:rFonts w:ascii="Georgia" w:hAnsi="Georgia"/>
          <w:sz w:val="19"/>
          <w:szCs w:val="19"/>
        </w:rPr>
      </w:pPr>
      <w:r w:rsidRPr="001A3AE7">
        <w:rPr>
          <w:rFonts w:ascii="Georgia" w:hAnsi="Georgia"/>
          <w:sz w:val="19"/>
          <w:szCs w:val="19"/>
        </w:rPr>
        <w:t>Stand-alone offices</w:t>
      </w:r>
    </w:p>
    <w:p w:rsidR="001A3AE7" w:rsidRPr="001A3AE7" w:rsidRDefault="001A3AE7" w:rsidP="00F1452F">
      <w:pPr>
        <w:pStyle w:val="ListParagraph"/>
        <w:numPr>
          <w:ilvl w:val="0"/>
          <w:numId w:val="44"/>
        </w:numPr>
        <w:spacing w:after="200" w:line="276" w:lineRule="auto"/>
        <w:contextualSpacing/>
        <w:rPr>
          <w:rFonts w:ascii="Georgia" w:hAnsi="Georgia"/>
          <w:sz w:val="19"/>
          <w:szCs w:val="19"/>
        </w:rPr>
      </w:pPr>
      <w:r w:rsidRPr="001A3AE7">
        <w:rPr>
          <w:rFonts w:ascii="Georgia" w:hAnsi="Georgia"/>
          <w:sz w:val="19"/>
          <w:szCs w:val="19"/>
        </w:rPr>
        <w:t>Hotels</w:t>
      </w:r>
    </w:p>
    <w:p w:rsidR="001A3AE7" w:rsidRPr="001A3AE7" w:rsidRDefault="001A3AE7" w:rsidP="00F1452F">
      <w:pPr>
        <w:pStyle w:val="ListParagraph"/>
        <w:numPr>
          <w:ilvl w:val="0"/>
          <w:numId w:val="44"/>
        </w:numPr>
        <w:spacing w:after="200" w:line="276" w:lineRule="auto"/>
        <w:contextualSpacing/>
        <w:rPr>
          <w:rFonts w:ascii="Georgia" w:hAnsi="Georgia"/>
          <w:sz w:val="19"/>
          <w:szCs w:val="19"/>
        </w:rPr>
      </w:pPr>
      <w:r w:rsidRPr="001A3AE7">
        <w:rPr>
          <w:rFonts w:ascii="Georgia" w:hAnsi="Georgia"/>
          <w:sz w:val="19"/>
          <w:szCs w:val="19"/>
        </w:rPr>
        <w:t>Retail</w:t>
      </w:r>
    </w:p>
    <w:p w:rsidR="001A3AE7" w:rsidRPr="001A3AE7" w:rsidRDefault="001A3AE7" w:rsidP="00F1452F">
      <w:pPr>
        <w:pStyle w:val="ListParagraph"/>
        <w:numPr>
          <w:ilvl w:val="0"/>
          <w:numId w:val="44"/>
        </w:numPr>
        <w:spacing w:after="200" w:line="276" w:lineRule="auto"/>
        <w:contextualSpacing/>
        <w:rPr>
          <w:rFonts w:ascii="Georgia" w:hAnsi="Georgia"/>
          <w:sz w:val="19"/>
          <w:szCs w:val="19"/>
        </w:rPr>
      </w:pPr>
      <w:r w:rsidRPr="001A3AE7">
        <w:rPr>
          <w:rFonts w:ascii="Georgia" w:hAnsi="Georgia"/>
          <w:sz w:val="19"/>
          <w:szCs w:val="19"/>
        </w:rPr>
        <w:t>Hospitals</w:t>
      </w:r>
    </w:p>
    <w:p w:rsidR="001A3AE7" w:rsidRPr="001A3AE7" w:rsidRDefault="001A3AE7" w:rsidP="00F1452F">
      <w:pPr>
        <w:pStyle w:val="ListParagraph"/>
        <w:numPr>
          <w:ilvl w:val="0"/>
          <w:numId w:val="44"/>
        </w:numPr>
        <w:spacing w:after="200" w:line="276" w:lineRule="auto"/>
        <w:contextualSpacing/>
        <w:rPr>
          <w:rFonts w:ascii="Georgia" w:hAnsi="Georgia"/>
          <w:sz w:val="19"/>
          <w:szCs w:val="19"/>
        </w:rPr>
      </w:pPr>
      <w:r w:rsidRPr="001A3AE7">
        <w:rPr>
          <w:rFonts w:ascii="Georgia" w:hAnsi="Georgia"/>
          <w:sz w:val="19"/>
          <w:szCs w:val="19"/>
        </w:rPr>
        <w:t>Schools, universities</w:t>
      </w:r>
    </w:p>
    <w:p w:rsidR="001A3AE7" w:rsidRPr="001A3AE7" w:rsidRDefault="001A3AE7" w:rsidP="00F1452F">
      <w:pPr>
        <w:pStyle w:val="ListParagraph"/>
        <w:numPr>
          <w:ilvl w:val="0"/>
          <w:numId w:val="44"/>
        </w:numPr>
        <w:spacing w:after="200" w:line="276" w:lineRule="auto"/>
        <w:contextualSpacing/>
        <w:rPr>
          <w:rFonts w:ascii="Georgia" w:hAnsi="Georgia"/>
          <w:sz w:val="19"/>
          <w:szCs w:val="19"/>
        </w:rPr>
      </w:pPr>
      <w:r w:rsidRPr="001A3AE7">
        <w:rPr>
          <w:rFonts w:ascii="Georgia" w:hAnsi="Georgia"/>
          <w:sz w:val="19"/>
          <w:szCs w:val="19"/>
        </w:rPr>
        <w:t>VET buildings</w:t>
      </w:r>
    </w:p>
    <w:p w:rsidR="001A3AE7" w:rsidRPr="001A3AE7" w:rsidRDefault="001A3AE7" w:rsidP="00F1452F">
      <w:pPr>
        <w:pStyle w:val="ListParagraph"/>
        <w:numPr>
          <w:ilvl w:val="0"/>
          <w:numId w:val="44"/>
        </w:numPr>
        <w:spacing w:after="200" w:line="276" w:lineRule="auto"/>
        <w:contextualSpacing/>
        <w:rPr>
          <w:rFonts w:ascii="Georgia" w:hAnsi="Georgia"/>
          <w:sz w:val="19"/>
          <w:szCs w:val="19"/>
        </w:rPr>
      </w:pPr>
      <w:r w:rsidRPr="001A3AE7">
        <w:rPr>
          <w:rFonts w:ascii="Georgia" w:hAnsi="Georgia"/>
          <w:sz w:val="19"/>
          <w:szCs w:val="19"/>
        </w:rPr>
        <w:t>Public buildings</w:t>
      </w:r>
    </w:p>
    <w:p w:rsidR="001A3AE7" w:rsidRPr="001A3AE7" w:rsidRDefault="001A3AE7" w:rsidP="00F1452F">
      <w:pPr>
        <w:pStyle w:val="ListParagraph"/>
        <w:numPr>
          <w:ilvl w:val="0"/>
          <w:numId w:val="44"/>
        </w:numPr>
        <w:spacing w:after="200" w:line="276" w:lineRule="auto"/>
        <w:contextualSpacing/>
        <w:rPr>
          <w:rFonts w:ascii="Georgia" w:hAnsi="Georgia"/>
          <w:sz w:val="19"/>
          <w:szCs w:val="19"/>
        </w:rPr>
      </w:pPr>
      <w:r w:rsidRPr="001A3AE7">
        <w:rPr>
          <w:rFonts w:ascii="Georgia" w:hAnsi="Georgia"/>
          <w:sz w:val="19"/>
          <w:szCs w:val="19"/>
        </w:rPr>
        <w:t>Law courts</w:t>
      </w:r>
    </w:p>
    <w:p w:rsidR="001A3AE7" w:rsidRPr="001A3AE7" w:rsidRDefault="001A3AE7" w:rsidP="001A3AE7">
      <w:pPr>
        <w:rPr>
          <w:szCs w:val="19"/>
        </w:rPr>
      </w:pPr>
      <w:r w:rsidRPr="001A3AE7">
        <w:rPr>
          <w:szCs w:val="19"/>
        </w:rPr>
        <w:t>This stock model used 2009 as the ‘base’ year.</w:t>
      </w:r>
    </w:p>
    <w:p w:rsidR="001A3AE7" w:rsidRDefault="001A3AE7" w:rsidP="00E65B09">
      <w:pPr>
        <w:pStyle w:val="Heading4"/>
        <w:numPr>
          <w:ilvl w:val="0"/>
          <w:numId w:val="0"/>
        </w:numPr>
      </w:pPr>
      <w:r>
        <w:t xml:space="preserve">2010 E3 Residential Lighting Report </w:t>
      </w:r>
    </w:p>
    <w:p w:rsidR="001A3AE7" w:rsidRDefault="001A3AE7" w:rsidP="001A3AE7">
      <w:r>
        <w:t xml:space="preserve">The report provides insight into the average number of lamps used within residential homes, with these broken down into technology types with performance levels given for power consumption and lumen output. Combining this information with data on the total number of residential properties in Australia enables an estimation of the total number of lamp types being used in Australian homes. </w:t>
      </w:r>
    </w:p>
    <w:p w:rsidR="00A17400" w:rsidRDefault="00A17400" w:rsidP="00E65B09">
      <w:pPr>
        <w:pStyle w:val="Heading4"/>
        <w:numPr>
          <w:ilvl w:val="0"/>
          <w:numId w:val="0"/>
        </w:numPr>
        <w:ind w:left="864" w:hanging="864"/>
      </w:pPr>
      <w:r>
        <w:t>Photometric Test Data 2009-2014.</w:t>
      </w:r>
    </w:p>
    <w:p w:rsidR="00A17400" w:rsidRPr="00A17400" w:rsidRDefault="00A17400" w:rsidP="00A17400">
      <w:pPr>
        <w:spacing w:after="200" w:line="276" w:lineRule="auto"/>
        <w:contextualSpacing/>
        <w:rPr>
          <w:szCs w:val="19"/>
        </w:rPr>
      </w:pPr>
      <w:r w:rsidRPr="00A17400">
        <w:rPr>
          <w:szCs w:val="19"/>
        </w:rPr>
        <w:t xml:space="preserve">Sourced from </w:t>
      </w:r>
    </w:p>
    <w:p w:rsidR="00A17400" w:rsidRDefault="00A17400" w:rsidP="00F1452F">
      <w:pPr>
        <w:pStyle w:val="ListParagraph"/>
        <w:numPr>
          <w:ilvl w:val="0"/>
          <w:numId w:val="44"/>
        </w:numPr>
        <w:spacing w:after="200" w:line="276" w:lineRule="auto"/>
        <w:contextualSpacing/>
        <w:rPr>
          <w:rFonts w:ascii="Georgia" w:hAnsi="Georgia"/>
          <w:sz w:val="19"/>
          <w:szCs w:val="19"/>
        </w:rPr>
      </w:pPr>
      <w:r w:rsidRPr="00A17400">
        <w:rPr>
          <w:rFonts w:ascii="Georgia" w:hAnsi="Georgia"/>
          <w:sz w:val="19"/>
          <w:szCs w:val="19"/>
        </w:rPr>
        <w:t xml:space="preserve">Australian Government Department of </w:t>
      </w:r>
      <w:r w:rsidR="008F6ED7">
        <w:rPr>
          <w:rFonts w:ascii="Georgia" w:hAnsi="Georgia"/>
          <w:sz w:val="19"/>
          <w:szCs w:val="19"/>
        </w:rPr>
        <w:t>Industry and Science</w:t>
      </w:r>
    </w:p>
    <w:p w:rsidR="00A17400" w:rsidRDefault="00A17400" w:rsidP="00F1452F">
      <w:pPr>
        <w:pStyle w:val="ListParagraph"/>
        <w:numPr>
          <w:ilvl w:val="0"/>
          <w:numId w:val="44"/>
        </w:numPr>
        <w:spacing w:after="200" w:line="276" w:lineRule="auto"/>
        <w:contextualSpacing/>
        <w:rPr>
          <w:rFonts w:ascii="Georgia" w:hAnsi="Georgia"/>
          <w:sz w:val="19"/>
          <w:szCs w:val="19"/>
        </w:rPr>
      </w:pPr>
      <w:r w:rsidRPr="00A17400">
        <w:rPr>
          <w:rFonts w:ascii="Georgia" w:hAnsi="Georgia"/>
          <w:sz w:val="19"/>
          <w:szCs w:val="19"/>
        </w:rPr>
        <w:t>Energy Efficiency and Conservation Authority</w:t>
      </w:r>
      <w:r w:rsidR="00D24CAA">
        <w:rPr>
          <w:rFonts w:ascii="Georgia" w:hAnsi="Georgia"/>
          <w:sz w:val="19"/>
          <w:szCs w:val="19"/>
        </w:rPr>
        <w:t xml:space="preserve">, </w:t>
      </w:r>
      <w:r>
        <w:rPr>
          <w:rFonts w:ascii="Georgia" w:hAnsi="Georgia"/>
          <w:sz w:val="19"/>
          <w:szCs w:val="19"/>
        </w:rPr>
        <w:t>New Zealand Government</w:t>
      </w:r>
    </w:p>
    <w:p w:rsidR="00A17400" w:rsidRDefault="00A17400" w:rsidP="00F1452F">
      <w:pPr>
        <w:pStyle w:val="ListParagraph"/>
        <w:numPr>
          <w:ilvl w:val="0"/>
          <w:numId w:val="44"/>
        </w:numPr>
        <w:spacing w:after="200" w:line="276" w:lineRule="auto"/>
        <w:contextualSpacing/>
        <w:rPr>
          <w:rFonts w:ascii="Georgia" w:hAnsi="Georgia"/>
          <w:sz w:val="19"/>
          <w:szCs w:val="19"/>
        </w:rPr>
      </w:pPr>
      <w:r>
        <w:rPr>
          <w:rFonts w:ascii="Georgia" w:hAnsi="Georgia"/>
          <w:sz w:val="19"/>
          <w:szCs w:val="19"/>
        </w:rPr>
        <w:t>Technical University of Denmark (DTU)</w:t>
      </w:r>
    </w:p>
    <w:p w:rsidR="00A17400" w:rsidRDefault="00A17400" w:rsidP="00F1452F">
      <w:pPr>
        <w:pStyle w:val="ListParagraph"/>
        <w:numPr>
          <w:ilvl w:val="0"/>
          <w:numId w:val="44"/>
        </w:numPr>
        <w:spacing w:after="200" w:line="276" w:lineRule="auto"/>
        <w:contextualSpacing/>
        <w:rPr>
          <w:rFonts w:ascii="Georgia" w:hAnsi="Georgia"/>
          <w:sz w:val="19"/>
          <w:szCs w:val="19"/>
        </w:rPr>
      </w:pPr>
      <w:r w:rsidRPr="00A17400">
        <w:rPr>
          <w:rFonts w:ascii="Georgia" w:hAnsi="Georgia"/>
          <w:sz w:val="19"/>
          <w:szCs w:val="19"/>
        </w:rPr>
        <w:t xml:space="preserve">Commercially Available LED Product Evaluation and Reporting </w:t>
      </w:r>
      <w:r>
        <w:rPr>
          <w:rFonts w:ascii="Georgia" w:hAnsi="Georgia"/>
          <w:sz w:val="19"/>
          <w:szCs w:val="19"/>
        </w:rPr>
        <w:t>(CALiPER), US Department of Energy</w:t>
      </w:r>
    </w:p>
    <w:p w:rsidR="00A17400" w:rsidRDefault="00A17400" w:rsidP="00F1452F">
      <w:pPr>
        <w:pStyle w:val="ListParagraph"/>
        <w:numPr>
          <w:ilvl w:val="0"/>
          <w:numId w:val="44"/>
        </w:numPr>
        <w:spacing w:after="200" w:line="276" w:lineRule="auto"/>
        <w:contextualSpacing/>
        <w:rPr>
          <w:rFonts w:ascii="Georgia" w:hAnsi="Georgia"/>
          <w:sz w:val="19"/>
          <w:szCs w:val="19"/>
        </w:rPr>
      </w:pPr>
      <w:r>
        <w:rPr>
          <w:rFonts w:ascii="Georgia" w:hAnsi="Georgia"/>
          <w:sz w:val="19"/>
          <w:szCs w:val="19"/>
        </w:rPr>
        <w:t>Energy Star, United States and Canada</w:t>
      </w:r>
    </w:p>
    <w:p w:rsidR="00A17400" w:rsidRPr="00A17400" w:rsidRDefault="00A17400" w:rsidP="00F1452F">
      <w:pPr>
        <w:pStyle w:val="ListParagraph"/>
        <w:numPr>
          <w:ilvl w:val="0"/>
          <w:numId w:val="44"/>
        </w:numPr>
        <w:spacing w:after="200" w:line="276" w:lineRule="auto"/>
        <w:contextualSpacing/>
        <w:rPr>
          <w:rFonts w:ascii="Georgia" w:hAnsi="Georgia"/>
          <w:sz w:val="19"/>
          <w:szCs w:val="19"/>
        </w:rPr>
      </w:pPr>
      <w:r>
        <w:rPr>
          <w:rFonts w:ascii="Georgia" w:hAnsi="Georgia"/>
          <w:sz w:val="19"/>
          <w:szCs w:val="19"/>
        </w:rPr>
        <w:t>Lighting Facts, US Department of Energy</w:t>
      </w:r>
    </w:p>
    <w:p w:rsidR="00A17400" w:rsidRDefault="00A17400" w:rsidP="00E65B09">
      <w:pPr>
        <w:pStyle w:val="Heading4"/>
        <w:numPr>
          <w:ilvl w:val="0"/>
          <w:numId w:val="0"/>
        </w:numPr>
        <w:ind w:left="864" w:hanging="864"/>
      </w:pPr>
      <w:r>
        <w:t xml:space="preserve">Light Naturally Market Research 2009-2015. </w:t>
      </w:r>
    </w:p>
    <w:p w:rsidR="00A17400" w:rsidRPr="007172A2" w:rsidRDefault="00E37A3D" w:rsidP="001A3AE7">
      <w:r>
        <w:t>Research into characteristics of LED products sold in local and international markets.</w:t>
      </w:r>
    </w:p>
    <w:p w:rsidR="001A3AE7" w:rsidRDefault="001A3AE7" w:rsidP="00E65B09">
      <w:pPr>
        <w:pStyle w:val="Heading3"/>
        <w:numPr>
          <w:ilvl w:val="0"/>
          <w:numId w:val="0"/>
        </w:numPr>
        <w:ind w:left="720" w:hanging="720"/>
        <w:rPr>
          <w:lang w:val="en-US"/>
        </w:rPr>
      </w:pPr>
      <w:bookmarkStart w:id="342" w:name="_Toc426387813"/>
      <w:r>
        <w:rPr>
          <w:lang w:val="en-US"/>
        </w:rPr>
        <w:t>Definition of general lighting applications</w:t>
      </w:r>
      <w:bookmarkEnd w:id="342"/>
    </w:p>
    <w:p w:rsidR="001A3AE7" w:rsidRDefault="001A3AE7" w:rsidP="00E65B09">
      <w:pPr>
        <w:pStyle w:val="Heading4"/>
        <w:numPr>
          <w:ilvl w:val="0"/>
          <w:numId w:val="0"/>
        </w:numPr>
        <w:ind w:left="864" w:hanging="864"/>
        <w:rPr>
          <w:lang w:val="en-US"/>
        </w:rPr>
      </w:pPr>
      <w:r>
        <w:rPr>
          <w:lang w:val="en-US"/>
        </w:rPr>
        <w:t>Residential</w:t>
      </w:r>
    </w:p>
    <w:p w:rsidR="001A3AE7" w:rsidRDefault="001A3AE7" w:rsidP="001A3AE7">
      <w:pPr>
        <w:rPr>
          <w:lang w:val="en-US"/>
        </w:rPr>
      </w:pPr>
      <w:r>
        <w:rPr>
          <w:lang w:val="en-US"/>
        </w:rPr>
        <w:t>Includes permanently installed fixtures and portable plug-in fixtures. Permanent fixtures are purchased by home builders via wholesale purchase and manufacturers’ representatives. Portable fixtures are purchased by the home owner in retail stores and include pendants, table and floor lamps.</w:t>
      </w:r>
    </w:p>
    <w:p w:rsidR="001A3AE7" w:rsidRDefault="001A3AE7" w:rsidP="00E65B09">
      <w:pPr>
        <w:pStyle w:val="Heading4"/>
        <w:numPr>
          <w:ilvl w:val="0"/>
          <w:numId w:val="0"/>
        </w:numPr>
        <w:ind w:left="864" w:hanging="864"/>
        <w:rPr>
          <w:lang w:val="en-US"/>
        </w:rPr>
      </w:pPr>
      <w:r>
        <w:rPr>
          <w:lang w:val="en-US"/>
        </w:rPr>
        <w:t>Offices &amp; Public Buildings</w:t>
      </w:r>
    </w:p>
    <w:p w:rsidR="001A3AE7" w:rsidRDefault="001A3AE7" w:rsidP="001A3AE7">
      <w:pPr>
        <w:rPr>
          <w:lang w:val="en-US"/>
        </w:rPr>
      </w:pPr>
      <w:r>
        <w:rPr>
          <w:lang w:val="en-US"/>
        </w:rPr>
        <w:t>Comprises lighting for office buildings, healthcare institutions, educational buildings, and other buildings that are utilized for public or commercial purposes. This includes meeting rooms, work spaces, receptions, hallways, staircases, basements.</w:t>
      </w:r>
    </w:p>
    <w:p w:rsidR="001A3AE7" w:rsidRPr="007F2549" w:rsidRDefault="001A3AE7" w:rsidP="00E65B09">
      <w:pPr>
        <w:pStyle w:val="Heading4"/>
        <w:numPr>
          <w:ilvl w:val="0"/>
          <w:numId w:val="0"/>
        </w:numPr>
        <w:ind w:left="864" w:hanging="864"/>
        <w:rPr>
          <w:lang w:val="en-US"/>
        </w:rPr>
      </w:pPr>
      <w:r>
        <w:rPr>
          <w:lang w:val="en-US"/>
        </w:rPr>
        <w:t>Hospitality &amp; Retail</w:t>
      </w:r>
    </w:p>
    <w:p w:rsidR="001A3AE7" w:rsidRPr="00B218A7" w:rsidRDefault="001A3AE7" w:rsidP="001A3AE7">
      <w:pPr>
        <w:rPr>
          <w:lang w:val="en-US"/>
        </w:rPr>
      </w:pPr>
      <w:r>
        <w:rPr>
          <w:lang w:val="en-US"/>
        </w:rPr>
        <w:t>The retail component of this category consists of display lighting, decoration as well as general shop floor area lighting. Types and levels of lighting will vary depending on the specifics of products being sold – ranging from jewelry, clothing, cosmetics, groceries. Hospitality includes general lighting for hotels, bars and restaurants and decorative lighting that spans an entire spectrum from mood lighting to orientation lighting.</w:t>
      </w:r>
    </w:p>
    <w:p w:rsidR="001A3AE7" w:rsidRDefault="001A3AE7" w:rsidP="00E65B09">
      <w:pPr>
        <w:pStyle w:val="Heading3"/>
        <w:numPr>
          <w:ilvl w:val="0"/>
          <w:numId w:val="0"/>
        </w:numPr>
        <w:ind w:left="720" w:hanging="720"/>
        <w:rPr>
          <w:lang w:val="en-US"/>
        </w:rPr>
      </w:pPr>
      <w:bookmarkStart w:id="343" w:name="_Ref425173522"/>
      <w:bookmarkStart w:id="344" w:name="_Ref425173802"/>
      <w:bookmarkStart w:id="345" w:name="_Toc426387814"/>
      <w:r>
        <w:rPr>
          <w:lang w:val="en-US"/>
        </w:rPr>
        <w:t>Lamp attributes</w:t>
      </w:r>
      <w:bookmarkEnd w:id="343"/>
      <w:bookmarkEnd w:id="344"/>
      <w:bookmarkEnd w:id="345"/>
    </w:p>
    <w:p w:rsidR="001A3AE7" w:rsidRDefault="001A3AE7" w:rsidP="00E65B09">
      <w:pPr>
        <w:pStyle w:val="Heading4"/>
        <w:numPr>
          <w:ilvl w:val="0"/>
          <w:numId w:val="0"/>
        </w:numPr>
        <w:ind w:left="864" w:hanging="864"/>
        <w:rPr>
          <w:lang w:val="en-US"/>
        </w:rPr>
      </w:pPr>
      <w:r w:rsidRPr="009C5C94">
        <w:rPr>
          <w:lang w:val="en-US"/>
        </w:rPr>
        <w:t>Lamp ef</w:t>
      </w:r>
      <w:r>
        <w:rPr>
          <w:lang w:val="en-US"/>
        </w:rPr>
        <w:t>ficacy (lm/W, product average)</w:t>
      </w:r>
    </w:p>
    <w:p w:rsidR="001A3AE7" w:rsidRDefault="001A3AE7" w:rsidP="001A3AE7">
      <w:pPr>
        <w:rPr>
          <w:lang w:val="en-US"/>
        </w:rPr>
      </w:pPr>
      <w:r>
        <w:rPr>
          <w:lang w:val="en-US"/>
        </w:rPr>
        <w:t>Values of lamp efficacy were based on market research, E3 registration data and results from lamp benchmark testing conducted</w:t>
      </w:r>
      <w:r w:rsidR="001C7E9A">
        <w:rPr>
          <w:lang w:val="en-US"/>
        </w:rPr>
        <w:t xml:space="preserve"> </w:t>
      </w:r>
      <w:r>
        <w:rPr>
          <w:lang w:val="en-US"/>
        </w:rPr>
        <w:t>by the</w:t>
      </w:r>
      <w:r w:rsidRPr="009C5C94">
        <w:rPr>
          <w:lang w:val="en-US"/>
        </w:rPr>
        <w:t xml:space="preserve"> Australian Go</w:t>
      </w:r>
      <w:r>
        <w:rPr>
          <w:lang w:val="en-US"/>
        </w:rPr>
        <w:t xml:space="preserve">vernment between the years 2009 and </w:t>
      </w:r>
      <w:r w:rsidRPr="009C5C94">
        <w:rPr>
          <w:lang w:val="en-US"/>
        </w:rPr>
        <w:t>2014</w:t>
      </w:r>
      <w:r>
        <w:rPr>
          <w:lang w:val="en-US"/>
        </w:rPr>
        <w:t xml:space="preserve">.The model uses average values that are predicted to be installed in commercial properties, rather than those representing ‘best available technology’ (BAT). </w:t>
      </w:r>
    </w:p>
    <w:p w:rsidR="001A3AE7" w:rsidRDefault="001A3AE7" w:rsidP="001A3AE7">
      <w:pPr>
        <w:rPr>
          <w:lang w:val="en-US"/>
        </w:rPr>
      </w:pPr>
      <w:r>
        <w:rPr>
          <w:lang w:val="en-US"/>
        </w:rPr>
        <w:t>For LED products, where there is no Australian/New Zealand MEPS in place, two alternative stock models have been produced:  the first provides a projection of average LED lamp efficacies increasing at a rate of approximately 5 lumens per Watt per year, which is happening in the market as a result of improvements in the technology (no government intervention); the second is an hypothetical model which predicts possible additional changes with the introduction of an LED performance MEPS level of a minimum 45 lumens per watt, beginning in 2016. Possible outcomes of this introduction were played out using benchmarking test data (</w:t>
      </w:r>
      <w:r>
        <w:rPr>
          <w:lang w:val="en-US"/>
        </w:rPr>
        <w:fldChar w:fldCharType="begin"/>
      </w:r>
      <w:r>
        <w:rPr>
          <w:lang w:val="en-US"/>
        </w:rPr>
        <w:instrText xml:space="preserve"> REF _Ref413339188 \h </w:instrText>
      </w:r>
      <w:r>
        <w:rPr>
          <w:lang w:val="en-US"/>
        </w:rPr>
      </w:r>
      <w:r>
        <w:rPr>
          <w:lang w:val="en-US"/>
        </w:rPr>
        <w:fldChar w:fldCharType="separate"/>
      </w:r>
      <w:r w:rsidR="002C13E2">
        <w:t xml:space="preserve">Table </w:t>
      </w:r>
      <w:r w:rsidR="002C13E2">
        <w:rPr>
          <w:noProof/>
        </w:rPr>
        <w:t>21</w:t>
      </w:r>
      <w:r>
        <w:rPr>
          <w:lang w:val="en-US"/>
        </w:rPr>
        <w:fldChar w:fldCharType="end"/>
      </w:r>
      <w:r>
        <w:rPr>
          <w:lang w:val="en-US"/>
        </w:rPr>
        <w:t>). The data shows that there would be an 11 lm/W improvement in the average performance of LED lamps being sold in the Australian and New Zealand markets with the introduction of the suggested MEPS.</w:t>
      </w:r>
    </w:p>
    <w:p w:rsidR="002846A8" w:rsidRDefault="002846A8" w:rsidP="001A3AE7">
      <w:pPr>
        <w:rPr>
          <w:lang w:val="en-US"/>
        </w:rPr>
      </w:pPr>
    </w:p>
    <w:p w:rsidR="002846A8" w:rsidRDefault="002846A8" w:rsidP="001A3AE7">
      <w:pPr>
        <w:rPr>
          <w:lang w:val="en-US"/>
        </w:rPr>
      </w:pPr>
    </w:p>
    <w:p w:rsidR="001A3AE7" w:rsidRDefault="00F966C3" w:rsidP="001A3AE7">
      <w:pPr>
        <w:pStyle w:val="Caption"/>
        <w:keepNext/>
      </w:pPr>
      <w:bookmarkStart w:id="346" w:name="_Ref413339188"/>
      <w:bookmarkStart w:id="347" w:name="_Toc426387836"/>
      <w:r>
        <w:t xml:space="preserve">Table </w:t>
      </w:r>
      <w:r>
        <w:fldChar w:fldCharType="begin"/>
      </w:r>
      <w:r>
        <w:instrText xml:space="preserve"> SEQ Table \* ARABIC </w:instrText>
      </w:r>
      <w:r>
        <w:fldChar w:fldCharType="separate"/>
      </w:r>
      <w:r w:rsidR="002C13E2">
        <w:rPr>
          <w:noProof/>
        </w:rPr>
        <w:t>21</w:t>
      </w:r>
      <w:r>
        <w:rPr>
          <w:noProof/>
        </w:rPr>
        <w:fldChar w:fldCharType="end"/>
      </w:r>
      <w:bookmarkEnd w:id="346"/>
      <w:r>
        <w:t xml:space="preserve">. </w:t>
      </w:r>
      <w:r w:rsidR="001A3AE7">
        <w:t>Tested LED lamp average efficacy in Australia and New Zealand 2009-2014 and the effect on these averages if a MEPS of 45 lm/W were introduced.</w:t>
      </w:r>
      <w:bookmarkEnd w:id="347"/>
    </w:p>
    <w:tbl>
      <w:tblPr>
        <w:tblStyle w:val="TableGrid"/>
        <w:tblW w:w="4894" w:type="pct"/>
        <w:tblLook w:val="04A0" w:firstRow="1" w:lastRow="0" w:firstColumn="1" w:lastColumn="0" w:noHBand="0" w:noVBand="1"/>
      </w:tblPr>
      <w:tblGrid>
        <w:gridCol w:w="1578"/>
        <w:gridCol w:w="2537"/>
        <w:gridCol w:w="2671"/>
        <w:gridCol w:w="3069"/>
      </w:tblGrid>
      <w:tr w:rsidR="001A3AE7" w:rsidRPr="001A3AE7" w:rsidTr="00E53BAB">
        <w:trPr>
          <w:trHeight w:val="360"/>
          <w:tblHeader/>
        </w:trPr>
        <w:tc>
          <w:tcPr>
            <w:tcW w:w="1669" w:type="dxa"/>
            <w:vMerge w:val="restart"/>
            <w:noWrap/>
            <w:vAlign w:val="center"/>
          </w:tcPr>
          <w:p w:rsidR="001A3AE7" w:rsidRPr="001A3AE7" w:rsidRDefault="001A3AE7" w:rsidP="00101B33">
            <w:pPr>
              <w:jc w:val="center"/>
              <w:rPr>
                <w:bCs/>
                <w:szCs w:val="19"/>
              </w:rPr>
            </w:pPr>
            <w:r w:rsidRPr="001A3AE7">
              <w:rPr>
                <w:bCs/>
                <w:szCs w:val="19"/>
              </w:rPr>
              <w:t>Year of lamp purchase</w:t>
            </w:r>
          </w:p>
        </w:tc>
        <w:tc>
          <w:tcPr>
            <w:tcW w:w="5527" w:type="dxa"/>
            <w:gridSpan w:val="2"/>
            <w:tcBorders>
              <w:bottom w:val="single" w:sz="12" w:space="0" w:color="auto"/>
            </w:tcBorders>
            <w:noWrap/>
            <w:vAlign w:val="center"/>
          </w:tcPr>
          <w:p w:rsidR="001A3AE7" w:rsidRPr="001A3AE7" w:rsidRDefault="001A3AE7" w:rsidP="00101B33">
            <w:pPr>
              <w:jc w:val="center"/>
              <w:rPr>
                <w:bCs/>
                <w:szCs w:val="19"/>
              </w:rPr>
            </w:pPr>
            <w:r w:rsidRPr="001A3AE7">
              <w:rPr>
                <w:bCs/>
                <w:szCs w:val="19"/>
              </w:rPr>
              <w:t>LED average luminous efficacy (lm/W)</w:t>
            </w:r>
          </w:p>
        </w:tc>
        <w:tc>
          <w:tcPr>
            <w:tcW w:w="3260" w:type="dxa"/>
            <w:vMerge w:val="restart"/>
            <w:noWrap/>
            <w:vAlign w:val="center"/>
          </w:tcPr>
          <w:p w:rsidR="001A3AE7" w:rsidRPr="001A3AE7" w:rsidRDefault="001A3AE7" w:rsidP="00101B33">
            <w:pPr>
              <w:jc w:val="center"/>
              <w:rPr>
                <w:bCs/>
                <w:szCs w:val="19"/>
              </w:rPr>
            </w:pPr>
            <w:r w:rsidRPr="001A3AE7">
              <w:rPr>
                <w:bCs/>
                <w:szCs w:val="19"/>
              </w:rPr>
              <w:t>Difference in average lm/W</w:t>
            </w:r>
          </w:p>
        </w:tc>
      </w:tr>
      <w:tr w:rsidR="001A3AE7" w:rsidRPr="001A3AE7" w:rsidTr="00E53BAB">
        <w:trPr>
          <w:trHeight w:val="360"/>
          <w:tblHeader/>
        </w:trPr>
        <w:tc>
          <w:tcPr>
            <w:tcW w:w="1669" w:type="dxa"/>
            <w:vMerge/>
            <w:tcBorders>
              <w:bottom w:val="single" w:sz="12" w:space="0" w:color="auto"/>
            </w:tcBorders>
            <w:noWrap/>
            <w:vAlign w:val="center"/>
            <w:hideMark/>
          </w:tcPr>
          <w:p w:rsidR="001A3AE7" w:rsidRPr="001A3AE7" w:rsidRDefault="001A3AE7" w:rsidP="00101B33">
            <w:pPr>
              <w:jc w:val="center"/>
              <w:rPr>
                <w:bCs/>
                <w:szCs w:val="19"/>
              </w:rPr>
            </w:pPr>
          </w:p>
        </w:tc>
        <w:tc>
          <w:tcPr>
            <w:tcW w:w="2692" w:type="dxa"/>
            <w:tcBorders>
              <w:bottom w:val="single" w:sz="12" w:space="0" w:color="auto"/>
            </w:tcBorders>
            <w:noWrap/>
            <w:vAlign w:val="center"/>
            <w:hideMark/>
          </w:tcPr>
          <w:p w:rsidR="001A3AE7" w:rsidRPr="001A3AE7" w:rsidRDefault="001A3AE7" w:rsidP="00101B33">
            <w:pPr>
              <w:jc w:val="center"/>
              <w:rPr>
                <w:bCs/>
                <w:szCs w:val="19"/>
              </w:rPr>
            </w:pPr>
            <w:r w:rsidRPr="001A3AE7">
              <w:rPr>
                <w:bCs/>
                <w:szCs w:val="19"/>
              </w:rPr>
              <w:t>AU/NZ test results</w:t>
            </w:r>
          </w:p>
        </w:tc>
        <w:tc>
          <w:tcPr>
            <w:tcW w:w="2835" w:type="dxa"/>
            <w:tcBorders>
              <w:bottom w:val="single" w:sz="12" w:space="0" w:color="auto"/>
            </w:tcBorders>
            <w:noWrap/>
            <w:vAlign w:val="center"/>
            <w:hideMark/>
          </w:tcPr>
          <w:p w:rsidR="001A3AE7" w:rsidRPr="001A3AE7" w:rsidRDefault="001A3AE7" w:rsidP="00101B33">
            <w:pPr>
              <w:jc w:val="center"/>
              <w:rPr>
                <w:bCs/>
                <w:szCs w:val="19"/>
              </w:rPr>
            </w:pPr>
            <w:r w:rsidRPr="001A3AE7">
              <w:rPr>
                <w:bCs/>
                <w:szCs w:val="19"/>
              </w:rPr>
              <w:t>AU/NZ test results, where lamps minimum ≥ 45 lm/W</w:t>
            </w:r>
          </w:p>
        </w:tc>
        <w:tc>
          <w:tcPr>
            <w:tcW w:w="3260" w:type="dxa"/>
            <w:vMerge/>
            <w:tcBorders>
              <w:bottom w:val="single" w:sz="12" w:space="0" w:color="auto"/>
            </w:tcBorders>
            <w:noWrap/>
            <w:vAlign w:val="center"/>
            <w:hideMark/>
          </w:tcPr>
          <w:p w:rsidR="001A3AE7" w:rsidRPr="001A3AE7" w:rsidRDefault="001A3AE7" w:rsidP="00101B33">
            <w:pPr>
              <w:jc w:val="center"/>
              <w:rPr>
                <w:bCs/>
                <w:szCs w:val="19"/>
              </w:rPr>
            </w:pPr>
          </w:p>
        </w:tc>
      </w:tr>
      <w:tr w:rsidR="001A3AE7" w:rsidRPr="001A3AE7" w:rsidTr="006224FD">
        <w:trPr>
          <w:trHeight w:val="360"/>
        </w:trPr>
        <w:tc>
          <w:tcPr>
            <w:tcW w:w="1669" w:type="dxa"/>
            <w:tcBorders>
              <w:top w:val="single" w:sz="12" w:space="0" w:color="auto"/>
              <w:left w:val="single" w:sz="12" w:space="0" w:color="auto"/>
            </w:tcBorders>
            <w:noWrap/>
            <w:vAlign w:val="center"/>
            <w:hideMark/>
          </w:tcPr>
          <w:p w:rsidR="001A3AE7" w:rsidRPr="001A3AE7" w:rsidRDefault="001A3AE7" w:rsidP="00101B33">
            <w:pPr>
              <w:jc w:val="center"/>
              <w:rPr>
                <w:szCs w:val="19"/>
              </w:rPr>
            </w:pPr>
            <w:r w:rsidRPr="001A3AE7">
              <w:rPr>
                <w:szCs w:val="19"/>
              </w:rPr>
              <w:t>2009</w:t>
            </w:r>
          </w:p>
        </w:tc>
        <w:tc>
          <w:tcPr>
            <w:tcW w:w="2692" w:type="dxa"/>
            <w:tcBorders>
              <w:top w:val="single" w:sz="12" w:space="0" w:color="auto"/>
            </w:tcBorders>
            <w:noWrap/>
            <w:vAlign w:val="center"/>
            <w:hideMark/>
          </w:tcPr>
          <w:p w:rsidR="001A3AE7" w:rsidRPr="001A3AE7" w:rsidRDefault="001A3AE7" w:rsidP="00101B33">
            <w:pPr>
              <w:jc w:val="center"/>
              <w:rPr>
                <w:bCs/>
                <w:szCs w:val="19"/>
              </w:rPr>
            </w:pPr>
            <w:r w:rsidRPr="001A3AE7">
              <w:rPr>
                <w:bCs/>
                <w:szCs w:val="19"/>
              </w:rPr>
              <w:t>31</w:t>
            </w:r>
          </w:p>
        </w:tc>
        <w:tc>
          <w:tcPr>
            <w:tcW w:w="2835" w:type="dxa"/>
            <w:tcBorders>
              <w:top w:val="single" w:sz="12" w:space="0" w:color="auto"/>
            </w:tcBorders>
            <w:noWrap/>
            <w:vAlign w:val="center"/>
            <w:hideMark/>
          </w:tcPr>
          <w:p w:rsidR="001A3AE7" w:rsidRPr="001A3AE7" w:rsidRDefault="001A3AE7" w:rsidP="00101B33">
            <w:pPr>
              <w:jc w:val="center"/>
              <w:rPr>
                <w:bCs/>
                <w:szCs w:val="19"/>
              </w:rPr>
            </w:pPr>
            <w:r w:rsidRPr="001A3AE7">
              <w:rPr>
                <w:bCs/>
                <w:szCs w:val="19"/>
              </w:rPr>
              <w:t>50.1</w:t>
            </w:r>
          </w:p>
        </w:tc>
        <w:tc>
          <w:tcPr>
            <w:tcW w:w="3260" w:type="dxa"/>
            <w:tcBorders>
              <w:top w:val="single" w:sz="12" w:space="0" w:color="auto"/>
              <w:right w:val="single" w:sz="12" w:space="0" w:color="auto"/>
            </w:tcBorders>
            <w:noWrap/>
            <w:vAlign w:val="center"/>
            <w:hideMark/>
          </w:tcPr>
          <w:p w:rsidR="001A3AE7" w:rsidRPr="001A3AE7" w:rsidRDefault="001A3AE7" w:rsidP="00101B33">
            <w:pPr>
              <w:jc w:val="center"/>
              <w:rPr>
                <w:bCs/>
                <w:szCs w:val="19"/>
              </w:rPr>
            </w:pPr>
            <w:r w:rsidRPr="001A3AE7">
              <w:rPr>
                <w:bCs/>
                <w:szCs w:val="19"/>
              </w:rPr>
              <w:t>19.0</w:t>
            </w:r>
          </w:p>
        </w:tc>
      </w:tr>
      <w:tr w:rsidR="001A3AE7" w:rsidRPr="001A3AE7" w:rsidTr="006224FD">
        <w:trPr>
          <w:trHeight w:val="360"/>
        </w:trPr>
        <w:tc>
          <w:tcPr>
            <w:tcW w:w="1669" w:type="dxa"/>
            <w:tcBorders>
              <w:left w:val="single" w:sz="12" w:space="0" w:color="auto"/>
            </w:tcBorders>
            <w:noWrap/>
            <w:vAlign w:val="center"/>
            <w:hideMark/>
          </w:tcPr>
          <w:p w:rsidR="001A3AE7" w:rsidRPr="001A3AE7" w:rsidRDefault="001A3AE7" w:rsidP="00101B33">
            <w:pPr>
              <w:jc w:val="center"/>
              <w:rPr>
                <w:szCs w:val="19"/>
              </w:rPr>
            </w:pPr>
            <w:r w:rsidRPr="001A3AE7">
              <w:rPr>
                <w:szCs w:val="19"/>
              </w:rPr>
              <w:t>2010</w:t>
            </w:r>
          </w:p>
        </w:tc>
        <w:tc>
          <w:tcPr>
            <w:tcW w:w="2692" w:type="dxa"/>
            <w:noWrap/>
            <w:vAlign w:val="center"/>
            <w:hideMark/>
          </w:tcPr>
          <w:p w:rsidR="001A3AE7" w:rsidRPr="001A3AE7" w:rsidRDefault="001A3AE7" w:rsidP="00101B33">
            <w:pPr>
              <w:jc w:val="center"/>
              <w:rPr>
                <w:bCs/>
                <w:szCs w:val="19"/>
              </w:rPr>
            </w:pPr>
            <w:r w:rsidRPr="001A3AE7">
              <w:rPr>
                <w:bCs/>
                <w:szCs w:val="19"/>
              </w:rPr>
              <w:t>39</w:t>
            </w:r>
          </w:p>
        </w:tc>
        <w:tc>
          <w:tcPr>
            <w:tcW w:w="2835" w:type="dxa"/>
            <w:noWrap/>
            <w:vAlign w:val="center"/>
            <w:hideMark/>
          </w:tcPr>
          <w:p w:rsidR="001A3AE7" w:rsidRPr="001A3AE7" w:rsidRDefault="001A3AE7" w:rsidP="00101B33">
            <w:pPr>
              <w:jc w:val="center"/>
              <w:rPr>
                <w:bCs/>
                <w:szCs w:val="19"/>
              </w:rPr>
            </w:pPr>
            <w:r w:rsidRPr="001A3AE7">
              <w:rPr>
                <w:bCs/>
                <w:szCs w:val="19"/>
              </w:rPr>
              <w:t>52.7</w:t>
            </w:r>
          </w:p>
        </w:tc>
        <w:tc>
          <w:tcPr>
            <w:tcW w:w="3260" w:type="dxa"/>
            <w:tcBorders>
              <w:right w:val="single" w:sz="12" w:space="0" w:color="auto"/>
            </w:tcBorders>
            <w:noWrap/>
            <w:vAlign w:val="center"/>
            <w:hideMark/>
          </w:tcPr>
          <w:p w:rsidR="001A3AE7" w:rsidRPr="001A3AE7" w:rsidRDefault="001A3AE7" w:rsidP="00101B33">
            <w:pPr>
              <w:jc w:val="center"/>
              <w:rPr>
                <w:bCs/>
                <w:szCs w:val="19"/>
              </w:rPr>
            </w:pPr>
            <w:r w:rsidRPr="001A3AE7">
              <w:rPr>
                <w:bCs/>
                <w:szCs w:val="19"/>
              </w:rPr>
              <w:t>13.8</w:t>
            </w:r>
          </w:p>
        </w:tc>
      </w:tr>
      <w:tr w:rsidR="001A3AE7" w:rsidRPr="001A3AE7" w:rsidTr="006224FD">
        <w:trPr>
          <w:trHeight w:val="360"/>
        </w:trPr>
        <w:tc>
          <w:tcPr>
            <w:tcW w:w="1669" w:type="dxa"/>
            <w:tcBorders>
              <w:left w:val="single" w:sz="12" w:space="0" w:color="auto"/>
            </w:tcBorders>
            <w:noWrap/>
            <w:vAlign w:val="center"/>
            <w:hideMark/>
          </w:tcPr>
          <w:p w:rsidR="001A3AE7" w:rsidRPr="001A3AE7" w:rsidRDefault="001A3AE7" w:rsidP="00101B33">
            <w:pPr>
              <w:jc w:val="center"/>
              <w:rPr>
                <w:szCs w:val="19"/>
              </w:rPr>
            </w:pPr>
            <w:r w:rsidRPr="001A3AE7">
              <w:rPr>
                <w:szCs w:val="19"/>
              </w:rPr>
              <w:t>2011</w:t>
            </w:r>
          </w:p>
        </w:tc>
        <w:tc>
          <w:tcPr>
            <w:tcW w:w="2692" w:type="dxa"/>
            <w:noWrap/>
            <w:vAlign w:val="center"/>
            <w:hideMark/>
          </w:tcPr>
          <w:p w:rsidR="001A3AE7" w:rsidRPr="001A3AE7" w:rsidRDefault="001A3AE7" w:rsidP="00101B33">
            <w:pPr>
              <w:jc w:val="center"/>
              <w:rPr>
                <w:bCs/>
                <w:szCs w:val="19"/>
              </w:rPr>
            </w:pPr>
            <w:r w:rsidRPr="001A3AE7">
              <w:rPr>
                <w:bCs/>
                <w:szCs w:val="19"/>
              </w:rPr>
              <w:t>47</w:t>
            </w:r>
          </w:p>
        </w:tc>
        <w:tc>
          <w:tcPr>
            <w:tcW w:w="2835" w:type="dxa"/>
            <w:noWrap/>
            <w:vAlign w:val="center"/>
            <w:hideMark/>
          </w:tcPr>
          <w:p w:rsidR="001A3AE7" w:rsidRPr="001A3AE7" w:rsidRDefault="001A3AE7" w:rsidP="00101B33">
            <w:pPr>
              <w:jc w:val="center"/>
              <w:rPr>
                <w:bCs/>
                <w:szCs w:val="19"/>
              </w:rPr>
            </w:pPr>
            <w:r w:rsidRPr="001A3AE7">
              <w:rPr>
                <w:bCs/>
                <w:szCs w:val="19"/>
              </w:rPr>
              <w:t>56.5</w:t>
            </w:r>
          </w:p>
        </w:tc>
        <w:tc>
          <w:tcPr>
            <w:tcW w:w="3260" w:type="dxa"/>
            <w:tcBorders>
              <w:right w:val="single" w:sz="12" w:space="0" w:color="auto"/>
            </w:tcBorders>
            <w:noWrap/>
            <w:vAlign w:val="center"/>
            <w:hideMark/>
          </w:tcPr>
          <w:p w:rsidR="001A3AE7" w:rsidRPr="001A3AE7" w:rsidRDefault="001A3AE7" w:rsidP="00101B33">
            <w:pPr>
              <w:jc w:val="center"/>
              <w:rPr>
                <w:bCs/>
                <w:szCs w:val="19"/>
              </w:rPr>
            </w:pPr>
            <w:r w:rsidRPr="001A3AE7">
              <w:rPr>
                <w:bCs/>
                <w:szCs w:val="19"/>
              </w:rPr>
              <w:t>9.9</w:t>
            </w:r>
          </w:p>
        </w:tc>
      </w:tr>
      <w:tr w:rsidR="001A3AE7" w:rsidRPr="001A3AE7" w:rsidTr="006224FD">
        <w:trPr>
          <w:trHeight w:val="360"/>
        </w:trPr>
        <w:tc>
          <w:tcPr>
            <w:tcW w:w="1669" w:type="dxa"/>
            <w:tcBorders>
              <w:left w:val="single" w:sz="12" w:space="0" w:color="auto"/>
            </w:tcBorders>
            <w:noWrap/>
            <w:vAlign w:val="center"/>
            <w:hideMark/>
          </w:tcPr>
          <w:p w:rsidR="001A3AE7" w:rsidRPr="001A3AE7" w:rsidRDefault="001A3AE7" w:rsidP="00101B33">
            <w:pPr>
              <w:jc w:val="center"/>
              <w:rPr>
                <w:szCs w:val="19"/>
              </w:rPr>
            </w:pPr>
            <w:r w:rsidRPr="001A3AE7">
              <w:rPr>
                <w:szCs w:val="19"/>
              </w:rPr>
              <w:t>2012</w:t>
            </w:r>
          </w:p>
        </w:tc>
        <w:tc>
          <w:tcPr>
            <w:tcW w:w="2692" w:type="dxa"/>
            <w:noWrap/>
            <w:vAlign w:val="center"/>
            <w:hideMark/>
          </w:tcPr>
          <w:p w:rsidR="001A3AE7" w:rsidRPr="001A3AE7" w:rsidRDefault="001A3AE7" w:rsidP="00101B33">
            <w:pPr>
              <w:jc w:val="center"/>
              <w:rPr>
                <w:bCs/>
                <w:szCs w:val="19"/>
              </w:rPr>
            </w:pPr>
            <w:r w:rsidRPr="001A3AE7">
              <w:rPr>
                <w:bCs/>
                <w:szCs w:val="19"/>
              </w:rPr>
              <w:t>42</w:t>
            </w:r>
          </w:p>
        </w:tc>
        <w:tc>
          <w:tcPr>
            <w:tcW w:w="2835" w:type="dxa"/>
            <w:noWrap/>
            <w:vAlign w:val="center"/>
            <w:hideMark/>
          </w:tcPr>
          <w:p w:rsidR="001A3AE7" w:rsidRPr="001A3AE7" w:rsidRDefault="001A3AE7" w:rsidP="00101B33">
            <w:pPr>
              <w:jc w:val="center"/>
              <w:rPr>
                <w:bCs/>
                <w:szCs w:val="19"/>
              </w:rPr>
            </w:pPr>
            <w:r w:rsidRPr="001A3AE7">
              <w:rPr>
                <w:bCs/>
                <w:szCs w:val="19"/>
              </w:rPr>
              <w:t>55.3</w:t>
            </w:r>
          </w:p>
        </w:tc>
        <w:tc>
          <w:tcPr>
            <w:tcW w:w="3260" w:type="dxa"/>
            <w:tcBorders>
              <w:right w:val="single" w:sz="12" w:space="0" w:color="auto"/>
            </w:tcBorders>
            <w:noWrap/>
            <w:vAlign w:val="center"/>
            <w:hideMark/>
          </w:tcPr>
          <w:p w:rsidR="001A3AE7" w:rsidRPr="001A3AE7" w:rsidRDefault="001A3AE7" w:rsidP="00101B33">
            <w:pPr>
              <w:jc w:val="center"/>
              <w:rPr>
                <w:bCs/>
                <w:szCs w:val="19"/>
              </w:rPr>
            </w:pPr>
            <w:r w:rsidRPr="001A3AE7">
              <w:rPr>
                <w:bCs/>
                <w:szCs w:val="19"/>
              </w:rPr>
              <w:t>13.5</w:t>
            </w:r>
          </w:p>
        </w:tc>
      </w:tr>
      <w:tr w:rsidR="001A3AE7" w:rsidRPr="001A3AE7" w:rsidTr="006224FD">
        <w:trPr>
          <w:trHeight w:val="360"/>
        </w:trPr>
        <w:tc>
          <w:tcPr>
            <w:tcW w:w="1669" w:type="dxa"/>
            <w:tcBorders>
              <w:left w:val="single" w:sz="12" w:space="0" w:color="auto"/>
            </w:tcBorders>
            <w:noWrap/>
            <w:vAlign w:val="center"/>
            <w:hideMark/>
          </w:tcPr>
          <w:p w:rsidR="001A3AE7" w:rsidRPr="001A3AE7" w:rsidRDefault="001A3AE7" w:rsidP="00101B33">
            <w:pPr>
              <w:jc w:val="center"/>
              <w:rPr>
                <w:szCs w:val="19"/>
              </w:rPr>
            </w:pPr>
            <w:r w:rsidRPr="001A3AE7">
              <w:rPr>
                <w:szCs w:val="19"/>
              </w:rPr>
              <w:t>2013</w:t>
            </w:r>
          </w:p>
        </w:tc>
        <w:tc>
          <w:tcPr>
            <w:tcW w:w="2692" w:type="dxa"/>
            <w:noWrap/>
            <w:vAlign w:val="center"/>
            <w:hideMark/>
          </w:tcPr>
          <w:p w:rsidR="001A3AE7" w:rsidRPr="001A3AE7" w:rsidRDefault="001A3AE7" w:rsidP="00101B33">
            <w:pPr>
              <w:jc w:val="center"/>
              <w:rPr>
                <w:bCs/>
                <w:szCs w:val="19"/>
              </w:rPr>
            </w:pPr>
            <w:r w:rsidRPr="001A3AE7">
              <w:rPr>
                <w:bCs/>
                <w:szCs w:val="19"/>
              </w:rPr>
              <w:t>70</w:t>
            </w:r>
          </w:p>
        </w:tc>
        <w:tc>
          <w:tcPr>
            <w:tcW w:w="2835" w:type="dxa"/>
            <w:noWrap/>
            <w:vAlign w:val="center"/>
            <w:hideMark/>
          </w:tcPr>
          <w:p w:rsidR="001A3AE7" w:rsidRPr="001A3AE7" w:rsidRDefault="001A3AE7" w:rsidP="00101B33">
            <w:pPr>
              <w:jc w:val="center"/>
              <w:rPr>
                <w:bCs/>
                <w:szCs w:val="19"/>
              </w:rPr>
            </w:pPr>
            <w:r w:rsidRPr="001A3AE7">
              <w:rPr>
                <w:bCs/>
                <w:szCs w:val="19"/>
              </w:rPr>
              <w:t>70.3</w:t>
            </w:r>
          </w:p>
        </w:tc>
        <w:tc>
          <w:tcPr>
            <w:tcW w:w="3260" w:type="dxa"/>
            <w:tcBorders>
              <w:right w:val="single" w:sz="12" w:space="0" w:color="auto"/>
            </w:tcBorders>
            <w:noWrap/>
            <w:vAlign w:val="center"/>
            <w:hideMark/>
          </w:tcPr>
          <w:p w:rsidR="001A3AE7" w:rsidRPr="001A3AE7" w:rsidRDefault="001A3AE7" w:rsidP="00101B33">
            <w:pPr>
              <w:jc w:val="center"/>
              <w:rPr>
                <w:bCs/>
                <w:szCs w:val="19"/>
              </w:rPr>
            </w:pPr>
            <w:r w:rsidRPr="001A3AE7">
              <w:rPr>
                <w:bCs/>
                <w:szCs w:val="19"/>
              </w:rPr>
              <w:t>0.0</w:t>
            </w:r>
          </w:p>
        </w:tc>
      </w:tr>
      <w:tr w:rsidR="001A3AE7" w:rsidRPr="001A3AE7" w:rsidTr="006224FD">
        <w:trPr>
          <w:trHeight w:val="360"/>
        </w:trPr>
        <w:tc>
          <w:tcPr>
            <w:tcW w:w="1669" w:type="dxa"/>
            <w:tcBorders>
              <w:left w:val="single" w:sz="12" w:space="0" w:color="auto"/>
              <w:bottom w:val="single" w:sz="12" w:space="0" w:color="auto"/>
            </w:tcBorders>
            <w:noWrap/>
            <w:vAlign w:val="center"/>
            <w:hideMark/>
          </w:tcPr>
          <w:p w:rsidR="001A3AE7" w:rsidRPr="001A3AE7" w:rsidRDefault="001A3AE7" w:rsidP="00101B33">
            <w:pPr>
              <w:jc w:val="center"/>
              <w:rPr>
                <w:szCs w:val="19"/>
              </w:rPr>
            </w:pPr>
            <w:r w:rsidRPr="001A3AE7">
              <w:rPr>
                <w:szCs w:val="19"/>
              </w:rPr>
              <w:t>2014</w:t>
            </w:r>
          </w:p>
        </w:tc>
        <w:tc>
          <w:tcPr>
            <w:tcW w:w="2692" w:type="dxa"/>
            <w:tcBorders>
              <w:bottom w:val="single" w:sz="12" w:space="0" w:color="auto"/>
            </w:tcBorders>
            <w:noWrap/>
            <w:vAlign w:val="center"/>
            <w:hideMark/>
          </w:tcPr>
          <w:p w:rsidR="001A3AE7" w:rsidRPr="001A3AE7" w:rsidRDefault="001A3AE7" w:rsidP="00101B33">
            <w:pPr>
              <w:jc w:val="center"/>
              <w:rPr>
                <w:bCs/>
                <w:szCs w:val="19"/>
              </w:rPr>
            </w:pPr>
            <w:r w:rsidRPr="001A3AE7">
              <w:rPr>
                <w:bCs/>
                <w:szCs w:val="19"/>
              </w:rPr>
              <w:t>64</w:t>
            </w:r>
          </w:p>
        </w:tc>
        <w:tc>
          <w:tcPr>
            <w:tcW w:w="2835" w:type="dxa"/>
            <w:tcBorders>
              <w:bottom w:val="single" w:sz="12" w:space="0" w:color="auto"/>
            </w:tcBorders>
            <w:noWrap/>
            <w:vAlign w:val="center"/>
            <w:hideMark/>
          </w:tcPr>
          <w:p w:rsidR="001A3AE7" w:rsidRPr="001A3AE7" w:rsidRDefault="001A3AE7" w:rsidP="00101B33">
            <w:pPr>
              <w:jc w:val="center"/>
              <w:rPr>
                <w:bCs/>
                <w:szCs w:val="19"/>
              </w:rPr>
            </w:pPr>
            <w:r w:rsidRPr="001A3AE7">
              <w:rPr>
                <w:bCs/>
                <w:szCs w:val="19"/>
              </w:rPr>
              <w:t>74.7</w:t>
            </w:r>
          </w:p>
        </w:tc>
        <w:tc>
          <w:tcPr>
            <w:tcW w:w="3260" w:type="dxa"/>
            <w:tcBorders>
              <w:bottom w:val="single" w:sz="12" w:space="0" w:color="auto"/>
              <w:right w:val="single" w:sz="12" w:space="0" w:color="auto"/>
            </w:tcBorders>
            <w:noWrap/>
            <w:vAlign w:val="center"/>
            <w:hideMark/>
          </w:tcPr>
          <w:p w:rsidR="001A3AE7" w:rsidRPr="001A3AE7" w:rsidRDefault="001A3AE7" w:rsidP="00101B33">
            <w:pPr>
              <w:jc w:val="center"/>
              <w:rPr>
                <w:bCs/>
                <w:szCs w:val="19"/>
              </w:rPr>
            </w:pPr>
            <w:r w:rsidRPr="001A3AE7">
              <w:rPr>
                <w:bCs/>
                <w:szCs w:val="19"/>
              </w:rPr>
              <w:t>10.4</w:t>
            </w:r>
          </w:p>
        </w:tc>
      </w:tr>
      <w:tr w:rsidR="001A3AE7" w:rsidRPr="001A3AE7" w:rsidTr="006224FD">
        <w:trPr>
          <w:trHeight w:val="360"/>
        </w:trPr>
        <w:tc>
          <w:tcPr>
            <w:tcW w:w="1669" w:type="dxa"/>
            <w:tcBorders>
              <w:top w:val="single" w:sz="12" w:space="0" w:color="auto"/>
            </w:tcBorders>
            <w:noWrap/>
            <w:vAlign w:val="center"/>
          </w:tcPr>
          <w:p w:rsidR="001A3AE7" w:rsidRPr="001A3AE7" w:rsidRDefault="001A3AE7" w:rsidP="00101B33">
            <w:pPr>
              <w:jc w:val="center"/>
              <w:rPr>
                <w:szCs w:val="19"/>
              </w:rPr>
            </w:pPr>
            <w:r w:rsidRPr="001A3AE7">
              <w:rPr>
                <w:szCs w:val="19"/>
              </w:rPr>
              <w:t>Average yearly change (lm/W)</w:t>
            </w:r>
          </w:p>
        </w:tc>
        <w:tc>
          <w:tcPr>
            <w:tcW w:w="2692" w:type="dxa"/>
            <w:tcBorders>
              <w:top w:val="single" w:sz="12" w:space="0" w:color="auto"/>
            </w:tcBorders>
            <w:noWrap/>
            <w:vAlign w:val="center"/>
          </w:tcPr>
          <w:p w:rsidR="001A3AE7" w:rsidRPr="001A3AE7" w:rsidRDefault="001A3AE7" w:rsidP="00101B33">
            <w:pPr>
              <w:jc w:val="center"/>
              <w:rPr>
                <w:bCs/>
                <w:szCs w:val="19"/>
              </w:rPr>
            </w:pPr>
            <w:r w:rsidRPr="001A3AE7">
              <w:rPr>
                <w:bCs/>
                <w:szCs w:val="19"/>
              </w:rPr>
              <w:t>(6.6)</w:t>
            </w:r>
          </w:p>
        </w:tc>
        <w:tc>
          <w:tcPr>
            <w:tcW w:w="2835" w:type="dxa"/>
            <w:tcBorders>
              <w:top w:val="single" w:sz="12" w:space="0" w:color="auto"/>
            </w:tcBorders>
            <w:noWrap/>
            <w:vAlign w:val="center"/>
          </w:tcPr>
          <w:p w:rsidR="001A3AE7" w:rsidRPr="001A3AE7" w:rsidRDefault="001A3AE7" w:rsidP="00101B33">
            <w:pPr>
              <w:jc w:val="center"/>
              <w:rPr>
                <w:bCs/>
                <w:szCs w:val="19"/>
              </w:rPr>
            </w:pPr>
            <w:r w:rsidRPr="001A3AE7">
              <w:rPr>
                <w:bCs/>
                <w:szCs w:val="19"/>
              </w:rPr>
              <w:t>(4.9)</w:t>
            </w:r>
          </w:p>
        </w:tc>
        <w:tc>
          <w:tcPr>
            <w:tcW w:w="3260" w:type="dxa"/>
            <w:tcBorders>
              <w:top w:val="single" w:sz="12" w:space="0" w:color="auto"/>
            </w:tcBorders>
            <w:noWrap/>
            <w:vAlign w:val="center"/>
          </w:tcPr>
          <w:p w:rsidR="001A3AE7" w:rsidRPr="001A3AE7" w:rsidRDefault="001A3AE7" w:rsidP="00101B33">
            <w:pPr>
              <w:jc w:val="center"/>
              <w:rPr>
                <w:bCs/>
                <w:szCs w:val="19"/>
              </w:rPr>
            </w:pPr>
            <w:r w:rsidRPr="001A3AE7">
              <w:rPr>
                <w:bCs/>
                <w:szCs w:val="19"/>
              </w:rPr>
              <w:t>(11.1)</w:t>
            </w:r>
          </w:p>
        </w:tc>
      </w:tr>
    </w:tbl>
    <w:p w:rsidR="001A3AE7" w:rsidRPr="009C5C94" w:rsidRDefault="001A3AE7" w:rsidP="001A3AE7">
      <w:pPr>
        <w:rPr>
          <w:lang w:val="en-US"/>
        </w:rPr>
      </w:pPr>
      <w:r>
        <w:rPr>
          <w:lang w:val="en-US"/>
        </w:rPr>
        <w:br/>
      </w:r>
      <w:r w:rsidRPr="00DF74A0">
        <w:rPr>
          <w:lang w:val="en-US"/>
        </w:rPr>
        <w:t>Predicted increase in the average efficacy (lm/W) due to introduction of MEPS</w:t>
      </w:r>
      <w:r>
        <w:rPr>
          <w:lang w:val="en-US"/>
        </w:rPr>
        <w:t xml:space="preserve"> is promulgated through the stock model by implementing a 4 year changeover – this is the average lifetime of linear fluorescent (5 years) and compact fluorescent (3 years) lamps, as these lamp technologies would be the types that LED products would be replacing in the commercial context. Therefore, over each of the four years, the average efficacy of LED lamps would increase by an additional 2.8 lm/W, bringing the increase in LED efficacy up to 7.8 lm/W per year for the four years following a 2016 MEPS introduction date. </w:t>
      </w:r>
    </w:p>
    <w:p w:rsidR="001A3AE7" w:rsidRPr="009C5C94" w:rsidRDefault="001A3AE7" w:rsidP="001A3AE7">
      <w:pPr>
        <w:rPr>
          <w:lang w:val="en-US"/>
        </w:rPr>
      </w:pPr>
      <w:r w:rsidRPr="009C5C94">
        <w:rPr>
          <w:rStyle w:val="Heading4Char"/>
          <w:rFonts w:eastAsia="Cambria"/>
          <w:lang w:val="en-US"/>
        </w:rPr>
        <w:t>Lamp power (total circuit watts per lamp, product average</w:t>
      </w:r>
      <w:r w:rsidR="00F966C3" w:rsidRPr="009C5C94">
        <w:rPr>
          <w:rStyle w:val="Heading4Char"/>
          <w:rFonts w:eastAsia="Cambria"/>
          <w:lang w:val="en-US"/>
        </w:rPr>
        <w:t xml:space="preserve">) </w:t>
      </w:r>
      <w:r>
        <w:rPr>
          <w:lang w:val="en-US"/>
        </w:rPr>
        <w:br/>
        <w:t>C</w:t>
      </w:r>
      <w:r w:rsidRPr="009C5C94">
        <w:rPr>
          <w:lang w:val="en-US"/>
        </w:rPr>
        <w:t>alculated on property lamp lumens remaining static, while efficacy improves</w:t>
      </w:r>
    </w:p>
    <w:p w:rsidR="001A3AE7" w:rsidRPr="009C5C94" w:rsidRDefault="001A3AE7" w:rsidP="001A3AE7">
      <w:pPr>
        <w:rPr>
          <w:lang w:val="en-US"/>
        </w:rPr>
      </w:pPr>
      <w:r w:rsidRPr="00013816">
        <w:rPr>
          <w:rStyle w:val="Heading4Char"/>
          <w:rFonts w:eastAsia="Cambria"/>
          <w:lang w:val="en-US"/>
        </w:rPr>
        <w:t>Lamp lifetime (hours/years, product average</w:t>
      </w:r>
      <w:r w:rsidR="00F966C3" w:rsidRPr="00013816">
        <w:rPr>
          <w:rStyle w:val="Heading4Char"/>
          <w:rFonts w:eastAsia="Cambria"/>
          <w:lang w:val="en-US"/>
        </w:rPr>
        <w:t xml:space="preserve">) </w:t>
      </w:r>
      <w:r>
        <w:rPr>
          <w:lang w:val="en-US"/>
        </w:rPr>
        <w:br/>
        <w:t>From m</w:t>
      </w:r>
      <w:r w:rsidRPr="009C5C94">
        <w:rPr>
          <w:lang w:val="en-US"/>
        </w:rPr>
        <w:t>arket reports, McKinsey predictions</w:t>
      </w:r>
    </w:p>
    <w:p w:rsidR="001A3AE7" w:rsidRPr="009C5C94" w:rsidRDefault="001A3AE7" w:rsidP="001A3AE7">
      <w:pPr>
        <w:rPr>
          <w:lang w:val="en-US"/>
        </w:rPr>
      </w:pPr>
      <w:r w:rsidRPr="009C5C94">
        <w:rPr>
          <w:lang w:val="en-US"/>
        </w:rPr>
        <w:t xml:space="preserve">Current CFL MEPS requires a minimum lifetime of 6,000 hours. With typical yearly use in a residential setting of approximately 1,000 hours per year, this results in a 6 year refit cycle. Linear fluorescent MEPS requires a minimum lifetime of 20,000 hours, although most products are operating at 24,000 hours life. Typical usage in a commercial setting is 4,000 hours per year, which also results in an approximate 6 year refitting cycle. </w:t>
      </w:r>
    </w:p>
    <w:p w:rsidR="001A3AE7" w:rsidRDefault="001A3AE7" w:rsidP="001A3AE7">
      <w:r w:rsidRPr="00013816">
        <w:rPr>
          <w:rStyle w:val="Heading4Char"/>
          <w:rFonts w:eastAsia="Cambria"/>
        </w:rPr>
        <w:t xml:space="preserve">Lamp operating hours per day </w:t>
      </w:r>
      <w:r>
        <w:rPr>
          <w:rStyle w:val="Heading4Char"/>
          <w:rFonts w:eastAsia="Cambria"/>
        </w:rPr>
        <w:br/>
      </w:r>
      <w:r>
        <w:t xml:space="preserve">Based on values in </w:t>
      </w:r>
      <w:r>
        <w:fldChar w:fldCharType="begin"/>
      </w:r>
      <w:r>
        <w:instrText xml:space="preserve"> REF _Ref412822421 \h </w:instrText>
      </w:r>
      <w:r>
        <w:fldChar w:fldCharType="separate"/>
      </w:r>
      <w:r w:rsidR="002C13E2">
        <w:t xml:space="preserve">Table </w:t>
      </w:r>
      <w:r w:rsidR="002C13E2">
        <w:rPr>
          <w:noProof/>
        </w:rPr>
        <w:t>22</w:t>
      </w:r>
      <w:r>
        <w:fldChar w:fldCharType="end"/>
      </w:r>
      <w:r>
        <w:t>. These were applied across 365 days per year.</w:t>
      </w:r>
    </w:p>
    <w:p w:rsidR="001A3AE7" w:rsidRDefault="001A3AE7" w:rsidP="001A3AE7">
      <w:pPr>
        <w:pStyle w:val="Caption"/>
        <w:keepNext/>
      </w:pPr>
      <w:bookmarkStart w:id="348" w:name="_Ref412822421"/>
      <w:bookmarkStart w:id="349" w:name="_Toc426387837"/>
      <w:r>
        <w:t xml:space="preserve">Table </w:t>
      </w:r>
      <w:r w:rsidR="008A65AF">
        <w:fldChar w:fldCharType="begin"/>
      </w:r>
      <w:r w:rsidR="008A65AF">
        <w:instrText xml:space="preserve"> SEQ Table \* ARABIC </w:instrText>
      </w:r>
      <w:r w:rsidR="008A65AF">
        <w:fldChar w:fldCharType="separate"/>
      </w:r>
      <w:r w:rsidR="002C13E2">
        <w:rPr>
          <w:noProof/>
        </w:rPr>
        <w:t>22</w:t>
      </w:r>
      <w:r w:rsidR="008A65AF">
        <w:rPr>
          <w:noProof/>
        </w:rPr>
        <w:fldChar w:fldCharType="end"/>
      </w:r>
      <w:bookmarkEnd w:id="348"/>
      <w:r>
        <w:t>. Average lamp operating hours per day</w:t>
      </w:r>
      <w:bookmarkEnd w:id="349"/>
    </w:p>
    <w:tbl>
      <w:tblPr>
        <w:tblStyle w:val="TableGrid"/>
        <w:tblW w:w="0" w:type="auto"/>
        <w:tblLook w:val="04A0" w:firstRow="1" w:lastRow="0" w:firstColumn="1" w:lastColumn="0" w:noHBand="0" w:noVBand="1"/>
      </w:tblPr>
      <w:tblGrid>
        <w:gridCol w:w="3652"/>
        <w:gridCol w:w="2128"/>
      </w:tblGrid>
      <w:tr w:rsidR="001A3AE7" w:rsidRPr="007044DA" w:rsidTr="006224FD">
        <w:trPr>
          <w:trHeight w:val="240"/>
          <w:tblHeader/>
        </w:trPr>
        <w:tc>
          <w:tcPr>
            <w:tcW w:w="3652" w:type="dxa"/>
            <w:noWrap/>
          </w:tcPr>
          <w:p w:rsidR="001A3AE7" w:rsidRPr="007044DA" w:rsidRDefault="001A3AE7" w:rsidP="00101B33">
            <w:r>
              <w:t>Building Category</w:t>
            </w:r>
          </w:p>
        </w:tc>
        <w:tc>
          <w:tcPr>
            <w:tcW w:w="2128" w:type="dxa"/>
            <w:noWrap/>
          </w:tcPr>
          <w:p w:rsidR="001A3AE7" w:rsidRPr="007044DA" w:rsidRDefault="001A3AE7" w:rsidP="00101B33">
            <w:r>
              <w:t>Operating time (hours)</w:t>
            </w:r>
          </w:p>
        </w:tc>
      </w:tr>
      <w:tr w:rsidR="001A3AE7" w:rsidRPr="007044DA" w:rsidTr="00101B33">
        <w:trPr>
          <w:trHeight w:val="240"/>
        </w:trPr>
        <w:tc>
          <w:tcPr>
            <w:tcW w:w="3652" w:type="dxa"/>
            <w:noWrap/>
            <w:hideMark/>
          </w:tcPr>
          <w:p w:rsidR="001A3AE7" w:rsidRPr="007044DA" w:rsidRDefault="001A3AE7" w:rsidP="00101B33">
            <w:r w:rsidRPr="007044DA">
              <w:t>Offices</w:t>
            </w:r>
          </w:p>
        </w:tc>
        <w:tc>
          <w:tcPr>
            <w:tcW w:w="2128" w:type="dxa"/>
            <w:noWrap/>
            <w:hideMark/>
          </w:tcPr>
          <w:p w:rsidR="001A3AE7" w:rsidRPr="007044DA" w:rsidRDefault="001A3AE7" w:rsidP="00101B33">
            <w:r w:rsidRPr="007044DA">
              <w:t>11.0</w:t>
            </w:r>
          </w:p>
        </w:tc>
      </w:tr>
      <w:tr w:rsidR="001A3AE7" w:rsidRPr="007044DA" w:rsidTr="00101B33">
        <w:trPr>
          <w:trHeight w:val="240"/>
        </w:trPr>
        <w:tc>
          <w:tcPr>
            <w:tcW w:w="3652" w:type="dxa"/>
            <w:noWrap/>
            <w:hideMark/>
          </w:tcPr>
          <w:p w:rsidR="001A3AE7" w:rsidRPr="007044DA" w:rsidRDefault="001A3AE7" w:rsidP="00101B33">
            <w:r w:rsidRPr="007044DA">
              <w:t>Hospitals</w:t>
            </w:r>
          </w:p>
        </w:tc>
        <w:tc>
          <w:tcPr>
            <w:tcW w:w="2128" w:type="dxa"/>
            <w:noWrap/>
            <w:hideMark/>
          </w:tcPr>
          <w:p w:rsidR="001A3AE7" w:rsidRPr="007044DA" w:rsidRDefault="001A3AE7" w:rsidP="00101B33">
            <w:r w:rsidRPr="007044DA">
              <w:t>24.0</w:t>
            </w:r>
          </w:p>
        </w:tc>
      </w:tr>
      <w:tr w:rsidR="001A3AE7" w:rsidRPr="007044DA" w:rsidTr="00101B33">
        <w:trPr>
          <w:trHeight w:val="240"/>
        </w:trPr>
        <w:tc>
          <w:tcPr>
            <w:tcW w:w="3652" w:type="dxa"/>
            <w:noWrap/>
            <w:hideMark/>
          </w:tcPr>
          <w:p w:rsidR="001A3AE7" w:rsidRPr="007044DA" w:rsidRDefault="001A3AE7" w:rsidP="00101B33">
            <w:r w:rsidRPr="007044DA">
              <w:t>Education</w:t>
            </w:r>
          </w:p>
        </w:tc>
        <w:tc>
          <w:tcPr>
            <w:tcW w:w="2128" w:type="dxa"/>
            <w:noWrap/>
            <w:hideMark/>
          </w:tcPr>
          <w:p w:rsidR="001A3AE7" w:rsidRPr="007044DA" w:rsidRDefault="001A3AE7" w:rsidP="00101B33">
            <w:r w:rsidRPr="007044DA">
              <w:t>12.0</w:t>
            </w:r>
          </w:p>
        </w:tc>
      </w:tr>
      <w:tr w:rsidR="001A3AE7" w:rsidRPr="007044DA" w:rsidTr="00101B33">
        <w:trPr>
          <w:trHeight w:val="240"/>
        </w:trPr>
        <w:tc>
          <w:tcPr>
            <w:tcW w:w="3652" w:type="dxa"/>
            <w:noWrap/>
            <w:hideMark/>
          </w:tcPr>
          <w:p w:rsidR="001A3AE7" w:rsidRPr="007044DA" w:rsidRDefault="001A3AE7" w:rsidP="00101B33">
            <w:r w:rsidRPr="007044DA">
              <w:t>Public Buildings</w:t>
            </w:r>
          </w:p>
        </w:tc>
        <w:tc>
          <w:tcPr>
            <w:tcW w:w="2128" w:type="dxa"/>
            <w:noWrap/>
            <w:hideMark/>
          </w:tcPr>
          <w:p w:rsidR="001A3AE7" w:rsidRPr="007044DA" w:rsidRDefault="001A3AE7" w:rsidP="00101B33">
            <w:r w:rsidRPr="007044DA">
              <w:t>11.0</w:t>
            </w:r>
          </w:p>
        </w:tc>
      </w:tr>
      <w:tr w:rsidR="001A3AE7" w:rsidRPr="007044DA" w:rsidTr="00101B33">
        <w:trPr>
          <w:trHeight w:val="240"/>
        </w:trPr>
        <w:tc>
          <w:tcPr>
            <w:tcW w:w="3652" w:type="dxa"/>
            <w:noWrap/>
            <w:hideMark/>
          </w:tcPr>
          <w:p w:rsidR="001A3AE7" w:rsidRPr="007044DA" w:rsidRDefault="001A3AE7" w:rsidP="00101B33">
            <w:r w:rsidRPr="007044DA">
              <w:t>Hospitality</w:t>
            </w:r>
          </w:p>
        </w:tc>
        <w:tc>
          <w:tcPr>
            <w:tcW w:w="2128" w:type="dxa"/>
            <w:noWrap/>
            <w:hideMark/>
          </w:tcPr>
          <w:p w:rsidR="001A3AE7" w:rsidRPr="007044DA" w:rsidRDefault="001A3AE7" w:rsidP="00101B33">
            <w:r w:rsidRPr="007044DA">
              <w:t>9.0</w:t>
            </w:r>
          </w:p>
        </w:tc>
      </w:tr>
      <w:tr w:rsidR="001A3AE7" w:rsidRPr="007044DA" w:rsidTr="00101B33">
        <w:trPr>
          <w:trHeight w:val="240"/>
        </w:trPr>
        <w:tc>
          <w:tcPr>
            <w:tcW w:w="3652" w:type="dxa"/>
            <w:noWrap/>
            <w:hideMark/>
          </w:tcPr>
          <w:p w:rsidR="001A3AE7" w:rsidRPr="007044DA" w:rsidRDefault="001A3AE7" w:rsidP="00101B33">
            <w:r w:rsidRPr="007044DA">
              <w:t xml:space="preserve">Retail </w:t>
            </w:r>
          </w:p>
        </w:tc>
        <w:tc>
          <w:tcPr>
            <w:tcW w:w="2128" w:type="dxa"/>
            <w:noWrap/>
            <w:hideMark/>
          </w:tcPr>
          <w:p w:rsidR="001A3AE7" w:rsidRPr="007044DA" w:rsidRDefault="001A3AE7" w:rsidP="00101B33">
            <w:r w:rsidRPr="007044DA">
              <w:t>12.0</w:t>
            </w:r>
          </w:p>
        </w:tc>
      </w:tr>
    </w:tbl>
    <w:p w:rsidR="001A3AE7" w:rsidRDefault="001A3AE7" w:rsidP="001A3AE7"/>
    <w:p w:rsidR="002846A8" w:rsidRDefault="002846A8" w:rsidP="001A3AE7"/>
    <w:p w:rsidR="002846A8" w:rsidRDefault="002846A8" w:rsidP="001A3AE7"/>
    <w:p w:rsidR="002846A8" w:rsidRDefault="002846A8" w:rsidP="001A3AE7"/>
    <w:p w:rsidR="001A3AE7" w:rsidRDefault="001A3AE7" w:rsidP="001A3AE7">
      <w:r>
        <w:t xml:space="preserve">The underlying assumptions on average luminaire lifetimes are summarised in </w:t>
      </w:r>
      <w:r>
        <w:fldChar w:fldCharType="begin"/>
      </w:r>
      <w:r>
        <w:instrText xml:space="preserve"> REF _Ref412823123 \h </w:instrText>
      </w:r>
      <w:r>
        <w:fldChar w:fldCharType="separate"/>
      </w:r>
      <w:r w:rsidR="002C13E2">
        <w:t xml:space="preserve">Table </w:t>
      </w:r>
      <w:r w:rsidR="002C13E2">
        <w:rPr>
          <w:noProof/>
        </w:rPr>
        <w:t>23</w:t>
      </w:r>
      <w:r>
        <w:fldChar w:fldCharType="end"/>
      </w:r>
    </w:p>
    <w:p w:rsidR="001A3AE7" w:rsidRDefault="001A3AE7" w:rsidP="001A3AE7">
      <w:pPr>
        <w:pStyle w:val="Caption"/>
        <w:keepNext/>
      </w:pPr>
      <w:bookmarkStart w:id="350" w:name="_Ref412823123"/>
      <w:bookmarkStart w:id="351" w:name="_Toc426387838"/>
      <w:r>
        <w:t xml:space="preserve">Table </w:t>
      </w:r>
      <w:r w:rsidR="008A65AF">
        <w:fldChar w:fldCharType="begin"/>
      </w:r>
      <w:r w:rsidR="008A65AF">
        <w:instrText xml:space="preserve"> SEQ Table \* ARABIC </w:instrText>
      </w:r>
      <w:r w:rsidR="008A65AF">
        <w:fldChar w:fldCharType="separate"/>
      </w:r>
      <w:r w:rsidR="002C13E2">
        <w:rPr>
          <w:noProof/>
        </w:rPr>
        <w:t>23</w:t>
      </w:r>
      <w:r w:rsidR="008A65AF">
        <w:rPr>
          <w:noProof/>
        </w:rPr>
        <w:fldChar w:fldCharType="end"/>
      </w:r>
      <w:bookmarkEnd w:id="350"/>
      <w:r>
        <w:t>. Average luminaire lifetimes 2010-2020 (McKinsey &amp; Co)</w:t>
      </w:r>
      <w:bookmarkEnd w:id="351"/>
    </w:p>
    <w:tbl>
      <w:tblPr>
        <w:tblStyle w:val="TableGrid"/>
        <w:tblW w:w="6487" w:type="dxa"/>
        <w:tblLook w:val="04A0" w:firstRow="1" w:lastRow="0" w:firstColumn="1" w:lastColumn="0" w:noHBand="0" w:noVBand="1"/>
      </w:tblPr>
      <w:tblGrid>
        <w:gridCol w:w="3794"/>
        <w:gridCol w:w="2693"/>
      </w:tblGrid>
      <w:tr w:rsidR="001A3AE7" w:rsidTr="006224FD">
        <w:trPr>
          <w:tblHeader/>
        </w:trPr>
        <w:tc>
          <w:tcPr>
            <w:tcW w:w="3794" w:type="dxa"/>
          </w:tcPr>
          <w:p w:rsidR="001A3AE7" w:rsidRPr="007044DA" w:rsidRDefault="001A3AE7" w:rsidP="00101B33">
            <w:r>
              <w:t>Building Category</w:t>
            </w:r>
          </w:p>
        </w:tc>
        <w:tc>
          <w:tcPr>
            <w:tcW w:w="2693" w:type="dxa"/>
          </w:tcPr>
          <w:p w:rsidR="001A3AE7" w:rsidRDefault="001A3AE7" w:rsidP="00101B33">
            <w:r>
              <w:t>Luminaire lifetime (years)</w:t>
            </w:r>
          </w:p>
        </w:tc>
      </w:tr>
      <w:tr w:rsidR="001A3AE7" w:rsidTr="00101B33">
        <w:tc>
          <w:tcPr>
            <w:tcW w:w="3794" w:type="dxa"/>
          </w:tcPr>
          <w:p w:rsidR="001A3AE7" w:rsidRPr="007044DA" w:rsidRDefault="001A3AE7" w:rsidP="00101B33">
            <w:r w:rsidRPr="007044DA">
              <w:t>Offices</w:t>
            </w:r>
            <w:r>
              <w:t xml:space="preserve"> (including hospitals, education and public buildings)</w:t>
            </w:r>
          </w:p>
        </w:tc>
        <w:tc>
          <w:tcPr>
            <w:tcW w:w="2693" w:type="dxa"/>
          </w:tcPr>
          <w:p w:rsidR="001A3AE7" w:rsidRDefault="001A3AE7" w:rsidP="00101B33">
            <w:r>
              <w:t>12</w:t>
            </w:r>
          </w:p>
        </w:tc>
      </w:tr>
      <w:tr w:rsidR="001A3AE7" w:rsidTr="00101B33">
        <w:tc>
          <w:tcPr>
            <w:tcW w:w="3794" w:type="dxa"/>
          </w:tcPr>
          <w:p w:rsidR="001A3AE7" w:rsidRPr="007044DA" w:rsidRDefault="001A3AE7" w:rsidP="00101B33">
            <w:r w:rsidRPr="007044DA">
              <w:t>Hospitality</w:t>
            </w:r>
          </w:p>
        </w:tc>
        <w:tc>
          <w:tcPr>
            <w:tcW w:w="2693" w:type="dxa"/>
          </w:tcPr>
          <w:p w:rsidR="001A3AE7" w:rsidRDefault="001A3AE7" w:rsidP="00101B33">
            <w:r>
              <w:t>8</w:t>
            </w:r>
          </w:p>
        </w:tc>
      </w:tr>
      <w:tr w:rsidR="001A3AE7" w:rsidTr="00101B33">
        <w:tc>
          <w:tcPr>
            <w:tcW w:w="3794" w:type="dxa"/>
          </w:tcPr>
          <w:p w:rsidR="001A3AE7" w:rsidRPr="007044DA" w:rsidRDefault="001A3AE7" w:rsidP="00101B33">
            <w:r w:rsidRPr="007044DA">
              <w:t xml:space="preserve">Retail </w:t>
            </w:r>
          </w:p>
        </w:tc>
        <w:tc>
          <w:tcPr>
            <w:tcW w:w="2693" w:type="dxa"/>
          </w:tcPr>
          <w:p w:rsidR="001A3AE7" w:rsidRDefault="001A3AE7" w:rsidP="00101B33">
            <w:r>
              <w:t>7</w:t>
            </w:r>
          </w:p>
        </w:tc>
      </w:tr>
    </w:tbl>
    <w:p w:rsidR="001A3AE7" w:rsidRDefault="001A3AE7" w:rsidP="001A3AE7">
      <w:pPr>
        <w:rPr>
          <w:lang w:val="en-US"/>
        </w:rPr>
      </w:pPr>
    </w:p>
    <w:p w:rsidR="001A3AE7" w:rsidRDefault="001A3AE7" w:rsidP="00E65B09">
      <w:pPr>
        <w:pStyle w:val="Heading3"/>
        <w:numPr>
          <w:ilvl w:val="0"/>
          <w:numId w:val="0"/>
        </w:numPr>
        <w:ind w:left="720" w:hanging="720"/>
        <w:rPr>
          <w:lang w:val="en-US"/>
        </w:rPr>
      </w:pPr>
      <w:bookmarkStart w:id="352" w:name="_Toc426387815"/>
      <w:r>
        <w:rPr>
          <w:lang w:val="en-US"/>
        </w:rPr>
        <w:t>Commercial property attributes</w:t>
      </w:r>
      <w:bookmarkEnd w:id="352"/>
    </w:p>
    <w:p w:rsidR="001A3AE7" w:rsidRPr="00DC7CC8" w:rsidRDefault="001A3AE7" w:rsidP="001A3AE7">
      <w:pPr>
        <w:rPr>
          <w:lang w:val="en-US"/>
        </w:rPr>
      </w:pPr>
      <w:r w:rsidRPr="00DC7CC8">
        <w:rPr>
          <w:rStyle w:val="Heading4Char"/>
          <w:rFonts w:eastAsia="Cambria"/>
          <w:lang w:val="en-US"/>
        </w:rPr>
        <w:t>Total floor area (m²)</w:t>
      </w:r>
      <w:r w:rsidRPr="00DC7CC8">
        <w:rPr>
          <w:lang w:val="en-US"/>
        </w:rPr>
        <w:br/>
      </w:r>
      <w:r w:rsidRPr="00DC7CC8">
        <w:rPr>
          <w:rStyle w:val="Strong"/>
          <w:lang w:val="en-US"/>
        </w:rPr>
        <w:t>CBBS Part 1: Baseline Energy Consumption and Greenhouse Gas Emissions in Commercial Buildings in Australia (BIS Shrapnel, Nov 2012)</w:t>
      </w:r>
      <w:r w:rsidRPr="00DC7CC8">
        <w:rPr>
          <w:lang w:val="en-US"/>
        </w:rPr>
        <w:br/>
        <w:t>The model created for this report created a primary metric of floor space measured in thousands of square metres (‘000m²). The report separates non-resident</w:t>
      </w:r>
      <w:r w:rsidR="001C7E9A">
        <w:rPr>
          <w:lang w:val="en-US"/>
        </w:rPr>
        <w:t>i</w:t>
      </w:r>
      <w:r w:rsidRPr="00DC7CC8">
        <w:rPr>
          <w:lang w:val="en-US"/>
        </w:rPr>
        <w:t>al buildings into categories that are based on selected classifications from the Australian Bureau of Statistics functional classifications of buildings. For this study, these were further summarized into the groups found below so that they would match alternative categories provided by other data sources applied in the stock model.</w:t>
      </w:r>
    </w:p>
    <w:tbl>
      <w:tblPr>
        <w:tblW w:w="3660" w:type="dxa"/>
        <w:tblInd w:w="1440" w:type="dxa"/>
        <w:tblLook w:val="04A0" w:firstRow="1" w:lastRow="0" w:firstColumn="1" w:lastColumn="0" w:noHBand="0" w:noVBand="1"/>
      </w:tblPr>
      <w:tblGrid>
        <w:gridCol w:w="3660"/>
      </w:tblGrid>
      <w:tr w:rsidR="001A3AE7" w:rsidRPr="00540638" w:rsidTr="00101B33">
        <w:trPr>
          <w:trHeight w:val="1290"/>
        </w:trPr>
        <w:tc>
          <w:tcPr>
            <w:tcW w:w="3660" w:type="dxa"/>
            <w:shd w:val="clear" w:color="auto" w:fill="EAF1DD" w:themeFill="accent3" w:themeFillTint="33"/>
            <w:noWrap/>
            <w:vAlign w:val="bottom"/>
            <w:hideMark/>
          </w:tcPr>
          <w:p w:rsidR="001A3AE7" w:rsidRPr="00DF4BC1" w:rsidRDefault="001A3AE7" w:rsidP="00101B33">
            <w:pPr>
              <w:spacing w:after="0" w:line="240" w:lineRule="auto"/>
              <w:contextualSpacing/>
              <w:rPr>
                <w:rFonts w:ascii="Calibri" w:hAnsi="Calibri"/>
                <w:b/>
                <w:color w:val="000000"/>
              </w:rPr>
            </w:pPr>
            <w:r w:rsidRPr="00DF4BC1">
              <w:rPr>
                <w:rFonts w:ascii="Calibri" w:hAnsi="Calibri"/>
                <w:b/>
                <w:color w:val="000000"/>
              </w:rPr>
              <w:t>Offices</w:t>
            </w:r>
          </w:p>
          <w:p w:rsidR="001A3AE7" w:rsidRDefault="001A3AE7" w:rsidP="00101B33">
            <w:pPr>
              <w:spacing w:after="0" w:line="240" w:lineRule="auto"/>
              <w:contextualSpacing/>
              <w:rPr>
                <w:rFonts w:ascii="Calibri" w:hAnsi="Calibri"/>
                <w:color w:val="000000"/>
              </w:rPr>
            </w:pPr>
            <w:r>
              <w:rPr>
                <w:rFonts w:ascii="Calibri" w:hAnsi="Calibri"/>
                <w:color w:val="000000"/>
              </w:rPr>
              <w:t>Incl.       Stand-alone offices</w:t>
            </w:r>
          </w:p>
          <w:p w:rsidR="001A3AE7" w:rsidRPr="001173F3" w:rsidRDefault="001A3AE7" w:rsidP="00101B33">
            <w:pPr>
              <w:spacing w:after="0" w:line="240" w:lineRule="auto"/>
              <w:ind w:left="720"/>
              <w:contextualSpacing/>
              <w:rPr>
                <w:rFonts w:ascii="Calibri" w:hAnsi="Calibri"/>
                <w:color w:val="000000"/>
              </w:rPr>
            </w:pPr>
            <w:r w:rsidRPr="001173F3">
              <w:rPr>
                <w:rFonts w:ascii="Calibri" w:hAnsi="Calibri"/>
                <w:color w:val="000000"/>
              </w:rPr>
              <w:t>Hospitals</w:t>
            </w:r>
          </w:p>
          <w:p w:rsidR="001A3AE7" w:rsidRPr="001173F3" w:rsidRDefault="001A3AE7" w:rsidP="00101B33">
            <w:pPr>
              <w:spacing w:after="0" w:line="240" w:lineRule="auto"/>
              <w:ind w:left="720"/>
              <w:contextualSpacing/>
              <w:rPr>
                <w:rFonts w:ascii="Calibri" w:hAnsi="Calibri"/>
                <w:color w:val="000000"/>
              </w:rPr>
            </w:pPr>
            <w:r w:rsidRPr="001173F3">
              <w:rPr>
                <w:rFonts w:ascii="Calibri" w:hAnsi="Calibri"/>
                <w:color w:val="000000"/>
              </w:rPr>
              <w:t>Education</w:t>
            </w:r>
            <w:r>
              <w:rPr>
                <w:rFonts w:ascii="Calibri" w:hAnsi="Calibri"/>
                <w:color w:val="000000"/>
              </w:rPr>
              <w:t xml:space="preserve"> buildings</w:t>
            </w:r>
          </w:p>
          <w:p w:rsidR="001A3AE7" w:rsidRDefault="001A3AE7" w:rsidP="00101B33">
            <w:pPr>
              <w:spacing w:after="0" w:line="240" w:lineRule="auto"/>
              <w:ind w:left="720"/>
              <w:contextualSpacing/>
              <w:rPr>
                <w:rFonts w:ascii="Calibri" w:hAnsi="Calibri"/>
                <w:color w:val="000000"/>
              </w:rPr>
            </w:pPr>
            <w:r w:rsidRPr="001173F3">
              <w:rPr>
                <w:rFonts w:ascii="Calibri" w:hAnsi="Calibri"/>
                <w:color w:val="000000"/>
              </w:rPr>
              <w:t xml:space="preserve">Public </w:t>
            </w:r>
            <w:r>
              <w:rPr>
                <w:rFonts w:ascii="Calibri" w:hAnsi="Calibri"/>
                <w:color w:val="000000"/>
              </w:rPr>
              <w:t>b</w:t>
            </w:r>
            <w:r w:rsidRPr="001173F3">
              <w:rPr>
                <w:rFonts w:ascii="Calibri" w:hAnsi="Calibri"/>
                <w:color w:val="000000"/>
              </w:rPr>
              <w:t>uildings</w:t>
            </w:r>
          </w:p>
          <w:p w:rsidR="001A3AE7" w:rsidRPr="001173F3" w:rsidRDefault="001A3AE7" w:rsidP="00101B33">
            <w:pPr>
              <w:spacing w:after="0" w:line="240" w:lineRule="auto"/>
              <w:ind w:left="720"/>
              <w:contextualSpacing/>
              <w:rPr>
                <w:rFonts w:ascii="Calibri" w:hAnsi="Calibri"/>
                <w:color w:val="000000"/>
              </w:rPr>
            </w:pPr>
            <w:r>
              <w:rPr>
                <w:rFonts w:ascii="Calibri" w:hAnsi="Calibri"/>
                <w:color w:val="000000"/>
              </w:rPr>
              <w:t>Law Courts</w:t>
            </w:r>
          </w:p>
        </w:tc>
      </w:tr>
      <w:tr w:rsidR="001A3AE7" w:rsidRPr="00540638" w:rsidTr="00101B33">
        <w:trPr>
          <w:trHeight w:val="315"/>
        </w:trPr>
        <w:tc>
          <w:tcPr>
            <w:tcW w:w="3660" w:type="dxa"/>
            <w:shd w:val="clear" w:color="000000" w:fill="E6B8B7"/>
            <w:noWrap/>
            <w:vAlign w:val="bottom"/>
            <w:hideMark/>
          </w:tcPr>
          <w:p w:rsidR="001A3AE7" w:rsidRPr="00DF4BC1" w:rsidRDefault="001A3AE7" w:rsidP="00101B33">
            <w:pPr>
              <w:spacing w:after="0" w:line="240" w:lineRule="auto"/>
              <w:contextualSpacing/>
              <w:rPr>
                <w:rFonts w:ascii="Calibri" w:hAnsi="Calibri"/>
                <w:b/>
                <w:color w:val="000000"/>
              </w:rPr>
            </w:pPr>
            <w:r w:rsidRPr="00DF4BC1">
              <w:rPr>
                <w:rFonts w:ascii="Calibri" w:hAnsi="Calibri"/>
                <w:b/>
                <w:color w:val="000000"/>
              </w:rPr>
              <w:t>Hospitality</w:t>
            </w:r>
          </w:p>
        </w:tc>
      </w:tr>
      <w:tr w:rsidR="001A3AE7" w:rsidRPr="00540638" w:rsidTr="00101B33">
        <w:trPr>
          <w:trHeight w:val="315"/>
        </w:trPr>
        <w:tc>
          <w:tcPr>
            <w:tcW w:w="3660" w:type="dxa"/>
            <w:shd w:val="clear" w:color="000000" w:fill="DA9694"/>
            <w:noWrap/>
            <w:vAlign w:val="bottom"/>
            <w:hideMark/>
          </w:tcPr>
          <w:p w:rsidR="001A3AE7" w:rsidRPr="00DF4BC1" w:rsidRDefault="001A3AE7" w:rsidP="00101B33">
            <w:pPr>
              <w:spacing w:after="0" w:line="240" w:lineRule="auto"/>
              <w:contextualSpacing/>
              <w:rPr>
                <w:rFonts w:ascii="Calibri" w:hAnsi="Calibri"/>
                <w:b/>
                <w:color w:val="000000"/>
              </w:rPr>
            </w:pPr>
            <w:r w:rsidRPr="00DF4BC1">
              <w:rPr>
                <w:rFonts w:ascii="Calibri" w:hAnsi="Calibri"/>
                <w:b/>
                <w:color w:val="000000"/>
              </w:rPr>
              <w:t xml:space="preserve">Retail </w:t>
            </w:r>
          </w:p>
          <w:p w:rsidR="001A3AE7" w:rsidRPr="001173F3" w:rsidRDefault="001A3AE7" w:rsidP="00101B33">
            <w:pPr>
              <w:spacing w:after="0" w:line="240" w:lineRule="auto"/>
              <w:contextualSpacing/>
              <w:rPr>
                <w:rFonts w:ascii="Calibri" w:hAnsi="Calibri"/>
                <w:color w:val="000000"/>
              </w:rPr>
            </w:pPr>
            <w:r>
              <w:rPr>
                <w:rFonts w:ascii="Calibri" w:hAnsi="Calibri"/>
                <w:color w:val="000000"/>
              </w:rPr>
              <w:t>Incl. Shopping Centres</w:t>
            </w:r>
          </w:p>
        </w:tc>
      </w:tr>
    </w:tbl>
    <w:p w:rsidR="001A3AE7" w:rsidRDefault="001A3AE7" w:rsidP="001A3AE7">
      <w:pPr>
        <w:rPr>
          <w:rStyle w:val="Heading4Char"/>
          <w:rFonts w:eastAsia="Cambria"/>
        </w:rPr>
      </w:pPr>
    </w:p>
    <w:p w:rsidR="001A3AE7" w:rsidRDefault="001A3AE7" w:rsidP="001A3AE7">
      <w:pPr>
        <w:rPr>
          <w:lang w:val="en-US"/>
        </w:rPr>
      </w:pPr>
      <w:r>
        <w:rPr>
          <w:rStyle w:val="Heading4Char"/>
          <w:rFonts w:eastAsia="Cambria"/>
        </w:rPr>
        <w:t>Average power density (W/m²)</w:t>
      </w:r>
      <w:r w:rsidRPr="00DC7CC8">
        <w:rPr>
          <w:rStyle w:val="Heading4Char"/>
          <w:rFonts w:eastAsia="Cambria"/>
        </w:rPr>
        <w:br/>
      </w:r>
      <w:r w:rsidRPr="00DC7CC8">
        <w:rPr>
          <w:rStyle w:val="Strong"/>
        </w:rPr>
        <w:t>Building Code of Australia’s (BCA) National Construction Code (NCC)</w:t>
      </w:r>
    </w:p>
    <w:p w:rsidR="001A3AE7" w:rsidRDefault="001A3AE7" w:rsidP="001A3AE7">
      <w:pPr>
        <w:rPr>
          <w:lang w:val="en-US"/>
        </w:rPr>
      </w:pPr>
      <w:r>
        <w:rPr>
          <w:lang w:val="en-US"/>
        </w:rPr>
        <w:t xml:space="preserve">The maximum power density </w:t>
      </w:r>
      <w:r w:rsidRPr="001173F3">
        <w:rPr>
          <w:lang w:val="en-US"/>
        </w:rPr>
        <w:t>limits</w:t>
      </w:r>
      <w:r>
        <w:rPr>
          <w:lang w:val="en-US"/>
        </w:rPr>
        <w:t xml:space="preserve"> outlined in Section J6 of the NCC are a fundamental input for the stock model. These limits have been applied to the total floor area of commercial properties in Australia to allow a reasonable prediction of the total power that will be used for lighting in these properties. </w:t>
      </w:r>
    </w:p>
    <w:p w:rsidR="001A3AE7" w:rsidRDefault="001A3AE7" w:rsidP="001A3AE7">
      <w:pPr>
        <w:rPr>
          <w:lang w:val="en-US"/>
        </w:rPr>
      </w:pPr>
      <w:r>
        <w:rPr>
          <w:lang w:val="en-US"/>
        </w:rPr>
        <w:t>Section J of the NCC was introduced in 2005, prior to this date there were no limits in place. Since its introduction there has been one major update in 2011(</w:t>
      </w:r>
      <w:r>
        <w:rPr>
          <w:lang w:val="en-US"/>
        </w:rPr>
        <w:fldChar w:fldCharType="begin"/>
      </w:r>
      <w:r>
        <w:rPr>
          <w:lang w:val="en-US"/>
        </w:rPr>
        <w:instrText xml:space="preserve"> REF _Ref412817640 \h </w:instrText>
      </w:r>
      <w:r>
        <w:rPr>
          <w:lang w:val="en-US"/>
        </w:rPr>
      </w:r>
      <w:r>
        <w:rPr>
          <w:lang w:val="en-US"/>
        </w:rPr>
        <w:fldChar w:fldCharType="separate"/>
      </w:r>
      <w:r w:rsidR="002C13E2">
        <w:t xml:space="preserve">Table </w:t>
      </w:r>
      <w:r w:rsidR="002C13E2">
        <w:rPr>
          <w:noProof/>
        </w:rPr>
        <w:t>24</w:t>
      </w:r>
      <w:r>
        <w:rPr>
          <w:lang w:val="en-US"/>
        </w:rPr>
        <w:fldChar w:fldCharType="end"/>
      </w:r>
      <w:r>
        <w:rPr>
          <w:lang w:val="en-US"/>
        </w:rPr>
        <w:t xml:space="preserve">) to the allowable limits in commercial spaces. </w:t>
      </w:r>
    </w:p>
    <w:p w:rsidR="001A3AE7" w:rsidRDefault="001A3AE7" w:rsidP="001A3AE7">
      <w:pPr>
        <w:pStyle w:val="Caption"/>
        <w:keepNext/>
      </w:pPr>
      <w:bookmarkStart w:id="353" w:name="_Ref412817640"/>
      <w:bookmarkStart w:id="354" w:name="_Toc426387839"/>
      <w:r>
        <w:t xml:space="preserve">Table </w:t>
      </w:r>
      <w:r w:rsidR="008A65AF">
        <w:fldChar w:fldCharType="begin"/>
      </w:r>
      <w:r w:rsidR="008A65AF">
        <w:instrText xml:space="preserve"> SEQ Table \* ARABIC </w:instrText>
      </w:r>
      <w:r w:rsidR="008A65AF">
        <w:fldChar w:fldCharType="separate"/>
      </w:r>
      <w:r w:rsidR="002C13E2">
        <w:rPr>
          <w:noProof/>
        </w:rPr>
        <w:t>24</w:t>
      </w:r>
      <w:r w:rsidR="008A65AF">
        <w:rPr>
          <w:noProof/>
        </w:rPr>
        <w:fldChar w:fldCharType="end"/>
      </w:r>
      <w:bookmarkEnd w:id="353"/>
      <w:r>
        <w:t>. BCA National Construction Code lighting power density limits (W/m²)</w:t>
      </w:r>
      <w:bookmarkEnd w:id="354"/>
    </w:p>
    <w:tbl>
      <w:tblPr>
        <w:tblStyle w:val="TableGrid"/>
        <w:tblW w:w="0" w:type="auto"/>
        <w:tblLook w:val="04A0" w:firstRow="1" w:lastRow="0" w:firstColumn="1" w:lastColumn="0" w:noHBand="0" w:noVBand="1"/>
      </w:tblPr>
      <w:tblGrid>
        <w:gridCol w:w="3936"/>
        <w:gridCol w:w="1134"/>
        <w:gridCol w:w="992"/>
      </w:tblGrid>
      <w:tr w:rsidR="001A3AE7" w:rsidRPr="00E21AB3" w:rsidTr="006224FD">
        <w:trPr>
          <w:trHeight w:val="315"/>
          <w:tblHeader/>
        </w:trPr>
        <w:tc>
          <w:tcPr>
            <w:tcW w:w="3936" w:type="dxa"/>
            <w:noWrap/>
            <w:hideMark/>
          </w:tcPr>
          <w:p w:rsidR="001A3AE7" w:rsidRPr="00E21AB3" w:rsidRDefault="001A3AE7" w:rsidP="00101B33">
            <w:r w:rsidRPr="00E21AB3">
              <w:t>BCA</w:t>
            </w:r>
            <w:r>
              <w:t xml:space="preserve"> NCC Lighting power density limits</w:t>
            </w:r>
          </w:p>
        </w:tc>
        <w:tc>
          <w:tcPr>
            <w:tcW w:w="1134" w:type="dxa"/>
            <w:noWrap/>
            <w:hideMark/>
          </w:tcPr>
          <w:p w:rsidR="001A3AE7" w:rsidRPr="00E21AB3" w:rsidRDefault="001A3AE7" w:rsidP="00101B33">
            <w:r w:rsidRPr="00E21AB3">
              <w:t>2005</w:t>
            </w:r>
          </w:p>
        </w:tc>
        <w:tc>
          <w:tcPr>
            <w:tcW w:w="992" w:type="dxa"/>
            <w:noWrap/>
            <w:hideMark/>
          </w:tcPr>
          <w:p w:rsidR="001A3AE7" w:rsidRPr="00E21AB3" w:rsidRDefault="001A3AE7" w:rsidP="00101B33">
            <w:r w:rsidRPr="00E21AB3">
              <w:t>2011</w:t>
            </w:r>
          </w:p>
        </w:tc>
      </w:tr>
      <w:tr w:rsidR="001A3AE7" w:rsidRPr="00E21AB3" w:rsidTr="00101B33">
        <w:trPr>
          <w:trHeight w:val="315"/>
        </w:trPr>
        <w:tc>
          <w:tcPr>
            <w:tcW w:w="3936" w:type="dxa"/>
            <w:noWrap/>
            <w:hideMark/>
          </w:tcPr>
          <w:p w:rsidR="001A3AE7" w:rsidRPr="00E21AB3" w:rsidRDefault="001A3AE7" w:rsidP="00101B33">
            <w:r w:rsidRPr="00E21AB3">
              <w:t>Offices</w:t>
            </w:r>
          </w:p>
        </w:tc>
        <w:tc>
          <w:tcPr>
            <w:tcW w:w="1134" w:type="dxa"/>
            <w:noWrap/>
            <w:hideMark/>
          </w:tcPr>
          <w:p w:rsidR="001A3AE7" w:rsidRPr="00E21AB3" w:rsidRDefault="001A3AE7" w:rsidP="00101B33">
            <w:r w:rsidRPr="00E21AB3">
              <w:t>10</w:t>
            </w:r>
          </w:p>
        </w:tc>
        <w:tc>
          <w:tcPr>
            <w:tcW w:w="992" w:type="dxa"/>
            <w:noWrap/>
            <w:hideMark/>
          </w:tcPr>
          <w:p w:rsidR="001A3AE7" w:rsidRPr="00E21AB3" w:rsidRDefault="001A3AE7" w:rsidP="00101B33">
            <w:r w:rsidRPr="00E21AB3">
              <w:t>9</w:t>
            </w:r>
          </w:p>
        </w:tc>
      </w:tr>
      <w:tr w:rsidR="001A3AE7" w:rsidRPr="00E21AB3" w:rsidTr="00101B33">
        <w:trPr>
          <w:trHeight w:val="315"/>
        </w:trPr>
        <w:tc>
          <w:tcPr>
            <w:tcW w:w="3936" w:type="dxa"/>
            <w:noWrap/>
            <w:hideMark/>
          </w:tcPr>
          <w:p w:rsidR="001A3AE7" w:rsidRPr="00E21AB3" w:rsidRDefault="001A3AE7" w:rsidP="00101B33">
            <w:r w:rsidRPr="00E21AB3">
              <w:t>Hospitals</w:t>
            </w:r>
          </w:p>
        </w:tc>
        <w:tc>
          <w:tcPr>
            <w:tcW w:w="1134" w:type="dxa"/>
            <w:noWrap/>
            <w:hideMark/>
          </w:tcPr>
          <w:p w:rsidR="001A3AE7" w:rsidRPr="00E21AB3" w:rsidRDefault="001A3AE7" w:rsidP="00101B33">
            <w:r w:rsidRPr="00E21AB3">
              <w:t>15</w:t>
            </w:r>
          </w:p>
        </w:tc>
        <w:tc>
          <w:tcPr>
            <w:tcW w:w="992" w:type="dxa"/>
            <w:noWrap/>
            <w:hideMark/>
          </w:tcPr>
          <w:p w:rsidR="001A3AE7" w:rsidRPr="00E21AB3" w:rsidRDefault="001A3AE7" w:rsidP="00101B33">
            <w:r w:rsidRPr="00E21AB3">
              <w:t>10</w:t>
            </w:r>
          </w:p>
        </w:tc>
      </w:tr>
      <w:tr w:rsidR="001A3AE7" w:rsidRPr="00E21AB3" w:rsidTr="00101B33">
        <w:trPr>
          <w:trHeight w:val="315"/>
        </w:trPr>
        <w:tc>
          <w:tcPr>
            <w:tcW w:w="3936" w:type="dxa"/>
            <w:noWrap/>
            <w:hideMark/>
          </w:tcPr>
          <w:p w:rsidR="001A3AE7" w:rsidRPr="00E21AB3" w:rsidRDefault="001A3AE7" w:rsidP="00101B33">
            <w:r w:rsidRPr="00E21AB3">
              <w:t>Education</w:t>
            </w:r>
          </w:p>
        </w:tc>
        <w:tc>
          <w:tcPr>
            <w:tcW w:w="1134" w:type="dxa"/>
            <w:noWrap/>
            <w:hideMark/>
          </w:tcPr>
          <w:p w:rsidR="001A3AE7" w:rsidRPr="00E21AB3" w:rsidRDefault="001A3AE7" w:rsidP="00101B33">
            <w:r w:rsidRPr="00E21AB3">
              <w:t>10</w:t>
            </w:r>
          </w:p>
        </w:tc>
        <w:tc>
          <w:tcPr>
            <w:tcW w:w="992" w:type="dxa"/>
            <w:noWrap/>
            <w:hideMark/>
          </w:tcPr>
          <w:p w:rsidR="001A3AE7" w:rsidRPr="00E21AB3" w:rsidRDefault="001A3AE7" w:rsidP="00101B33">
            <w:r w:rsidRPr="00E21AB3">
              <w:t>8</w:t>
            </w:r>
          </w:p>
        </w:tc>
      </w:tr>
      <w:tr w:rsidR="001A3AE7" w:rsidRPr="00E21AB3" w:rsidTr="00101B33">
        <w:trPr>
          <w:trHeight w:val="315"/>
        </w:trPr>
        <w:tc>
          <w:tcPr>
            <w:tcW w:w="3936" w:type="dxa"/>
            <w:noWrap/>
            <w:hideMark/>
          </w:tcPr>
          <w:p w:rsidR="001A3AE7" w:rsidRPr="00E21AB3" w:rsidRDefault="001A3AE7" w:rsidP="00101B33">
            <w:r w:rsidRPr="00E21AB3">
              <w:t>Public Buildings</w:t>
            </w:r>
          </w:p>
        </w:tc>
        <w:tc>
          <w:tcPr>
            <w:tcW w:w="1134" w:type="dxa"/>
            <w:noWrap/>
            <w:hideMark/>
          </w:tcPr>
          <w:p w:rsidR="001A3AE7" w:rsidRPr="00E21AB3" w:rsidRDefault="001A3AE7" w:rsidP="00101B33">
            <w:r w:rsidRPr="00E21AB3">
              <w:t>10</w:t>
            </w:r>
          </w:p>
        </w:tc>
        <w:tc>
          <w:tcPr>
            <w:tcW w:w="992" w:type="dxa"/>
            <w:noWrap/>
            <w:hideMark/>
          </w:tcPr>
          <w:p w:rsidR="001A3AE7" w:rsidRPr="00E21AB3" w:rsidRDefault="001A3AE7" w:rsidP="00101B33">
            <w:r w:rsidRPr="00E21AB3">
              <w:t>10</w:t>
            </w:r>
          </w:p>
        </w:tc>
      </w:tr>
      <w:tr w:rsidR="001A3AE7" w:rsidRPr="00E21AB3" w:rsidTr="00101B33">
        <w:trPr>
          <w:trHeight w:val="315"/>
        </w:trPr>
        <w:tc>
          <w:tcPr>
            <w:tcW w:w="3936" w:type="dxa"/>
            <w:noWrap/>
            <w:hideMark/>
          </w:tcPr>
          <w:p w:rsidR="001A3AE7" w:rsidRPr="00E21AB3" w:rsidRDefault="001A3AE7" w:rsidP="00101B33">
            <w:r w:rsidRPr="00E21AB3">
              <w:t>Hospitality</w:t>
            </w:r>
          </w:p>
        </w:tc>
        <w:tc>
          <w:tcPr>
            <w:tcW w:w="1134" w:type="dxa"/>
            <w:noWrap/>
            <w:hideMark/>
          </w:tcPr>
          <w:p w:rsidR="001A3AE7" w:rsidRPr="00E21AB3" w:rsidRDefault="001A3AE7" w:rsidP="00101B33">
            <w:r w:rsidRPr="00E21AB3">
              <w:t>10</w:t>
            </w:r>
          </w:p>
        </w:tc>
        <w:tc>
          <w:tcPr>
            <w:tcW w:w="992" w:type="dxa"/>
            <w:noWrap/>
            <w:hideMark/>
          </w:tcPr>
          <w:p w:rsidR="001A3AE7" w:rsidRPr="00E21AB3" w:rsidRDefault="001A3AE7" w:rsidP="00101B33">
            <w:r w:rsidRPr="00E21AB3">
              <w:t>9</w:t>
            </w:r>
          </w:p>
        </w:tc>
      </w:tr>
      <w:tr w:rsidR="001A3AE7" w:rsidRPr="00E21AB3" w:rsidTr="00101B33">
        <w:trPr>
          <w:trHeight w:val="315"/>
        </w:trPr>
        <w:tc>
          <w:tcPr>
            <w:tcW w:w="3936" w:type="dxa"/>
            <w:noWrap/>
            <w:hideMark/>
          </w:tcPr>
          <w:p w:rsidR="001A3AE7" w:rsidRPr="00E21AB3" w:rsidRDefault="001A3AE7" w:rsidP="00101B33">
            <w:r w:rsidRPr="00E21AB3">
              <w:t xml:space="preserve">Retail </w:t>
            </w:r>
          </w:p>
        </w:tc>
        <w:tc>
          <w:tcPr>
            <w:tcW w:w="1134" w:type="dxa"/>
            <w:noWrap/>
            <w:hideMark/>
          </w:tcPr>
          <w:p w:rsidR="001A3AE7" w:rsidRPr="00E21AB3" w:rsidRDefault="001A3AE7" w:rsidP="00101B33">
            <w:r w:rsidRPr="00E21AB3">
              <w:t>25</w:t>
            </w:r>
          </w:p>
        </w:tc>
        <w:tc>
          <w:tcPr>
            <w:tcW w:w="992" w:type="dxa"/>
            <w:noWrap/>
            <w:hideMark/>
          </w:tcPr>
          <w:p w:rsidR="001A3AE7" w:rsidRPr="00E21AB3" w:rsidRDefault="001A3AE7" w:rsidP="00101B33">
            <w:r w:rsidRPr="00E21AB3">
              <w:t>22</w:t>
            </w:r>
          </w:p>
        </w:tc>
      </w:tr>
    </w:tbl>
    <w:p w:rsidR="001A3AE7" w:rsidRDefault="001A3AE7" w:rsidP="001A3AE7">
      <w:pPr>
        <w:rPr>
          <w:lang w:val="en-US"/>
        </w:rPr>
      </w:pPr>
    </w:p>
    <w:p w:rsidR="001A3AE7" w:rsidRDefault="001A3AE7" w:rsidP="001A3AE7">
      <w:pPr>
        <w:rPr>
          <w:lang w:val="en-US"/>
        </w:rPr>
      </w:pPr>
      <w:r>
        <w:rPr>
          <w:lang w:val="en-US"/>
        </w:rPr>
        <w:t>These changes to the building code are not immediately discernable in the overall market as the code is required to be applied only to ‘new-build’, renovation and renewed property fit-outs; therefore a factor was introduced to account for the delay in NCC compliance that is intended to be reflective of the 7-12 year commercial property fit-out cycle. Statistics from the Australian Government’s commercial building disclosure (</w:t>
      </w:r>
      <w:hyperlink r:id="rId154" w:history="1">
        <w:r w:rsidRPr="000F0333">
          <w:rPr>
            <w:rStyle w:val="Hyperlink"/>
            <w:lang w:val="en-US"/>
          </w:rPr>
          <w:t>www.cbd.gov.au/overview-of-the-program/statistics</w:t>
        </w:r>
      </w:hyperlink>
      <w:r>
        <w:rPr>
          <w:lang w:val="en-US"/>
        </w:rPr>
        <w:t xml:space="preserve">) indicated that as at 2013, the average nominal lighting power density in commercial office spaces is 12.97 W/m². This means that in practical terms, there is a multiplying factor of approximately 1.4, which provides the bridge between changes to the NCC and reflection of these changes in the real world.  </w:t>
      </w:r>
    </w:p>
    <w:p w:rsidR="001A3AE7" w:rsidRDefault="001A3AE7" w:rsidP="001A3AE7">
      <w:pPr>
        <w:rPr>
          <w:lang w:val="en-US"/>
        </w:rPr>
      </w:pPr>
      <w:r>
        <w:rPr>
          <w:rStyle w:val="Heading4Char"/>
          <w:rFonts w:eastAsia="Cambria"/>
          <w:lang w:val="en-US"/>
        </w:rPr>
        <w:t>Lumen density (lm/m²)</w:t>
      </w:r>
      <w:r>
        <w:rPr>
          <w:lang w:val="en-US"/>
        </w:rPr>
        <w:br/>
        <w:t xml:space="preserve">Although it is predicted that the number of lamps per square meter in commercial spaces is going to increase over time, this does not necessarily result in an overall increase in average light levels provided in these spaces. Rather, we are likely to see lumen levels remain static, while improvements in lamp efficacies will drive the wattages (required to produce this same number of lumens) downward.  </w:t>
      </w:r>
    </w:p>
    <w:p w:rsidR="001A3AE7" w:rsidRDefault="001A3AE7" w:rsidP="001A3AE7">
      <w:pPr>
        <w:rPr>
          <w:lang w:val="en-US"/>
        </w:rPr>
      </w:pPr>
      <w:r w:rsidRPr="00543464">
        <w:rPr>
          <w:rStyle w:val="Heading4Char"/>
          <w:rFonts w:eastAsia="Cambria"/>
        </w:rPr>
        <w:t>Technology mix for commercial property categories</w:t>
      </w:r>
      <w:r w:rsidRPr="00543464">
        <w:rPr>
          <w:rStyle w:val="Heading4Char"/>
          <w:rFonts w:eastAsia="Cambria"/>
        </w:rPr>
        <w:br/>
      </w:r>
      <w:r>
        <w:rPr>
          <w:lang w:val="en-US"/>
        </w:rPr>
        <w:t>Projections to 2020 for the relative mix of lighting technologies used in commercial spaces were based on predictions in the 2011/2012 reports by  McKinsey &amp;Co. Further projection to 2030 conducted through data analysis of the McKinsey trends.</w:t>
      </w:r>
    </w:p>
    <w:p w:rsidR="001A3AE7" w:rsidRDefault="001A3AE7" w:rsidP="00BB32B3">
      <w:pPr>
        <w:pStyle w:val="Heading4"/>
        <w:numPr>
          <w:ilvl w:val="0"/>
          <w:numId w:val="0"/>
        </w:numPr>
        <w:ind w:left="864" w:hanging="864"/>
        <w:rPr>
          <w:lang w:val="en-US"/>
        </w:rPr>
      </w:pPr>
      <w:r>
        <w:rPr>
          <w:lang w:val="en-US"/>
        </w:rPr>
        <w:t>Total Greenhouse Gas Emissions</w:t>
      </w:r>
    </w:p>
    <w:p w:rsidR="00C301A9" w:rsidRPr="001A3AE7" w:rsidRDefault="001A3AE7" w:rsidP="001A3AE7">
      <w:pPr>
        <w:rPr>
          <w:lang w:val="en-US"/>
        </w:rPr>
      </w:pPr>
      <w:r>
        <w:rPr>
          <w:lang w:val="en-US"/>
        </w:rPr>
        <w:t>The conversion ratio of energy use to total greenhouse gas emissions in Australia was obtained from the National Greenhouse accounts factors webpage 2015, each Australian state was given a weighting based on overall energy use to determine a weighted Australian average emission factor.</w:t>
      </w:r>
    </w:p>
    <w:p w:rsidR="001A3AE7" w:rsidRPr="003107D2" w:rsidRDefault="00DC4D0F" w:rsidP="001A3AE7">
      <w:pPr>
        <w:spacing w:after="200" w:line="276" w:lineRule="auto"/>
        <w:rPr>
          <w:lang w:eastAsia="en-AU"/>
        </w:rPr>
        <w:sectPr w:rsidR="001A3AE7" w:rsidRPr="003107D2" w:rsidSect="00262B5A">
          <w:pgSz w:w="11907" w:h="16840" w:code="9"/>
          <w:pgMar w:top="1134" w:right="1134" w:bottom="1418" w:left="1134" w:header="142" w:footer="709" w:gutter="0"/>
          <w:cols w:space="720"/>
          <w:titlePg/>
          <w:docGrid w:linePitch="360"/>
        </w:sectPr>
      </w:pPr>
      <w:r>
        <w:rPr>
          <w:lang w:eastAsia="en-AU"/>
        </w:rPr>
        <w:br w:type="page"/>
      </w:r>
    </w:p>
    <w:p w:rsidR="0016451B" w:rsidRPr="003107D2" w:rsidRDefault="0016451B" w:rsidP="001A3AE7"/>
    <w:sectPr w:rsidR="0016451B" w:rsidRPr="003107D2" w:rsidSect="00BB3FBD">
      <w:headerReference w:type="first" r:id="rId155"/>
      <w:footerReference w:type="first" r:id="rId156"/>
      <w:pgSz w:w="11907" w:h="16840" w:code="9"/>
      <w:pgMar w:top="-1814" w:right="1134" w:bottom="1418" w:left="1134" w:header="0" w:footer="709" w:gutter="0"/>
      <w:cols w:num="2"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s>
  <wne:toolbars>
    <wne:acdManifest>
      <wne:acdEntry wne:acdName="acd0"/>
    </wne:acdManifest>
  </wne:toolbars>
  <wne:acds>
    <wne:acd wne:argValue="AgBFADMAIABIAGUAYQBkAGkAbgBnACAAMQ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3E2" w:rsidRDefault="002C13E2" w:rsidP="006715E4">
      <w:pPr>
        <w:spacing w:after="0" w:line="240" w:lineRule="auto"/>
      </w:pPr>
      <w:r>
        <w:separator/>
      </w:r>
    </w:p>
  </w:endnote>
  <w:endnote w:type="continuationSeparator" w:id="0">
    <w:p w:rsidR="002C13E2" w:rsidRDefault="002C13E2" w:rsidP="00671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Helvetica Neue Light">
    <w:altName w:val="Corbe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Gotham Narrow Book">
    <w:altName w:val="Gotham Narrow Book"/>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NimbusSan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79" w:rsidRDefault="00976B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3E2" w:rsidRDefault="007C2EFC" w:rsidP="00D14B3E">
    <w:pPr>
      <w:pStyle w:val="Footer"/>
      <w:tabs>
        <w:tab w:val="clear" w:pos="4320"/>
        <w:tab w:val="clear" w:pos="864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55pt;height:1.55pt" o:hrpct="0" o:hralign="center" o:hr="t">
          <v:imagedata r:id="rId1" o:title="Default Line"/>
        </v:shape>
      </w:pict>
    </w:r>
    <w:r w:rsidR="002C13E2">
      <w:t xml:space="preserve"> LED Lighting Product Profile</w:t>
    </w:r>
    <w:r w:rsidR="002C13E2">
      <w:tab/>
    </w:r>
    <w:r w:rsidR="002C13E2" w:rsidRPr="002D3654">
      <w:rPr>
        <w:rStyle w:val="PageNumber"/>
      </w:rPr>
      <w:fldChar w:fldCharType="begin"/>
    </w:r>
    <w:r w:rsidR="002C13E2" w:rsidRPr="002D3654">
      <w:rPr>
        <w:rStyle w:val="PageNumber"/>
      </w:rPr>
      <w:instrText xml:space="preserve"> PAGE </w:instrText>
    </w:r>
    <w:r w:rsidR="002C13E2" w:rsidRPr="002D3654">
      <w:rPr>
        <w:rStyle w:val="PageNumber"/>
      </w:rPr>
      <w:fldChar w:fldCharType="separate"/>
    </w:r>
    <w:r>
      <w:rPr>
        <w:rStyle w:val="PageNumber"/>
        <w:noProof/>
      </w:rPr>
      <w:t>ii</w:t>
    </w:r>
    <w:r w:rsidR="002C13E2" w:rsidRPr="002D3654">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3E2" w:rsidRPr="00262B5A" w:rsidRDefault="002C13E2" w:rsidP="00262B5A">
    <w:pPr>
      <w:pStyle w:val="E3CoverFooter"/>
      <w:ind w:hanging="1560"/>
    </w:pPr>
    <w:r w:rsidRPr="00D13CE6">
      <w:rPr>
        <w:noProof/>
        <w:lang w:eastAsia="en-AU"/>
      </w:rPr>
      <w:drawing>
        <wp:inline distT="0" distB="0" distL="0" distR="0">
          <wp:extent cx="7052310" cy="716280"/>
          <wp:effectExtent l="0" t="0" r="0" b="7620"/>
          <wp:docPr id="22" name="Picture 3" descr="This report is delivered from the E3 corporat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SCD\Communications &amp; Public Affairs\Toolbox\6. Tools and Resources\Design\PRINT\E3 report templates\E3_Corporate Strand_Grey-01.jpg"/>
                  <pic:cNvPicPr>
                    <a:picLocks noChangeAspect="1" noChangeArrowheads="1"/>
                  </pic:cNvPicPr>
                </pic:nvPicPr>
                <pic:blipFill>
                  <a:blip r:embed="rId1" cstate="print">
                    <a:extLst>
                      <a:ext uri="{28A0092B-C50C-407E-A947-70E740481C1C}">
                        <a14:useLocalDpi xmlns:a14="http://schemas.microsoft.com/office/drawing/2010/main" val="0"/>
                      </a:ext>
                    </a:extLst>
                  </a:blip>
                  <a:srcRect t="7202"/>
                  <a:stretch>
                    <a:fillRect/>
                  </a:stretch>
                </pic:blipFill>
                <pic:spPr bwMode="auto">
                  <a:xfrm>
                    <a:off x="0" y="0"/>
                    <a:ext cx="7052310" cy="716280"/>
                  </a:xfrm>
                  <a:prstGeom prst="rect">
                    <a:avLst/>
                  </a:prstGeom>
                  <a:noFill/>
                  <a:ln w="9525">
                    <a:noFill/>
                    <a:miter lim="800000"/>
                    <a:headEnd/>
                    <a:tailEnd/>
                  </a:ln>
                </pic:spPr>
              </pic:pic>
            </a:graphicData>
          </a:graphic>
        </wp:inline>
      </w:drawing>
    </w:r>
    <w:r w:rsidRPr="001D7214">
      <w:rPr>
        <w:color w:val="333333"/>
        <w:sz w:val="12"/>
        <w:szCs w:val="12"/>
      </w:rPr>
      <w:br/>
    </w:r>
    <w:r w:rsidRPr="001D7214">
      <w:rPr>
        <w:color w:val="333333"/>
      </w:rPr>
      <w:t>A joint initiative of Australian, State and Territory</w:t>
    </w:r>
    <w:r w:rsidRPr="001D7214">
      <w:rPr>
        <w:color w:val="333333"/>
      </w:rPr>
      <w:br/>
      <w:t>and New Zealand Governments.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3E2" w:rsidRPr="009B43DB" w:rsidRDefault="002C13E2" w:rsidP="009B43DB">
    <w:pPr>
      <w:pStyle w:val="Footer"/>
      <w:pBdr>
        <w:top w:val="single" w:sz="4" w:space="8" w:color="auto"/>
      </w:pBdr>
      <w:tabs>
        <w:tab w:val="clear" w:pos="4320"/>
        <w:tab w:val="clear" w:pos="8640"/>
      </w:tabs>
    </w:pPr>
    <w:r>
      <w:t>LED Lighting Product Profile</w:t>
    </w:r>
    <w:r>
      <w:tab/>
    </w:r>
    <w:r w:rsidRPr="002D3654">
      <w:rPr>
        <w:rStyle w:val="PageNumber"/>
      </w:rPr>
      <w:fldChar w:fldCharType="begin"/>
    </w:r>
    <w:r w:rsidRPr="002D3654">
      <w:rPr>
        <w:rStyle w:val="PageNumber"/>
      </w:rPr>
      <w:instrText xml:space="preserve"> PAGE </w:instrText>
    </w:r>
    <w:r w:rsidRPr="002D3654">
      <w:rPr>
        <w:rStyle w:val="PageNumber"/>
      </w:rPr>
      <w:fldChar w:fldCharType="separate"/>
    </w:r>
    <w:r w:rsidR="007C2EFC">
      <w:rPr>
        <w:rStyle w:val="PageNumber"/>
        <w:noProof/>
      </w:rPr>
      <w:t>iii</w:t>
    </w:r>
    <w:r w:rsidRPr="002D3654">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3E2" w:rsidRPr="00A37E0E" w:rsidRDefault="007C2EFC" w:rsidP="00A37E0E">
    <w:pPr>
      <w:pStyle w:val="Footer"/>
      <w:tabs>
        <w:tab w:val="clear" w:pos="4320"/>
        <w:tab w:val="clear" w:pos="864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1.55pt;height:1.55pt" o:hrpct="0" o:hralign="center" o:hr="t">
          <v:imagedata r:id="rId1" o:title="Default Line"/>
        </v:shape>
      </w:pict>
    </w:r>
    <w:r w:rsidR="002C13E2">
      <w:t xml:space="preserve"> LED Lighting Product Profile</w:t>
    </w:r>
    <w:r w:rsidR="002C13E2">
      <w:tab/>
    </w:r>
    <w:r w:rsidR="002C13E2" w:rsidRPr="002D3654">
      <w:rPr>
        <w:rStyle w:val="PageNumber"/>
      </w:rPr>
      <w:fldChar w:fldCharType="begin"/>
    </w:r>
    <w:r w:rsidR="002C13E2" w:rsidRPr="002D3654">
      <w:rPr>
        <w:rStyle w:val="PageNumber"/>
      </w:rPr>
      <w:instrText xml:space="preserve"> PAGE </w:instrText>
    </w:r>
    <w:r w:rsidR="002C13E2" w:rsidRPr="002D3654">
      <w:rPr>
        <w:rStyle w:val="PageNumber"/>
      </w:rPr>
      <w:fldChar w:fldCharType="separate"/>
    </w:r>
    <w:r>
      <w:rPr>
        <w:rStyle w:val="PageNumber"/>
        <w:noProof/>
      </w:rPr>
      <w:t>1</w:t>
    </w:r>
    <w:r w:rsidR="002C13E2" w:rsidRPr="002D3654">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3E2" w:rsidRPr="00A37E0E" w:rsidRDefault="007C2EFC" w:rsidP="00A37E0E">
    <w:pPr>
      <w:pStyle w:val="Footer"/>
      <w:tabs>
        <w:tab w:val="clear" w:pos="4320"/>
        <w:tab w:val="clear" w:pos="864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1.55pt;height:1.55pt" o:hrpct="0" o:hralign="center" o:hr="t">
          <v:imagedata r:id="rId1" o:title="Default Line"/>
        </v:shape>
      </w:pict>
    </w:r>
    <w:r w:rsidR="002C13E2">
      <w:t xml:space="preserve"> LED Lighting Product Profile</w:t>
    </w:r>
    <w:r w:rsidR="002C13E2">
      <w:tab/>
    </w:r>
    <w:r w:rsidR="002C13E2" w:rsidRPr="002D3654">
      <w:rPr>
        <w:rStyle w:val="PageNumber"/>
      </w:rPr>
      <w:fldChar w:fldCharType="begin"/>
    </w:r>
    <w:r w:rsidR="002C13E2" w:rsidRPr="002D3654">
      <w:rPr>
        <w:rStyle w:val="PageNumber"/>
      </w:rPr>
      <w:instrText xml:space="preserve"> PAGE </w:instrText>
    </w:r>
    <w:r w:rsidR="002C13E2" w:rsidRPr="002D3654">
      <w:rPr>
        <w:rStyle w:val="PageNumber"/>
      </w:rPr>
      <w:fldChar w:fldCharType="separate"/>
    </w:r>
    <w:r>
      <w:rPr>
        <w:rStyle w:val="PageNumber"/>
        <w:noProof/>
      </w:rPr>
      <w:t>99</w:t>
    </w:r>
    <w:r w:rsidR="002C13E2" w:rsidRPr="002D3654">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3E2" w:rsidRPr="00A37E0E" w:rsidRDefault="007C2EFC" w:rsidP="00A37E0E">
    <w:pPr>
      <w:pStyle w:val="Footer"/>
      <w:tabs>
        <w:tab w:val="clear" w:pos="4320"/>
        <w:tab w:val="clear" w:pos="864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1.55pt;height:1.55pt" o:hrpct="0" o:hralign="center" o:hr="t">
          <v:imagedata r:id="rId1" o:title="Default Line"/>
        </v:shape>
      </w:pict>
    </w:r>
    <w:r w:rsidR="002C13E2">
      <w:t xml:space="preserve"> LED Product Profile</w:t>
    </w:r>
    <w:r w:rsidR="002C13E2">
      <w:tab/>
    </w:r>
    <w:r w:rsidR="002C13E2" w:rsidRPr="002D3654">
      <w:rPr>
        <w:rStyle w:val="PageNumber"/>
      </w:rPr>
      <w:fldChar w:fldCharType="begin"/>
    </w:r>
    <w:r w:rsidR="002C13E2" w:rsidRPr="002D3654">
      <w:rPr>
        <w:rStyle w:val="PageNumber"/>
      </w:rPr>
      <w:instrText xml:space="preserve"> PAGE </w:instrText>
    </w:r>
    <w:r w:rsidR="002C13E2" w:rsidRPr="002D3654">
      <w:rPr>
        <w:rStyle w:val="PageNumber"/>
      </w:rPr>
      <w:fldChar w:fldCharType="separate"/>
    </w:r>
    <w:r>
      <w:rPr>
        <w:rStyle w:val="PageNumber"/>
        <w:noProof/>
      </w:rPr>
      <w:t>104</w:t>
    </w:r>
    <w:r w:rsidR="002C13E2" w:rsidRPr="002D3654">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3E2" w:rsidRPr="00D96AFA" w:rsidRDefault="002C13E2" w:rsidP="008D234D">
    <w:pPr>
      <w:pStyle w:val="E3BodyText"/>
      <w:jc w:val="center"/>
      <w:rPr>
        <w:rFonts w:ascii="Helvetica" w:hAnsi="Helvetica" w:cs="Helvetica"/>
        <w:b/>
        <w:sz w:val="24"/>
      </w:rPr>
    </w:pPr>
    <w:r w:rsidRPr="00D96AFA">
      <w:rPr>
        <w:rFonts w:ascii="Helvetica" w:hAnsi="Helvetica" w:cs="Helvetica"/>
        <w:b/>
        <w:sz w:val="24"/>
      </w:rPr>
      <w:t>A joint initiative of Australian, State and Territory and New Zealand Governments</w:t>
    </w:r>
  </w:p>
  <w:p w:rsidR="002C13E2" w:rsidRPr="00881F6E" w:rsidRDefault="002C13E2" w:rsidP="00881F6E">
    <w:pPr>
      <w:pStyle w:val="E3FootnoteTex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3E2" w:rsidRDefault="002C13E2" w:rsidP="006715E4">
      <w:pPr>
        <w:spacing w:after="0" w:line="240" w:lineRule="auto"/>
      </w:pPr>
      <w:r>
        <w:separator/>
      </w:r>
    </w:p>
  </w:footnote>
  <w:footnote w:type="continuationSeparator" w:id="0">
    <w:p w:rsidR="002C13E2" w:rsidRDefault="002C13E2" w:rsidP="006715E4">
      <w:pPr>
        <w:spacing w:after="0" w:line="240" w:lineRule="auto"/>
      </w:pPr>
      <w:r>
        <w:continuationSeparator/>
      </w:r>
    </w:p>
  </w:footnote>
  <w:footnote w:id="1">
    <w:p w:rsidR="002C13E2" w:rsidRDefault="002C13E2">
      <w:pPr>
        <w:pStyle w:val="FootnoteText"/>
      </w:pPr>
      <w:r>
        <w:rPr>
          <w:rStyle w:val="FootnoteReference"/>
        </w:rPr>
        <w:footnoteRef/>
      </w:r>
      <w:r w:rsidRPr="0008724B">
        <w:t>Note however that this proportion varies considerably depending on how significantly gas is used as a fuel.</w:t>
      </w:r>
    </w:p>
  </w:footnote>
  <w:footnote w:id="2">
    <w:p w:rsidR="002C13E2" w:rsidRDefault="002C13E2">
      <w:pPr>
        <w:pStyle w:val="FootnoteText"/>
      </w:pPr>
      <w:r>
        <w:rPr>
          <w:rStyle w:val="FootnoteReference"/>
        </w:rPr>
        <w:footnoteRef/>
      </w:r>
      <w:r w:rsidRPr="00E50998">
        <w:t>Note however that this proportion varies considerably depending on how significantly gas is used as a fuel.</w:t>
      </w:r>
    </w:p>
  </w:footnote>
  <w:footnote w:id="3">
    <w:p w:rsidR="002C13E2" w:rsidRDefault="002C13E2" w:rsidP="002101CC">
      <w:pPr>
        <w:pStyle w:val="FootnoteText"/>
      </w:pPr>
      <w:r>
        <w:rPr>
          <w:rStyle w:val="FootnoteReference"/>
        </w:rPr>
        <w:footnoteRef/>
      </w:r>
      <w:r>
        <w:t xml:space="preserve"> Based on EC244/2009. This provides scope for white light (all possible CCT) along black-body locus. This excludes ‘colour’ lamps but provides a very wide acceptance band (far beyond the ANSI quadrangles that are used for binning). </w:t>
      </w:r>
      <w:r w:rsidRPr="000F7AAA">
        <w:t>UVA/UVB lamps excluded for medical reasons.</w:t>
      </w:r>
    </w:p>
  </w:footnote>
  <w:footnote w:id="4">
    <w:p w:rsidR="002C13E2" w:rsidRDefault="002C13E2" w:rsidP="005E5E2E">
      <w:pPr>
        <w:pStyle w:val="FootnoteText"/>
      </w:pPr>
      <w:r>
        <w:rPr>
          <w:rStyle w:val="FootnoteReference"/>
        </w:rPr>
        <w:footnoteRef/>
      </w:r>
      <w:r>
        <w:t xml:space="preserve"> From IEC FDIS 62612 Section 11.1:</w:t>
      </w:r>
    </w:p>
  </w:footnote>
  <w:footnote w:id="5">
    <w:p w:rsidR="002C13E2" w:rsidRPr="005C6613" w:rsidRDefault="002C13E2" w:rsidP="00553881">
      <w:pPr>
        <w:pStyle w:val="FootnoteText"/>
        <w:rPr>
          <w:lang w:val="en-US"/>
        </w:rPr>
      </w:pPr>
      <w:r>
        <w:rPr>
          <w:rStyle w:val="FootnoteReference"/>
        </w:rPr>
        <w:footnoteRef/>
      </w:r>
      <w:r>
        <w:rPr>
          <w:lang w:val="en-US"/>
        </w:rPr>
        <w:t>Australian greenhouse gas emission factor as at 2014 given as 0.8774; New Zealand emission factor 0.1380 in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79" w:rsidRDefault="00976B7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3E2" w:rsidRDefault="002C13E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3E2" w:rsidRDefault="002C13E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3E2" w:rsidRDefault="002C13E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3E2" w:rsidRDefault="002C13E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3E2" w:rsidRDefault="002C13E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3E2" w:rsidRDefault="002C13E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3E2" w:rsidRDefault="002C13E2" w:rsidP="00D755F0">
    <w:pPr>
      <w:pStyle w:val="Header"/>
      <w:ind w:hanging="1134"/>
    </w:pPr>
    <w:r>
      <w:rPr>
        <w:noProof/>
        <w:lang w:eastAsia="en-AU"/>
      </w:rPr>
      <w:drawing>
        <wp:inline distT="0" distB="0" distL="0" distR="0" wp14:anchorId="337C1F21" wp14:editId="3BC31426">
          <wp:extent cx="7560310" cy="10687050"/>
          <wp:effectExtent l="0" t="0" r="2540" b="0"/>
          <wp:docPr id="77"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_back-page.jpg"/>
                  <pic:cNvPicPr/>
                </pic:nvPicPr>
                <pic:blipFill>
                  <a:blip r:embed="rId1">
                    <a:extLst>
                      <a:ext uri="{28A0092B-C50C-407E-A947-70E740481C1C}">
                        <a14:useLocalDpi xmlns:a14="http://schemas.microsoft.com/office/drawing/2010/main" val="0"/>
                      </a:ext>
                    </a:extLst>
                  </a:blip>
                  <a:stretch>
                    <a:fillRect/>
                  </a:stretch>
                </pic:blipFill>
                <pic:spPr>
                  <a:xfrm>
                    <a:off x="0" y="0"/>
                    <a:ext cx="7560310" cy="1068705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3E2" w:rsidRDefault="007C2EFC">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5pt;height:1.55pt" o:hrpct="0" o:hralign="center" o:hr="t">
          <v:imagedata r:id="rId1" o:title="Default Line"/>
        </v:shape>
      </w:pict>
    </w:r>
  </w:p>
  <w:p w:rsidR="002C13E2" w:rsidRDefault="002C13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3E2" w:rsidRDefault="002C13E2" w:rsidP="00BD1579">
    <w:pPr>
      <w:pStyle w:val="Header"/>
      <w:ind w:hanging="1985"/>
    </w:pPr>
    <w:r>
      <w:rPr>
        <w:noProof/>
        <w:lang w:eastAsia="en-AU"/>
      </w:rPr>
      <w:drawing>
        <wp:inline distT="0" distB="0" distL="0" distR="0">
          <wp:extent cx="7562182" cy="10696575"/>
          <wp:effectExtent l="0" t="0" r="1270" b="0"/>
          <wp:docPr id="21" name="Picture 4" descr="The Equipment Energy Efficiency (E3) Program is a joint initiative of the Australian, Commonwealth, State and Territory governments and the New Zealand Government.  Improving the energy efficiency of appliances and products has significant economic and environmental benefits for Australia and New Zealand.  It reduces greenhouse gas emissions and energy demand in both countries. It also reduces the running costs of appliances and products for households and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Product Profile cov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3E2" w:rsidRPr="00F0347E" w:rsidRDefault="002C13E2" w:rsidP="00F0347E">
    <w:pPr>
      <w:pStyle w:val="Header"/>
    </w:pPr>
    <w:r>
      <w:rPr>
        <w:noProof/>
        <w:lang w:eastAsia="en-AU"/>
      </w:rPr>
      <w:drawing>
        <wp:inline distT="0" distB="0" distL="0" distR="0" wp14:anchorId="4B551869" wp14:editId="1A964658">
          <wp:extent cx="6120765" cy="1795856"/>
          <wp:effectExtent l="0" t="0" r="0" b="0"/>
          <wp:docPr id="298" name="Picture 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Chapter Start - productProfile.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5856"/>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3E2" w:rsidRDefault="002C13E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3E2" w:rsidRDefault="002C13E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3E2" w:rsidRDefault="002C13E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3E2" w:rsidRDefault="002C13E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3E2" w:rsidRDefault="002C13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28A7168"/>
    <w:lvl w:ilvl="0">
      <w:start w:val="1"/>
      <w:numFmt w:val="bullet"/>
      <w:pStyle w:val="ListBullet5"/>
      <w:lvlText w:val=""/>
      <w:lvlJc w:val="left"/>
      <w:pPr>
        <w:tabs>
          <w:tab w:val="num" w:pos="1800"/>
        </w:tabs>
        <w:ind w:left="1800" w:hanging="360"/>
      </w:pPr>
      <w:rPr>
        <w:rFonts w:ascii="Symbol" w:hAnsi="Symbol" w:hint="default"/>
      </w:rPr>
    </w:lvl>
  </w:abstractNum>
  <w:abstractNum w:abstractNumId="1">
    <w:nsid w:val="FFFFFF81"/>
    <w:multiLevelType w:val="singleLevel"/>
    <w:tmpl w:val="6F7ED56C"/>
    <w:lvl w:ilvl="0">
      <w:start w:val="1"/>
      <w:numFmt w:val="bullet"/>
      <w:pStyle w:val="ListBullet4"/>
      <w:lvlText w:val=""/>
      <w:lvlJc w:val="left"/>
      <w:pPr>
        <w:tabs>
          <w:tab w:val="num" w:pos="1440"/>
        </w:tabs>
        <w:ind w:left="1440" w:hanging="360"/>
      </w:pPr>
      <w:rPr>
        <w:rFonts w:ascii="Symbol" w:hAnsi="Symbol" w:hint="default"/>
      </w:rPr>
    </w:lvl>
  </w:abstractNum>
  <w:abstractNum w:abstractNumId="2">
    <w:nsid w:val="FFFFFF89"/>
    <w:multiLevelType w:val="singleLevel"/>
    <w:tmpl w:val="14C4E172"/>
    <w:lvl w:ilvl="0">
      <w:start w:val="1"/>
      <w:numFmt w:val="bullet"/>
      <w:pStyle w:val="ListBullet"/>
      <w:lvlText w:val="—"/>
      <w:lvlJc w:val="left"/>
      <w:pPr>
        <w:tabs>
          <w:tab w:val="num" w:pos="360"/>
        </w:tabs>
        <w:ind w:left="360" w:hanging="360"/>
      </w:pPr>
      <w:rPr>
        <w:rFonts w:ascii="Times New Roman" w:hAnsi="Times New Roman" w:hint="default"/>
        <w:color w:val="FF0000"/>
      </w:rPr>
    </w:lvl>
  </w:abstractNum>
  <w:abstractNum w:abstractNumId="3">
    <w:nsid w:val="00A97737"/>
    <w:multiLevelType w:val="multilevel"/>
    <w:tmpl w:val="B80C16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16110E6"/>
    <w:multiLevelType w:val="hybridMultilevel"/>
    <w:tmpl w:val="D6EA5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3BE3C67"/>
    <w:multiLevelType w:val="hybridMultilevel"/>
    <w:tmpl w:val="1BAE4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4932BF6"/>
    <w:multiLevelType w:val="hybridMultilevel"/>
    <w:tmpl w:val="58DA0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B9D362D"/>
    <w:multiLevelType w:val="hybridMultilevel"/>
    <w:tmpl w:val="C9BA7CCA"/>
    <w:lvl w:ilvl="0" w:tplc="1632EE1E">
      <w:start w:val="1"/>
      <w:numFmt w:val="bullet"/>
      <w:pStyle w:val="E3Bullets"/>
      <w:lvlText w:val="•"/>
      <w:lvlJc w:val="left"/>
      <w:pPr>
        <w:ind w:left="720" w:hanging="360"/>
      </w:pPr>
      <w:rPr>
        <w:rFonts w:ascii="Georgia" w:hAnsi="Georgia" w:hint="default"/>
        <w:color w:val="E31F2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EC5B04"/>
    <w:multiLevelType w:val="hybridMultilevel"/>
    <w:tmpl w:val="FD5EB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F3816A2"/>
    <w:multiLevelType w:val="hybridMultilevel"/>
    <w:tmpl w:val="148A339A"/>
    <w:lvl w:ilvl="0" w:tplc="0A6C2AF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F666744"/>
    <w:multiLevelType w:val="hybridMultilevel"/>
    <w:tmpl w:val="B7502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0095ED8"/>
    <w:multiLevelType w:val="hybridMultilevel"/>
    <w:tmpl w:val="C1A67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1204532C"/>
    <w:multiLevelType w:val="hybridMultilevel"/>
    <w:tmpl w:val="1B423010"/>
    <w:lvl w:ilvl="0" w:tplc="0A6C2AF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91E486B"/>
    <w:multiLevelType w:val="hybridMultilevel"/>
    <w:tmpl w:val="9C74B8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A1D0C7B"/>
    <w:multiLevelType w:val="hybridMultilevel"/>
    <w:tmpl w:val="08644152"/>
    <w:lvl w:ilvl="0" w:tplc="CAB62B4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B1D5B36"/>
    <w:multiLevelType w:val="hybridMultilevel"/>
    <w:tmpl w:val="978EA524"/>
    <w:lvl w:ilvl="0" w:tplc="1036662C">
      <w:start w:val="1"/>
      <w:numFmt w:val="bullet"/>
      <w:lvlText w:val=""/>
      <w:lvlJc w:val="left"/>
      <w:pPr>
        <w:ind w:left="720" w:hanging="360"/>
      </w:pPr>
      <w:rPr>
        <w:rFonts w:ascii="Symbol" w:hAnsi="Symbol" w:hint="default"/>
      </w:rPr>
    </w:lvl>
    <w:lvl w:ilvl="1" w:tplc="26DE562C">
      <w:start w:val="1"/>
      <w:numFmt w:val="bullet"/>
      <w:lvlText w:val="o"/>
      <w:lvlJc w:val="left"/>
      <w:pPr>
        <w:ind w:left="1440" w:hanging="360"/>
      </w:pPr>
      <w:rPr>
        <w:rFonts w:ascii="Courier New" w:hAnsi="Courier New" w:cs="Courier New" w:hint="default"/>
      </w:rPr>
    </w:lvl>
    <w:lvl w:ilvl="2" w:tplc="72663038" w:tentative="1">
      <w:start w:val="1"/>
      <w:numFmt w:val="bullet"/>
      <w:lvlText w:val=""/>
      <w:lvlJc w:val="left"/>
      <w:pPr>
        <w:ind w:left="2160" w:hanging="360"/>
      </w:pPr>
      <w:rPr>
        <w:rFonts w:ascii="Wingdings" w:hAnsi="Wingdings" w:hint="default"/>
      </w:rPr>
    </w:lvl>
    <w:lvl w:ilvl="3" w:tplc="27903CB6" w:tentative="1">
      <w:start w:val="1"/>
      <w:numFmt w:val="bullet"/>
      <w:lvlText w:val=""/>
      <w:lvlJc w:val="left"/>
      <w:pPr>
        <w:ind w:left="2880" w:hanging="360"/>
      </w:pPr>
      <w:rPr>
        <w:rFonts w:ascii="Symbol" w:hAnsi="Symbol" w:hint="default"/>
      </w:rPr>
    </w:lvl>
    <w:lvl w:ilvl="4" w:tplc="92F8AD2A" w:tentative="1">
      <w:start w:val="1"/>
      <w:numFmt w:val="bullet"/>
      <w:lvlText w:val="o"/>
      <w:lvlJc w:val="left"/>
      <w:pPr>
        <w:ind w:left="3600" w:hanging="360"/>
      </w:pPr>
      <w:rPr>
        <w:rFonts w:ascii="Courier New" w:hAnsi="Courier New" w:cs="Courier New" w:hint="default"/>
      </w:rPr>
    </w:lvl>
    <w:lvl w:ilvl="5" w:tplc="BCCA2A94" w:tentative="1">
      <w:start w:val="1"/>
      <w:numFmt w:val="bullet"/>
      <w:lvlText w:val=""/>
      <w:lvlJc w:val="left"/>
      <w:pPr>
        <w:ind w:left="4320" w:hanging="360"/>
      </w:pPr>
      <w:rPr>
        <w:rFonts w:ascii="Wingdings" w:hAnsi="Wingdings" w:hint="default"/>
      </w:rPr>
    </w:lvl>
    <w:lvl w:ilvl="6" w:tplc="E4AAFACE" w:tentative="1">
      <w:start w:val="1"/>
      <w:numFmt w:val="bullet"/>
      <w:lvlText w:val=""/>
      <w:lvlJc w:val="left"/>
      <w:pPr>
        <w:ind w:left="5040" w:hanging="360"/>
      </w:pPr>
      <w:rPr>
        <w:rFonts w:ascii="Symbol" w:hAnsi="Symbol" w:hint="default"/>
      </w:rPr>
    </w:lvl>
    <w:lvl w:ilvl="7" w:tplc="5152185C" w:tentative="1">
      <w:start w:val="1"/>
      <w:numFmt w:val="bullet"/>
      <w:lvlText w:val="o"/>
      <w:lvlJc w:val="left"/>
      <w:pPr>
        <w:ind w:left="5760" w:hanging="360"/>
      </w:pPr>
      <w:rPr>
        <w:rFonts w:ascii="Courier New" w:hAnsi="Courier New" w:cs="Courier New" w:hint="default"/>
      </w:rPr>
    </w:lvl>
    <w:lvl w:ilvl="8" w:tplc="CB3C77BA" w:tentative="1">
      <w:start w:val="1"/>
      <w:numFmt w:val="bullet"/>
      <w:lvlText w:val=""/>
      <w:lvlJc w:val="left"/>
      <w:pPr>
        <w:ind w:left="6480" w:hanging="360"/>
      </w:pPr>
      <w:rPr>
        <w:rFonts w:ascii="Wingdings" w:hAnsi="Wingdings" w:hint="default"/>
      </w:rPr>
    </w:lvl>
  </w:abstractNum>
  <w:abstractNum w:abstractNumId="16">
    <w:nsid w:val="1EFE2707"/>
    <w:multiLevelType w:val="hybridMultilevel"/>
    <w:tmpl w:val="D548D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36A4DCE"/>
    <w:multiLevelType w:val="multilevel"/>
    <w:tmpl w:val="A22CDB60"/>
    <w:lvl w:ilvl="0">
      <w:start w:val="1"/>
      <w:numFmt w:val="decimal"/>
      <w:pStyle w:val="Heading1"/>
      <w:lvlText w:val="%1"/>
      <w:lvlJc w:val="left"/>
      <w:pPr>
        <w:ind w:left="574" w:hanging="432"/>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248B14DE"/>
    <w:multiLevelType w:val="hybridMultilevel"/>
    <w:tmpl w:val="405212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FA63ED7"/>
    <w:multiLevelType w:val="hybridMultilevel"/>
    <w:tmpl w:val="0874CCA8"/>
    <w:lvl w:ilvl="0" w:tplc="21C86D66">
      <w:start w:val="1"/>
      <w:numFmt w:val="bullet"/>
      <w:lvlText w:val=""/>
      <w:lvlJc w:val="left"/>
      <w:pPr>
        <w:ind w:left="720" w:hanging="360"/>
      </w:pPr>
      <w:rPr>
        <w:rFonts w:ascii="Symbol" w:hAnsi="Symbol" w:hint="default"/>
      </w:rPr>
    </w:lvl>
    <w:lvl w:ilvl="1" w:tplc="529EEF7A" w:tentative="1">
      <w:start w:val="1"/>
      <w:numFmt w:val="bullet"/>
      <w:lvlText w:val="o"/>
      <w:lvlJc w:val="left"/>
      <w:pPr>
        <w:ind w:left="1440" w:hanging="360"/>
      </w:pPr>
      <w:rPr>
        <w:rFonts w:ascii="Courier New" w:hAnsi="Courier New" w:cs="Courier New" w:hint="default"/>
      </w:rPr>
    </w:lvl>
    <w:lvl w:ilvl="2" w:tplc="9E92C7B2" w:tentative="1">
      <w:start w:val="1"/>
      <w:numFmt w:val="bullet"/>
      <w:lvlText w:val=""/>
      <w:lvlJc w:val="left"/>
      <w:pPr>
        <w:ind w:left="2160" w:hanging="360"/>
      </w:pPr>
      <w:rPr>
        <w:rFonts w:ascii="Wingdings" w:hAnsi="Wingdings" w:hint="default"/>
      </w:rPr>
    </w:lvl>
    <w:lvl w:ilvl="3" w:tplc="791ECFEE" w:tentative="1">
      <w:start w:val="1"/>
      <w:numFmt w:val="bullet"/>
      <w:lvlText w:val=""/>
      <w:lvlJc w:val="left"/>
      <w:pPr>
        <w:ind w:left="2880" w:hanging="360"/>
      </w:pPr>
      <w:rPr>
        <w:rFonts w:ascii="Symbol" w:hAnsi="Symbol" w:hint="default"/>
      </w:rPr>
    </w:lvl>
    <w:lvl w:ilvl="4" w:tplc="595A47E6" w:tentative="1">
      <w:start w:val="1"/>
      <w:numFmt w:val="bullet"/>
      <w:lvlText w:val="o"/>
      <w:lvlJc w:val="left"/>
      <w:pPr>
        <w:ind w:left="3600" w:hanging="360"/>
      </w:pPr>
      <w:rPr>
        <w:rFonts w:ascii="Courier New" w:hAnsi="Courier New" w:cs="Courier New" w:hint="default"/>
      </w:rPr>
    </w:lvl>
    <w:lvl w:ilvl="5" w:tplc="C3CE55DC" w:tentative="1">
      <w:start w:val="1"/>
      <w:numFmt w:val="bullet"/>
      <w:lvlText w:val=""/>
      <w:lvlJc w:val="left"/>
      <w:pPr>
        <w:ind w:left="4320" w:hanging="360"/>
      </w:pPr>
      <w:rPr>
        <w:rFonts w:ascii="Wingdings" w:hAnsi="Wingdings" w:hint="default"/>
      </w:rPr>
    </w:lvl>
    <w:lvl w:ilvl="6" w:tplc="49060238" w:tentative="1">
      <w:start w:val="1"/>
      <w:numFmt w:val="bullet"/>
      <w:lvlText w:val=""/>
      <w:lvlJc w:val="left"/>
      <w:pPr>
        <w:ind w:left="5040" w:hanging="360"/>
      </w:pPr>
      <w:rPr>
        <w:rFonts w:ascii="Symbol" w:hAnsi="Symbol" w:hint="default"/>
      </w:rPr>
    </w:lvl>
    <w:lvl w:ilvl="7" w:tplc="690094AE" w:tentative="1">
      <w:start w:val="1"/>
      <w:numFmt w:val="bullet"/>
      <w:lvlText w:val="o"/>
      <w:lvlJc w:val="left"/>
      <w:pPr>
        <w:ind w:left="5760" w:hanging="360"/>
      </w:pPr>
      <w:rPr>
        <w:rFonts w:ascii="Courier New" w:hAnsi="Courier New" w:cs="Courier New" w:hint="default"/>
      </w:rPr>
    </w:lvl>
    <w:lvl w:ilvl="8" w:tplc="3B42B266" w:tentative="1">
      <w:start w:val="1"/>
      <w:numFmt w:val="bullet"/>
      <w:lvlText w:val=""/>
      <w:lvlJc w:val="left"/>
      <w:pPr>
        <w:ind w:left="6480" w:hanging="360"/>
      </w:pPr>
      <w:rPr>
        <w:rFonts w:ascii="Wingdings" w:hAnsi="Wingdings" w:hint="default"/>
      </w:rPr>
    </w:lvl>
  </w:abstractNum>
  <w:abstractNum w:abstractNumId="20">
    <w:nsid w:val="31F958FA"/>
    <w:multiLevelType w:val="hybridMultilevel"/>
    <w:tmpl w:val="75CC7DAE"/>
    <w:lvl w:ilvl="0" w:tplc="CAE2CC46">
      <w:start w:val="1"/>
      <w:numFmt w:val="bullet"/>
      <w:lvlText w:val=""/>
      <w:lvlJc w:val="left"/>
      <w:pPr>
        <w:ind w:left="720" w:hanging="360"/>
      </w:pPr>
      <w:rPr>
        <w:rFonts w:ascii="Symbol" w:hAnsi="Symbol" w:hint="default"/>
      </w:rPr>
    </w:lvl>
    <w:lvl w:ilvl="1" w:tplc="25267750" w:tentative="1">
      <w:start w:val="1"/>
      <w:numFmt w:val="bullet"/>
      <w:lvlText w:val="o"/>
      <w:lvlJc w:val="left"/>
      <w:pPr>
        <w:ind w:left="1440" w:hanging="360"/>
      </w:pPr>
      <w:rPr>
        <w:rFonts w:ascii="Courier New" w:hAnsi="Courier New" w:cs="Courier New" w:hint="default"/>
      </w:rPr>
    </w:lvl>
    <w:lvl w:ilvl="2" w:tplc="D758EE3A" w:tentative="1">
      <w:start w:val="1"/>
      <w:numFmt w:val="bullet"/>
      <w:lvlText w:val=""/>
      <w:lvlJc w:val="left"/>
      <w:pPr>
        <w:ind w:left="2160" w:hanging="360"/>
      </w:pPr>
      <w:rPr>
        <w:rFonts w:ascii="Wingdings" w:hAnsi="Wingdings" w:hint="default"/>
      </w:rPr>
    </w:lvl>
    <w:lvl w:ilvl="3" w:tplc="CCF8C844" w:tentative="1">
      <w:start w:val="1"/>
      <w:numFmt w:val="bullet"/>
      <w:lvlText w:val=""/>
      <w:lvlJc w:val="left"/>
      <w:pPr>
        <w:ind w:left="2880" w:hanging="360"/>
      </w:pPr>
      <w:rPr>
        <w:rFonts w:ascii="Symbol" w:hAnsi="Symbol" w:hint="default"/>
      </w:rPr>
    </w:lvl>
    <w:lvl w:ilvl="4" w:tplc="54884402" w:tentative="1">
      <w:start w:val="1"/>
      <w:numFmt w:val="bullet"/>
      <w:lvlText w:val="o"/>
      <w:lvlJc w:val="left"/>
      <w:pPr>
        <w:ind w:left="3600" w:hanging="360"/>
      </w:pPr>
      <w:rPr>
        <w:rFonts w:ascii="Courier New" w:hAnsi="Courier New" w:cs="Courier New" w:hint="default"/>
      </w:rPr>
    </w:lvl>
    <w:lvl w:ilvl="5" w:tplc="4F445398" w:tentative="1">
      <w:start w:val="1"/>
      <w:numFmt w:val="bullet"/>
      <w:lvlText w:val=""/>
      <w:lvlJc w:val="left"/>
      <w:pPr>
        <w:ind w:left="4320" w:hanging="360"/>
      </w:pPr>
      <w:rPr>
        <w:rFonts w:ascii="Wingdings" w:hAnsi="Wingdings" w:hint="default"/>
      </w:rPr>
    </w:lvl>
    <w:lvl w:ilvl="6" w:tplc="86168E28" w:tentative="1">
      <w:start w:val="1"/>
      <w:numFmt w:val="bullet"/>
      <w:lvlText w:val=""/>
      <w:lvlJc w:val="left"/>
      <w:pPr>
        <w:ind w:left="5040" w:hanging="360"/>
      </w:pPr>
      <w:rPr>
        <w:rFonts w:ascii="Symbol" w:hAnsi="Symbol" w:hint="default"/>
      </w:rPr>
    </w:lvl>
    <w:lvl w:ilvl="7" w:tplc="189C7EBA" w:tentative="1">
      <w:start w:val="1"/>
      <w:numFmt w:val="bullet"/>
      <w:lvlText w:val="o"/>
      <w:lvlJc w:val="left"/>
      <w:pPr>
        <w:ind w:left="5760" w:hanging="360"/>
      </w:pPr>
      <w:rPr>
        <w:rFonts w:ascii="Courier New" w:hAnsi="Courier New" w:cs="Courier New" w:hint="default"/>
      </w:rPr>
    </w:lvl>
    <w:lvl w:ilvl="8" w:tplc="153287DC" w:tentative="1">
      <w:start w:val="1"/>
      <w:numFmt w:val="bullet"/>
      <w:lvlText w:val=""/>
      <w:lvlJc w:val="left"/>
      <w:pPr>
        <w:ind w:left="6480" w:hanging="360"/>
      </w:pPr>
      <w:rPr>
        <w:rFonts w:ascii="Wingdings" w:hAnsi="Wingdings" w:hint="default"/>
      </w:rPr>
    </w:lvl>
  </w:abstractNum>
  <w:abstractNum w:abstractNumId="21">
    <w:nsid w:val="35E972A5"/>
    <w:multiLevelType w:val="hybridMultilevel"/>
    <w:tmpl w:val="80D83E2A"/>
    <w:lvl w:ilvl="0" w:tplc="B100D5A8">
      <w:start w:val="1"/>
      <w:numFmt w:val="lowerRoman"/>
      <w:lvlText w:val="(%1)"/>
      <w:lvlJc w:val="left"/>
      <w:pPr>
        <w:ind w:left="720" w:hanging="360"/>
      </w:pPr>
      <w:rPr>
        <w:rFonts w:hint="default"/>
      </w:rPr>
    </w:lvl>
    <w:lvl w:ilvl="1" w:tplc="0A08408C">
      <w:start w:val="1"/>
      <w:numFmt w:val="lowerLetter"/>
      <w:lvlText w:val="(%2)"/>
      <w:lvlJc w:val="left"/>
      <w:pPr>
        <w:ind w:left="1800" w:hanging="720"/>
      </w:pPr>
      <w:rPr>
        <w:rFonts w:hint="default"/>
      </w:rPr>
    </w:lvl>
    <w:lvl w:ilvl="2" w:tplc="AE9631D2" w:tentative="1">
      <w:start w:val="1"/>
      <w:numFmt w:val="lowerRoman"/>
      <w:lvlText w:val="%3."/>
      <w:lvlJc w:val="right"/>
      <w:pPr>
        <w:ind w:left="2160" w:hanging="180"/>
      </w:pPr>
    </w:lvl>
    <w:lvl w:ilvl="3" w:tplc="C0029FAC" w:tentative="1">
      <w:start w:val="1"/>
      <w:numFmt w:val="decimal"/>
      <w:lvlText w:val="%4."/>
      <w:lvlJc w:val="left"/>
      <w:pPr>
        <w:ind w:left="2880" w:hanging="360"/>
      </w:pPr>
    </w:lvl>
    <w:lvl w:ilvl="4" w:tplc="314EF2D2" w:tentative="1">
      <w:start w:val="1"/>
      <w:numFmt w:val="lowerLetter"/>
      <w:lvlText w:val="%5."/>
      <w:lvlJc w:val="left"/>
      <w:pPr>
        <w:ind w:left="3600" w:hanging="360"/>
      </w:pPr>
    </w:lvl>
    <w:lvl w:ilvl="5" w:tplc="1CA8D336" w:tentative="1">
      <w:start w:val="1"/>
      <w:numFmt w:val="lowerRoman"/>
      <w:lvlText w:val="%6."/>
      <w:lvlJc w:val="right"/>
      <w:pPr>
        <w:ind w:left="4320" w:hanging="180"/>
      </w:pPr>
    </w:lvl>
    <w:lvl w:ilvl="6" w:tplc="365CDBE4" w:tentative="1">
      <w:start w:val="1"/>
      <w:numFmt w:val="decimal"/>
      <w:lvlText w:val="%7."/>
      <w:lvlJc w:val="left"/>
      <w:pPr>
        <w:ind w:left="5040" w:hanging="360"/>
      </w:pPr>
    </w:lvl>
    <w:lvl w:ilvl="7" w:tplc="3E58371E" w:tentative="1">
      <w:start w:val="1"/>
      <w:numFmt w:val="lowerLetter"/>
      <w:lvlText w:val="%8."/>
      <w:lvlJc w:val="left"/>
      <w:pPr>
        <w:ind w:left="5760" w:hanging="360"/>
      </w:pPr>
    </w:lvl>
    <w:lvl w:ilvl="8" w:tplc="D52C97D8" w:tentative="1">
      <w:start w:val="1"/>
      <w:numFmt w:val="lowerRoman"/>
      <w:lvlText w:val="%9."/>
      <w:lvlJc w:val="right"/>
      <w:pPr>
        <w:ind w:left="6480" w:hanging="180"/>
      </w:pPr>
    </w:lvl>
  </w:abstractNum>
  <w:abstractNum w:abstractNumId="22">
    <w:nsid w:val="37B42402"/>
    <w:multiLevelType w:val="hybridMultilevel"/>
    <w:tmpl w:val="33547286"/>
    <w:lvl w:ilvl="0" w:tplc="81B6BEB2">
      <w:start w:val="1"/>
      <w:numFmt w:val="lowerLetter"/>
      <w:lvlText w:val="(%1)"/>
      <w:lvlJc w:val="left"/>
      <w:pPr>
        <w:ind w:left="720" w:hanging="360"/>
      </w:pPr>
      <w:rPr>
        <w:rFonts w:hint="default"/>
      </w:rPr>
    </w:lvl>
    <w:lvl w:ilvl="1" w:tplc="6E8E9BF6" w:tentative="1">
      <w:start w:val="1"/>
      <w:numFmt w:val="lowerLetter"/>
      <w:lvlText w:val="%2."/>
      <w:lvlJc w:val="left"/>
      <w:pPr>
        <w:ind w:left="1440" w:hanging="360"/>
      </w:pPr>
    </w:lvl>
    <w:lvl w:ilvl="2" w:tplc="B2060E92" w:tentative="1">
      <w:start w:val="1"/>
      <w:numFmt w:val="lowerRoman"/>
      <w:lvlText w:val="%3."/>
      <w:lvlJc w:val="right"/>
      <w:pPr>
        <w:ind w:left="2160" w:hanging="180"/>
      </w:pPr>
    </w:lvl>
    <w:lvl w:ilvl="3" w:tplc="74345EE0" w:tentative="1">
      <w:start w:val="1"/>
      <w:numFmt w:val="decimal"/>
      <w:lvlText w:val="%4."/>
      <w:lvlJc w:val="left"/>
      <w:pPr>
        <w:ind w:left="2880" w:hanging="360"/>
      </w:pPr>
    </w:lvl>
    <w:lvl w:ilvl="4" w:tplc="4642C89E" w:tentative="1">
      <w:start w:val="1"/>
      <w:numFmt w:val="lowerLetter"/>
      <w:lvlText w:val="%5."/>
      <w:lvlJc w:val="left"/>
      <w:pPr>
        <w:ind w:left="3600" w:hanging="360"/>
      </w:pPr>
    </w:lvl>
    <w:lvl w:ilvl="5" w:tplc="E7924C80" w:tentative="1">
      <w:start w:val="1"/>
      <w:numFmt w:val="lowerRoman"/>
      <w:lvlText w:val="%6."/>
      <w:lvlJc w:val="right"/>
      <w:pPr>
        <w:ind w:left="4320" w:hanging="180"/>
      </w:pPr>
    </w:lvl>
    <w:lvl w:ilvl="6" w:tplc="53DC6F38" w:tentative="1">
      <w:start w:val="1"/>
      <w:numFmt w:val="decimal"/>
      <w:lvlText w:val="%7."/>
      <w:lvlJc w:val="left"/>
      <w:pPr>
        <w:ind w:left="5040" w:hanging="360"/>
      </w:pPr>
    </w:lvl>
    <w:lvl w:ilvl="7" w:tplc="2E000112" w:tentative="1">
      <w:start w:val="1"/>
      <w:numFmt w:val="lowerLetter"/>
      <w:lvlText w:val="%8."/>
      <w:lvlJc w:val="left"/>
      <w:pPr>
        <w:ind w:left="5760" w:hanging="360"/>
      </w:pPr>
    </w:lvl>
    <w:lvl w:ilvl="8" w:tplc="7E8C3AF2" w:tentative="1">
      <w:start w:val="1"/>
      <w:numFmt w:val="lowerRoman"/>
      <w:lvlText w:val="%9."/>
      <w:lvlJc w:val="right"/>
      <w:pPr>
        <w:ind w:left="6480" w:hanging="180"/>
      </w:pPr>
    </w:lvl>
  </w:abstractNum>
  <w:abstractNum w:abstractNumId="23">
    <w:nsid w:val="3D1504F3"/>
    <w:multiLevelType w:val="hybridMultilevel"/>
    <w:tmpl w:val="0748B952"/>
    <w:lvl w:ilvl="0" w:tplc="B5C4B43C">
      <w:start w:val="1"/>
      <w:numFmt w:val="lowerLetter"/>
      <w:lvlText w:val="(%1)"/>
      <w:lvlJc w:val="left"/>
      <w:pPr>
        <w:ind w:left="720" w:hanging="360"/>
      </w:pPr>
      <w:rPr>
        <w:rFonts w:hint="default"/>
      </w:rPr>
    </w:lvl>
    <w:lvl w:ilvl="1" w:tplc="CE622E6E" w:tentative="1">
      <w:start w:val="1"/>
      <w:numFmt w:val="lowerLetter"/>
      <w:lvlText w:val="%2."/>
      <w:lvlJc w:val="left"/>
      <w:pPr>
        <w:ind w:left="1440" w:hanging="360"/>
      </w:pPr>
    </w:lvl>
    <w:lvl w:ilvl="2" w:tplc="80469952" w:tentative="1">
      <w:start w:val="1"/>
      <w:numFmt w:val="lowerRoman"/>
      <w:lvlText w:val="%3."/>
      <w:lvlJc w:val="right"/>
      <w:pPr>
        <w:ind w:left="2160" w:hanging="180"/>
      </w:pPr>
    </w:lvl>
    <w:lvl w:ilvl="3" w:tplc="8EC0E86C" w:tentative="1">
      <w:start w:val="1"/>
      <w:numFmt w:val="decimal"/>
      <w:lvlText w:val="%4."/>
      <w:lvlJc w:val="left"/>
      <w:pPr>
        <w:ind w:left="2880" w:hanging="360"/>
      </w:pPr>
    </w:lvl>
    <w:lvl w:ilvl="4" w:tplc="1DC2EADE" w:tentative="1">
      <w:start w:val="1"/>
      <w:numFmt w:val="lowerLetter"/>
      <w:lvlText w:val="%5."/>
      <w:lvlJc w:val="left"/>
      <w:pPr>
        <w:ind w:left="3600" w:hanging="360"/>
      </w:pPr>
    </w:lvl>
    <w:lvl w:ilvl="5" w:tplc="F73433C4" w:tentative="1">
      <w:start w:val="1"/>
      <w:numFmt w:val="lowerRoman"/>
      <w:lvlText w:val="%6."/>
      <w:lvlJc w:val="right"/>
      <w:pPr>
        <w:ind w:left="4320" w:hanging="180"/>
      </w:pPr>
    </w:lvl>
    <w:lvl w:ilvl="6" w:tplc="6C4E753C" w:tentative="1">
      <w:start w:val="1"/>
      <w:numFmt w:val="decimal"/>
      <w:lvlText w:val="%7."/>
      <w:lvlJc w:val="left"/>
      <w:pPr>
        <w:ind w:left="5040" w:hanging="360"/>
      </w:pPr>
    </w:lvl>
    <w:lvl w:ilvl="7" w:tplc="DFB8262E" w:tentative="1">
      <w:start w:val="1"/>
      <w:numFmt w:val="lowerLetter"/>
      <w:lvlText w:val="%8."/>
      <w:lvlJc w:val="left"/>
      <w:pPr>
        <w:ind w:left="5760" w:hanging="360"/>
      </w:pPr>
    </w:lvl>
    <w:lvl w:ilvl="8" w:tplc="F484137C" w:tentative="1">
      <w:start w:val="1"/>
      <w:numFmt w:val="lowerRoman"/>
      <w:lvlText w:val="%9."/>
      <w:lvlJc w:val="right"/>
      <w:pPr>
        <w:ind w:left="6480" w:hanging="180"/>
      </w:pPr>
    </w:lvl>
  </w:abstractNum>
  <w:abstractNum w:abstractNumId="24">
    <w:nsid w:val="3F8A4614"/>
    <w:multiLevelType w:val="multilevel"/>
    <w:tmpl w:val="B80C16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0F37AAE"/>
    <w:multiLevelType w:val="multilevel"/>
    <w:tmpl w:val="747EA04C"/>
    <w:styleLink w:val="StyleBulletedBold"/>
    <w:lvl w:ilvl="0">
      <w:start w:val="1"/>
      <w:numFmt w:val="bullet"/>
      <w:lvlText w:val=""/>
      <w:lvlJc w:val="left"/>
      <w:pPr>
        <w:tabs>
          <w:tab w:val="num" w:pos="1647"/>
        </w:tabs>
        <w:ind w:left="1647" w:hanging="567"/>
      </w:pPr>
      <w:rPr>
        <w:rFonts w:ascii="Symbol" w:hAnsi="Symbol" w:hint="default"/>
        <w:b/>
        <w:bCs/>
        <w:sz w:val="22"/>
      </w:rPr>
    </w:lvl>
    <w:lvl w:ilvl="1">
      <w:start w:val="1"/>
      <w:numFmt w:val="bullet"/>
      <w:lvlText w:val=""/>
      <w:lvlJc w:val="left"/>
      <w:pPr>
        <w:tabs>
          <w:tab w:val="num" w:pos="2520"/>
        </w:tabs>
        <w:ind w:left="2520" w:hanging="360"/>
      </w:pPr>
      <w:rPr>
        <w:rFonts w:ascii="Symbol" w:hAnsi="Symbol"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6">
    <w:nsid w:val="418C55D9"/>
    <w:multiLevelType w:val="hybridMultilevel"/>
    <w:tmpl w:val="3CFCF140"/>
    <w:lvl w:ilvl="0" w:tplc="9322F1B2">
      <w:start w:val="1"/>
      <w:numFmt w:val="lowerLetter"/>
      <w:lvlText w:val="(%1)"/>
      <w:lvlJc w:val="left"/>
      <w:pPr>
        <w:ind w:left="720" w:hanging="360"/>
      </w:pPr>
      <w:rPr>
        <w:rFonts w:hint="default"/>
      </w:rPr>
    </w:lvl>
    <w:lvl w:ilvl="1" w:tplc="DE621996" w:tentative="1">
      <w:start w:val="1"/>
      <w:numFmt w:val="lowerLetter"/>
      <w:lvlText w:val="%2."/>
      <w:lvlJc w:val="left"/>
      <w:pPr>
        <w:ind w:left="1440" w:hanging="360"/>
      </w:pPr>
    </w:lvl>
    <w:lvl w:ilvl="2" w:tplc="166ED5F0" w:tentative="1">
      <w:start w:val="1"/>
      <w:numFmt w:val="lowerRoman"/>
      <w:lvlText w:val="%3."/>
      <w:lvlJc w:val="right"/>
      <w:pPr>
        <w:ind w:left="2160" w:hanging="180"/>
      </w:pPr>
    </w:lvl>
    <w:lvl w:ilvl="3" w:tplc="D25A4FC2" w:tentative="1">
      <w:start w:val="1"/>
      <w:numFmt w:val="decimal"/>
      <w:lvlText w:val="%4."/>
      <w:lvlJc w:val="left"/>
      <w:pPr>
        <w:ind w:left="2880" w:hanging="360"/>
      </w:pPr>
    </w:lvl>
    <w:lvl w:ilvl="4" w:tplc="2B942488" w:tentative="1">
      <w:start w:val="1"/>
      <w:numFmt w:val="lowerLetter"/>
      <w:lvlText w:val="%5."/>
      <w:lvlJc w:val="left"/>
      <w:pPr>
        <w:ind w:left="3600" w:hanging="360"/>
      </w:pPr>
    </w:lvl>
    <w:lvl w:ilvl="5" w:tplc="BC06AF6E" w:tentative="1">
      <w:start w:val="1"/>
      <w:numFmt w:val="lowerRoman"/>
      <w:lvlText w:val="%6."/>
      <w:lvlJc w:val="right"/>
      <w:pPr>
        <w:ind w:left="4320" w:hanging="180"/>
      </w:pPr>
    </w:lvl>
    <w:lvl w:ilvl="6" w:tplc="88D025AC" w:tentative="1">
      <w:start w:val="1"/>
      <w:numFmt w:val="decimal"/>
      <w:lvlText w:val="%7."/>
      <w:lvlJc w:val="left"/>
      <w:pPr>
        <w:ind w:left="5040" w:hanging="360"/>
      </w:pPr>
    </w:lvl>
    <w:lvl w:ilvl="7" w:tplc="C0F2955C" w:tentative="1">
      <w:start w:val="1"/>
      <w:numFmt w:val="lowerLetter"/>
      <w:lvlText w:val="%8."/>
      <w:lvlJc w:val="left"/>
      <w:pPr>
        <w:ind w:left="5760" w:hanging="360"/>
      </w:pPr>
    </w:lvl>
    <w:lvl w:ilvl="8" w:tplc="853E3246" w:tentative="1">
      <w:start w:val="1"/>
      <w:numFmt w:val="lowerRoman"/>
      <w:lvlText w:val="%9."/>
      <w:lvlJc w:val="right"/>
      <w:pPr>
        <w:ind w:left="6480" w:hanging="180"/>
      </w:pPr>
    </w:lvl>
  </w:abstractNum>
  <w:abstractNum w:abstractNumId="27">
    <w:nsid w:val="4D806005"/>
    <w:multiLevelType w:val="hybridMultilevel"/>
    <w:tmpl w:val="BF78D1B6"/>
    <w:lvl w:ilvl="0" w:tplc="0C090001">
      <w:start w:val="1"/>
      <w:numFmt w:val="bullet"/>
      <w:lvlText w:val=""/>
      <w:lvlJc w:val="left"/>
      <w:pPr>
        <w:ind w:left="1080" w:hanging="360"/>
      </w:pPr>
      <w:rPr>
        <w:rFonts w:ascii="Symbol" w:hAnsi="Symbol" w:hint="default"/>
      </w:rPr>
    </w:lvl>
    <w:lvl w:ilvl="1" w:tplc="0C090019">
      <w:start w:val="1"/>
      <w:numFmt w:val="bullet"/>
      <w:lvlText w:val="o"/>
      <w:lvlJc w:val="left"/>
      <w:pPr>
        <w:ind w:left="1800" w:hanging="360"/>
      </w:pPr>
      <w:rPr>
        <w:rFonts w:ascii="Courier New" w:hAnsi="Courier New" w:cs="Courier New" w:hint="default"/>
      </w:rPr>
    </w:lvl>
    <w:lvl w:ilvl="2" w:tplc="0C09001B" w:tentative="1">
      <w:start w:val="1"/>
      <w:numFmt w:val="bullet"/>
      <w:lvlText w:val=""/>
      <w:lvlJc w:val="left"/>
      <w:pPr>
        <w:ind w:left="2520" w:hanging="360"/>
      </w:pPr>
      <w:rPr>
        <w:rFonts w:ascii="Wingdings" w:hAnsi="Wingdings" w:hint="default"/>
      </w:rPr>
    </w:lvl>
    <w:lvl w:ilvl="3" w:tplc="0C09000F" w:tentative="1">
      <w:start w:val="1"/>
      <w:numFmt w:val="bullet"/>
      <w:lvlText w:val=""/>
      <w:lvlJc w:val="left"/>
      <w:pPr>
        <w:ind w:left="3240" w:hanging="360"/>
      </w:pPr>
      <w:rPr>
        <w:rFonts w:ascii="Symbol" w:hAnsi="Symbol" w:hint="default"/>
      </w:rPr>
    </w:lvl>
    <w:lvl w:ilvl="4" w:tplc="0C090019" w:tentative="1">
      <w:start w:val="1"/>
      <w:numFmt w:val="bullet"/>
      <w:lvlText w:val="o"/>
      <w:lvlJc w:val="left"/>
      <w:pPr>
        <w:ind w:left="3960" w:hanging="360"/>
      </w:pPr>
      <w:rPr>
        <w:rFonts w:ascii="Courier New" w:hAnsi="Courier New" w:cs="Courier New" w:hint="default"/>
      </w:rPr>
    </w:lvl>
    <w:lvl w:ilvl="5" w:tplc="0C09001B" w:tentative="1">
      <w:start w:val="1"/>
      <w:numFmt w:val="bullet"/>
      <w:lvlText w:val=""/>
      <w:lvlJc w:val="left"/>
      <w:pPr>
        <w:ind w:left="4680" w:hanging="360"/>
      </w:pPr>
      <w:rPr>
        <w:rFonts w:ascii="Wingdings" w:hAnsi="Wingdings" w:hint="default"/>
      </w:rPr>
    </w:lvl>
    <w:lvl w:ilvl="6" w:tplc="0C09000F" w:tentative="1">
      <w:start w:val="1"/>
      <w:numFmt w:val="bullet"/>
      <w:lvlText w:val=""/>
      <w:lvlJc w:val="left"/>
      <w:pPr>
        <w:ind w:left="5400" w:hanging="360"/>
      </w:pPr>
      <w:rPr>
        <w:rFonts w:ascii="Symbol" w:hAnsi="Symbol" w:hint="default"/>
      </w:rPr>
    </w:lvl>
    <w:lvl w:ilvl="7" w:tplc="0C090019" w:tentative="1">
      <w:start w:val="1"/>
      <w:numFmt w:val="bullet"/>
      <w:lvlText w:val="o"/>
      <w:lvlJc w:val="left"/>
      <w:pPr>
        <w:ind w:left="6120" w:hanging="360"/>
      </w:pPr>
      <w:rPr>
        <w:rFonts w:ascii="Courier New" w:hAnsi="Courier New" w:cs="Courier New" w:hint="default"/>
      </w:rPr>
    </w:lvl>
    <w:lvl w:ilvl="8" w:tplc="0C09001B" w:tentative="1">
      <w:start w:val="1"/>
      <w:numFmt w:val="bullet"/>
      <w:lvlText w:val=""/>
      <w:lvlJc w:val="left"/>
      <w:pPr>
        <w:ind w:left="6840" w:hanging="360"/>
      </w:pPr>
      <w:rPr>
        <w:rFonts w:ascii="Wingdings" w:hAnsi="Wingdings" w:hint="default"/>
      </w:rPr>
    </w:lvl>
  </w:abstractNum>
  <w:abstractNum w:abstractNumId="28">
    <w:nsid w:val="4DC837EC"/>
    <w:multiLevelType w:val="hybridMultilevel"/>
    <w:tmpl w:val="FEF0E938"/>
    <w:lvl w:ilvl="0" w:tplc="0C090001">
      <w:start w:val="1"/>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9">
    <w:nsid w:val="52111FB6"/>
    <w:multiLevelType w:val="hybridMultilevel"/>
    <w:tmpl w:val="96360B58"/>
    <w:lvl w:ilvl="0" w:tplc="A35682E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3A7626E"/>
    <w:multiLevelType w:val="multilevel"/>
    <w:tmpl w:val="B8FE9AF4"/>
    <w:lvl w:ilvl="0">
      <w:start w:val="1"/>
      <w:numFmt w:val="decimal"/>
      <w:pStyle w:val="OutlineHeading1"/>
      <w:lvlText w:val="%1."/>
      <w:lvlJc w:val="left"/>
      <w:pPr>
        <w:tabs>
          <w:tab w:val="num" w:pos="1134"/>
        </w:tabs>
        <w:ind w:left="1134" w:hanging="1134"/>
      </w:pPr>
      <w:rPr>
        <w:rFonts w:cs="Times New Roman" w:hint="default"/>
      </w:rPr>
    </w:lvl>
    <w:lvl w:ilvl="1">
      <w:start w:val="1"/>
      <w:numFmt w:val="decimal"/>
      <w:pStyle w:val="Outline3"/>
      <w:lvlText w:val="%1.%2"/>
      <w:lvlJc w:val="left"/>
      <w:pPr>
        <w:tabs>
          <w:tab w:val="num" w:pos="1134"/>
        </w:tabs>
        <w:ind w:left="1134" w:hanging="1134"/>
      </w:pPr>
      <w:rPr>
        <w:rFonts w:cs="Times New Roman" w:hint="default"/>
      </w:rPr>
    </w:lvl>
    <w:lvl w:ilvl="2">
      <w:start w:val="1"/>
      <w:numFmt w:val="decimal"/>
      <w:pStyle w:val="OutlineHeading2"/>
      <w:lvlText w:val="%1.%2.%3"/>
      <w:lvlJc w:val="left"/>
      <w:pPr>
        <w:tabs>
          <w:tab w:val="num" w:pos="1134"/>
        </w:tabs>
        <w:ind w:left="1134" w:hanging="1134"/>
      </w:pPr>
      <w:rPr>
        <w:rFonts w:cs="Times New Roman" w:hint="default"/>
        <w:i w:val="0"/>
      </w:rPr>
    </w:lvl>
    <w:lvl w:ilvl="3">
      <w:start w:val="1"/>
      <w:numFmt w:val="lowerLetter"/>
      <w:lvlText w:val="%4)"/>
      <w:lvlJc w:val="left"/>
      <w:pPr>
        <w:tabs>
          <w:tab w:val="num" w:pos="1494"/>
        </w:tabs>
        <w:ind w:left="1494" w:hanging="360"/>
      </w:pPr>
      <w:rPr>
        <w:rFonts w:cs="Times New Roman" w:hint="default"/>
      </w:rPr>
    </w:lvl>
    <w:lvl w:ilvl="4">
      <w:start w:val="1"/>
      <w:numFmt w:val="lowerRoman"/>
      <w:pStyle w:val="Outline5"/>
      <w:lvlText w:val="(%5)"/>
      <w:lvlJc w:val="left"/>
      <w:pPr>
        <w:tabs>
          <w:tab w:val="num" w:pos="2268"/>
        </w:tabs>
        <w:ind w:left="2268" w:hanging="567"/>
      </w:pPr>
      <w:rPr>
        <w:rFonts w:cs="Times New Roman" w:hint="default"/>
      </w:rPr>
    </w:lvl>
    <w:lvl w:ilvl="5">
      <w:start w:val="1"/>
      <w:numFmt w:val="none"/>
      <w:lvlText w:val=""/>
      <w:lvlJc w:val="left"/>
      <w:pPr>
        <w:tabs>
          <w:tab w:val="num" w:pos="0"/>
        </w:tabs>
      </w:pPr>
      <w:rPr>
        <w:rFonts w:cs="Times New Roman" w:hint="default"/>
      </w:rPr>
    </w:lvl>
    <w:lvl w:ilvl="6">
      <w:start w:val="1"/>
      <w:numFmt w:val="none"/>
      <w:lvlText w:val=""/>
      <w:lvlJc w:val="left"/>
      <w:pPr>
        <w:tabs>
          <w:tab w:val="num" w:pos="0"/>
        </w:tabs>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31">
    <w:nsid w:val="554D223E"/>
    <w:multiLevelType w:val="hybridMultilevel"/>
    <w:tmpl w:val="A7DEA100"/>
    <w:lvl w:ilvl="0" w:tplc="9A7067A2">
      <w:start w:val="1"/>
      <w:numFmt w:val="bullet"/>
      <w:lvlText w:val=""/>
      <w:lvlJc w:val="left"/>
      <w:pPr>
        <w:ind w:left="720" w:hanging="360"/>
      </w:pPr>
      <w:rPr>
        <w:rFonts w:ascii="Symbol" w:hAnsi="Symbol" w:hint="default"/>
      </w:rPr>
    </w:lvl>
    <w:lvl w:ilvl="1" w:tplc="1A245B48" w:tentative="1">
      <w:start w:val="1"/>
      <w:numFmt w:val="bullet"/>
      <w:lvlText w:val="o"/>
      <w:lvlJc w:val="left"/>
      <w:pPr>
        <w:ind w:left="1440" w:hanging="360"/>
      </w:pPr>
      <w:rPr>
        <w:rFonts w:ascii="Courier New" w:hAnsi="Courier New" w:cs="Courier New" w:hint="default"/>
      </w:rPr>
    </w:lvl>
    <w:lvl w:ilvl="2" w:tplc="3A5EAA6A" w:tentative="1">
      <w:start w:val="1"/>
      <w:numFmt w:val="bullet"/>
      <w:lvlText w:val=""/>
      <w:lvlJc w:val="left"/>
      <w:pPr>
        <w:ind w:left="2160" w:hanging="360"/>
      </w:pPr>
      <w:rPr>
        <w:rFonts w:ascii="Wingdings" w:hAnsi="Wingdings" w:hint="default"/>
      </w:rPr>
    </w:lvl>
    <w:lvl w:ilvl="3" w:tplc="2F8ED1C8" w:tentative="1">
      <w:start w:val="1"/>
      <w:numFmt w:val="bullet"/>
      <w:lvlText w:val=""/>
      <w:lvlJc w:val="left"/>
      <w:pPr>
        <w:ind w:left="2880" w:hanging="360"/>
      </w:pPr>
      <w:rPr>
        <w:rFonts w:ascii="Symbol" w:hAnsi="Symbol" w:hint="default"/>
      </w:rPr>
    </w:lvl>
    <w:lvl w:ilvl="4" w:tplc="8744B132" w:tentative="1">
      <w:start w:val="1"/>
      <w:numFmt w:val="bullet"/>
      <w:lvlText w:val="o"/>
      <w:lvlJc w:val="left"/>
      <w:pPr>
        <w:ind w:left="3600" w:hanging="360"/>
      </w:pPr>
      <w:rPr>
        <w:rFonts w:ascii="Courier New" w:hAnsi="Courier New" w:cs="Courier New" w:hint="default"/>
      </w:rPr>
    </w:lvl>
    <w:lvl w:ilvl="5" w:tplc="758263F4" w:tentative="1">
      <w:start w:val="1"/>
      <w:numFmt w:val="bullet"/>
      <w:lvlText w:val=""/>
      <w:lvlJc w:val="left"/>
      <w:pPr>
        <w:ind w:left="4320" w:hanging="360"/>
      </w:pPr>
      <w:rPr>
        <w:rFonts w:ascii="Wingdings" w:hAnsi="Wingdings" w:hint="default"/>
      </w:rPr>
    </w:lvl>
    <w:lvl w:ilvl="6" w:tplc="03B81126" w:tentative="1">
      <w:start w:val="1"/>
      <w:numFmt w:val="bullet"/>
      <w:lvlText w:val=""/>
      <w:lvlJc w:val="left"/>
      <w:pPr>
        <w:ind w:left="5040" w:hanging="360"/>
      </w:pPr>
      <w:rPr>
        <w:rFonts w:ascii="Symbol" w:hAnsi="Symbol" w:hint="default"/>
      </w:rPr>
    </w:lvl>
    <w:lvl w:ilvl="7" w:tplc="62D84E7E" w:tentative="1">
      <w:start w:val="1"/>
      <w:numFmt w:val="bullet"/>
      <w:lvlText w:val="o"/>
      <w:lvlJc w:val="left"/>
      <w:pPr>
        <w:ind w:left="5760" w:hanging="360"/>
      </w:pPr>
      <w:rPr>
        <w:rFonts w:ascii="Courier New" w:hAnsi="Courier New" w:cs="Courier New" w:hint="default"/>
      </w:rPr>
    </w:lvl>
    <w:lvl w:ilvl="8" w:tplc="90CC7C04" w:tentative="1">
      <w:start w:val="1"/>
      <w:numFmt w:val="bullet"/>
      <w:lvlText w:val=""/>
      <w:lvlJc w:val="left"/>
      <w:pPr>
        <w:ind w:left="6480" w:hanging="360"/>
      </w:pPr>
      <w:rPr>
        <w:rFonts w:ascii="Wingdings" w:hAnsi="Wingdings" w:hint="default"/>
      </w:rPr>
    </w:lvl>
  </w:abstractNum>
  <w:abstractNum w:abstractNumId="32">
    <w:nsid w:val="5A084117"/>
    <w:multiLevelType w:val="hybridMultilevel"/>
    <w:tmpl w:val="D9426744"/>
    <w:lvl w:ilvl="0" w:tplc="73341880">
      <w:start w:val="1"/>
      <w:numFmt w:val="decimal"/>
      <w:lvlText w:val="%1."/>
      <w:lvlJc w:val="left"/>
      <w:pPr>
        <w:ind w:left="720" w:hanging="360"/>
      </w:pPr>
      <w:rPr>
        <w:rFonts w:hint="default"/>
      </w:rPr>
    </w:lvl>
    <w:lvl w:ilvl="1" w:tplc="490A7C6E" w:tentative="1">
      <w:start w:val="1"/>
      <w:numFmt w:val="lowerLetter"/>
      <w:lvlText w:val="%2."/>
      <w:lvlJc w:val="left"/>
      <w:pPr>
        <w:ind w:left="1440" w:hanging="360"/>
      </w:pPr>
    </w:lvl>
    <w:lvl w:ilvl="2" w:tplc="2B46835A" w:tentative="1">
      <w:start w:val="1"/>
      <w:numFmt w:val="lowerRoman"/>
      <w:lvlText w:val="%3."/>
      <w:lvlJc w:val="right"/>
      <w:pPr>
        <w:ind w:left="2160" w:hanging="180"/>
      </w:pPr>
    </w:lvl>
    <w:lvl w:ilvl="3" w:tplc="AF8613D8" w:tentative="1">
      <w:start w:val="1"/>
      <w:numFmt w:val="decimal"/>
      <w:lvlText w:val="%4."/>
      <w:lvlJc w:val="left"/>
      <w:pPr>
        <w:ind w:left="2880" w:hanging="360"/>
      </w:pPr>
    </w:lvl>
    <w:lvl w:ilvl="4" w:tplc="9EFC9D4A" w:tentative="1">
      <w:start w:val="1"/>
      <w:numFmt w:val="lowerLetter"/>
      <w:lvlText w:val="%5."/>
      <w:lvlJc w:val="left"/>
      <w:pPr>
        <w:ind w:left="3600" w:hanging="360"/>
      </w:pPr>
    </w:lvl>
    <w:lvl w:ilvl="5" w:tplc="B8E6CB70">
      <w:start w:val="1"/>
      <w:numFmt w:val="lowerRoman"/>
      <w:lvlText w:val="%6."/>
      <w:lvlJc w:val="right"/>
      <w:pPr>
        <w:ind w:left="4320" w:hanging="180"/>
      </w:pPr>
    </w:lvl>
    <w:lvl w:ilvl="6" w:tplc="07EC56D6" w:tentative="1">
      <w:start w:val="1"/>
      <w:numFmt w:val="decimal"/>
      <w:lvlText w:val="%7."/>
      <w:lvlJc w:val="left"/>
      <w:pPr>
        <w:ind w:left="5040" w:hanging="360"/>
      </w:pPr>
    </w:lvl>
    <w:lvl w:ilvl="7" w:tplc="C99E4A9A" w:tentative="1">
      <w:start w:val="1"/>
      <w:numFmt w:val="lowerLetter"/>
      <w:lvlText w:val="%8."/>
      <w:lvlJc w:val="left"/>
      <w:pPr>
        <w:ind w:left="5760" w:hanging="360"/>
      </w:pPr>
    </w:lvl>
    <w:lvl w:ilvl="8" w:tplc="5DA62FDE" w:tentative="1">
      <w:start w:val="1"/>
      <w:numFmt w:val="lowerRoman"/>
      <w:lvlText w:val="%9."/>
      <w:lvlJc w:val="right"/>
      <w:pPr>
        <w:ind w:left="6480" w:hanging="180"/>
      </w:pPr>
    </w:lvl>
  </w:abstractNum>
  <w:abstractNum w:abstractNumId="33">
    <w:nsid w:val="608F2B29"/>
    <w:multiLevelType w:val="multilevel"/>
    <w:tmpl w:val="B80C16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2896A2D"/>
    <w:multiLevelType w:val="hybridMultilevel"/>
    <w:tmpl w:val="A574E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92F05A2"/>
    <w:multiLevelType w:val="hybridMultilevel"/>
    <w:tmpl w:val="7B029F60"/>
    <w:lvl w:ilvl="0" w:tplc="6C50C58A">
      <w:start w:val="1"/>
      <w:numFmt w:val="bullet"/>
      <w:lvlText w:val=""/>
      <w:lvlJc w:val="left"/>
      <w:pPr>
        <w:ind w:left="720" w:hanging="360"/>
      </w:pPr>
      <w:rPr>
        <w:rFonts w:ascii="Symbol" w:hAnsi="Symbol" w:hint="default"/>
      </w:rPr>
    </w:lvl>
    <w:lvl w:ilvl="1" w:tplc="D2A6D5F2" w:tentative="1">
      <w:start w:val="1"/>
      <w:numFmt w:val="bullet"/>
      <w:lvlText w:val="o"/>
      <w:lvlJc w:val="left"/>
      <w:pPr>
        <w:ind w:left="1440" w:hanging="360"/>
      </w:pPr>
      <w:rPr>
        <w:rFonts w:ascii="Courier New" w:hAnsi="Courier New" w:cs="Courier New" w:hint="default"/>
      </w:rPr>
    </w:lvl>
    <w:lvl w:ilvl="2" w:tplc="E0D00C0A" w:tentative="1">
      <w:start w:val="1"/>
      <w:numFmt w:val="bullet"/>
      <w:lvlText w:val=""/>
      <w:lvlJc w:val="left"/>
      <w:pPr>
        <w:ind w:left="2160" w:hanging="360"/>
      </w:pPr>
      <w:rPr>
        <w:rFonts w:ascii="Wingdings" w:hAnsi="Wingdings" w:hint="default"/>
      </w:rPr>
    </w:lvl>
    <w:lvl w:ilvl="3" w:tplc="0C08E072" w:tentative="1">
      <w:start w:val="1"/>
      <w:numFmt w:val="bullet"/>
      <w:lvlText w:val=""/>
      <w:lvlJc w:val="left"/>
      <w:pPr>
        <w:ind w:left="2880" w:hanging="360"/>
      </w:pPr>
      <w:rPr>
        <w:rFonts w:ascii="Symbol" w:hAnsi="Symbol" w:hint="default"/>
      </w:rPr>
    </w:lvl>
    <w:lvl w:ilvl="4" w:tplc="0F685F1E" w:tentative="1">
      <w:start w:val="1"/>
      <w:numFmt w:val="bullet"/>
      <w:lvlText w:val="o"/>
      <w:lvlJc w:val="left"/>
      <w:pPr>
        <w:ind w:left="3600" w:hanging="360"/>
      </w:pPr>
      <w:rPr>
        <w:rFonts w:ascii="Courier New" w:hAnsi="Courier New" w:cs="Courier New" w:hint="default"/>
      </w:rPr>
    </w:lvl>
    <w:lvl w:ilvl="5" w:tplc="6CAC5CBC" w:tentative="1">
      <w:start w:val="1"/>
      <w:numFmt w:val="bullet"/>
      <w:lvlText w:val=""/>
      <w:lvlJc w:val="left"/>
      <w:pPr>
        <w:ind w:left="4320" w:hanging="360"/>
      </w:pPr>
      <w:rPr>
        <w:rFonts w:ascii="Wingdings" w:hAnsi="Wingdings" w:hint="default"/>
      </w:rPr>
    </w:lvl>
    <w:lvl w:ilvl="6" w:tplc="2F621F1E" w:tentative="1">
      <w:start w:val="1"/>
      <w:numFmt w:val="bullet"/>
      <w:lvlText w:val=""/>
      <w:lvlJc w:val="left"/>
      <w:pPr>
        <w:ind w:left="5040" w:hanging="360"/>
      </w:pPr>
      <w:rPr>
        <w:rFonts w:ascii="Symbol" w:hAnsi="Symbol" w:hint="default"/>
      </w:rPr>
    </w:lvl>
    <w:lvl w:ilvl="7" w:tplc="4DC03EDE" w:tentative="1">
      <w:start w:val="1"/>
      <w:numFmt w:val="bullet"/>
      <w:lvlText w:val="o"/>
      <w:lvlJc w:val="left"/>
      <w:pPr>
        <w:ind w:left="5760" w:hanging="360"/>
      </w:pPr>
      <w:rPr>
        <w:rFonts w:ascii="Courier New" w:hAnsi="Courier New" w:cs="Courier New" w:hint="default"/>
      </w:rPr>
    </w:lvl>
    <w:lvl w:ilvl="8" w:tplc="512A12BE" w:tentative="1">
      <w:start w:val="1"/>
      <w:numFmt w:val="bullet"/>
      <w:lvlText w:val=""/>
      <w:lvlJc w:val="left"/>
      <w:pPr>
        <w:ind w:left="6480" w:hanging="360"/>
      </w:pPr>
      <w:rPr>
        <w:rFonts w:ascii="Wingdings" w:hAnsi="Wingdings" w:hint="default"/>
      </w:rPr>
    </w:lvl>
  </w:abstractNum>
  <w:abstractNum w:abstractNumId="36">
    <w:nsid w:val="6A6A22A8"/>
    <w:multiLevelType w:val="hybridMultilevel"/>
    <w:tmpl w:val="6B727A02"/>
    <w:lvl w:ilvl="0" w:tplc="0A6C2AF8">
      <w:start w:val="1"/>
      <w:numFmt w:val="bullet"/>
      <w:lvlText w:val=""/>
      <w:lvlJc w:val="left"/>
      <w:pPr>
        <w:ind w:left="1080" w:hanging="360"/>
      </w:pPr>
      <w:rPr>
        <w:rFonts w:ascii="Symbol" w:hAnsi="Symbol" w:hint="default"/>
      </w:rPr>
    </w:lvl>
    <w:lvl w:ilvl="1" w:tplc="0C090019" w:tentative="1">
      <w:start w:val="1"/>
      <w:numFmt w:val="bullet"/>
      <w:lvlText w:val="o"/>
      <w:lvlJc w:val="left"/>
      <w:pPr>
        <w:ind w:left="1800" w:hanging="360"/>
      </w:pPr>
      <w:rPr>
        <w:rFonts w:ascii="Courier New" w:hAnsi="Courier New" w:cs="Courier New" w:hint="default"/>
      </w:rPr>
    </w:lvl>
    <w:lvl w:ilvl="2" w:tplc="0C09001B" w:tentative="1">
      <w:start w:val="1"/>
      <w:numFmt w:val="bullet"/>
      <w:lvlText w:val=""/>
      <w:lvlJc w:val="left"/>
      <w:pPr>
        <w:ind w:left="2520" w:hanging="360"/>
      </w:pPr>
      <w:rPr>
        <w:rFonts w:ascii="Wingdings" w:hAnsi="Wingdings" w:hint="default"/>
      </w:rPr>
    </w:lvl>
    <w:lvl w:ilvl="3" w:tplc="0C09000F" w:tentative="1">
      <w:start w:val="1"/>
      <w:numFmt w:val="bullet"/>
      <w:lvlText w:val=""/>
      <w:lvlJc w:val="left"/>
      <w:pPr>
        <w:ind w:left="3240" w:hanging="360"/>
      </w:pPr>
      <w:rPr>
        <w:rFonts w:ascii="Symbol" w:hAnsi="Symbol" w:hint="default"/>
      </w:rPr>
    </w:lvl>
    <w:lvl w:ilvl="4" w:tplc="0C090019" w:tentative="1">
      <w:start w:val="1"/>
      <w:numFmt w:val="bullet"/>
      <w:lvlText w:val="o"/>
      <w:lvlJc w:val="left"/>
      <w:pPr>
        <w:ind w:left="3960" w:hanging="360"/>
      </w:pPr>
      <w:rPr>
        <w:rFonts w:ascii="Courier New" w:hAnsi="Courier New" w:cs="Courier New" w:hint="default"/>
      </w:rPr>
    </w:lvl>
    <w:lvl w:ilvl="5" w:tplc="0C09001B" w:tentative="1">
      <w:start w:val="1"/>
      <w:numFmt w:val="bullet"/>
      <w:lvlText w:val=""/>
      <w:lvlJc w:val="left"/>
      <w:pPr>
        <w:ind w:left="4680" w:hanging="360"/>
      </w:pPr>
      <w:rPr>
        <w:rFonts w:ascii="Wingdings" w:hAnsi="Wingdings" w:hint="default"/>
      </w:rPr>
    </w:lvl>
    <w:lvl w:ilvl="6" w:tplc="0C09000F" w:tentative="1">
      <w:start w:val="1"/>
      <w:numFmt w:val="bullet"/>
      <w:lvlText w:val=""/>
      <w:lvlJc w:val="left"/>
      <w:pPr>
        <w:ind w:left="5400" w:hanging="360"/>
      </w:pPr>
      <w:rPr>
        <w:rFonts w:ascii="Symbol" w:hAnsi="Symbol" w:hint="default"/>
      </w:rPr>
    </w:lvl>
    <w:lvl w:ilvl="7" w:tplc="0C090019" w:tentative="1">
      <w:start w:val="1"/>
      <w:numFmt w:val="bullet"/>
      <w:lvlText w:val="o"/>
      <w:lvlJc w:val="left"/>
      <w:pPr>
        <w:ind w:left="6120" w:hanging="360"/>
      </w:pPr>
      <w:rPr>
        <w:rFonts w:ascii="Courier New" w:hAnsi="Courier New" w:cs="Courier New" w:hint="default"/>
      </w:rPr>
    </w:lvl>
    <w:lvl w:ilvl="8" w:tplc="0C09001B" w:tentative="1">
      <w:start w:val="1"/>
      <w:numFmt w:val="bullet"/>
      <w:lvlText w:val=""/>
      <w:lvlJc w:val="left"/>
      <w:pPr>
        <w:ind w:left="6840" w:hanging="360"/>
      </w:pPr>
      <w:rPr>
        <w:rFonts w:ascii="Wingdings" w:hAnsi="Wingdings" w:hint="default"/>
      </w:rPr>
    </w:lvl>
  </w:abstractNum>
  <w:abstractNum w:abstractNumId="37">
    <w:nsid w:val="6C3F78D5"/>
    <w:multiLevelType w:val="hybridMultilevel"/>
    <w:tmpl w:val="9836C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F671EA8"/>
    <w:multiLevelType w:val="hybridMultilevel"/>
    <w:tmpl w:val="7DB03E3E"/>
    <w:lvl w:ilvl="0" w:tplc="42DE8F08">
      <w:start w:val="1"/>
      <w:numFmt w:val="bullet"/>
      <w:lvlText w:val=""/>
      <w:lvlJc w:val="left"/>
      <w:pPr>
        <w:ind w:left="720" w:hanging="360"/>
      </w:pPr>
      <w:rPr>
        <w:rFonts w:ascii="Symbol" w:hAnsi="Symbol" w:hint="default"/>
      </w:rPr>
    </w:lvl>
    <w:lvl w:ilvl="1" w:tplc="999A2A26" w:tentative="1">
      <w:start w:val="1"/>
      <w:numFmt w:val="bullet"/>
      <w:lvlText w:val="o"/>
      <w:lvlJc w:val="left"/>
      <w:pPr>
        <w:ind w:left="1440" w:hanging="360"/>
      </w:pPr>
      <w:rPr>
        <w:rFonts w:ascii="Courier New" w:hAnsi="Courier New" w:cs="Courier New" w:hint="default"/>
      </w:rPr>
    </w:lvl>
    <w:lvl w:ilvl="2" w:tplc="67604FB2" w:tentative="1">
      <w:start w:val="1"/>
      <w:numFmt w:val="bullet"/>
      <w:lvlText w:val=""/>
      <w:lvlJc w:val="left"/>
      <w:pPr>
        <w:ind w:left="2160" w:hanging="360"/>
      </w:pPr>
      <w:rPr>
        <w:rFonts w:ascii="Wingdings" w:hAnsi="Wingdings" w:hint="default"/>
      </w:rPr>
    </w:lvl>
    <w:lvl w:ilvl="3" w:tplc="EE3C3226" w:tentative="1">
      <w:start w:val="1"/>
      <w:numFmt w:val="bullet"/>
      <w:lvlText w:val=""/>
      <w:lvlJc w:val="left"/>
      <w:pPr>
        <w:ind w:left="2880" w:hanging="360"/>
      </w:pPr>
      <w:rPr>
        <w:rFonts w:ascii="Symbol" w:hAnsi="Symbol" w:hint="default"/>
      </w:rPr>
    </w:lvl>
    <w:lvl w:ilvl="4" w:tplc="386854E2" w:tentative="1">
      <w:start w:val="1"/>
      <w:numFmt w:val="bullet"/>
      <w:lvlText w:val="o"/>
      <w:lvlJc w:val="left"/>
      <w:pPr>
        <w:ind w:left="3600" w:hanging="360"/>
      </w:pPr>
      <w:rPr>
        <w:rFonts w:ascii="Courier New" w:hAnsi="Courier New" w:cs="Courier New" w:hint="default"/>
      </w:rPr>
    </w:lvl>
    <w:lvl w:ilvl="5" w:tplc="C2D2A218" w:tentative="1">
      <w:start w:val="1"/>
      <w:numFmt w:val="bullet"/>
      <w:lvlText w:val=""/>
      <w:lvlJc w:val="left"/>
      <w:pPr>
        <w:ind w:left="4320" w:hanging="360"/>
      </w:pPr>
      <w:rPr>
        <w:rFonts w:ascii="Wingdings" w:hAnsi="Wingdings" w:hint="default"/>
      </w:rPr>
    </w:lvl>
    <w:lvl w:ilvl="6" w:tplc="FAF2B274" w:tentative="1">
      <w:start w:val="1"/>
      <w:numFmt w:val="bullet"/>
      <w:lvlText w:val=""/>
      <w:lvlJc w:val="left"/>
      <w:pPr>
        <w:ind w:left="5040" w:hanging="360"/>
      </w:pPr>
      <w:rPr>
        <w:rFonts w:ascii="Symbol" w:hAnsi="Symbol" w:hint="default"/>
      </w:rPr>
    </w:lvl>
    <w:lvl w:ilvl="7" w:tplc="86F4A9CA" w:tentative="1">
      <w:start w:val="1"/>
      <w:numFmt w:val="bullet"/>
      <w:lvlText w:val="o"/>
      <w:lvlJc w:val="left"/>
      <w:pPr>
        <w:ind w:left="5760" w:hanging="360"/>
      </w:pPr>
      <w:rPr>
        <w:rFonts w:ascii="Courier New" w:hAnsi="Courier New" w:cs="Courier New" w:hint="default"/>
      </w:rPr>
    </w:lvl>
    <w:lvl w:ilvl="8" w:tplc="4380E220" w:tentative="1">
      <w:start w:val="1"/>
      <w:numFmt w:val="bullet"/>
      <w:lvlText w:val=""/>
      <w:lvlJc w:val="left"/>
      <w:pPr>
        <w:ind w:left="6480" w:hanging="360"/>
      </w:pPr>
      <w:rPr>
        <w:rFonts w:ascii="Wingdings" w:hAnsi="Wingdings" w:hint="default"/>
      </w:rPr>
    </w:lvl>
  </w:abstractNum>
  <w:abstractNum w:abstractNumId="39">
    <w:nsid w:val="71CE4924"/>
    <w:multiLevelType w:val="hybridMultilevel"/>
    <w:tmpl w:val="59AA3C1E"/>
    <w:lvl w:ilvl="0" w:tplc="0C090001">
      <w:start w:val="1"/>
      <w:numFmt w:val="lowerLetter"/>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40">
    <w:nsid w:val="767254CE"/>
    <w:multiLevelType w:val="hybridMultilevel"/>
    <w:tmpl w:val="CD826D3E"/>
    <w:lvl w:ilvl="0" w:tplc="0C090001">
      <w:start w:val="1"/>
      <w:numFmt w:val="lowerLetter"/>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41">
    <w:nsid w:val="7A417591"/>
    <w:multiLevelType w:val="hybridMultilevel"/>
    <w:tmpl w:val="0DC486CA"/>
    <w:lvl w:ilvl="0" w:tplc="0A6C2AF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2">
    <w:nsid w:val="7A5A22E7"/>
    <w:multiLevelType w:val="hybridMultilevel"/>
    <w:tmpl w:val="67ACA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C343783"/>
    <w:multiLevelType w:val="hybridMultilevel"/>
    <w:tmpl w:val="8E9C8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F703B69"/>
    <w:multiLevelType w:val="hybridMultilevel"/>
    <w:tmpl w:val="D8A84A78"/>
    <w:lvl w:ilvl="0" w:tplc="E376AD06">
      <w:start w:val="1"/>
      <w:numFmt w:val="bullet"/>
      <w:pStyle w:val="E3SubSubBullets"/>
      <w:lvlText w:val="▪"/>
      <w:lvlJc w:val="left"/>
      <w:pPr>
        <w:ind w:left="964" w:hanging="360"/>
      </w:pPr>
      <w:rPr>
        <w:rFonts w:ascii="Georgia" w:hAnsi="Georgia" w:cs="Times New Roman" w:hint="default"/>
        <w:color w:val="FF0000"/>
      </w:rPr>
    </w:lvl>
    <w:lvl w:ilvl="1" w:tplc="0C090019">
      <w:start w:val="1"/>
      <w:numFmt w:val="bullet"/>
      <w:lvlText w:val="o"/>
      <w:lvlJc w:val="left"/>
      <w:pPr>
        <w:ind w:left="1684" w:hanging="360"/>
      </w:pPr>
      <w:rPr>
        <w:rFonts w:ascii="Courier New" w:hAnsi="Courier New" w:cs="Courier New" w:hint="default"/>
      </w:rPr>
    </w:lvl>
    <w:lvl w:ilvl="2" w:tplc="0C09001B" w:tentative="1">
      <w:start w:val="1"/>
      <w:numFmt w:val="bullet"/>
      <w:lvlText w:val=""/>
      <w:lvlJc w:val="left"/>
      <w:pPr>
        <w:ind w:left="2404" w:hanging="360"/>
      </w:pPr>
      <w:rPr>
        <w:rFonts w:ascii="Wingdings" w:hAnsi="Wingdings" w:hint="default"/>
      </w:rPr>
    </w:lvl>
    <w:lvl w:ilvl="3" w:tplc="0C09000F" w:tentative="1">
      <w:start w:val="1"/>
      <w:numFmt w:val="bullet"/>
      <w:lvlText w:val=""/>
      <w:lvlJc w:val="left"/>
      <w:pPr>
        <w:ind w:left="3124" w:hanging="360"/>
      </w:pPr>
      <w:rPr>
        <w:rFonts w:ascii="Symbol" w:hAnsi="Symbol" w:hint="default"/>
      </w:rPr>
    </w:lvl>
    <w:lvl w:ilvl="4" w:tplc="0C090019" w:tentative="1">
      <w:start w:val="1"/>
      <w:numFmt w:val="bullet"/>
      <w:lvlText w:val="o"/>
      <w:lvlJc w:val="left"/>
      <w:pPr>
        <w:ind w:left="3844" w:hanging="360"/>
      </w:pPr>
      <w:rPr>
        <w:rFonts w:ascii="Courier New" w:hAnsi="Courier New" w:cs="Courier New" w:hint="default"/>
      </w:rPr>
    </w:lvl>
    <w:lvl w:ilvl="5" w:tplc="0C09001B" w:tentative="1">
      <w:start w:val="1"/>
      <w:numFmt w:val="bullet"/>
      <w:lvlText w:val=""/>
      <w:lvlJc w:val="left"/>
      <w:pPr>
        <w:ind w:left="4564" w:hanging="360"/>
      </w:pPr>
      <w:rPr>
        <w:rFonts w:ascii="Wingdings" w:hAnsi="Wingdings" w:hint="default"/>
      </w:rPr>
    </w:lvl>
    <w:lvl w:ilvl="6" w:tplc="0C09000F" w:tentative="1">
      <w:start w:val="1"/>
      <w:numFmt w:val="bullet"/>
      <w:lvlText w:val=""/>
      <w:lvlJc w:val="left"/>
      <w:pPr>
        <w:ind w:left="5284" w:hanging="360"/>
      </w:pPr>
      <w:rPr>
        <w:rFonts w:ascii="Symbol" w:hAnsi="Symbol" w:hint="default"/>
      </w:rPr>
    </w:lvl>
    <w:lvl w:ilvl="7" w:tplc="0C090019" w:tentative="1">
      <w:start w:val="1"/>
      <w:numFmt w:val="bullet"/>
      <w:lvlText w:val="o"/>
      <w:lvlJc w:val="left"/>
      <w:pPr>
        <w:ind w:left="6004" w:hanging="360"/>
      </w:pPr>
      <w:rPr>
        <w:rFonts w:ascii="Courier New" w:hAnsi="Courier New" w:cs="Courier New" w:hint="default"/>
      </w:rPr>
    </w:lvl>
    <w:lvl w:ilvl="8" w:tplc="0C09001B" w:tentative="1">
      <w:start w:val="1"/>
      <w:numFmt w:val="bullet"/>
      <w:lvlText w:val=""/>
      <w:lvlJc w:val="left"/>
      <w:pPr>
        <w:ind w:left="6724" w:hanging="360"/>
      </w:pPr>
      <w:rPr>
        <w:rFonts w:ascii="Wingdings" w:hAnsi="Wingdings" w:hint="default"/>
      </w:rPr>
    </w:lvl>
  </w:abstractNum>
  <w:num w:numId="1">
    <w:abstractNumId w:val="2"/>
  </w:num>
  <w:num w:numId="2">
    <w:abstractNumId w:val="2"/>
  </w:num>
  <w:num w:numId="3">
    <w:abstractNumId w:val="7"/>
  </w:num>
  <w:num w:numId="4">
    <w:abstractNumId w:val="44"/>
  </w:num>
  <w:num w:numId="5">
    <w:abstractNumId w:val="32"/>
  </w:num>
  <w:num w:numId="6">
    <w:abstractNumId w:val="30"/>
  </w:num>
  <w:num w:numId="7">
    <w:abstractNumId w:val="0"/>
  </w:num>
  <w:num w:numId="8">
    <w:abstractNumId w:val="1"/>
  </w:num>
  <w:num w:numId="9">
    <w:abstractNumId w:val="40"/>
  </w:num>
  <w:num w:numId="10">
    <w:abstractNumId w:val="21"/>
  </w:num>
  <w:num w:numId="11">
    <w:abstractNumId w:val="6"/>
  </w:num>
  <w:num w:numId="12">
    <w:abstractNumId w:val="41"/>
  </w:num>
  <w:num w:numId="13">
    <w:abstractNumId w:val="4"/>
  </w:num>
  <w:num w:numId="14">
    <w:abstractNumId w:val="10"/>
  </w:num>
  <w:num w:numId="15">
    <w:abstractNumId w:val="5"/>
  </w:num>
  <w:num w:numId="16">
    <w:abstractNumId w:val="15"/>
  </w:num>
  <w:num w:numId="17">
    <w:abstractNumId w:val="35"/>
  </w:num>
  <w:num w:numId="18">
    <w:abstractNumId w:val="29"/>
  </w:num>
  <w:num w:numId="19">
    <w:abstractNumId w:val="23"/>
  </w:num>
  <w:num w:numId="20">
    <w:abstractNumId w:val="26"/>
  </w:num>
  <w:num w:numId="21">
    <w:abstractNumId w:val="39"/>
  </w:num>
  <w:num w:numId="22">
    <w:abstractNumId w:val="28"/>
  </w:num>
  <w:num w:numId="23">
    <w:abstractNumId w:val="19"/>
  </w:num>
  <w:num w:numId="24">
    <w:abstractNumId w:val="20"/>
  </w:num>
  <w:num w:numId="25">
    <w:abstractNumId w:val="42"/>
  </w:num>
  <w:num w:numId="26">
    <w:abstractNumId w:val="31"/>
  </w:num>
  <w:num w:numId="27">
    <w:abstractNumId w:val="22"/>
  </w:num>
  <w:num w:numId="28">
    <w:abstractNumId w:val="12"/>
  </w:num>
  <w:num w:numId="29">
    <w:abstractNumId w:val="9"/>
  </w:num>
  <w:num w:numId="30">
    <w:abstractNumId w:val="36"/>
  </w:num>
  <w:num w:numId="31">
    <w:abstractNumId w:val="11"/>
  </w:num>
  <w:num w:numId="32">
    <w:abstractNumId w:val="27"/>
  </w:num>
  <w:num w:numId="33">
    <w:abstractNumId w:val="8"/>
  </w:num>
  <w:num w:numId="34">
    <w:abstractNumId w:val="14"/>
  </w:num>
  <w:num w:numId="35">
    <w:abstractNumId w:val="16"/>
  </w:num>
  <w:num w:numId="36">
    <w:abstractNumId w:val="25"/>
  </w:num>
  <w:num w:numId="37">
    <w:abstractNumId w:val="38"/>
  </w:num>
  <w:num w:numId="38">
    <w:abstractNumId w:val="34"/>
  </w:num>
  <w:num w:numId="39">
    <w:abstractNumId w:val="43"/>
  </w:num>
  <w:num w:numId="40">
    <w:abstractNumId w:val="18"/>
  </w:num>
  <w:num w:numId="41">
    <w:abstractNumId w:val="33"/>
  </w:num>
  <w:num w:numId="42">
    <w:abstractNumId w:val="3"/>
  </w:num>
  <w:num w:numId="43">
    <w:abstractNumId w:val="24"/>
  </w:num>
  <w:num w:numId="44">
    <w:abstractNumId w:val="13"/>
  </w:num>
  <w:num w:numId="45">
    <w:abstractNumId w:val="37"/>
  </w:num>
  <w:num w:numId="46">
    <w:abstractNumId w:val="17"/>
  </w:num>
  <w:num w:numId="47">
    <w:abstractNumId w:val="17"/>
  </w:num>
  <w:num w:numId="48">
    <w:abstractNumId w:val="17"/>
  </w:num>
  <w:num w:numId="49">
    <w:abstractNumId w:val="17"/>
  </w:num>
  <w:num w:numId="50">
    <w:abstractNumId w:val="17"/>
  </w:num>
  <w:num w:numId="51">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drawingGridHorizontalSpacing w:val="95"/>
  <w:displayHorizontalDrawingGridEvery w:val="2"/>
  <w:characterSpacingControl w:val="doNotCompress"/>
  <w:hdrShapeDefaults>
    <o:shapedefaults v:ext="edit" spidmax="45062" style="mso-position-horizontal-relative:page;mso-position-vertical-relative:page;v-text-anchor:bottom" o:allowincell="f" o:allowoverlap="f"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E4"/>
    <w:rsid w:val="00001695"/>
    <w:rsid w:val="000034B1"/>
    <w:rsid w:val="00003AC2"/>
    <w:rsid w:val="00004503"/>
    <w:rsid w:val="0000478C"/>
    <w:rsid w:val="000059F3"/>
    <w:rsid w:val="00005EDE"/>
    <w:rsid w:val="000075DC"/>
    <w:rsid w:val="000078DD"/>
    <w:rsid w:val="00010197"/>
    <w:rsid w:val="00010745"/>
    <w:rsid w:val="00013438"/>
    <w:rsid w:val="00015520"/>
    <w:rsid w:val="00016954"/>
    <w:rsid w:val="00017454"/>
    <w:rsid w:val="00022215"/>
    <w:rsid w:val="0002634B"/>
    <w:rsid w:val="00027ACA"/>
    <w:rsid w:val="00030548"/>
    <w:rsid w:val="0003073A"/>
    <w:rsid w:val="00030D86"/>
    <w:rsid w:val="00030E95"/>
    <w:rsid w:val="0003153E"/>
    <w:rsid w:val="00032B74"/>
    <w:rsid w:val="00034160"/>
    <w:rsid w:val="00035859"/>
    <w:rsid w:val="00036A3C"/>
    <w:rsid w:val="000375C7"/>
    <w:rsid w:val="00040ACB"/>
    <w:rsid w:val="0004112A"/>
    <w:rsid w:val="000420F9"/>
    <w:rsid w:val="00042C78"/>
    <w:rsid w:val="0004303B"/>
    <w:rsid w:val="00043495"/>
    <w:rsid w:val="000437C4"/>
    <w:rsid w:val="0004429F"/>
    <w:rsid w:val="000463A3"/>
    <w:rsid w:val="00050A70"/>
    <w:rsid w:val="0005457B"/>
    <w:rsid w:val="0006060B"/>
    <w:rsid w:val="00060AF4"/>
    <w:rsid w:val="00060BA5"/>
    <w:rsid w:val="00062549"/>
    <w:rsid w:val="000644E1"/>
    <w:rsid w:val="00064C9A"/>
    <w:rsid w:val="00064CE9"/>
    <w:rsid w:val="000651E0"/>
    <w:rsid w:val="0006598C"/>
    <w:rsid w:val="00065C70"/>
    <w:rsid w:val="00065D11"/>
    <w:rsid w:val="00067CD9"/>
    <w:rsid w:val="000705CD"/>
    <w:rsid w:val="00070C23"/>
    <w:rsid w:val="00070CCE"/>
    <w:rsid w:val="00072130"/>
    <w:rsid w:val="00072D62"/>
    <w:rsid w:val="00073230"/>
    <w:rsid w:val="000736B1"/>
    <w:rsid w:val="0007420A"/>
    <w:rsid w:val="000778C2"/>
    <w:rsid w:val="0008051B"/>
    <w:rsid w:val="00080929"/>
    <w:rsid w:val="000818EA"/>
    <w:rsid w:val="000829F4"/>
    <w:rsid w:val="00082CC1"/>
    <w:rsid w:val="00082F24"/>
    <w:rsid w:val="00083750"/>
    <w:rsid w:val="00084853"/>
    <w:rsid w:val="00084A57"/>
    <w:rsid w:val="00084B71"/>
    <w:rsid w:val="00084F48"/>
    <w:rsid w:val="000851ED"/>
    <w:rsid w:val="00086518"/>
    <w:rsid w:val="000871AE"/>
    <w:rsid w:val="0008724B"/>
    <w:rsid w:val="00091C62"/>
    <w:rsid w:val="00094976"/>
    <w:rsid w:val="00097D31"/>
    <w:rsid w:val="000A0740"/>
    <w:rsid w:val="000A0A93"/>
    <w:rsid w:val="000A1389"/>
    <w:rsid w:val="000A178E"/>
    <w:rsid w:val="000A2A30"/>
    <w:rsid w:val="000A3D84"/>
    <w:rsid w:val="000A640F"/>
    <w:rsid w:val="000A6C64"/>
    <w:rsid w:val="000A6D6B"/>
    <w:rsid w:val="000B086E"/>
    <w:rsid w:val="000B0E48"/>
    <w:rsid w:val="000B1C7B"/>
    <w:rsid w:val="000B2467"/>
    <w:rsid w:val="000B380C"/>
    <w:rsid w:val="000B5003"/>
    <w:rsid w:val="000B51A7"/>
    <w:rsid w:val="000B6B18"/>
    <w:rsid w:val="000B76C8"/>
    <w:rsid w:val="000C0894"/>
    <w:rsid w:val="000C6641"/>
    <w:rsid w:val="000C6D5F"/>
    <w:rsid w:val="000D0469"/>
    <w:rsid w:val="000D053D"/>
    <w:rsid w:val="000D11FB"/>
    <w:rsid w:val="000D13DB"/>
    <w:rsid w:val="000D1E4F"/>
    <w:rsid w:val="000D2E7D"/>
    <w:rsid w:val="000D33FE"/>
    <w:rsid w:val="000D3822"/>
    <w:rsid w:val="000D38C5"/>
    <w:rsid w:val="000D6629"/>
    <w:rsid w:val="000E100D"/>
    <w:rsid w:val="000E1CBB"/>
    <w:rsid w:val="000E347F"/>
    <w:rsid w:val="000E3705"/>
    <w:rsid w:val="000E5F9C"/>
    <w:rsid w:val="000E6866"/>
    <w:rsid w:val="000E6FA3"/>
    <w:rsid w:val="000F0A7B"/>
    <w:rsid w:val="000F1D9B"/>
    <w:rsid w:val="000F2359"/>
    <w:rsid w:val="000F300D"/>
    <w:rsid w:val="000F30C8"/>
    <w:rsid w:val="000F30EC"/>
    <w:rsid w:val="000F3ADB"/>
    <w:rsid w:val="000F60DE"/>
    <w:rsid w:val="000F7AAA"/>
    <w:rsid w:val="000F7CF8"/>
    <w:rsid w:val="00100151"/>
    <w:rsid w:val="00100A46"/>
    <w:rsid w:val="0010167B"/>
    <w:rsid w:val="00101B33"/>
    <w:rsid w:val="00101E7C"/>
    <w:rsid w:val="00103369"/>
    <w:rsid w:val="00104C5E"/>
    <w:rsid w:val="00104E94"/>
    <w:rsid w:val="00104F63"/>
    <w:rsid w:val="00105F07"/>
    <w:rsid w:val="0011112F"/>
    <w:rsid w:val="00111EA4"/>
    <w:rsid w:val="00112D38"/>
    <w:rsid w:val="0011331D"/>
    <w:rsid w:val="00114B00"/>
    <w:rsid w:val="00114EFF"/>
    <w:rsid w:val="00116FC0"/>
    <w:rsid w:val="00117097"/>
    <w:rsid w:val="00117E81"/>
    <w:rsid w:val="001206D8"/>
    <w:rsid w:val="00121601"/>
    <w:rsid w:val="00121914"/>
    <w:rsid w:val="00121BF8"/>
    <w:rsid w:val="001235CD"/>
    <w:rsid w:val="00123CEE"/>
    <w:rsid w:val="00127ACB"/>
    <w:rsid w:val="0013098C"/>
    <w:rsid w:val="00132DE9"/>
    <w:rsid w:val="001351C8"/>
    <w:rsid w:val="00135A03"/>
    <w:rsid w:val="001365AA"/>
    <w:rsid w:val="00136D0D"/>
    <w:rsid w:val="001370C9"/>
    <w:rsid w:val="001372AE"/>
    <w:rsid w:val="00137F24"/>
    <w:rsid w:val="00142773"/>
    <w:rsid w:val="00143536"/>
    <w:rsid w:val="0014383A"/>
    <w:rsid w:val="0014556A"/>
    <w:rsid w:val="001503FF"/>
    <w:rsid w:val="001514AD"/>
    <w:rsid w:val="0015155D"/>
    <w:rsid w:val="00153D05"/>
    <w:rsid w:val="001549F5"/>
    <w:rsid w:val="001553F1"/>
    <w:rsid w:val="0015548B"/>
    <w:rsid w:val="001556E0"/>
    <w:rsid w:val="001563DB"/>
    <w:rsid w:val="00157912"/>
    <w:rsid w:val="00161EF9"/>
    <w:rsid w:val="001643C2"/>
    <w:rsid w:val="0016451B"/>
    <w:rsid w:val="00164B43"/>
    <w:rsid w:val="00165AB9"/>
    <w:rsid w:val="00166DA5"/>
    <w:rsid w:val="00171A6E"/>
    <w:rsid w:val="00172108"/>
    <w:rsid w:val="001725C3"/>
    <w:rsid w:val="00172D86"/>
    <w:rsid w:val="00174A1E"/>
    <w:rsid w:val="001764A3"/>
    <w:rsid w:val="0017721D"/>
    <w:rsid w:val="00177720"/>
    <w:rsid w:val="0018256F"/>
    <w:rsid w:val="00182745"/>
    <w:rsid w:val="00182E76"/>
    <w:rsid w:val="00186B22"/>
    <w:rsid w:val="00186E53"/>
    <w:rsid w:val="00192CE2"/>
    <w:rsid w:val="001940B8"/>
    <w:rsid w:val="00194DE3"/>
    <w:rsid w:val="00196F46"/>
    <w:rsid w:val="0019755A"/>
    <w:rsid w:val="001A1201"/>
    <w:rsid w:val="001A20B3"/>
    <w:rsid w:val="001A339B"/>
    <w:rsid w:val="001A3AE7"/>
    <w:rsid w:val="001A3EB1"/>
    <w:rsid w:val="001A5014"/>
    <w:rsid w:val="001A65F7"/>
    <w:rsid w:val="001A7905"/>
    <w:rsid w:val="001B0D48"/>
    <w:rsid w:val="001B2815"/>
    <w:rsid w:val="001B367D"/>
    <w:rsid w:val="001B5556"/>
    <w:rsid w:val="001B5F29"/>
    <w:rsid w:val="001B7766"/>
    <w:rsid w:val="001C0E74"/>
    <w:rsid w:val="001C183C"/>
    <w:rsid w:val="001C186A"/>
    <w:rsid w:val="001C1C9D"/>
    <w:rsid w:val="001C219A"/>
    <w:rsid w:val="001C3008"/>
    <w:rsid w:val="001C3738"/>
    <w:rsid w:val="001C4401"/>
    <w:rsid w:val="001C650E"/>
    <w:rsid w:val="001C7E9A"/>
    <w:rsid w:val="001C7FA8"/>
    <w:rsid w:val="001D09C4"/>
    <w:rsid w:val="001D2041"/>
    <w:rsid w:val="001D3887"/>
    <w:rsid w:val="001D3F09"/>
    <w:rsid w:val="001D4ACA"/>
    <w:rsid w:val="001D5277"/>
    <w:rsid w:val="001D5F68"/>
    <w:rsid w:val="001D6DB5"/>
    <w:rsid w:val="001D70E8"/>
    <w:rsid w:val="001E0555"/>
    <w:rsid w:val="001E082A"/>
    <w:rsid w:val="001E109D"/>
    <w:rsid w:val="001E1132"/>
    <w:rsid w:val="001E2229"/>
    <w:rsid w:val="001E286F"/>
    <w:rsid w:val="001E3508"/>
    <w:rsid w:val="001E4D0E"/>
    <w:rsid w:val="001E5FBA"/>
    <w:rsid w:val="001E7119"/>
    <w:rsid w:val="001E7990"/>
    <w:rsid w:val="001F1B9F"/>
    <w:rsid w:val="001F291C"/>
    <w:rsid w:val="001F5CD1"/>
    <w:rsid w:val="001F60FF"/>
    <w:rsid w:val="001F69FE"/>
    <w:rsid w:val="001F6AAD"/>
    <w:rsid w:val="002002A1"/>
    <w:rsid w:val="002007AE"/>
    <w:rsid w:val="00202506"/>
    <w:rsid w:val="002027F0"/>
    <w:rsid w:val="00203AAA"/>
    <w:rsid w:val="0020441A"/>
    <w:rsid w:val="00205251"/>
    <w:rsid w:val="00207E97"/>
    <w:rsid w:val="002101CC"/>
    <w:rsid w:val="002126B7"/>
    <w:rsid w:val="0021396B"/>
    <w:rsid w:val="00213D98"/>
    <w:rsid w:val="00214EDE"/>
    <w:rsid w:val="00215868"/>
    <w:rsid w:val="00216E34"/>
    <w:rsid w:val="0021769B"/>
    <w:rsid w:val="002211AB"/>
    <w:rsid w:val="00221256"/>
    <w:rsid w:val="00221E6C"/>
    <w:rsid w:val="00225C27"/>
    <w:rsid w:val="0022723A"/>
    <w:rsid w:val="00227F29"/>
    <w:rsid w:val="00231794"/>
    <w:rsid w:val="00231D78"/>
    <w:rsid w:val="00235234"/>
    <w:rsid w:val="00236F63"/>
    <w:rsid w:val="002378F8"/>
    <w:rsid w:val="002408A2"/>
    <w:rsid w:val="00240B29"/>
    <w:rsid w:val="00240EA0"/>
    <w:rsid w:val="00241580"/>
    <w:rsid w:val="0024223E"/>
    <w:rsid w:val="002431D0"/>
    <w:rsid w:val="00243DC7"/>
    <w:rsid w:val="0024577C"/>
    <w:rsid w:val="00247246"/>
    <w:rsid w:val="002473FE"/>
    <w:rsid w:val="002505CB"/>
    <w:rsid w:val="00250F0D"/>
    <w:rsid w:val="0025235E"/>
    <w:rsid w:val="00252EBB"/>
    <w:rsid w:val="00253411"/>
    <w:rsid w:val="00255AA3"/>
    <w:rsid w:val="00257DAB"/>
    <w:rsid w:val="002602C6"/>
    <w:rsid w:val="00260916"/>
    <w:rsid w:val="002612CD"/>
    <w:rsid w:val="00262B5A"/>
    <w:rsid w:val="00266E7B"/>
    <w:rsid w:val="002674FC"/>
    <w:rsid w:val="002679AB"/>
    <w:rsid w:val="00267B09"/>
    <w:rsid w:val="0027026A"/>
    <w:rsid w:val="00270501"/>
    <w:rsid w:val="00270C47"/>
    <w:rsid w:val="00273316"/>
    <w:rsid w:val="00273688"/>
    <w:rsid w:val="002748CA"/>
    <w:rsid w:val="002757B3"/>
    <w:rsid w:val="00276C46"/>
    <w:rsid w:val="002774E4"/>
    <w:rsid w:val="00277501"/>
    <w:rsid w:val="00277BD9"/>
    <w:rsid w:val="00277EF8"/>
    <w:rsid w:val="002805CF"/>
    <w:rsid w:val="00280C07"/>
    <w:rsid w:val="002846A8"/>
    <w:rsid w:val="00284ABD"/>
    <w:rsid w:val="00285E1A"/>
    <w:rsid w:val="00286846"/>
    <w:rsid w:val="0029200E"/>
    <w:rsid w:val="00294439"/>
    <w:rsid w:val="0029499E"/>
    <w:rsid w:val="0029532B"/>
    <w:rsid w:val="00296EAE"/>
    <w:rsid w:val="00297E72"/>
    <w:rsid w:val="002A0BDE"/>
    <w:rsid w:val="002A113E"/>
    <w:rsid w:val="002A2FF2"/>
    <w:rsid w:val="002A3862"/>
    <w:rsid w:val="002A3C42"/>
    <w:rsid w:val="002A3D19"/>
    <w:rsid w:val="002A4060"/>
    <w:rsid w:val="002A4255"/>
    <w:rsid w:val="002A5E49"/>
    <w:rsid w:val="002B271C"/>
    <w:rsid w:val="002B2A6E"/>
    <w:rsid w:val="002B365B"/>
    <w:rsid w:val="002B4853"/>
    <w:rsid w:val="002B5090"/>
    <w:rsid w:val="002B55D2"/>
    <w:rsid w:val="002B63EF"/>
    <w:rsid w:val="002B6C84"/>
    <w:rsid w:val="002B7883"/>
    <w:rsid w:val="002B7940"/>
    <w:rsid w:val="002B7B44"/>
    <w:rsid w:val="002C0912"/>
    <w:rsid w:val="002C13E2"/>
    <w:rsid w:val="002C3B31"/>
    <w:rsid w:val="002C49C6"/>
    <w:rsid w:val="002C6DCC"/>
    <w:rsid w:val="002D0330"/>
    <w:rsid w:val="002D2890"/>
    <w:rsid w:val="002D34F9"/>
    <w:rsid w:val="002D37B7"/>
    <w:rsid w:val="002D38D2"/>
    <w:rsid w:val="002D572B"/>
    <w:rsid w:val="002D68D3"/>
    <w:rsid w:val="002D7783"/>
    <w:rsid w:val="002D7B8E"/>
    <w:rsid w:val="002E1236"/>
    <w:rsid w:val="002E2D00"/>
    <w:rsid w:val="002E4735"/>
    <w:rsid w:val="002E4925"/>
    <w:rsid w:val="002E4AFD"/>
    <w:rsid w:val="002E7DAB"/>
    <w:rsid w:val="002F0ABD"/>
    <w:rsid w:val="002F0C54"/>
    <w:rsid w:val="002F5555"/>
    <w:rsid w:val="002F7F41"/>
    <w:rsid w:val="00300086"/>
    <w:rsid w:val="003004E1"/>
    <w:rsid w:val="00300FDF"/>
    <w:rsid w:val="00301106"/>
    <w:rsid w:val="003013BC"/>
    <w:rsid w:val="0030341A"/>
    <w:rsid w:val="00303C6F"/>
    <w:rsid w:val="00304570"/>
    <w:rsid w:val="00304BC4"/>
    <w:rsid w:val="00306F77"/>
    <w:rsid w:val="003107D2"/>
    <w:rsid w:val="00310EF6"/>
    <w:rsid w:val="003128D7"/>
    <w:rsid w:val="00312D16"/>
    <w:rsid w:val="003137C6"/>
    <w:rsid w:val="00314199"/>
    <w:rsid w:val="003144DB"/>
    <w:rsid w:val="00315893"/>
    <w:rsid w:val="0031691B"/>
    <w:rsid w:val="00322EFF"/>
    <w:rsid w:val="0032362C"/>
    <w:rsid w:val="0032385A"/>
    <w:rsid w:val="00324E90"/>
    <w:rsid w:val="00325333"/>
    <w:rsid w:val="00330384"/>
    <w:rsid w:val="00332D99"/>
    <w:rsid w:val="0033312E"/>
    <w:rsid w:val="00333C0B"/>
    <w:rsid w:val="00334066"/>
    <w:rsid w:val="00337955"/>
    <w:rsid w:val="00337BD0"/>
    <w:rsid w:val="00337F34"/>
    <w:rsid w:val="003431D6"/>
    <w:rsid w:val="00343317"/>
    <w:rsid w:val="0034571F"/>
    <w:rsid w:val="00346707"/>
    <w:rsid w:val="00347ED7"/>
    <w:rsid w:val="00350E27"/>
    <w:rsid w:val="00351BD3"/>
    <w:rsid w:val="00352F63"/>
    <w:rsid w:val="00353197"/>
    <w:rsid w:val="00353AD0"/>
    <w:rsid w:val="00355C05"/>
    <w:rsid w:val="0035679B"/>
    <w:rsid w:val="00357C2B"/>
    <w:rsid w:val="00357F18"/>
    <w:rsid w:val="0036098A"/>
    <w:rsid w:val="00361F67"/>
    <w:rsid w:val="00362B3C"/>
    <w:rsid w:val="00363E2E"/>
    <w:rsid w:val="00364C27"/>
    <w:rsid w:val="00365994"/>
    <w:rsid w:val="00365D34"/>
    <w:rsid w:val="0036655B"/>
    <w:rsid w:val="00367360"/>
    <w:rsid w:val="00367BA1"/>
    <w:rsid w:val="00370FAF"/>
    <w:rsid w:val="00371CEE"/>
    <w:rsid w:val="00373826"/>
    <w:rsid w:val="003738CE"/>
    <w:rsid w:val="00374172"/>
    <w:rsid w:val="00374483"/>
    <w:rsid w:val="00374C27"/>
    <w:rsid w:val="003832BE"/>
    <w:rsid w:val="003832DB"/>
    <w:rsid w:val="00384217"/>
    <w:rsid w:val="003848FE"/>
    <w:rsid w:val="003854D2"/>
    <w:rsid w:val="003873EC"/>
    <w:rsid w:val="00387C39"/>
    <w:rsid w:val="003912CE"/>
    <w:rsid w:val="00394F55"/>
    <w:rsid w:val="003A0046"/>
    <w:rsid w:val="003A09E1"/>
    <w:rsid w:val="003A0A2C"/>
    <w:rsid w:val="003A0EE1"/>
    <w:rsid w:val="003A2D6F"/>
    <w:rsid w:val="003A3959"/>
    <w:rsid w:val="003A3E27"/>
    <w:rsid w:val="003A5823"/>
    <w:rsid w:val="003A66B1"/>
    <w:rsid w:val="003A6B2F"/>
    <w:rsid w:val="003B107A"/>
    <w:rsid w:val="003B3913"/>
    <w:rsid w:val="003B39FA"/>
    <w:rsid w:val="003B40E9"/>
    <w:rsid w:val="003B410C"/>
    <w:rsid w:val="003B7A79"/>
    <w:rsid w:val="003C0775"/>
    <w:rsid w:val="003C0835"/>
    <w:rsid w:val="003C19F4"/>
    <w:rsid w:val="003C1F91"/>
    <w:rsid w:val="003C4617"/>
    <w:rsid w:val="003C5093"/>
    <w:rsid w:val="003C6C27"/>
    <w:rsid w:val="003C7DCF"/>
    <w:rsid w:val="003D04F5"/>
    <w:rsid w:val="003D0BCE"/>
    <w:rsid w:val="003D28B6"/>
    <w:rsid w:val="003D2C4C"/>
    <w:rsid w:val="003D347B"/>
    <w:rsid w:val="003D4DF8"/>
    <w:rsid w:val="003D6548"/>
    <w:rsid w:val="003D66C0"/>
    <w:rsid w:val="003D7C8A"/>
    <w:rsid w:val="003E102B"/>
    <w:rsid w:val="003E1220"/>
    <w:rsid w:val="003E2D6A"/>
    <w:rsid w:val="003E3C57"/>
    <w:rsid w:val="003E3D81"/>
    <w:rsid w:val="003E4AA5"/>
    <w:rsid w:val="003E4ABB"/>
    <w:rsid w:val="003E5EF5"/>
    <w:rsid w:val="003E7442"/>
    <w:rsid w:val="003E75C0"/>
    <w:rsid w:val="003F0CA9"/>
    <w:rsid w:val="003F0FA3"/>
    <w:rsid w:val="003F1428"/>
    <w:rsid w:val="003F344C"/>
    <w:rsid w:val="003F5CFE"/>
    <w:rsid w:val="0040070D"/>
    <w:rsid w:val="00400A9B"/>
    <w:rsid w:val="004019EC"/>
    <w:rsid w:val="00402CA9"/>
    <w:rsid w:val="00403454"/>
    <w:rsid w:val="00403EEC"/>
    <w:rsid w:val="00405164"/>
    <w:rsid w:val="00405FB0"/>
    <w:rsid w:val="00407336"/>
    <w:rsid w:val="0040760B"/>
    <w:rsid w:val="00411E4D"/>
    <w:rsid w:val="00412DB0"/>
    <w:rsid w:val="00413C07"/>
    <w:rsid w:val="00414F72"/>
    <w:rsid w:val="00415D56"/>
    <w:rsid w:val="004165B3"/>
    <w:rsid w:val="00417D68"/>
    <w:rsid w:val="004225EB"/>
    <w:rsid w:val="004229F8"/>
    <w:rsid w:val="00422A77"/>
    <w:rsid w:val="00423706"/>
    <w:rsid w:val="00424894"/>
    <w:rsid w:val="0042608C"/>
    <w:rsid w:val="00426328"/>
    <w:rsid w:val="00426816"/>
    <w:rsid w:val="00426DEF"/>
    <w:rsid w:val="00430639"/>
    <w:rsid w:val="004317A3"/>
    <w:rsid w:val="00432A35"/>
    <w:rsid w:val="004335BF"/>
    <w:rsid w:val="004339DD"/>
    <w:rsid w:val="00434C4E"/>
    <w:rsid w:val="00436096"/>
    <w:rsid w:val="00437375"/>
    <w:rsid w:val="004379F0"/>
    <w:rsid w:val="00437D19"/>
    <w:rsid w:val="00441DAA"/>
    <w:rsid w:val="00443288"/>
    <w:rsid w:val="00443A6A"/>
    <w:rsid w:val="0044401B"/>
    <w:rsid w:val="00444BAF"/>
    <w:rsid w:val="00444E71"/>
    <w:rsid w:val="00445FE7"/>
    <w:rsid w:val="00446832"/>
    <w:rsid w:val="004502B7"/>
    <w:rsid w:val="00452605"/>
    <w:rsid w:val="00453A8A"/>
    <w:rsid w:val="00453D4E"/>
    <w:rsid w:val="00457101"/>
    <w:rsid w:val="00460A5A"/>
    <w:rsid w:val="00462090"/>
    <w:rsid w:val="00464234"/>
    <w:rsid w:val="00465069"/>
    <w:rsid w:val="00466F94"/>
    <w:rsid w:val="0046770E"/>
    <w:rsid w:val="00471775"/>
    <w:rsid w:val="00471CDE"/>
    <w:rsid w:val="00472AF4"/>
    <w:rsid w:val="0047468F"/>
    <w:rsid w:val="004752D2"/>
    <w:rsid w:val="00475EAC"/>
    <w:rsid w:val="00480218"/>
    <w:rsid w:val="00481B02"/>
    <w:rsid w:val="00484CA1"/>
    <w:rsid w:val="004858D3"/>
    <w:rsid w:val="0048618F"/>
    <w:rsid w:val="00486354"/>
    <w:rsid w:val="00486D24"/>
    <w:rsid w:val="00487376"/>
    <w:rsid w:val="00487F21"/>
    <w:rsid w:val="004915C6"/>
    <w:rsid w:val="0049289E"/>
    <w:rsid w:val="00493911"/>
    <w:rsid w:val="00493BF3"/>
    <w:rsid w:val="00495219"/>
    <w:rsid w:val="004968DB"/>
    <w:rsid w:val="0049710C"/>
    <w:rsid w:val="004A0436"/>
    <w:rsid w:val="004A0973"/>
    <w:rsid w:val="004A0A8C"/>
    <w:rsid w:val="004A1A6B"/>
    <w:rsid w:val="004A1BA2"/>
    <w:rsid w:val="004A1BD8"/>
    <w:rsid w:val="004A2059"/>
    <w:rsid w:val="004A2F4A"/>
    <w:rsid w:val="004A3AA3"/>
    <w:rsid w:val="004A506A"/>
    <w:rsid w:val="004A626B"/>
    <w:rsid w:val="004A7BA9"/>
    <w:rsid w:val="004B15A9"/>
    <w:rsid w:val="004B201B"/>
    <w:rsid w:val="004B2928"/>
    <w:rsid w:val="004B2AA0"/>
    <w:rsid w:val="004B2D2B"/>
    <w:rsid w:val="004B327D"/>
    <w:rsid w:val="004B3741"/>
    <w:rsid w:val="004B502B"/>
    <w:rsid w:val="004B6727"/>
    <w:rsid w:val="004C056C"/>
    <w:rsid w:val="004C1A06"/>
    <w:rsid w:val="004C2089"/>
    <w:rsid w:val="004C3559"/>
    <w:rsid w:val="004C3657"/>
    <w:rsid w:val="004C5CEC"/>
    <w:rsid w:val="004C6947"/>
    <w:rsid w:val="004D060E"/>
    <w:rsid w:val="004D1A6E"/>
    <w:rsid w:val="004D2A50"/>
    <w:rsid w:val="004D2BB6"/>
    <w:rsid w:val="004D2EEE"/>
    <w:rsid w:val="004D3364"/>
    <w:rsid w:val="004D3A81"/>
    <w:rsid w:val="004D3A9D"/>
    <w:rsid w:val="004D3EA8"/>
    <w:rsid w:val="004D52AB"/>
    <w:rsid w:val="004D5473"/>
    <w:rsid w:val="004D7A20"/>
    <w:rsid w:val="004E0F37"/>
    <w:rsid w:val="004E1C47"/>
    <w:rsid w:val="004E1F6E"/>
    <w:rsid w:val="004E2371"/>
    <w:rsid w:val="004E2E4F"/>
    <w:rsid w:val="004F0B05"/>
    <w:rsid w:val="004F0B4F"/>
    <w:rsid w:val="004F0DD8"/>
    <w:rsid w:val="004F16E7"/>
    <w:rsid w:val="004F30CA"/>
    <w:rsid w:val="004F3226"/>
    <w:rsid w:val="004F33AC"/>
    <w:rsid w:val="004F371D"/>
    <w:rsid w:val="004F3FF8"/>
    <w:rsid w:val="004F510F"/>
    <w:rsid w:val="004F5F9F"/>
    <w:rsid w:val="004F7036"/>
    <w:rsid w:val="00500411"/>
    <w:rsid w:val="00500412"/>
    <w:rsid w:val="0050201A"/>
    <w:rsid w:val="00502219"/>
    <w:rsid w:val="00502239"/>
    <w:rsid w:val="00502F01"/>
    <w:rsid w:val="0050375B"/>
    <w:rsid w:val="0050545F"/>
    <w:rsid w:val="00506806"/>
    <w:rsid w:val="00506C8E"/>
    <w:rsid w:val="00510787"/>
    <w:rsid w:val="005114DB"/>
    <w:rsid w:val="005115CB"/>
    <w:rsid w:val="00511CC8"/>
    <w:rsid w:val="00512C1C"/>
    <w:rsid w:val="0051363F"/>
    <w:rsid w:val="00513707"/>
    <w:rsid w:val="00513F1F"/>
    <w:rsid w:val="00515F1E"/>
    <w:rsid w:val="00517362"/>
    <w:rsid w:val="0052024B"/>
    <w:rsid w:val="00520699"/>
    <w:rsid w:val="00520780"/>
    <w:rsid w:val="00523CC8"/>
    <w:rsid w:val="00524E5A"/>
    <w:rsid w:val="005250D7"/>
    <w:rsid w:val="00525399"/>
    <w:rsid w:val="00525DE1"/>
    <w:rsid w:val="00526137"/>
    <w:rsid w:val="00531A5E"/>
    <w:rsid w:val="005349EF"/>
    <w:rsid w:val="00534E9B"/>
    <w:rsid w:val="00537C8E"/>
    <w:rsid w:val="00540E40"/>
    <w:rsid w:val="00542511"/>
    <w:rsid w:val="00544664"/>
    <w:rsid w:val="005450C5"/>
    <w:rsid w:val="0054675C"/>
    <w:rsid w:val="005477FA"/>
    <w:rsid w:val="0055079A"/>
    <w:rsid w:val="00551194"/>
    <w:rsid w:val="00552A38"/>
    <w:rsid w:val="00553881"/>
    <w:rsid w:val="00554ABA"/>
    <w:rsid w:val="005552E3"/>
    <w:rsid w:val="00555A1D"/>
    <w:rsid w:val="0055643A"/>
    <w:rsid w:val="00560BB2"/>
    <w:rsid w:val="00561DD4"/>
    <w:rsid w:val="005626ED"/>
    <w:rsid w:val="00563D3C"/>
    <w:rsid w:val="00563FA0"/>
    <w:rsid w:val="005656EE"/>
    <w:rsid w:val="00573268"/>
    <w:rsid w:val="005746D4"/>
    <w:rsid w:val="005757DB"/>
    <w:rsid w:val="005759A6"/>
    <w:rsid w:val="00583637"/>
    <w:rsid w:val="00583769"/>
    <w:rsid w:val="00585731"/>
    <w:rsid w:val="00586012"/>
    <w:rsid w:val="005862C8"/>
    <w:rsid w:val="00590C95"/>
    <w:rsid w:val="005936D1"/>
    <w:rsid w:val="005969F7"/>
    <w:rsid w:val="00597820"/>
    <w:rsid w:val="005A337F"/>
    <w:rsid w:val="005A384F"/>
    <w:rsid w:val="005A44FC"/>
    <w:rsid w:val="005A5870"/>
    <w:rsid w:val="005B1789"/>
    <w:rsid w:val="005B179F"/>
    <w:rsid w:val="005B20EC"/>
    <w:rsid w:val="005B4217"/>
    <w:rsid w:val="005B43CC"/>
    <w:rsid w:val="005B6FDE"/>
    <w:rsid w:val="005B70A9"/>
    <w:rsid w:val="005B7EF3"/>
    <w:rsid w:val="005B7FE0"/>
    <w:rsid w:val="005C10D1"/>
    <w:rsid w:val="005C18C9"/>
    <w:rsid w:val="005C2E93"/>
    <w:rsid w:val="005C38FF"/>
    <w:rsid w:val="005C4D03"/>
    <w:rsid w:val="005C56D0"/>
    <w:rsid w:val="005C5A20"/>
    <w:rsid w:val="005C6613"/>
    <w:rsid w:val="005C6837"/>
    <w:rsid w:val="005C7F98"/>
    <w:rsid w:val="005D00E1"/>
    <w:rsid w:val="005D13EC"/>
    <w:rsid w:val="005D1C88"/>
    <w:rsid w:val="005D4404"/>
    <w:rsid w:val="005D47DF"/>
    <w:rsid w:val="005D582D"/>
    <w:rsid w:val="005D7D95"/>
    <w:rsid w:val="005E0483"/>
    <w:rsid w:val="005E0637"/>
    <w:rsid w:val="005E2A40"/>
    <w:rsid w:val="005E3A25"/>
    <w:rsid w:val="005E3AAE"/>
    <w:rsid w:val="005E3CCD"/>
    <w:rsid w:val="005E447A"/>
    <w:rsid w:val="005E46A9"/>
    <w:rsid w:val="005E496B"/>
    <w:rsid w:val="005E49C7"/>
    <w:rsid w:val="005E5E2E"/>
    <w:rsid w:val="005E6950"/>
    <w:rsid w:val="005E6A02"/>
    <w:rsid w:val="005E7011"/>
    <w:rsid w:val="005E7BCF"/>
    <w:rsid w:val="005F1C54"/>
    <w:rsid w:val="005F3169"/>
    <w:rsid w:val="005F46A2"/>
    <w:rsid w:val="005F4BC8"/>
    <w:rsid w:val="005F4D34"/>
    <w:rsid w:val="005F50A5"/>
    <w:rsid w:val="005F55CD"/>
    <w:rsid w:val="0060065B"/>
    <w:rsid w:val="00602580"/>
    <w:rsid w:val="00602589"/>
    <w:rsid w:val="00603415"/>
    <w:rsid w:val="00603AFB"/>
    <w:rsid w:val="00611712"/>
    <w:rsid w:val="00611985"/>
    <w:rsid w:val="00613925"/>
    <w:rsid w:val="006141F3"/>
    <w:rsid w:val="00614C39"/>
    <w:rsid w:val="006157BB"/>
    <w:rsid w:val="00616693"/>
    <w:rsid w:val="00616EE7"/>
    <w:rsid w:val="00620AB1"/>
    <w:rsid w:val="00621501"/>
    <w:rsid w:val="006224FD"/>
    <w:rsid w:val="006227CC"/>
    <w:rsid w:val="006236A9"/>
    <w:rsid w:val="00624701"/>
    <w:rsid w:val="00624C60"/>
    <w:rsid w:val="00624E91"/>
    <w:rsid w:val="0062503D"/>
    <w:rsid w:val="0062534A"/>
    <w:rsid w:val="00631365"/>
    <w:rsid w:val="00631895"/>
    <w:rsid w:val="00632179"/>
    <w:rsid w:val="00632802"/>
    <w:rsid w:val="00632FFC"/>
    <w:rsid w:val="00633012"/>
    <w:rsid w:val="00634FD3"/>
    <w:rsid w:val="0063583E"/>
    <w:rsid w:val="0063603E"/>
    <w:rsid w:val="00636420"/>
    <w:rsid w:val="006419C1"/>
    <w:rsid w:val="00641E0A"/>
    <w:rsid w:val="006420C7"/>
    <w:rsid w:val="00643541"/>
    <w:rsid w:val="006445B5"/>
    <w:rsid w:val="00644CF1"/>
    <w:rsid w:val="00644DC1"/>
    <w:rsid w:val="00645B0A"/>
    <w:rsid w:val="00646E43"/>
    <w:rsid w:val="00651792"/>
    <w:rsid w:val="0065240A"/>
    <w:rsid w:val="00653347"/>
    <w:rsid w:val="00653899"/>
    <w:rsid w:val="006540A8"/>
    <w:rsid w:val="00654B7A"/>
    <w:rsid w:val="0065525F"/>
    <w:rsid w:val="00655A51"/>
    <w:rsid w:val="00656464"/>
    <w:rsid w:val="0065678A"/>
    <w:rsid w:val="00656E42"/>
    <w:rsid w:val="00656EA2"/>
    <w:rsid w:val="00657EC3"/>
    <w:rsid w:val="006608D7"/>
    <w:rsid w:val="00665E77"/>
    <w:rsid w:val="00666229"/>
    <w:rsid w:val="0066625E"/>
    <w:rsid w:val="00667EA4"/>
    <w:rsid w:val="006715E4"/>
    <w:rsid w:val="00671DEF"/>
    <w:rsid w:val="00671F1C"/>
    <w:rsid w:val="006741A6"/>
    <w:rsid w:val="006748A0"/>
    <w:rsid w:val="00674C28"/>
    <w:rsid w:val="0067515B"/>
    <w:rsid w:val="006755D1"/>
    <w:rsid w:val="00675EFD"/>
    <w:rsid w:val="00676AB3"/>
    <w:rsid w:val="00680D11"/>
    <w:rsid w:val="006818B9"/>
    <w:rsid w:val="00681914"/>
    <w:rsid w:val="00681D18"/>
    <w:rsid w:val="006820F8"/>
    <w:rsid w:val="006839CA"/>
    <w:rsid w:val="006840BE"/>
    <w:rsid w:val="00685F5F"/>
    <w:rsid w:val="00686FA0"/>
    <w:rsid w:val="00687660"/>
    <w:rsid w:val="006907C3"/>
    <w:rsid w:val="0069133C"/>
    <w:rsid w:val="006925E5"/>
    <w:rsid w:val="0069323F"/>
    <w:rsid w:val="006936D6"/>
    <w:rsid w:val="00693790"/>
    <w:rsid w:val="00693F1D"/>
    <w:rsid w:val="0069533E"/>
    <w:rsid w:val="006953D4"/>
    <w:rsid w:val="00697F56"/>
    <w:rsid w:val="006A1737"/>
    <w:rsid w:val="006A24F8"/>
    <w:rsid w:val="006A5D1E"/>
    <w:rsid w:val="006A6A1A"/>
    <w:rsid w:val="006A6A8C"/>
    <w:rsid w:val="006A7D14"/>
    <w:rsid w:val="006B01D3"/>
    <w:rsid w:val="006B0909"/>
    <w:rsid w:val="006B0B97"/>
    <w:rsid w:val="006B367B"/>
    <w:rsid w:val="006B57DB"/>
    <w:rsid w:val="006C043B"/>
    <w:rsid w:val="006C0AAD"/>
    <w:rsid w:val="006C41B6"/>
    <w:rsid w:val="006C4EFC"/>
    <w:rsid w:val="006C5CA9"/>
    <w:rsid w:val="006C6D03"/>
    <w:rsid w:val="006C72F1"/>
    <w:rsid w:val="006D08FF"/>
    <w:rsid w:val="006D1444"/>
    <w:rsid w:val="006D30A1"/>
    <w:rsid w:val="006D3A73"/>
    <w:rsid w:val="006D3F93"/>
    <w:rsid w:val="006D406C"/>
    <w:rsid w:val="006D4E45"/>
    <w:rsid w:val="006D613B"/>
    <w:rsid w:val="006D781D"/>
    <w:rsid w:val="006D79BC"/>
    <w:rsid w:val="006E0AA4"/>
    <w:rsid w:val="006E0F00"/>
    <w:rsid w:val="006E1C30"/>
    <w:rsid w:val="006E262C"/>
    <w:rsid w:val="006E3190"/>
    <w:rsid w:val="006E39EF"/>
    <w:rsid w:val="006E6ADE"/>
    <w:rsid w:val="006E6F95"/>
    <w:rsid w:val="006F1587"/>
    <w:rsid w:val="006F26C4"/>
    <w:rsid w:val="006F3487"/>
    <w:rsid w:val="006F442A"/>
    <w:rsid w:val="006F44E7"/>
    <w:rsid w:val="006F46B6"/>
    <w:rsid w:val="006F5127"/>
    <w:rsid w:val="006F5F88"/>
    <w:rsid w:val="006F672D"/>
    <w:rsid w:val="0070013F"/>
    <w:rsid w:val="0070450F"/>
    <w:rsid w:val="0070451C"/>
    <w:rsid w:val="007058AB"/>
    <w:rsid w:val="00705C80"/>
    <w:rsid w:val="00710584"/>
    <w:rsid w:val="00710DC2"/>
    <w:rsid w:val="0071188B"/>
    <w:rsid w:val="007127B1"/>
    <w:rsid w:val="0071347F"/>
    <w:rsid w:val="00715BC9"/>
    <w:rsid w:val="00715F39"/>
    <w:rsid w:val="00717BE0"/>
    <w:rsid w:val="00720C13"/>
    <w:rsid w:val="00722A1B"/>
    <w:rsid w:val="007237EC"/>
    <w:rsid w:val="00723C2B"/>
    <w:rsid w:val="0072458A"/>
    <w:rsid w:val="00725145"/>
    <w:rsid w:val="00725833"/>
    <w:rsid w:val="00731C4C"/>
    <w:rsid w:val="00734B43"/>
    <w:rsid w:val="007359B8"/>
    <w:rsid w:val="00736E1F"/>
    <w:rsid w:val="007421DF"/>
    <w:rsid w:val="00743927"/>
    <w:rsid w:val="007443A0"/>
    <w:rsid w:val="00745B52"/>
    <w:rsid w:val="00745D26"/>
    <w:rsid w:val="00745DD5"/>
    <w:rsid w:val="00745E97"/>
    <w:rsid w:val="00746466"/>
    <w:rsid w:val="0075079E"/>
    <w:rsid w:val="00750957"/>
    <w:rsid w:val="0075216C"/>
    <w:rsid w:val="00752DB2"/>
    <w:rsid w:val="00753080"/>
    <w:rsid w:val="00753444"/>
    <w:rsid w:val="007555AC"/>
    <w:rsid w:val="00757355"/>
    <w:rsid w:val="00757DE1"/>
    <w:rsid w:val="00760673"/>
    <w:rsid w:val="00760A23"/>
    <w:rsid w:val="00761A15"/>
    <w:rsid w:val="00761AF9"/>
    <w:rsid w:val="007630BD"/>
    <w:rsid w:val="0076320F"/>
    <w:rsid w:val="00764F89"/>
    <w:rsid w:val="00767801"/>
    <w:rsid w:val="00770102"/>
    <w:rsid w:val="007736DD"/>
    <w:rsid w:val="00777A54"/>
    <w:rsid w:val="00780A39"/>
    <w:rsid w:val="00783C1D"/>
    <w:rsid w:val="00787E5B"/>
    <w:rsid w:val="007902C2"/>
    <w:rsid w:val="007903A6"/>
    <w:rsid w:val="007918E0"/>
    <w:rsid w:val="0079272E"/>
    <w:rsid w:val="007928AA"/>
    <w:rsid w:val="00792B83"/>
    <w:rsid w:val="00793051"/>
    <w:rsid w:val="007936BF"/>
    <w:rsid w:val="007948D2"/>
    <w:rsid w:val="00794B4A"/>
    <w:rsid w:val="00794C4C"/>
    <w:rsid w:val="00795A2E"/>
    <w:rsid w:val="00795DCF"/>
    <w:rsid w:val="0079658D"/>
    <w:rsid w:val="00796792"/>
    <w:rsid w:val="007A1693"/>
    <w:rsid w:val="007A25F4"/>
    <w:rsid w:val="007A2E52"/>
    <w:rsid w:val="007A3233"/>
    <w:rsid w:val="007A4087"/>
    <w:rsid w:val="007A528F"/>
    <w:rsid w:val="007A56CF"/>
    <w:rsid w:val="007A6A3F"/>
    <w:rsid w:val="007A6D26"/>
    <w:rsid w:val="007A7FC5"/>
    <w:rsid w:val="007B00E8"/>
    <w:rsid w:val="007B08F0"/>
    <w:rsid w:val="007B2A7F"/>
    <w:rsid w:val="007B3FC2"/>
    <w:rsid w:val="007B4619"/>
    <w:rsid w:val="007B47E9"/>
    <w:rsid w:val="007B4C50"/>
    <w:rsid w:val="007B582E"/>
    <w:rsid w:val="007B5BE3"/>
    <w:rsid w:val="007C19D1"/>
    <w:rsid w:val="007C231F"/>
    <w:rsid w:val="007C2EFC"/>
    <w:rsid w:val="007C2FC0"/>
    <w:rsid w:val="007C36BA"/>
    <w:rsid w:val="007C5868"/>
    <w:rsid w:val="007C5E9F"/>
    <w:rsid w:val="007C791A"/>
    <w:rsid w:val="007D182B"/>
    <w:rsid w:val="007D32B9"/>
    <w:rsid w:val="007D3BC5"/>
    <w:rsid w:val="007D3D12"/>
    <w:rsid w:val="007D419B"/>
    <w:rsid w:val="007D4943"/>
    <w:rsid w:val="007D5888"/>
    <w:rsid w:val="007D5C57"/>
    <w:rsid w:val="007D7ED7"/>
    <w:rsid w:val="007E1752"/>
    <w:rsid w:val="007F01E0"/>
    <w:rsid w:val="007F1967"/>
    <w:rsid w:val="007F19CD"/>
    <w:rsid w:val="007F242F"/>
    <w:rsid w:val="007F3E0B"/>
    <w:rsid w:val="007F53FF"/>
    <w:rsid w:val="007F6DE1"/>
    <w:rsid w:val="007F7DD4"/>
    <w:rsid w:val="00801431"/>
    <w:rsid w:val="00803BCF"/>
    <w:rsid w:val="00804AA0"/>
    <w:rsid w:val="00804C46"/>
    <w:rsid w:val="00804D9F"/>
    <w:rsid w:val="00805867"/>
    <w:rsid w:val="00807D2E"/>
    <w:rsid w:val="008101D9"/>
    <w:rsid w:val="00811502"/>
    <w:rsid w:val="008120D0"/>
    <w:rsid w:val="0081245D"/>
    <w:rsid w:val="008126CF"/>
    <w:rsid w:val="00813591"/>
    <w:rsid w:val="00813FB9"/>
    <w:rsid w:val="00815515"/>
    <w:rsid w:val="00817A2A"/>
    <w:rsid w:val="008216A0"/>
    <w:rsid w:val="0082247D"/>
    <w:rsid w:val="0082269F"/>
    <w:rsid w:val="00823BA9"/>
    <w:rsid w:val="00824E5B"/>
    <w:rsid w:val="0082741E"/>
    <w:rsid w:val="00827CC2"/>
    <w:rsid w:val="00827EED"/>
    <w:rsid w:val="00830C21"/>
    <w:rsid w:val="00830F76"/>
    <w:rsid w:val="00831510"/>
    <w:rsid w:val="0083299E"/>
    <w:rsid w:val="00833300"/>
    <w:rsid w:val="00834DEF"/>
    <w:rsid w:val="00835890"/>
    <w:rsid w:val="00836A71"/>
    <w:rsid w:val="00840320"/>
    <w:rsid w:val="00841CE3"/>
    <w:rsid w:val="00845A3E"/>
    <w:rsid w:val="00846804"/>
    <w:rsid w:val="008474B3"/>
    <w:rsid w:val="00851C5F"/>
    <w:rsid w:val="00852772"/>
    <w:rsid w:val="00852887"/>
    <w:rsid w:val="00853EBC"/>
    <w:rsid w:val="008542DB"/>
    <w:rsid w:val="00854D0B"/>
    <w:rsid w:val="0086107A"/>
    <w:rsid w:val="008610AF"/>
    <w:rsid w:val="00863E75"/>
    <w:rsid w:val="00863F30"/>
    <w:rsid w:val="00864424"/>
    <w:rsid w:val="00864759"/>
    <w:rsid w:val="008648C7"/>
    <w:rsid w:val="008657AB"/>
    <w:rsid w:val="00865897"/>
    <w:rsid w:val="00866F47"/>
    <w:rsid w:val="008673B9"/>
    <w:rsid w:val="008706DE"/>
    <w:rsid w:val="00873355"/>
    <w:rsid w:val="00877FA7"/>
    <w:rsid w:val="00881494"/>
    <w:rsid w:val="00881BED"/>
    <w:rsid w:val="00881F6E"/>
    <w:rsid w:val="0088364E"/>
    <w:rsid w:val="0088384B"/>
    <w:rsid w:val="00883DAC"/>
    <w:rsid w:val="00885574"/>
    <w:rsid w:val="008861F5"/>
    <w:rsid w:val="0088623C"/>
    <w:rsid w:val="008867A6"/>
    <w:rsid w:val="008878C6"/>
    <w:rsid w:val="00887EEE"/>
    <w:rsid w:val="0089106E"/>
    <w:rsid w:val="008911CB"/>
    <w:rsid w:val="008935AC"/>
    <w:rsid w:val="00894478"/>
    <w:rsid w:val="00894B43"/>
    <w:rsid w:val="00895CB5"/>
    <w:rsid w:val="0089726B"/>
    <w:rsid w:val="00897B7A"/>
    <w:rsid w:val="008A2895"/>
    <w:rsid w:val="008A2CAF"/>
    <w:rsid w:val="008A3BD1"/>
    <w:rsid w:val="008A4B8D"/>
    <w:rsid w:val="008A527E"/>
    <w:rsid w:val="008A65AF"/>
    <w:rsid w:val="008B0C4B"/>
    <w:rsid w:val="008B19B3"/>
    <w:rsid w:val="008B29BD"/>
    <w:rsid w:val="008B2E8E"/>
    <w:rsid w:val="008B377C"/>
    <w:rsid w:val="008B4637"/>
    <w:rsid w:val="008B4719"/>
    <w:rsid w:val="008B4E85"/>
    <w:rsid w:val="008B57F9"/>
    <w:rsid w:val="008B64C2"/>
    <w:rsid w:val="008C027D"/>
    <w:rsid w:val="008C09F8"/>
    <w:rsid w:val="008C0CEF"/>
    <w:rsid w:val="008C313A"/>
    <w:rsid w:val="008C3283"/>
    <w:rsid w:val="008C44C1"/>
    <w:rsid w:val="008C4B8E"/>
    <w:rsid w:val="008C5B74"/>
    <w:rsid w:val="008C5CCE"/>
    <w:rsid w:val="008C6008"/>
    <w:rsid w:val="008C62DA"/>
    <w:rsid w:val="008C6531"/>
    <w:rsid w:val="008C6776"/>
    <w:rsid w:val="008C7502"/>
    <w:rsid w:val="008D0441"/>
    <w:rsid w:val="008D0F92"/>
    <w:rsid w:val="008D234D"/>
    <w:rsid w:val="008D26C7"/>
    <w:rsid w:val="008D45D4"/>
    <w:rsid w:val="008D466A"/>
    <w:rsid w:val="008D46DA"/>
    <w:rsid w:val="008D47D2"/>
    <w:rsid w:val="008D48AA"/>
    <w:rsid w:val="008D663E"/>
    <w:rsid w:val="008D6F95"/>
    <w:rsid w:val="008D7F16"/>
    <w:rsid w:val="008E270E"/>
    <w:rsid w:val="008E2F48"/>
    <w:rsid w:val="008E3876"/>
    <w:rsid w:val="008E4207"/>
    <w:rsid w:val="008E4622"/>
    <w:rsid w:val="008E4A02"/>
    <w:rsid w:val="008E4D05"/>
    <w:rsid w:val="008E72C6"/>
    <w:rsid w:val="008F09B6"/>
    <w:rsid w:val="008F146B"/>
    <w:rsid w:val="008F1B72"/>
    <w:rsid w:val="008F27B9"/>
    <w:rsid w:val="008F2827"/>
    <w:rsid w:val="008F454E"/>
    <w:rsid w:val="008F49A6"/>
    <w:rsid w:val="008F5814"/>
    <w:rsid w:val="008F5D6A"/>
    <w:rsid w:val="008F6ED7"/>
    <w:rsid w:val="00900B3E"/>
    <w:rsid w:val="00901343"/>
    <w:rsid w:val="009014FF"/>
    <w:rsid w:val="00902841"/>
    <w:rsid w:val="00902BC7"/>
    <w:rsid w:val="00902DFE"/>
    <w:rsid w:val="0090316C"/>
    <w:rsid w:val="0090401B"/>
    <w:rsid w:val="00905087"/>
    <w:rsid w:val="00905F2A"/>
    <w:rsid w:val="00906B0B"/>
    <w:rsid w:val="00906C74"/>
    <w:rsid w:val="00906E57"/>
    <w:rsid w:val="00912C20"/>
    <w:rsid w:val="00914165"/>
    <w:rsid w:val="0091495A"/>
    <w:rsid w:val="00914D49"/>
    <w:rsid w:val="00916106"/>
    <w:rsid w:val="00916AF1"/>
    <w:rsid w:val="00917D44"/>
    <w:rsid w:val="00920AB1"/>
    <w:rsid w:val="00921105"/>
    <w:rsid w:val="009221D0"/>
    <w:rsid w:val="00922274"/>
    <w:rsid w:val="00923930"/>
    <w:rsid w:val="00925FEE"/>
    <w:rsid w:val="009271BA"/>
    <w:rsid w:val="0092797A"/>
    <w:rsid w:val="00927E52"/>
    <w:rsid w:val="0093197A"/>
    <w:rsid w:val="00932ABE"/>
    <w:rsid w:val="00935935"/>
    <w:rsid w:val="00935DD0"/>
    <w:rsid w:val="00935F05"/>
    <w:rsid w:val="00936312"/>
    <w:rsid w:val="00937830"/>
    <w:rsid w:val="00940251"/>
    <w:rsid w:val="009404FD"/>
    <w:rsid w:val="00940BD1"/>
    <w:rsid w:val="00942E57"/>
    <w:rsid w:val="0094387C"/>
    <w:rsid w:val="00943F92"/>
    <w:rsid w:val="0094540D"/>
    <w:rsid w:val="0094695E"/>
    <w:rsid w:val="009477C8"/>
    <w:rsid w:val="00947A11"/>
    <w:rsid w:val="009504E2"/>
    <w:rsid w:val="00951EB4"/>
    <w:rsid w:val="00952354"/>
    <w:rsid w:val="00952871"/>
    <w:rsid w:val="00953344"/>
    <w:rsid w:val="00954098"/>
    <w:rsid w:val="00955D90"/>
    <w:rsid w:val="00956236"/>
    <w:rsid w:val="00960EF0"/>
    <w:rsid w:val="009639AF"/>
    <w:rsid w:val="00964261"/>
    <w:rsid w:val="00964926"/>
    <w:rsid w:val="00966393"/>
    <w:rsid w:val="009664A0"/>
    <w:rsid w:val="009664FB"/>
    <w:rsid w:val="0096671D"/>
    <w:rsid w:val="00966DC2"/>
    <w:rsid w:val="009700F6"/>
    <w:rsid w:val="009707F8"/>
    <w:rsid w:val="009724B3"/>
    <w:rsid w:val="00973972"/>
    <w:rsid w:val="009747EF"/>
    <w:rsid w:val="00974E05"/>
    <w:rsid w:val="00975BE4"/>
    <w:rsid w:val="00976B79"/>
    <w:rsid w:val="009772F2"/>
    <w:rsid w:val="00984612"/>
    <w:rsid w:val="00984649"/>
    <w:rsid w:val="00985418"/>
    <w:rsid w:val="00985C0C"/>
    <w:rsid w:val="0098647E"/>
    <w:rsid w:val="00987348"/>
    <w:rsid w:val="00991D11"/>
    <w:rsid w:val="00991F2B"/>
    <w:rsid w:val="009928B5"/>
    <w:rsid w:val="00993A8D"/>
    <w:rsid w:val="00993DEF"/>
    <w:rsid w:val="00994699"/>
    <w:rsid w:val="00994900"/>
    <w:rsid w:val="00994AC1"/>
    <w:rsid w:val="00994F67"/>
    <w:rsid w:val="00995F80"/>
    <w:rsid w:val="00996425"/>
    <w:rsid w:val="0099726C"/>
    <w:rsid w:val="009A0976"/>
    <w:rsid w:val="009A1CBE"/>
    <w:rsid w:val="009A2ECD"/>
    <w:rsid w:val="009A4849"/>
    <w:rsid w:val="009A4BDA"/>
    <w:rsid w:val="009A628E"/>
    <w:rsid w:val="009A6BE9"/>
    <w:rsid w:val="009B0680"/>
    <w:rsid w:val="009B2767"/>
    <w:rsid w:val="009B2C54"/>
    <w:rsid w:val="009B301D"/>
    <w:rsid w:val="009B3871"/>
    <w:rsid w:val="009B3B7B"/>
    <w:rsid w:val="009B42EA"/>
    <w:rsid w:val="009B43DB"/>
    <w:rsid w:val="009B5390"/>
    <w:rsid w:val="009B5F4E"/>
    <w:rsid w:val="009B7B81"/>
    <w:rsid w:val="009C131F"/>
    <w:rsid w:val="009C36A8"/>
    <w:rsid w:val="009C3957"/>
    <w:rsid w:val="009C438C"/>
    <w:rsid w:val="009C449D"/>
    <w:rsid w:val="009C52C9"/>
    <w:rsid w:val="009C7C2A"/>
    <w:rsid w:val="009D02C3"/>
    <w:rsid w:val="009D31A6"/>
    <w:rsid w:val="009D3366"/>
    <w:rsid w:val="009D70C3"/>
    <w:rsid w:val="009D71DD"/>
    <w:rsid w:val="009E0C22"/>
    <w:rsid w:val="009E2E8D"/>
    <w:rsid w:val="009E6AE2"/>
    <w:rsid w:val="009E6B3E"/>
    <w:rsid w:val="009E775A"/>
    <w:rsid w:val="009F0034"/>
    <w:rsid w:val="009F0793"/>
    <w:rsid w:val="009F347F"/>
    <w:rsid w:val="009F674D"/>
    <w:rsid w:val="009F715F"/>
    <w:rsid w:val="009F7ED5"/>
    <w:rsid w:val="009F7FBA"/>
    <w:rsid w:val="00A00DFF"/>
    <w:rsid w:val="00A014EA"/>
    <w:rsid w:val="00A028A0"/>
    <w:rsid w:val="00A03264"/>
    <w:rsid w:val="00A03A6A"/>
    <w:rsid w:val="00A03BF7"/>
    <w:rsid w:val="00A069C0"/>
    <w:rsid w:val="00A11495"/>
    <w:rsid w:val="00A11CBF"/>
    <w:rsid w:val="00A12CE6"/>
    <w:rsid w:val="00A13BBA"/>
    <w:rsid w:val="00A14AF7"/>
    <w:rsid w:val="00A16520"/>
    <w:rsid w:val="00A16780"/>
    <w:rsid w:val="00A17400"/>
    <w:rsid w:val="00A17DD8"/>
    <w:rsid w:val="00A21563"/>
    <w:rsid w:val="00A219E2"/>
    <w:rsid w:val="00A2293A"/>
    <w:rsid w:val="00A267BD"/>
    <w:rsid w:val="00A31A3C"/>
    <w:rsid w:val="00A320CA"/>
    <w:rsid w:val="00A32FB4"/>
    <w:rsid w:val="00A3367D"/>
    <w:rsid w:val="00A34ACF"/>
    <w:rsid w:val="00A358A3"/>
    <w:rsid w:val="00A36B85"/>
    <w:rsid w:val="00A3760A"/>
    <w:rsid w:val="00A37E0E"/>
    <w:rsid w:val="00A40178"/>
    <w:rsid w:val="00A40354"/>
    <w:rsid w:val="00A40A31"/>
    <w:rsid w:val="00A40D89"/>
    <w:rsid w:val="00A41376"/>
    <w:rsid w:val="00A41CA8"/>
    <w:rsid w:val="00A45490"/>
    <w:rsid w:val="00A45B29"/>
    <w:rsid w:val="00A45D2A"/>
    <w:rsid w:val="00A50C85"/>
    <w:rsid w:val="00A50FC4"/>
    <w:rsid w:val="00A5198A"/>
    <w:rsid w:val="00A51A11"/>
    <w:rsid w:val="00A51E54"/>
    <w:rsid w:val="00A52CAB"/>
    <w:rsid w:val="00A537A1"/>
    <w:rsid w:val="00A54C0D"/>
    <w:rsid w:val="00A55DEE"/>
    <w:rsid w:val="00A56312"/>
    <w:rsid w:val="00A5767B"/>
    <w:rsid w:val="00A601A3"/>
    <w:rsid w:val="00A60AA8"/>
    <w:rsid w:val="00A60E01"/>
    <w:rsid w:val="00A62304"/>
    <w:rsid w:val="00A62C03"/>
    <w:rsid w:val="00A641F3"/>
    <w:rsid w:val="00A663BA"/>
    <w:rsid w:val="00A667C3"/>
    <w:rsid w:val="00A668A6"/>
    <w:rsid w:val="00A66912"/>
    <w:rsid w:val="00A66A17"/>
    <w:rsid w:val="00A71B63"/>
    <w:rsid w:val="00A71D5E"/>
    <w:rsid w:val="00A72ABE"/>
    <w:rsid w:val="00A745D0"/>
    <w:rsid w:val="00A74D91"/>
    <w:rsid w:val="00A7773E"/>
    <w:rsid w:val="00A77C21"/>
    <w:rsid w:val="00A77E9F"/>
    <w:rsid w:val="00A80F65"/>
    <w:rsid w:val="00A824FF"/>
    <w:rsid w:val="00A83CB3"/>
    <w:rsid w:val="00A85135"/>
    <w:rsid w:val="00A8556B"/>
    <w:rsid w:val="00A856B1"/>
    <w:rsid w:val="00A857B2"/>
    <w:rsid w:val="00A908D7"/>
    <w:rsid w:val="00A90E57"/>
    <w:rsid w:val="00A91571"/>
    <w:rsid w:val="00A9169F"/>
    <w:rsid w:val="00A93A1D"/>
    <w:rsid w:val="00A94A75"/>
    <w:rsid w:val="00A95C34"/>
    <w:rsid w:val="00A96B74"/>
    <w:rsid w:val="00A971DE"/>
    <w:rsid w:val="00AA0854"/>
    <w:rsid w:val="00AA1002"/>
    <w:rsid w:val="00AA203A"/>
    <w:rsid w:val="00AA20A1"/>
    <w:rsid w:val="00AA20F8"/>
    <w:rsid w:val="00AA22E3"/>
    <w:rsid w:val="00AA2FD8"/>
    <w:rsid w:val="00AA3C51"/>
    <w:rsid w:val="00AA4618"/>
    <w:rsid w:val="00AA52EB"/>
    <w:rsid w:val="00AA7E98"/>
    <w:rsid w:val="00AB0F25"/>
    <w:rsid w:val="00AB1D0B"/>
    <w:rsid w:val="00AB3396"/>
    <w:rsid w:val="00AB406B"/>
    <w:rsid w:val="00AB43BA"/>
    <w:rsid w:val="00AB61E3"/>
    <w:rsid w:val="00AB6EE0"/>
    <w:rsid w:val="00AB7D2E"/>
    <w:rsid w:val="00AC0A94"/>
    <w:rsid w:val="00AC0BF3"/>
    <w:rsid w:val="00AC53BD"/>
    <w:rsid w:val="00AC5FD6"/>
    <w:rsid w:val="00AC7024"/>
    <w:rsid w:val="00AD2A5C"/>
    <w:rsid w:val="00AD2B83"/>
    <w:rsid w:val="00AD2C3E"/>
    <w:rsid w:val="00AD3B67"/>
    <w:rsid w:val="00AD4351"/>
    <w:rsid w:val="00AD4655"/>
    <w:rsid w:val="00AD4866"/>
    <w:rsid w:val="00AD59FB"/>
    <w:rsid w:val="00AD5D00"/>
    <w:rsid w:val="00AE017B"/>
    <w:rsid w:val="00AE1CC4"/>
    <w:rsid w:val="00AE2025"/>
    <w:rsid w:val="00AE4511"/>
    <w:rsid w:val="00AE499F"/>
    <w:rsid w:val="00AE6AA7"/>
    <w:rsid w:val="00AE6BC3"/>
    <w:rsid w:val="00AF10AB"/>
    <w:rsid w:val="00AF1EBD"/>
    <w:rsid w:val="00AF38D9"/>
    <w:rsid w:val="00AF3F6D"/>
    <w:rsid w:val="00AF4478"/>
    <w:rsid w:val="00AF63D5"/>
    <w:rsid w:val="00AF666D"/>
    <w:rsid w:val="00AF7C8F"/>
    <w:rsid w:val="00B00644"/>
    <w:rsid w:val="00B01854"/>
    <w:rsid w:val="00B03B01"/>
    <w:rsid w:val="00B052BA"/>
    <w:rsid w:val="00B07ABF"/>
    <w:rsid w:val="00B115FC"/>
    <w:rsid w:val="00B1237B"/>
    <w:rsid w:val="00B1276E"/>
    <w:rsid w:val="00B138CD"/>
    <w:rsid w:val="00B13BCB"/>
    <w:rsid w:val="00B150F0"/>
    <w:rsid w:val="00B1532A"/>
    <w:rsid w:val="00B159F8"/>
    <w:rsid w:val="00B17B01"/>
    <w:rsid w:val="00B20CC8"/>
    <w:rsid w:val="00B213C5"/>
    <w:rsid w:val="00B2271C"/>
    <w:rsid w:val="00B22A95"/>
    <w:rsid w:val="00B25D8C"/>
    <w:rsid w:val="00B26ABF"/>
    <w:rsid w:val="00B301E4"/>
    <w:rsid w:val="00B313CA"/>
    <w:rsid w:val="00B31CA6"/>
    <w:rsid w:val="00B3290C"/>
    <w:rsid w:val="00B330AD"/>
    <w:rsid w:val="00B33516"/>
    <w:rsid w:val="00B3394A"/>
    <w:rsid w:val="00B3455A"/>
    <w:rsid w:val="00B34DCC"/>
    <w:rsid w:val="00B34E38"/>
    <w:rsid w:val="00B35717"/>
    <w:rsid w:val="00B37011"/>
    <w:rsid w:val="00B408F6"/>
    <w:rsid w:val="00B420DC"/>
    <w:rsid w:val="00B42FBC"/>
    <w:rsid w:val="00B43688"/>
    <w:rsid w:val="00B4460A"/>
    <w:rsid w:val="00B45035"/>
    <w:rsid w:val="00B45B2A"/>
    <w:rsid w:val="00B46B9B"/>
    <w:rsid w:val="00B47272"/>
    <w:rsid w:val="00B479F7"/>
    <w:rsid w:val="00B51E71"/>
    <w:rsid w:val="00B521F8"/>
    <w:rsid w:val="00B525E0"/>
    <w:rsid w:val="00B5273F"/>
    <w:rsid w:val="00B529A6"/>
    <w:rsid w:val="00B52AC1"/>
    <w:rsid w:val="00B52B0A"/>
    <w:rsid w:val="00B53DE9"/>
    <w:rsid w:val="00B5435D"/>
    <w:rsid w:val="00B55B98"/>
    <w:rsid w:val="00B575D5"/>
    <w:rsid w:val="00B600F3"/>
    <w:rsid w:val="00B601C9"/>
    <w:rsid w:val="00B625F1"/>
    <w:rsid w:val="00B631C4"/>
    <w:rsid w:val="00B6599A"/>
    <w:rsid w:val="00B660EE"/>
    <w:rsid w:val="00B67AE7"/>
    <w:rsid w:val="00B7109A"/>
    <w:rsid w:val="00B72861"/>
    <w:rsid w:val="00B73875"/>
    <w:rsid w:val="00B74B8F"/>
    <w:rsid w:val="00B75374"/>
    <w:rsid w:val="00B756B0"/>
    <w:rsid w:val="00B76206"/>
    <w:rsid w:val="00B77192"/>
    <w:rsid w:val="00B813D1"/>
    <w:rsid w:val="00B81B4E"/>
    <w:rsid w:val="00B821AA"/>
    <w:rsid w:val="00B827D0"/>
    <w:rsid w:val="00B82B9F"/>
    <w:rsid w:val="00B83855"/>
    <w:rsid w:val="00B85AAB"/>
    <w:rsid w:val="00B85B61"/>
    <w:rsid w:val="00B91383"/>
    <w:rsid w:val="00B935BD"/>
    <w:rsid w:val="00B961B2"/>
    <w:rsid w:val="00B97282"/>
    <w:rsid w:val="00BA0A94"/>
    <w:rsid w:val="00BA0F1E"/>
    <w:rsid w:val="00BA1889"/>
    <w:rsid w:val="00BA371A"/>
    <w:rsid w:val="00BA4268"/>
    <w:rsid w:val="00BA5730"/>
    <w:rsid w:val="00BA60C8"/>
    <w:rsid w:val="00BB0FA6"/>
    <w:rsid w:val="00BB32B3"/>
    <w:rsid w:val="00BB3FBD"/>
    <w:rsid w:val="00BB47F5"/>
    <w:rsid w:val="00BB4E08"/>
    <w:rsid w:val="00BB5014"/>
    <w:rsid w:val="00BB53FB"/>
    <w:rsid w:val="00BB56E4"/>
    <w:rsid w:val="00BB69C0"/>
    <w:rsid w:val="00BB7CAE"/>
    <w:rsid w:val="00BC0411"/>
    <w:rsid w:val="00BC13AD"/>
    <w:rsid w:val="00BC5DF8"/>
    <w:rsid w:val="00BC7D54"/>
    <w:rsid w:val="00BD05A6"/>
    <w:rsid w:val="00BD0CDF"/>
    <w:rsid w:val="00BD1029"/>
    <w:rsid w:val="00BD12A6"/>
    <w:rsid w:val="00BD1579"/>
    <w:rsid w:val="00BD26AF"/>
    <w:rsid w:val="00BD2BEA"/>
    <w:rsid w:val="00BD2F5E"/>
    <w:rsid w:val="00BD465C"/>
    <w:rsid w:val="00BD66DF"/>
    <w:rsid w:val="00BE22A8"/>
    <w:rsid w:val="00BE5176"/>
    <w:rsid w:val="00BE6161"/>
    <w:rsid w:val="00BE6566"/>
    <w:rsid w:val="00BE79FB"/>
    <w:rsid w:val="00BE7F45"/>
    <w:rsid w:val="00BF0302"/>
    <w:rsid w:val="00BF1D34"/>
    <w:rsid w:val="00BF256F"/>
    <w:rsid w:val="00BF3456"/>
    <w:rsid w:val="00BF3A17"/>
    <w:rsid w:val="00BF3C02"/>
    <w:rsid w:val="00BF66BB"/>
    <w:rsid w:val="00BF75B4"/>
    <w:rsid w:val="00C00165"/>
    <w:rsid w:val="00C01FBD"/>
    <w:rsid w:val="00C02635"/>
    <w:rsid w:val="00C03ED4"/>
    <w:rsid w:val="00C04016"/>
    <w:rsid w:val="00C051C1"/>
    <w:rsid w:val="00C05B71"/>
    <w:rsid w:val="00C061F0"/>
    <w:rsid w:val="00C064A4"/>
    <w:rsid w:val="00C0694B"/>
    <w:rsid w:val="00C072D1"/>
    <w:rsid w:val="00C11BAC"/>
    <w:rsid w:val="00C1511F"/>
    <w:rsid w:val="00C157A4"/>
    <w:rsid w:val="00C15AB5"/>
    <w:rsid w:val="00C167B7"/>
    <w:rsid w:val="00C17A5D"/>
    <w:rsid w:val="00C222C2"/>
    <w:rsid w:val="00C22888"/>
    <w:rsid w:val="00C22AB7"/>
    <w:rsid w:val="00C25E06"/>
    <w:rsid w:val="00C26047"/>
    <w:rsid w:val="00C2766B"/>
    <w:rsid w:val="00C27A82"/>
    <w:rsid w:val="00C3019D"/>
    <w:rsid w:val="00C301A9"/>
    <w:rsid w:val="00C30351"/>
    <w:rsid w:val="00C311C3"/>
    <w:rsid w:val="00C32517"/>
    <w:rsid w:val="00C338A6"/>
    <w:rsid w:val="00C34557"/>
    <w:rsid w:val="00C403B8"/>
    <w:rsid w:val="00C40468"/>
    <w:rsid w:val="00C4190C"/>
    <w:rsid w:val="00C422D8"/>
    <w:rsid w:val="00C443BC"/>
    <w:rsid w:val="00C44800"/>
    <w:rsid w:val="00C4613E"/>
    <w:rsid w:val="00C504B6"/>
    <w:rsid w:val="00C51247"/>
    <w:rsid w:val="00C51A4A"/>
    <w:rsid w:val="00C51E9D"/>
    <w:rsid w:val="00C525A0"/>
    <w:rsid w:val="00C5261D"/>
    <w:rsid w:val="00C5265F"/>
    <w:rsid w:val="00C53E3D"/>
    <w:rsid w:val="00C54262"/>
    <w:rsid w:val="00C5502F"/>
    <w:rsid w:val="00C551AE"/>
    <w:rsid w:val="00C55216"/>
    <w:rsid w:val="00C557F4"/>
    <w:rsid w:val="00C570A4"/>
    <w:rsid w:val="00C603C1"/>
    <w:rsid w:val="00C622D2"/>
    <w:rsid w:val="00C641DF"/>
    <w:rsid w:val="00C64326"/>
    <w:rsid w:val="00C67E3E"/>
    <w:rsid w:val="00C67FA5"/>
    <w:rsid w:val="00C705D1"/>
    <w:rsid w:val="00C72B78"/>
    <w:rsid w:val="00C73020"/>
    <w:rsid w:val="00C73285"/>
    <w:rsid w:val="00C73E75"/>
    <w:rsid w:val="00C7454E"/>
    <w:rsid w:val="00C74924"/>
    <w:rsid w:val="00C82D4E"/>
    <w:rsid w:val="00C84448"/>
    <w:rsid w:val="00C8473E"/>
    <w:rsid w:val="00C8686A"/>
    <w:rsid w:val="00C90801"/>
    <w:rsid w:val="00C9136E"/>
    <w:rsid w:val="00C94598"/>
    <w:rsid w:val="00C945EB"/>
    <w:rsid w:val="00C95F01"/>
    <w:rsid w:val="00C961CF"/>
    <w:rsid w:val="00CA124C"/>
    <w:rsid w:val="00CA1FBE"/>
    <w:rsid w:val="00CA2106"/>
    <w:rsid w:val="00CA24F5"/>
    <w:rsid w:val="00CA668A"/>
    <w:rsid w:val="00CB20D6"/>
    <w:rsid w:val="00CB210F"/>
    <w:rsid w:val="00CB2DBF"/>
    <w:rsid w:val="00CB39E4"/>
    <w:rsid w:val="00CB3D4E"/>
    <w:rsid w:val="00CB41E6"/>
    <w:rsid w:val="00CB6DAD"/>
    <w:rsid w:val="00CC1A55"/>
    <w:rsid w:val="00CC1CFF"/>
    <w:rsid w:val="00CC25C1"/>
    <w:rsid w:val="00CC25CD"/>
    <w:rsid w:val="00CC3E57"/>
    <w:rsid w:val="00CC3F50"/>
    <w:rsid w:val="00CC4852"/>
    <w:rsid w:val="00CC634C"/>
    <w:rsid w:val="00CC6D26"/>
    <w:rsid w:val="00CC74F1"/>
    <w:rsid w:val="00CD0A6F"/>
    <w:rsid w:val="00CD2254"/>
    <w:rsid w:val="00CD2796"/>
    <w:rsid w:val="00CD35E7"/>
    <w:rsid w:val="00CD38A3"/>
    <w:rsid w:val="00CD51A4"/>
    <w:rsid w:val="00CD5DD3"/>
    <w:rsid w:val="00CD6488"/>
    <w:rsid w:val="00CD6C0C"/>
    <w:rsid w:val="00CD6F94"/>
    <w:rsid w:val="00CD7098"/>
    <w:rsid w:val="00CE1CD8"/>
    <w:rsid w:val="00CE268A"/>
    <w:rsid w:val="00CE2C1D"/>
    <w:rsid w:val="00CE4AE6"/>
    <w:rsid w:val="00CE5B03"/>
    <w:rsid w:val="00CE763C"/>
    <w:rsid w:val="00CE791F"/>
    <w:rsid w:val="00CE79DB"/>
    <w:rsid w:val="00CF028E"/>
    <w:rsid w:val="00CF1DA5"/>
    <w:rsid w:val="00CF2371"/>
    <w:rsid w:val="00CF2399"/>
    <w:rsid w:val="00CF2733"/>
    <w:rsid w:val="00CF298E"/>
    <w:rsid w:val="00CF2B77"/>
    <w:rsid w:val="00CF2B96"/>
    <w:rsid w:val="00CF37BC"/>
    <w:rsid w:val="00CF37CA"/>
    <w:rsid w:val="00D00974"/>
    <w:rsid w:val="00D01790"/>
    <w:rsid w:val="00D01D3A"/>
    <w:rsid w:val="00D04551"/>
    <w:rsid w:val="00D05607"/>
    <w:rsid w:val="00D06236"/>
    <w:rsid w:val="00D0681E"/>
    <w:rsid w:val="00D075F6"/>
    <w:rsid w:val="00D10579"/>
    <w:rsid w:val="00D10A78"/>
    <w:rsid w:val="00D10F03"/>
    <w:rsid w:val="00D124CD"/>
    <w:rsid w:val="00D12BD6"/>
    <w:rsid w:val="00D133F6"/>
    <w:rsid w:val="00D14448"/>
    <w:rsid w:val="00D14B3E"/>
    <w:rsid w:val="00D151FC"/>
    <w:rsid w:val="00D16E40"/>
    <w:rsid w:val="00D201EC"/>
    <w:rsid w:val="00D20B7F"/>
    <w:rsid w:val="00D213F8"/>
    <w:rsid w:val="00D21E77"/>
    <w:rsid w:val="00D24BDB"/>
    <w:rsid w:val="00D24CAA"/>
    <w:rsid w:val="00D250F1"/>
    <w:rsid w:val="00D3179E"/>
    <w:rsid w:val="00D31981"/>
    <w:rsid w:val="00D32800"/>
    <w:rsid w:val="00D32E8C"/>
    <w:rsid w:val="00D33498"/>
    <w:rsid w:val="00D3360F"/>
    <w:rsid w:val="00D34439"/>
    <w:rsid w:val="00D34C32"/>
    <w:rsid w:val="00D34C7D"/>
    <w:rsid w:val="00D34EC7"/>
    <w:rsid w:val="00D35972"/>
    <w:rsid w:val="00D36813"/>
    <w:rsid w:val="00D407CF"/>
    <w:rsid w:val="00D45FEE"/>
    <w:rsid w:val="00D50015"/>
    <w:rsid w:val="00D50754"/>
    <w:rsid w:val="00D51181"/>
    <w:rsid w:val="00D5125A"/>
    <w:rsid w:val="00D524C9"/>
    <w:rsid w:val="00D5328E"/>
    <w:rsid w:val="00D54B99"/>
    <w:rsid w:val="00D54D26"/>
    <w:rsid w:val="00D5506F"/>
    <w:rsid w:val="00D5586C"/>
    <w:rsid w:val="00D5593C"/>
    <w:rsid w:val="00D55D06"/>
    <w:rsid w:val="00D5650E"/>
    <w:rsid w:val="00D56F30"/>
    <w:rsid w:val="00D57455"/>
    <w:rsid w:val="00D60279"/>
    <w:rsid w:val="00D61034"/>
    <w:rsid w:val="00D6108B"/>
    <w:rsid w:val="00D61565"/>
    <w:rsid w:val="00D64507"/>
    <w:rsid w:val="00D65B6A"/>
    <w:rsid w:val="00D66216"/>
    <w:rsid w:val="00D66589"/>
    <w:rsid w:val="00D673CA"/>
    <w:rsid w:val="00D70C2E"/>
    <w:rsid w:val="00D7132C"/>
    <w:rsid w:val="00D717C0"/>
    <w:rsid w:val="00D720C6"/>
    <w:rsid w:val="00D72EC0"/>
    <w:rsid w:val="00D755F0"/>
    <w:rsid w:val="00D76E49"/>
    <w:rsid w:val="00D77EDD"/>
    <w:rsid w:val="00D81580"/>
    <w:rsid w:val="00D81C63"/>
    <w:rsid w:val="00D81F71"/>
    <w:rsid w:val="00D84131"/>
    <w:rsid w:val="00D84927"/>
    <w:rsid w:val="00D85E17"/>
    <w:rsid w:val="00D85EEB"/>
    <w:rsid w:val="00D86D33"/>
    <w:rsid w:val="00D92266"/>
    <w:rsid w:val="00D9361E"/>
    <w:rsid w:val="00D937A0"/>
    <w:rsid w:val="00D93A8D"/>
    <w:rsid w:val="00D93C90"/>
    <w:rsid w:val="00D9473A"/>
    <w:rsid w:val="00D96334"/>
    <w:rsid w:val="00D967BF"/>
    <w:rsid w:val="00D96AFA"/>
    <w:rsid w:val="00D96C2D"/>
    <w:rsid w:val="00DA4C8B"/>
    <w:rsid w:val="00DA625B"/>
    <w:rsid w:val="00DA6D8C"/>
    <w:rsid w:val="00DA74DC"/>
    <w:rsid w:val="00DB0112"/>
    <w:rsid w:val="00DB0137"/>
    <w:rsid w:val="00DB1FF8"/>
    <w:rsid w:val="00DB273D"/>
    <w:rsid w:val="00DB2B31"/>
    <w:rsid w:val="00DB443E"/>
    <w:rsid w:val="00DB493F"/>
    <w:rsid w:val="00DB559B"/>
    <w:rsid w:val="00DB564C"/>
    <w:rsid w:val="00DB65F9"/>
    <w:rsid w:val="00DB68D1"/>
    <w:rsid w:val="00DB69C4"/>
    <w:rsid w:val="00DB702D"/>
    <w:rsid w:val="00DB7BCA"/>
    <w:rsid w:val="00DC0FB9"/>
    <w:rsid w:val="00DC10DC"/>
    <w:rsid w:val="00DC1801"/>
    <w:rsid w:val="00DC1B43"/>
    <w:rsid w:val="00DC1F95"/>
    <w:rsid w:val="00DC265C"/>
    <w:rsid w:val="00DC366E"/>
    <w:rsid w:val="00DC4D0F"/>
    <w:rsid w:val="00DC58DC"/>
    <w:rsid w:val="00DC65DC"/>
    <w:rsid w:val="00DC728E"/>
    <w:rsid w:val="00DD1A9F"/>
    <w:rsid w:val="00DD1F9C"/>
    <w:rsid w:val="00DD3EFB"/>
    <w:rsid w:val="00DD599D"/>
    <w:rsid w:val="00DD6A21"/>
    <w:rsid w:val="00DD6A72"/>
    <w:rsid w:val="00DD712C"/>
    <w:rsid w:val="00DD76C5"/>
    <w:rsid w:val="00DD79A0"/>
    <w:rsid w:val="00DE0BED"/>
    <w:rsid w:val="00DE2172"/>
    <w:rsid w:val="00DE2C65"/>
    <w:rsid w:val="00DE5113"/>
    <w:rsid w:val="00DE5ACE"/>
    <w:rsid w:val="00DE63E8"/>
    <w:rsid w:val="00DE71BC"/>
    <w:rsid w:val="00DF02BB"/>
    <w:rsid w:val="00DF0316"/>
    <w:rsid w:val="00DF192D"/>
    <w:rsid w:val="00DF1B44"/>
    <w:rsid w:val="00DF2049"/>
    <w:rsid w:val="00DF3C70"/>
    <w:rsid w:val="00DF5F2C"/>
    <w:rsid w:val="00DF5FC5"/>
    <w:rsid w:val="00DF6B7B"/>
    <w:rsid w:val="00DF6FBD"/>
    <w:rsid w:val="00DF718B"/>
    <w:rsid w:val="00DF7C0F"/>
    <w:rsid w:val="00E00BB0"/>
    <w:rsid w:val="00E020B0"/>
    <w:rsid w:val="00E02D7A"/>
    <w:rsid w:val="00E033EC"/>
    <w:rsid w:val="00E0341F"/>
    <w:rsid w:val="00E034C1"/>
    <w:rsid w:val="00E045A3"/>
    <w:rsid w:val="00E056D4"/>
    <w:rsid w:val="00E07FCE"/>
    <w:rsid w:val="00E2033B"/>
    <w:rsid w:val="00E2108A"/>
    <w:rsid w:val="00E22246"/>
    <w:rsid w:val="00E232FB"/>
    <w:rsid w:val="00E24F86"/>
    <w:rsid w:val="00E25434"/>
    <w:rsid w:val="00E26CE0"/>
    <w:rsid w:val="00E270F4"/>
    <w:rsid w:val="00E2749A"/>
    <w:rsid w:val="00E30DD7"/>
    <w:rsid w:val="00E31090"/>
    <w:rsid w:val="00E3265F"/>
    <w:rsid w:val="00E330BD"/>
    <w:rsid w:val="00E33C7E"/>
    <w:rsid w:val="00E33DEF"/>
    <w:rsid w:val="00E3497E"/>
    <w:rsid w:val="00E3552E"/>
    <w:rsid w:val="00E35BC3"/>
    <w:rsid w:val="00E365E8"/>
    <w:rsid w:val="00E37A3D"/>
    <w:rsid w:val="00E37D4A"/>
    <w:rsid w:val="00E42B8F"/>
    <w:rsid w:val="00E42CCD"/>
    <w:rsid w:val="00E44D4E"/>
    <w:rsid w:val="00E453AD"/>
    <w:rsid w:val="00E45A47"/>
    <w:rsid w:val="00E45E44"/>
    <w:rsid w:val="00E46C41"/>
    <w:rsid w:val="00E47788"/>
    <w:rsid w:val="00E507D4"/>
    <w:rsid w:val="00E50998"/>
    <w:rsid w:val="00E50A8A"/>
    <w:rsid w:val="00E51093"/>
    <w:rsid w:val="00E516F4"/>
    <w:rsid w:val="00E52202"/>
    <w:rsid w:val="00E52534"/>
    <w:rsid w:val="00E52D5C"/>
    <w:rsid w:val="00E53BAB"/>
    <w:rsid w:val="00E547F9"/>
    <w:rsid w:val="00E56D2C"/>
    <w:rsid w:val="00E57017"/>
    <w:rsid w:val="00E57ECF"/>
    <w:rsid w:val="00E60008"/>
    <w:rsid w:val="00E612D1"/>
    <w:rsid w:val="00E62E20"/>
    <w:rsid w:val="00E631F9"/>
    <w:rsid w:val="00E6341C"/>
    <w:rsid w:val="00E63725"/>
    <w:rsid w:val="00E65B09"/>
    <w:rsid w:val="00E66E2F"/>
    <w:rsid w:val="00E66EB8"/>
    <w:rsid w:val="00E702FA"/>
    <w:rsid w:val="00E708F5"/>
    <w:rsid w:val="00E70C63"/>
    <w:rsid w:val="00E716F6"/>
    <w:rsid w:val="00E71B35"/>
    <w:rsid w:val="00E738D9"/>
    <w:rsid w:val="00E8079C"/>
    <w:rsid w:val="00E80A02"/>
    <w:rsid w:val="00E80B36"/>
    <w:rsid w:val="00E822EE"/>
    <w:rsid w:val="00E82744"/>
    <w:rsid w:val="00E83C60"/>
    <w:rsid w:val="00E84626"/>
    <w:rsid w:val="00E84AFE"/>
    <w:rsid w:val="00E84C8C"/>
    <w:rsid w:val="00E85DA2"/>
    <w:rsid w:val="00E85FAF"/>
    <w:rsid w:val="00E90BF7"/>
    <w:rsid w:val="00E925F4"/>
    <w:rsid w:val="00E93C2A"/>
    <w:rsid w:val="00E944A6"/>
    <w:rsid w:val="00E9468D"/>
    <w:rsid w:val="00E950A1"/>
    <w:rsid w:val="00E956D0"/>
    <w:rsid w:val="00E96970"/>
    <w:rsid w:val="00E97016"/>
    <w:rsid w:val="00EA16B9"/>
    <w:rsid w:val="00EA2737"/>
    <w:rsid w:val="00EA39FE"/>
    <w:rsid w:val="00EA3CAB"/>
    <w:rsid w:val="00EB0901"/>
    <w:rsid w:val="00EB1C77"/>
    <w:rsid w:val="00EB2823"/>
    <w:rsid w:val="00EB2C49"/>
    <w:rsid w:val="00EB2EF6"/>
    <w:rsid w:val="00EB334C"/>
    <w:rsid w:val="00EB40D1"/>
    <w:rsid w:val="00EB4A61"/>
    <w:rsid w:val="00EB4B56"/>
    <w:rsid w:val="00EB4DF6"/>
    <w:rsid w:val="00EB54F8"/>
    <w:rsid w:val="00EB6AB6"/>
    <w:rsid w:val="00EC0400"/>
    <w:rsid w:val="00EC247A"/>
    <w:rsid w:val="00EC37F0"/>
    <w:rsid w:val="00EC3DD6"/>
    <w:rsid w:val="00EC57D1"/>
    <w:rsid w:val="00EC66C0"/>
    <w:rsid w:val="00EC6FB8"/>
    <w:rsid w:val="00EC71C6"/>
    <w:rsid w:val="00ED0D5B"/>
    <w:rsid w:val="00ED1247"/>
    <w:rsid w:val="00ED1B5F"/>
    <w:rsid w:val="00ED2F29"/>
    <w:rsid w:val="00ED5DCA"/>
    <w:rsid w:val="00ED6462"/>
    <w:rsid w:val="00EE097C"/>
    <w:rsid w:val="00EE1524"/>
    <w:rsid w:val="00EE1F9D"/>
    <w:rsid w:val="00EE21E7"/>
    <w:rsid w:val="00EE22D4"/>
    <w:rsid w:val="00EE4CA4"/>
    <w:rsid w:val="00EE4E08"/>
    <w:rsid w:val="00EE5229"/>
    <w:rsid w:val="00EE6EB8"/>
    <w:rsid w:val="00EE7378"/>
    <w:rsid w:val="00EF1997"/>
    <w:rsid w:val="00EF1B34"/>
    <w:rsid w:val="00EF39BB"/>
    <w:rsid w:val="00EF546B"/>
    <w:rsid w:val="00F0207D"/>
    <w:rsid w:val="00F02B55"/>
    <w:rsid w:val="00F031DF"/>
    <w:rsid w:val="00F0347E"/>
    <w:rsid w:val="00F0458D"/>
    <w:rsid w:val="00F06147"/>
    <w:rsid w:val="00F112EE"/>
    <w:rsid w:val="00F11B81"/>
    <w:rsid w:val="00F12439"/>
    <w:rsid w:val="00F12830"/>
    <w:rsid w:val="00F1452F"/>
    <w:rsid w:val="00F1510E"/>
    <w:rsid w:val="00F16860"/>
    <w:rsid w:val="00F2020D"/>
    <w:rsid w:val="00F21835"/>
    <w:rsid w:val="00F22654"/>
    <w:rsid w:val="00F243CF"/>
    <w:rsid w:val="00F249E5"/>
    <w:rsid w:val="00F24E76"/>
    <w:rsid w:val="00F26231"/>
    <w:rsid w:val="00F26ADE"/>
    <w:rsid w:val="00F30D57"/>
    <w:rsid w:val="00F3206D"/>
    <w:rsid w:val="00F32441"/>
    <w:rsid w:val="00F325D2"/>
    <w:rsid w:val="00F350E4"/>
    <w:rsid w:val="00F35541"/>
    <w:rsid w:val="00F3554D"/>
    <w:rsid w:val="00F410AB"/>
    <w:rsid w:val="00F41778"/>
    <w:rsid w:val="00F44349"/>
    <w:rsid w:val="00F445D7"/>
    <w:rsid w:val="00F4551E"/>
    <w:rsid w:val="00F467E0"/>
    <w:rsid w:val="00F46BFE"/>
    <w:rsid w:val="00F50958"/>
    <w:rsid w:val="00F51101"/>
    <w:rsid w:val="00F52406"/>
    <w:rsid w:val="00F52A28"/>
    <w:rsid w:val="00F52E5D"/>
    <w:rsid w:val="00F55EF8"/>
    <w:rsid w:val="00F574DB"/>
    <w:rsid w:val="00F57C3D"/>
    <w:rsid w:val="00F610B7"/>
    <w:rsid w:val="00F61219"/>
    <w:rsid w:val="00F61C47"/>
    <w:rsid w:val="00F61D0D"/>
    <w:rsid w:val="00F62FD3"/>
    <w:rsid w:val="00F636CA"/>
    <w:rsid w:val="00F6554A"/>
    <w:rsid w:val="00F66BC9"/>
    <w:rsid w:val="00F67A04"/>
    <w:rsid w:val="00F70BD2"/>
    <w:rsid w:val="00F71F3D"/>
    <w:rsid w:val="00F7297B"/>
    <w:rsid w:val="00F731E5"/>
    <w:rsid w:val="00F73D06"/>
    <w:rsid w:val="00F74FDA"/>
    <w:rsid w:val="00F800AB"/>
    <w:rsid w:val="00F81482"/>
    <w:rsid w:val="00F8161D"/>
    <w:rsid w:val="00F8390D"/>
    <w:rsid w:val="00F84574"/>
    <w:rsid w:val="00F858CA"/>
    <w:rsid w:val="00F86E3A"/>
    <w:rsid w:val="00F910BA"/>
    <w:rsid w:val="00F93265"/>
    <w:rsid w:val="00F936B0"/>
    <w:rsid w:val="00F94F31"/>
    <w:rsid w:val="00F95673"/>
    <w:rsid w:val="00F966C3"/>
    <w:rsid w:val="00F96965"/>
    <w:rsid w:val="00FA1254"/>
    <w:rsid w:val="00FA32BB"/>
    <w:rsid w:val="00FA3B91"/>
    <w:rsid w:val="00FA6CC4"/>
    <w:rsid w:val="00FA7C61"/>
    <w:rsid w:val="00FB0DD4"/>
    <w:rsid w:val="00FB0E6A"/>
    <w:rsid w:val="00FB12B8"/>
    <w:rsid w:val="00FB3FC6"/>
    <w:rsid w:val="00FB464D"/>
    <w:rsid w:val="00FB4DAA"/>
    <w:rsid w:val="00FB565A"/>
    <w:rsid w:val="00FB611B"/>
    <w:rsid w:val="00FB6F11"/>
    <w:rsid w:val="00FB7C8D"/>
    <w:rsid w:val="00FB7E7B"/>
    <w:rsid w:val="00FB7EE2"/>
    <w:rsid w:val="00FC03E9"/>
    <w:rsid w:val="00FC0451"/>
    <w:rsid w:val="00FC1C39"/>
    <w:rsid w:val="00FC2DFD"/>
    <w:rsid w:val="00FC366A"/>
    <w:rsid w:val="00FC51E0"/>
    <w:rsid w:val="00FC5328"/>
    <w:rsid w:val="00FC5553"/>
    <w:rsid w:val="00FC5E19"/>
    <w:rsid w:val="00FC631C"/>
    <w:rsid w:val="00FC6612"/>
    <w:rsid w:val="00FD21FB"/>
    <w:rsid w:val="00FD2CBD"/>
    <w:rsid w:val="00FD38D0"/>
    <w:rsid w:val="00FD3E98"/>
    <w:rsid w:val="00FD4481"/>
    <w:rsid w:val="00FD4E3D"/>
    <w:rsid w:val="00FD6182"/>
    <w:rsid w:val="00FD6E97"/>
    <w:rsid w:val="00FE11C6"/>
    <w:rsid w:val="00FE24AA"/>
    <w:rsid w:val="00FE5000"/>
    <w:rsid w:val="00FE6731"/>
    <w:rsid w:val="00FE7F8A"/>
    <w:rsid w:val="00FF1538"/>
    <w:rsid w:val="00FF2171"/>
    <w:rsid w:val="00FF2251"/>
    <w:rsid w:val="00FF664A"/>
    <w:rsid w:val="00FF748B"/>
    <w:rsid w:val="00FF77D1"/>
    <w:rsid w:val="00FF7E2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62" style="mso-position-horizontal-relative:page;mso-position-vertical-relative:page;v-text-anchor:bottom" o:allowincell="f" o:allowoverlap="f"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able of authorities" w:uiPriority="0"/>
    <w:lsdException w:name="List Bullet" w:uiPriority="0"/>
    <w:lsdException w:name="List Bullet 4" w:uiPriority="0"/>
    <w:lsdException w:name="List Bullet 5"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Classic 1" w:uiPriority="0"/>
    <w:lsdException w:name="Table Grid 1" w:uiPriority="0"/>
    <w:lsdException w:name="Table 3D effects 3" w:uiPriority="0"/>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5E4"/>
    <w:pPr>
      <w:spacing w:after="113" w:line="278" w:lineRule="auto"/>
    </w:pPr>
    <w:rPr>
      <w:rFonts w:ascii="Georgia" w:eastAsia="Cambria" w:hAnsi="Georgia" w:cs="Times New Roman"/>
      <w:sz w:val="19"/>
      <w:szCs w:val="24"/>
      <w:lang w:val="en-AU"/>
    </w:rPr>
  </w:style>
  <w:style w:type="paragraph" w:styleId="Heading1">
    <w:name w:val="heading 1"/>
    <w:aliases w:val="Tim Heading 1"/>
    <w:basedOn w:val="Normal"/>
    <w:next w:val="Normal"/>
    <w:link w:val="Heading1Char"/>
    <w:qFormat/>
    <w:rsid w:val="00631365"/>
    <w:pPr>
      <w:keepNext/>
      <w:keepLines/>
      <w:numPr>
        <w:numId w:val="46"/>
      </w:numPr>
      <w:tabs>
        <w:tab w:val="left" w:pos="851"/>
      </w:tabs>
      <w:spacing w:before="120" w:after="100" w:afterAutospacing="1"/>
      <w:outlineLvl w:val="0"/>
    </w:pPr>
    <w:rPr>
      <w:rFonts w:ascii="Helvetica" w:eastAsia="Times New Roman" w:hAnsi="Helvetica"/>
      <w:b/>
      <w:bCs/>
      <w:sz w:val="40"/>
      <w:szCs w:val="32"/>
    </w:rPr>
  </w:style>
  <w:style w:type="paragraph" w:styleId="Heading2">
    <w:name w:val="heading 2"/>
    <w:aliases w:val="TIM Heading 2"/>
    <w:basedOn w:val="Normal"/>
    <w:next w:val="Normal"/>
    <w:link w:val="Heading2Char"/>
    <w:unhideWhenUsed/>
    <w:qFormat/>
    <w:rsid w:val="00631365"/>
    <w:pPr>
      <w:keepNext/>
      <w:keepLines/>
      <w:numPr>
        <w:ilvl w:val="1"/>
        <w:numId w:val="46"/>
      </w:numPr>
      <w:spacing w:before="300"/>
      <w:outlineLvl w:val="1"/>
    </w:pPr>
    <w:rPr>
      <w:rFonts w:ascii="Helvetica" w:eastAsia="Times New Roman" w:hAnsi="Helvetica"/>
      <w:b/>
      <w:bCs/>
      <w:sz w:val="26"/>
      <w:szCs w:val="26"/>
    </w:rPr>
  </w:style>
  <w:style w:type="paragraph" w:styleId="Heading3">
    <w:name w:val="heading 3"/>
    <w:aliases w:val="TIM Heading 3"/>
    <w:basedOn w:val="Normal"/>
    <w:next w:val="Normal"/>
    <w:link w:val="Heading3Char"/>
    <w:unhideWhenUsed/>
    <w:qFormat/>
    <w:rsid w:val="00631365"/>
    <w:pPr>
      <w:keepNext/>
      <w:keepLines/>
      <w:numPr>
        <w:ilvl w:val="2"/>
        <w:numId w:val="46"/>
      </w:numPr>
      <w:spacing w:before="120" w:after="120" w:line="240" w:lineRule="auto"/>
      <w:outlineLvl w:val="2"/>
    </w:pPr>
    <w:rPr>
      <w:rFonts w:eastAsia="Times New Roman"/>
      <w:b/>
      <w:bCs/>
      <w:color w:val="E31F26"/>
      <w:sz w:val="22"/>
    </w:rPr>
  </w:style>
  <w:style w:type="paragraph" w:styleId="Heading4">
    <w:name w:val="heading 4"/>
    <w:aliases w:val="TIM Heading 4"/>
    <w:basedOn w:val="Normal"/>
    <w:next w:val="Normal"/>
    <w:link w:val="Heading4Char"/>
    <w:autoRedefine/>
    <w:qFormat/>
    <w:rsid w:val="00631365"/>
    <w:pPr>
      <w:keepNext/>
      <w:keepLines/>
      <w:numPr>
        <w:ilvl w:val="3"/>
        <w:numId w:val="46"/>
      </w:numPr>
      <w:spacing w:before="113"/>
      <w:outlineLvl w:val="3"/>
    </w:pPr>
    <w:rPr>
      <w:rFonts w:eastAsia="Times New Roman"/>
      <w:b/>
      <w:bCs/>
      <w:iCs/>
      <w:color w:val="FF0000"/>
    </w:rPr>
  </w:style>
  <w:style w:type="paragraph" w:styleId="Heading5">
    <w:name w:val="heading 5"/>
    <w:basedOn w:val="Normal"/>
    <w:next w:val="Normal"/>
    <w:link w:val="Heading5Char"/>
    <w:unhideWhenUsed/>
    <w:qFormat/>
    <w:rsid w:val="00AF38D9"/>
    <w:pPr>
      <w:keepNext/>
      <w:keepLines/>
      <w:numPr>
        <w:ilvl w:val="4"/>
        <w:numId w:val="4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334066"/>
    <w:pPr>
      <w:keepNext/>
      <w:keepLines/>
      <w:spacing w:before="200" w:after="0" w:line="276" w:lineRule="auto"/>
      <w:ind w:left="1152" w:hanging="1152"/>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semiHidden/>
    <w:unhideWhenUsed/>
    <w:qFormat/>
    <w:rsid w:val="00334066"/>
    <w:pPr>
      <w:keepNext/>
      <w:keepLines/>
      <w:spacing w:before="200" w:after="0" w:line="276" w:lineRule="auto"/>
      <w:ind w:left="1296" w:hanging="1296"/>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semiHidden/>
    <w:unhideWhenUsed/>
    <w:qFormat/>
    <w:rsid w:val="00334066"/>
    <w:pPr>
      <w:keepNext/>
      <w:keepLines/>
      <w:spacing w:before="200" w:after="0" w:line="276"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334066"/>
    <w:pPr>
      <w:keepNext/>
      <w:keepLines/>
      <w:spacing w:before="200" w:after="0" w:line="276"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Bullets">
    <w:name w:val="E3 Bullets"/>
    <w:basedOn w:val="Normal"/>
    <w:link w:val="E3BulletsChar"/>
    <w:qFormat/>
    <w:rsid w:val="00720C13"/>
    <w:pPr>
      <w:numPr>
        <w:numId w:val="3"/>
      </w:numPr>
      <w:contextualSpacing/>
    </w:pPr>
  </w:style>
  <w:style w:type="character" w:customStyle="1" w:styleId="E3BulletsChar">
    <w:name w:val="E3 Bullets Char"/>
    <w:basedOn w:val="DefaultParagraphFont"/>
    <w:link w:val="E3Bullets"/>
    <w:rsid w:val="00284ABD"/>
    <w:rPr>
      <w:rFonts w:ascii="Georgia" w:eastAsia="Cambria" w:hAnsi="Georgia" w:cs="Times New Roman"/>
      <w:sz w:val="19"/>
      <w:szCs w:val="24"/>
      <w:lang w:val="en-AU"/>
    </w:rPr>
  </w:style>
  <w:style w:type="paragraph" w:customStyle="1" w:styleId="E3BodyIntroductionText">
    <w:name w:val="E3 Body Introduction Text"/>
    <w:basedOn w:val="Normal"/>
    <w:qFormat/>
    <w:rsid w:val="006715E4"/>
    <w:pPr>
      <w:tabs>
        <w:tab w:val="left" w:pos="480"/>
      </w:tabs>
    </w:pPr>
    <w:rPr>
      <w:i/>
    </w:rPr>
  </w:style>
  <w:style w:type="character" w:customStyle="1" w:styleId="Bold">
    <w:name w:val="Bold"/>
    <w:basedOn w:val="DefaultParagraphFont"/>
    <w:rsid w:val="006715E4"/>
    <w:rPr>
      <w:rFonts w:ascii="Georgia" w:hAnsi="Georgia"/>
      <w:b/>
    </w:rPr>
  </w:style>
  <w:style w:type="paragraph" w:styleId="Caption">
    <w:name w:val="caption"/>
    <w:basedOn w:val="Normal"/>
    <w:next w:val="Normal"/>
    <w:uiPriority w:val="35"/>
    <w:qFormat/>
    <w:rsid w:val="0016451B"/>
    <w:pPr>
      <w:spacing w:before="20" w:after="40" w:line="240" w:lineRule="auto"/>
    </w:pPr>
    <w:rPr>
      <w:bCs/>
      <w:i/>
      <w:sz w:val="16"/>
      <w:szCs w:val="16"/>
    </w:rPr>
  </w:style>
  <w:style w:type="character" w:styleId="CommentReference">
    <w:name w:val="annotation reference"/>
    <w:basedOn w:val="DefaultParagraphFont"/>
    <w:uiPriority w:val="99"/>
    <w:unhideWhenUsed/>
    <w:rsid w:val="006715E4"/>
    <w:rPr>
      <w:sz w:val="16"/>
      <w:szCs w:val="16"/>
    </w:rPr>
  </w:style>
  <w:style w:type="paragraph" w:styleId="CommentText">
    <w:name w:val="annotation text"/>
    <w:basedOn w:val="Normal"/>
    <w:link w:val="CommentTextChar"/>
    <w:uiPriority w:val="99"/>
    <w:unhideWhenUsed/>
    <w:rsid w:val="006715E4"/>
    <w:pPr>
      <w:spacing w:after="200" w:line="240" w:lineRule="auto"/>
    </w:pPr>
    <w:rPr>
      <w:rFonts w:ascii="Cambria" w:hAnsi="Cambria"/>
      <w:sz w:val="20"/>
      <w:szCs w:val="20"/>
    </w:rPr>
  </w:style>
  <w:style w:type="character" w:customStyle="1" w:styleId="CommentTextChar">
    <w:name w:val="Comment Text Char"/>
    <w:basedOn w:val="DefaultParagraphFont"/>
    <w:link w:val="CommentText"/>
    <w:uiPriority w:val="99"/>
    <w:rsid w:val="006715E4"/>
    <w:rPr>
      <w:rFonts w:ascii="Cambria" w:eastAsia="Cambria" w:hAnsi="Cambria" w:cs="Times New Roman"/>
      <w:sz w:val="20"/>
      <w:szCs w:val="20"/>
      <w:lang w:val="en-AU"/>
    </w:rPr>
  </w:style>
  <w:style w:type="character" w:customStyle="1" w:styleId="Heading1Char">
    <w:name w:val="Heading 1 Char"/>
    <w:aliases w:val="Tim Heading 1 Char"/>
    <w:basedOn w:val="DefaultParagraphFont"/>
    <w:link w:val="Heading1"/>
    <w:rsid w:val="00631365"/>
    <w:rPr>
      <w:rFonts w:ascii="Helvetica" w:eastAsia="Times New Roman" w:hAnsi="Helvetica" w:cs="Times New Roman"/>
      <w:b/>
      <w:bCs/>
      <w:sz w:val="40"/>
      <w:szCs w:val="32"/>
      <w:lang w:val="en-AU"/>
    </w:rPr>
  </w:style>
  <w:style w:type="paragraph" w:customStyle="1" w:styleId="E3ChapterTitle">
    <w:name w:val="E3 Chapter Title"/>
    <w:basedOn w:val="Heading2"/>
    <w:qFormat/>
    <w:rsid w:val="00AF38D9"/>
    <w:pPr>
      <w:spacing w:before="0"/>
    </w:pPr>
    <w:rPr>
      <w:color w:val="231F20"/>
      <w:sz w:val="40"/>
    </w:rPr>
  </w:style>
  <w:style w:type="paragraph" w:customStyle="1" w:styleId="E3CoverFooter">
    <w:name w:val="E3 Cover Footer"/>
    <w:basedOn w:val="Normal"/>
    <w:qFormat/>
    <w:rsid w:val="006715E4"/>
    <w:rPr>
      <w:rFonts w:ascii="Helvetica" w:hAnsi="Helvetica"/>
      <w:b/>
      <w:color w:val="808080"/>
      <w:sz w:val="24"/>
    </w:rPr>
  </w:style>
  <w:style w:type="paragraph" w:styleId="FootnoteText">
    <w:name w:val="footnote text"/>
    <w:basedOn w:val="Normal"/>
    <w:link w:val="FootnoteTextChar"/>
    <w:rsid w:val="006715E4"/>
    <w:pPr>
      <w:spacing w:after="0"/>
    </w:pPr>
    <w:rPr>
      <w:sz w:val="16"/>
    </w:rPr>
  </w:style>
  <w:style w:type="character" w:customStyle="1" w:styleId="FootnoteTextChar">
    <w:name w:val="Footnote Text Char"/>
    <w:basedOn w:val="DefaultParagraphFont"/>
    <w:link w:val="FootnoteText"/>
    <w:rsid w:val="006715E4"/>
    <w:rPr>
      <w:rFonts w:ascii="Georgia" w:eastAsia="Cambria" w:hAnsi="Georgia" w:cs="Times New Roman"/>
      <w:sz w:val="16"/>
      <w:szCs w:val="24"/>
    </w:rPr>
  </w:style>
  <w:style w:type="paragraph" w:customStyle="1" w:styleId="E3FootnoteText">
    <w:name w:val="E3 Footnote Text"/>
    <w:basedOn w:val="FootnoteText"/>
    <w:qFormat/>
    <w:rsid w:val="006715E4"/>
  </w:style>
  <w:style w:type="paragraph" w:customStyle="1" w:styleId="E3Heading1">
    <w:name w:val="E3 Heading 1"/>
    <w:basedOn w:val="Normal"/>
    <w:rsid w:val="006715E4"/>
    <w:rPr>
      <w:rFonts w:ascii="Helvetica" w:hAnsi="Helvetica" w:cs="Helvetica"/>
      <w:b/>
      <w:sz w:val="40"/>
      <w:szCs w:val="40"/>
    </w:rPr>
  </w:style>
  <w:style w:type="character" w:customStyle="1" w:styleId="Heading2Char">
    <w:name w:val="Heading 2 Char"/>
    <w:aliases w:val="TIM Heading 2 Char"/>
    <w:basedOn w:val="DefaultParagraphFont"/>
    <w:link w:val="Heading2"/>
    <w:rsid w:val="00631365"/>
    <w:rPr>
      <w:rFonts w:ascii="Helvetica" w:eastAsia="Times New Roman" w:hAnsi="Helvetica" w:cs="Times New Roman"/>
      <w:b/>
      <w:bCs/>
      <w:sz w:val="26"/>
      <w:szCs w:val="26"/>
      <w:lang w:val="en-AU"/>
    </w:rPr>
  </w:style>
  <w:style w:type="paragraph" w:customStyle="1" w:styleId="E3Heading2">
    <w:name w:val="E3 Heading 2"/>
    <w:basedOn w:val="Heading3"/>
    <w:next w:val="Normal"/>
    <w:qFormat/>
    <w:rsid w:val="00231794"/>
    <w:pPr>
      <w:spacing w:before="300" w:after="114"/>
    </w:pPr>
    <w:rPr>
      <w:rFonts w:ascii="Helvetica" w:hAnsi="Helvetica"/>
      <w:color w:val="000000" w:themeColor="text1"/>
      <w:sz w:val="26"/>
    </w:rPr>
  </w:style>
  <w:style w:type="character" w:customStyle="1" w:styleId="Heading3Char">
    <w:name w:val="Heading 3 Char"/>
    <w:aliases w:val="TIM Heading 3 Char"/>
    <w:basedOn w:val="DefaultParagraphFont"/>
    <w:link w:val="Heading3"/>
    <w:rsid w:val="00631365"/>
    <w:rPr>
      <w:rFonts w:ascii="Georgia" w:eastAsia="Times New Roman" w:hAnsi="Georgia" w:cs="Times New Roman"/>
      <w:b/>
      <w:bCs/>
      <w:color w:val="E31F26"/>
      <w:szCs w:val="24"/>
      <w:lang w:val="en-AU"/>
    </w:rPr>
  </w:style>
  <w:style w:type="paragraph" w:customStyle="1" w:styleId="E3Heading3">
    <w:name w:val="E3 Heading 3"/>
    <w:basedOn w:val="Heading4"/>
    <w:next w:val="Normal"/>
    <w:qFormat/>
    <w:rsid w:val="00AF38D9"/>
    <w:pPr>
      <w:spacing w:before="0" w:after="114"/>
    </w:pPr>
    <w:rPr>
      <w:color w:val="E31F26"/>
      <w:sz w:val="22"/>
    </w:rPr>
  </w:style>
  <w:style w:type="character" w:customStyle="1" w:styleId="Heading4Char">
    <w:name w:val="Heading 4 Char"/>
    <w:aliases w:val="TIM Heading 4 Char"/>
    <w:basedOn w:val="DefaultParagraphFont"/>
    <w:link w:val="Heading4"/>
    <w:rsid w:val="00631365"/>
    <w:rPr>
      <w:rFonts w:ascii="Georgia" w:eastAsia="Times New Roman" w:hAnsi="Georgia" w:cs="Times New Roman"/>
      <w:b/>
      <w:bCs/>
      <w:iCs/>
      <w:color w:val="FF0000"/>
      <w:sz w:val="19"/>
      <w:szCs w:val="24"/>
      <w:lang w:val="en-AU"/>
    </w:rPr>
  </w:style>
  <w:style w:type="paragraph" w:customStyle="1" w:styleId="E3Heading4">
    <w:name w:val="E3 Heading 4"/>
    <w:basedOn w:val="Heading5"/>
    <w:qFormat/>
    <w:rsid w:val="00AF38D9"/>
    <w:rPr>
      <w:rFonts w:ascii="Georgia" w:hAnsi="Georgia"/>
      <w:b/>
      <w:color w:val="auto"/>
    </w:rPr>
  </w:style>
  <w:style w:type="paragraph" w:styleId="ListBullet">
    <w:name w:val="List Bullet"/>
    <w:basedOn w:val="Normal"/>
    <w:rsid w:val="006715E4"/>
    <w:pPr>
      <w:numPr>
        <w:numId w:val="2"/>
      </w:numPr>
      <w:contextualSpacing/>
    </w:pPr>
  </w:style>
  <w:style w:type="paragraph" w:customStyle="1" w:styleId="E3SubBullets">
    <w:name w:val="E3 Sub Bullets"/>
    <w:basedOn w:val="ListBullet"/>
    <w:qFormat/>
    <w:rsid w:val="00284ABD"/>
  </w:style>
  <w:style w:type="paragraph" w:styleId="Subtitle">
    <w:name w:val="Subtitle"/>
    <w:basedOn w:val="Normal"/>
    <w:next w:val="Normal"/>
    <w:link w:val="SubtitleChar"/>
    <w:qFormat/>
    <w:rsid w:val="006715E4"/>
    <w:rPr>
      <w:rFonts w:ascii="Helvetica" w:hAnsi="Helvetica"/>
      <w:b/>
      <w:sz w:val="24"/>
    </w:rPr>
  </w:style>
  <w:style w:type="character" w:customStyle="1" w:styleId="SubtitleChar">
    <w:name w:val="Subtitle Char"/>
    <w:basedOn w:val="DefaultParagraphFont"/>
    <w:link w:val="Subtitle"/>
    <w:rsid w:val="006715E4"/>
    <w:rPr>
      <w:rFonts w:ascii="Helvetica" w:eastAsia="Cambria" w:hAnsi="Helvetica" w:cs="Times New Roman"/>
      <w:b/>
      <w:sz w:val="24"/>
      <w:szCs w:val="24"/>
    </w:rPr>
  </w:style>
  <w:style w:type="paragraph" w:customStyle="1" w:styleId="E3Subtitle">
    <w:name w:val="E3 Sub title"/>
    <w:qFormat/>
    <w:rsid w:val="00675EFD"/>
    <w:rPr>
      <w:rFonts w:ascii="Helvetica" w:eastAsia="Cambria" w:hAnsi="Helvetica" w:cs="Times New Roman"/>
      <w:b/>
      <w:sz w:val="24"/>
      <w:szCs w:val="24"/>
      <w:lang w:val="en-AU"/>
    </w:rPr>
  </w:style>
  <w:style w:type="paragraph" w:customStyle="1" w:styleId="E3Title">
    <w:name w:val="E3 Title"/>
    <w:basedOn w:val="Heading1"/>
    <w:rsid w:val="00AF38D9"/>
    <w:pPr>
      <w:numPr>
        <w:numId w:val="0"/>
      </w:numPr>
    </w:pPr>
    <w:rPr>
      <w:sz w:val="60"/>
    </w:rPr>
  </w:style>
  <w:style w:type="paragraph" w:styleId="Title">
    <w:name w:val="Title"/>
    <w:basedOn w:val="Heading1"/>
    <w:next w:val="Normal"/>
    <w:link w:val="TitleChar"/>
    <w:qFormat/>
    <w:rsid w:val="006715E4"/>
    <w:pPr>
      <w:numPr>
        <w:numId w:val="0"/>
      </w:numPr>
    </w:pPr>
  </w:style>
  <w:style w:type="character" w:customStyle="1" w:styleId="TitleChar">
    <w:name w:val="Title Char"/>
    <w:basedOn w:val="DefaultParagraphFont"/>
    <w:link w:val="Title"/>
    <w:rsid w:val="006715E4"/>
    <w:rPr>
      <w:rFonts w:ascii="Helvetica" w:eastAsia="Times New Roman" w:hAnsi="Helvetica" w:cs="Times New Roman"/>
      <w:b/>
      <w:bCs/>
      <w:color w:val="F2F2F2"/>
      <w:sz w:val="40"/>
      <w:szCs w:val="32"/>
    </w:rPr>
  </w:style>
  <w:style w:type="paragraph" w:customStyle="1" w:styleId="E3TOCTitle">
    <w:name w:val="E3 TOC Title"/>
    <w:basedOn w:val="Title"/>
    <w:rsid w:val="006715E4"/>
  </w:style>
  <w:style w:type="paragraph" w:customStyle="1" w:styleId="E3Underline">
    <w:name w:val="E3 Underline"/>
    <w:basedOn w:val="Normal"/>
    <w:rsid w:val="006715E4"/>
    <w:pPr>
      <w:tabs>
        <w:tab w:val="left" w:pos="480"/>
      </w:tabs>
    </w:pPr>
    <w:rPr>
      <w:b/>
      <w:i/>
      <w:u w:val="single"/>
    </w:rPr>
  </w:style>
  <w:style w:type="paragraph" w:styleId="Footer">
    <w:name w:val="footer"/>
    <w:basedOn w:val="Normal"/>
    <w:link w:val="FooterChar"/>
    <w:uiPriority w:val="99"/>
    <w:unhideWhenUsed/>
    <w:rsid w:val="006715E4"/>
    <w:pPr>
      <w:tabs>
        <w:tab w:val="center" w:pos="4320"/>
        <w:tab w:val="right" w:pos="8640"/>
      </w:tabs>
      <w:spacing w:after="0" w:line="240" w:lineRule="auto"/>
      <w:jc w:val="right"/>
    </w:pPr>
    <w:rPr>
      <w:rFonts w:ascii="Helvetica" w:hAnsi="Helvetica"/>
      <w:b/>
      <w:sz w:val="16"/>
    </w:rPr>
  </w:style>
  <w:style w:type="character" w:customStyle="1" w:styleId="FooterChar">
    <w:name w:val="Footer Char"/>
    <w:basedOn w:val="DefaultParagraphFont"/>
    <w:link w:val="Footer"/>
    <w:uiPriority w:val="99"/>
    <w:rsid w:val="006715E4"/>
    <w:rPr>
      <w:rFonts w:ascii="Helvetica" w:eastAsia="Cambria" w:hAnsi="Helvetica" w:cs="Times New Roman"/>
      <w:b/>
      <w:sz w:val="16"/>
      <w:szCs w:val="24"/>
    </w:rPr>
  </w:style>
  <w:style w:type="character" w:styleId="FootnoteReference">
    <w:name w:val="footnote reference"/>
    <w:basedOn w:val="DefaultParagraphFont"/>
    <w:rsid w:val="006715E4"/>
    <w:rPr>
      <w:vertAlign w:val="superscript"/>
    </w:rPr>
  </w:style>
  <w:style w:type="paragraph" w:styleId="Header">
    <w:name w:val="header"/>
    <w:basedOn w:val="Normal"/>
    <w:link w:val="HeaderChar"/>
    <w:uiPriority w:val="99"/>
    <w:unhideWhenUsed/>
    <w:rsid w:val="006715E4"/>
    <w:pPr>
      <w:tabs>
        <w:tab w:val="center" w:pos="4320"/>
        <w:tab w:val="right" w:pos="8640"/>
      </w:tabs>
      <w:spacing w:after="0" w:line="240" w:lineRule="auto"/>
    </w:pPr>
  </w:style>
  <w:style w:type="character" w:customStyle="1" w:styleId="HeaderChar">
    <w:name w:val="Header Char"/>
    <w:basedOn w:val="DefaultParagraphFont"/>
    <w:link w:val="Header"/>
    <w:uiPriority w:val="99"/>
    <w:rsid w:val="006715E4"/>
    <w:rPr>
      <w:rFonts w:ascii="Georgia" w:eastAsia="Cambria" w:hAnsi="Georgia" w:cs="Times New Roman"/>
      <w:sz w:val="19"/>
      <w:szCs w:val="24"/>
    </w:rPr>
  </w:style>
  <w:style w:type="character" w:styleId="Hyperlink">
    <w:name w:val="Hyperlink"/>
    <w:basedOn w:val="DefaultParagraphFont"/>
    <w:uiPriority w:val="99"/>
    <w:unhideWhenUsed/>
    <w:rsid w:val="006715E4"/>
    <w:rPr>
      <w:color w:val="0000FF"/>
      <w:u w:val="single"/>
    </w:rPr>
  </w:style>
  <w:style w:type="character" w:styleId="PageNumber">
    <w:name w:val="page number"/>
    <w:basedOn w:val="DefaultParagraphFont"/>
    <w:rsid w:val="006715E4"/>
    <w:rPr>
      <w:rFonts w:ascii="Georgia" w:hAnsi="Georgia"/>
      <w:b/>
      <w:i/>
      <w:sz w:val="16"/>
    </w:rPr>
  </w:style>
  <w:style w:type="table" w:styleId="TableGrid">
    <w:name w:val="Table Grid"/>
    <w:basedOn w:val="TableNormal"/>
    <w:uiPriority w:val="59"/>
    <w:rsid w:val="006715E4"/>
    <w:pPr>
      <w:spacing w:before="40" w:after="40" w:line="240" w:lineRule="auto"/>
    </w:pPr>
    <w:rPr>
      <w:rFonts w:ascii="Helvetica Neue Light" w:eastAsia="Times New Roman" w:hAnsi="Helvetica Neue Light" w:cs="Times New Roman"/>
      <w:sz w:val="17"/>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3TableHeading">
    <w:name w:val="E3 Table Heading"/>
    <w:basedOn w:val="E3FootnoteText"/>
    <w:uiPriority w:val="99"/>
    <w:qFormat/>
    <w:locked/>
    <w:rsid w:val="001A1201"/>
    <w:pPr>
      <w:spacing w:before="60" w:after="60" w:line="240" w:lineRule="auto"/>
    </w:pPr>
    <w:rPr>
      <w:rFonts w:ascii="Helvetica" w:eastAsia="Times New Roman" w:hAnsi="Helvetica" w:cs="Helvetica"/>
      <w:b/>
      <w:sz w:val="15"/>
      <w:szCs w:val="14"/>
    </w:rPr>
  </w:style>
  <w:style w:type="paragraph" w:styleId="TableofAuthorities">
    <w:name w:val="table of authorities"/>
    <w:basedOn w:val="Normal"/>
    <w:next w:val="Normal"/>
    <w:rsid w:val="006715E4"/>
    <w:pPr>
      <w:spacing w:after="0"/>
      <w:ind w:left="190" w:hanging="190"/>
    </w:pPr>
  </w:style>
  <w:style w:type="paragraph" w:styleId="TableofFigures">
    <w:name w:val="table of figures"/>
    <w:basedOn w:val="Normal"/>
    <w:next w:val="Normal"/>
    <w:uiPriority w:val="99"/>
    <w:rsid w:val="006715E4"/>
    <w:pPr>
      <w:spacing w:after="0"/>
    </w:pPr>
  </w:style>
  <w:style w:type="paragraph" w:customStyle="1" w:styleId="E3TableSubHeading">
    <w:name w:val="E3 Table Sub Heading"/>
    <w:qFormat/>
    <w:locked/>
    <w:rsid w:val="001A1201"/>
    <w:pPr>
      <w:spacing w:before="60" w:after="60" w:line="240" w:lineRule="auto"/>
    </w:pPr>
    <w:rPr>
      <w:rFonts w:ascii="Georgia" w:eastAsia="Times New Roman" w:hAnsi="Georgia" w:cs="Times New Roman"/>
      <w:b/>
      <w:sz w:val="14"/>
      <w:szCs w:val="14"/>
      <w:lang w:val="en-AU"/>
    </w:rPr>
  </w:style>
  <w:style w:type="paragraph" w:customStyle="1" w:styleId="E3Tabletext">
    <w:name w:val="E3 Table text"/>
    <w:autoRedefine/>
    <w:uiPriority w:val="99"/>
    <w:qFormat/>
    <w:locked/>
    <w:rsid w:val="00255AA3"/>
    <w:pPr>
      <w:spacing w:before="60" w:after="60" w:line="240" w:lineRule="auto"/>
      <w:jc w:val="right"/>
    </w:pPr>
    <w:rPr>
      <w:rFonts w:ascii="Georgia" w:eastAsia="Times New Roman" w:hAnsi="Georgia" w:cs="Times New Roman"/>
      <w:i/>
      <w:spacing w:val="-3"/>
      <w:sz w:val="14"/>
      <w:szCs w:val="14"/>
      <w:lang w:val="en-AU" w:eastAsia="en-AU"/>
    </w:rPr>
  </w:style>
  <w:style w:type="paragraph" w:customStyle="1" w:styleId="TextBox">
    <w:name w:val="Text Box"/>
    <w:basedOn w:val="Normal"/>
    <w:rsid w:val="006715E4"/>
    <w:pPr>
      <w:spacing w:before="40"/>
    </w:pPr>
    <w:rPr>
      <w:rFonts w:eastAsia="Times New Roman"/>
      <w:szCs w:val="20"/>
    </w:rPr>
  </w:style>
  <w:style w:type="paragraph" w:styleId="TOC1">
    <w:name w:val="toc 1"/>
    <w:basedOn w:val="Normal"/>
    <w:next w:val="Normal"/>
    <w:autoRedefine/>
    <w:uiPriority w:val="39"/>
    <w:rsid w:val="00DF5FC5"/>
    <w:pPr>
      <w:widowControl w:val="0"/>
      <w:tabs>
        <w:tab w:val="right" w:leader="dot" w:pos="9629"/>
      </w:tabs>
      <w:spacing w:before="120" w:after="0" w:line="276" w:lineRule="auto"/>
    </w:pPr>
    <w:rPr>
      <w:rFonts w:ascii="Helvetica" w:hAnsi="Helvetica"/>
      <w:b/>
      <w:caps/>
    </w:rPr>
  </w:style>
  <w:style w:type="paragraph" w:styleId="TOC2">
    <w:name w:val="toc 2"/>
    <w:basedOn w:val="Normal"/>
    <w:next w:val="Normal"/>
    <w:autoRedefine/>
    <w:uiPriority w:val="39"/>
    <w:rsid w:val="006715E4"/>
    <w:pPr>
      <w:widowControl w:val="0"/>
      <w:spacing w:after="0" w:line="276" w:lineRule="auto"/>
      <w:ind w:left="200"/>
    </w:pPr>
    <w:rPr>
      <w:szCs w:val="22"/>
    </w:rPr>
  </w:style>
  <w:style w:type="paragraph" w:styleId="TOC3">
    <w:name w:val="toc 3"/>
    <w:basedOn w:val="Normal"/>
    <w:next w:val="Normal"/>
    <w:autoRedefine/>
    <w:uiPriority w:val="39"/>
    <w:rsid w:val="00DF5FC5"/>
    <w:pPr>
      <w:spacing w:after="0"/>
      <w:ind w:left="380"/>
    </w:pPr>
  </w:style>
  <w:style w:type="paragraph" w:styleId="TOC4">
    <w:name w:val="toc 4"/>
    <w:basedOn w:val="Normal"/>
    <w:next w:val="Normal"/>
    <w:autoRedefine/>
    <w:uiPriority w:val="39"/>
    <w:unhideWhenUsed/>
    <w:rsid w:val="006715E4"/>
    <w:pPr>
      <w:spacing w:after="100" w:line="276"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6715E4"/>
    <w:pPr>
      <w:spacing w:after="100" w:line="276"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6715E4"/>
    <w:pPr>
      <w:spacing w:after="100" w:line="276"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6715E4"/>
    <w:pPr>
      <w:spacing w:after="100" w:line="276"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6715E4"/>
    <w:pPr>
      <w:spacing w:after="100" w:line="276"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6715E4"/>
    <w:pPr>
      <w:spacing w:after="100" w:line="276" w:lineRule="auto"/>
      <w:ind w:left="1760"/>
    </w:pPr>
    <w:rPr>
      <w:rFonts w:asciiTheme="minorHAnsi" w:eastAsiaTheme="minorEastAsia" w:hAnsiTheme="minorHAnsi" w:cstheme="minorBidi"/>
      <w:sz w:val="22"/>
      <w:szCs w:val="22"/>
      <w:lang w:eastAsia="en-AU"/>
    </w:rPr>
  </w:style>
  <w:style w:type="paragraph" w:styleId="IntenseQuote">
    <w:name w:val="Intense Quote"/>
    <w:basedOn w:val="Normal"/>
    <w:next w:val="Normal"/>
    <w:link w:val="IntenseQuoteChar"/>
    <w:uiPriority w:val="30"/>
    <w:rsid w:val="0094387C"/>
    <w:pPr>
      <w:pBdr>
        <w:bottom w:val="single" w:sz="4" w:space="4" w:color="4F81BD" w:themeColor="accent1"/>
      </w:pBdr>
      <w:spacing w:before="200" w:after="280"/>
      <w:ind w:left="936" w:right="936"/>
    </w:pPr>
    <w:rPr>
      <w:b/>
      <w:bCs/>
      <w:i/>
      <w:iCs/>
    </w:rPr>
  </w:style>
  <w:style w:type="paragraph" w:styleId="BalloonText">
    <w:name w:val="Balloon Text"/>
    <w:basedOn w:val="Normal"/>
    <w:link w:val="BalloonTextChar"/>
    <w:uiPriority w:val="99"/>
    <w:unhideWhenUsed/>
    <w:rsid w:val="00C30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30351"/>
    <w:rPr>
      <w:rFonts w:ascii="Tahoma" w:eastAsia="Cambria" w:hAnsi="Tahoma" w:cs="Tahoma"/>
      <w:sz w:val="16"/>
      <w:szCs w:val="16"/>
    </w:rPr>
  </w:style>
  <w:style w:type="character" w:customStyle="1" w:styleId="IntenseQuoteChar">
    <w:name w:val="Intense Quote Char"/>
    <w:basedOn w:val="DefaultParagraphFont"/>
    <w:link w:val="IntenseQuote"/>
    <w:uiPriority w:val="30"/>
    <w:rsid w:val="0094387C"/>
    <w:rPr>
      <w:rFonts w:ascii="Georgia" w:eastAsia="Cambria" w:hAnsi="Georgia" w:cs="Times New Roman"/>
      <w:b/>
      <w:bCs/>
      <w:i/>
      <w:iCs/>
      <w:sz w:val="19"/>
      <w:szCs w:val="24"/>
    </w:rPr>
  </w:style>
  <w:style w:type="character" w:styleId="IntenseEmphasis">
    <w:name w:val="Intense Emphasis"/>
    <w:basedOn w:val="DefaultParagraphFont"/>
    <w:uiPriority w:val="21"/>
    <w:qFormat/>
    <w:rsid w:val="0094387C"/>
    <w:rPr>
      <w:b/>
      <w:bCs/>
      <w:i/>
      <w:iCs/>
      <w:color w:val="auto"/>
    </w:rPr>
  </w:style>
  <w:style w:type="paragraph" w:styleId="DocumentMap">
    <w:name w:val="Document Map"/>
    <w:basedOn w:val="Normal"/>
    <w:link w:val="DocumentMapChar"/>
    <w:unhideWhenUsed/>
    <w:rsid w:val="009E6B3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9E6B3E"/>
    <w:rPr>
      <w:rFonts w:ascii="Tahoma" w:eastAsia="Cambria" w:hAnsi="Tahoma" w:cs="Tahoma"/>
      <w:sz w:val="16"/>
      <w:szCs w:val="16"/>
    </w:rPr>
  </w:style>
  <w:style w:type="paragraph" w:customStyle="1" w:styleId="E3TableTitles">
    <w:name w:val="E3 Table Titles"/>
    <w:qFormat/>
    <w:rsid w:val="006227CC"/>
    <w:pPr>
      <w:spacing w:after="120"/>
    </w:pPr>
    <w:rPr>
      <w:rFonts w:ascii="Georgia" w:eastAsia="Cambria" w:hAnsi="Georgia" w:cs="Times New Roman"/>
      <w:b/>
      <w:bCs/>
      <w:sz w:val="18"/>
      <w:szCs w:val="20"/>
    </w:rPr>
  </w:style>
  <w:style w:type="paragraph" w:styleId="TOCHeading">
    <w:name w:val="TOC Heading"/>
    <w:basedOn w:val="Heading1"/>
    <w:next w:val="Normal"/>
    <w:uiPriority w:val="39"/>
    <w:unhideWhenUsed/>
    <w:qFormat/>
    <w:rsid w:val="00C2766B"/>
    <w:pPr>
      <w:numPr>
        <w:numId w:val="0"/>
      </w:numPr>
      <w:spacing w:before="480" w:line="276" w:lineRule="auto"/>
      <w:outlineLvl w:val="9"/>
    </w:pPr>
    <w:rPr>
      <w:rFonts w:eastAsiaTheme="majorEastAsia" w:cs="Helvetica"/>
      <w:sz w:val="26"/>
      <w:szCs w:val="26"/>
    </w:rPr>
  </w:style>
  <w:style w:type="paragraph" w:customStyle="1" w:styleId="E3Figuretitles">
    <w:name w:val="E3 Figure titles"/>
    <w:qFormat/>
    <w:rsid w:val="00BD0CDF"/>
    <w:rPr>
      <w:rFonts w:ascii="Georgia" w:eastAsia="Cambria" w:hAnsi="Georgia" w:cs="Times New Roman"/>
      <w:b/>
      <w:bCs/>
      <w:sz w:val="18"/>
      <w:szCs w:val="20"/>
    </w:rPr>
  </w:style>
  <w:style w:type="paragraph" w:customStyle="1" w:styleId="E3SubSubBullets">
    <w:name w:val="E3 Sub Sub Bullets"/>
    <w:basedOn w:val="E3SubBullets"/>
    <w:qFormat/>
    <w:rsid w:val="0016451B"/>
    <w:pPr>
      <w:numPr>
        <w:numId w:val="4"/>
      </w:numPr>
    </w:pPr>
  </w:style>
  <w:style w:type="paragraph" w:customStyle="1" w:styleId="E3Caption">
    <w:name w:val="E3 Caption"/>
    <w:basedOn w:val="Caption"/>
    <w:qFormat/>
    <w:rsid w:val="00A37E0E"/>
    <w:pPr>
      <w:spacing w:before="60" w:after="120"/>
    </w:pPr>
  </w:style>
  <w:style w:type="paragraph" w:customStyle="1" w:styleId="E3BodyText">
    <w:name w:val="E3 Body Text"/>
    <w:basedOn w:val="Normal"/>
    <w:qFormat/>
    <w:rsid w:val="00D31981"/>
  </w:style>
  <w:style w:type="character" w:customStyle="1" w:styleId="Heading5Char">
    <w:name w:val="Heading 5 Char"/>
    <w:basedOn w:val="DefaultParagraphFont"/>
    <w:link w:val="Heading5"/>
    <w:rsid w:val="00AF38D9"/>
    <w:rPr>
      <w:rFonts w:asciiTheme="majorHAnsi" w:eastAsiaTheme="majorEastAsia" w:hAnsiTheme="majorHAnsi" w:cstheme="majorBidi"/>
      <w:color w:val="243F60" w:themeColor="accent1" w:themeShade="7F"/>
      <w:sz w:val="19"/>
      <w:szCs w:val="24"/>
      <w:lang w:val="en-AU"/>
    </w:rPr>
  </w:style>
  <w:style w:type="paragraph" w:customStyle="1" w:styleId="Default">
    <w:name w:val="Default"/>
    <w:rsid w:val="00AD2A5C"/>
    <w:pPr>
      <w:autoSpaceDE w:val="0"/>
      <w:autoSpaceDN w:val="0"/>
      <w:adjustRightInd w:val="0"/>
      <w:spacing w:after="0" w:line="240" w:lineRule="auto"/>
    </w:pPr>
    <w:rPr>
      <w:rFonts w:ascii="Arial" w:hAnsi="Arial" w:cs="Arial"/>
      <w:color w:val="000000"/>
      <w:sz w:val="24"/>
      <w:szCs w:val="24"/>
      <w:lang w:val="en-AU"/>
    </w:rPr>
  </w:style>
  <w:style w:type="paragraph" w:styleId="BodyText">
    <w:name w:val="Body Text"/>
    <w:basedOn w:val="Normal"/>
    <w:link w:val="BodyTextChar"/>
    <w:uiPriority w:val="1"/>
    <w:unhideWhenUsed/>
    <w:qFormat/>
    <w:rsid w:val="00AD2A5C"/>
    <w:pPr>
      <w:spacing w:after="120"/>
    </w:pPr>
  </w:style>
  <w:style w:type="character" w:customStyle="1" w:styleId="BodyTextChar">
    <w:name w:val="Body Text Char"/>
    <w:basedOn w:val="DefaultParagraphFont"/>
    <w:link w:val="BodyText"/>
    <w:uiPriority w:val="99"/>
    <w:rsid w:val="00AD2A5C"/>
    <w:rPr>
      <w:rFonts w:ascii="Georgia" w:eastAsia="Cambria" w:hAnsi="Georgia" w:cs="Times New Roman"/>
      <w:sz w:val="19"/>
      <w:szCs w:val="24"/>
      <w:lang w:val="en-AU"/>
    </w:rPr>
  </w:style>
  <w:style w:type="table" w:customStyle="1" w:styleId="TableGrid2">
    <w:name w:val="Table Grid2"/>
    <w:basedOn w:val="TableNormal"/>
    <w:next w:val="TableGrid"/>
    <w:uiPriority w:val="59"/>
    <w:rsid w:val="00AD2A5C"/>
    <w:pPr>
      <w:spacing w:after="0" w:line="240" w:lineRule="auto"/>
    </w:pPr>
    <w:rPr>
      <w:rFonts w:ascii="Arial" w:eastAsia="Calibri" w:hAnsi="Arial" w:cs="Arial"/>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redE3tabletext">
    <w:name w:val="centred E3 table text"/>
    <w:basedOn w:val="E3Tabletext"/>
    <w:qFormat/>
    <w:rsid w:val="00AD2A5C"/>
  </w:style>
  <w:style w:type="paragraph" w:styleId="CommentSubject">
    <w:name w:val="annotation subject"/>
    <w:basedOn w:val="CommentText"/>
    <w:next w:val="CommentText"/>
    <w:link w:val="CommentSubjectChar"/>
    <w:unhideWhenUsed/>
    <w:rsid w:val="007127B1"/>
    <w:pPr>
      <w:spacing w:after="113"/>
    </w:pPr>
    <w:rPr>
      <w:rFonts w:ascii="Georgia" w:hAnsi="Georgia"/>
      <w:b/>
      <w:bCs/>
    </w:rPr>
  </w:style>
  <w:style w:type="character" w:customStyle="1" w:styleId="CommentSubjectChar">
    <w:name w:val="Comment Subject Char"/>
    <w:basedOn w:val="CommentTextChar"/>
    <w:link w:val="CommentSubject"/>
    <w:rsid w:val="007127B1"/>
    <w:rPr>
      <w:rFonts w:ascii="Georgia" w:eastAsia="Cambria" w:hAnsi="Georgia" w:cs="Times New Roman"/>
      <w:b/>
      <w:bCs/>
      <w:sz w:val="20"/>
      <w:szCs w:val="20"/>
      <w:lang w:val="en-AU"/>
    </w:rPr>
  </w:style>
  <w:style w:type="table" w:customStyle="1" w:styleId="TableGrid1">
    <w:name w:val="Table Grid1"/>
    <w:basedOn w:val="TableNormal"/>
    <w:next w:val="TableGrid"/>
    <w:uiPriority w:val="59"/>
    <w:rsid w:val="007127B1"/>
    <w:pPr>
      <w:spacing w:after="0" w:line="240" w:lineRule="auto"/>
    </w:pPr>
    <w:rPr>
      <w:rFonts w:ascii="Arial" w:eastAsia="Calibri" w:hAnsi="Arial" w:cs="Arial"/>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27B1"/>
    <w:pPr>
      <w:spacing w:after="0" w:line="240" w:lineRule="auto"/>
      <w:ind w:left="720"/>
    </w:pPr>
    <w:rPr>
      <w:rFonts w:ascii="Arial" w:eastAsia="Calibri" w:hAnsi="Arial" w:cs="Arial"/>
      <w:sz w:val="20"/>
      <w:szCs w:val="22"/>
    </w:rPr>
  </w:style>
  <w:style w:type="table" w:customStyle="1" w:styleId="TableGrid3">
    <w:name w:val="Table Grid3"/>
    <w:basedOn w:val="TableNormal"/>
    <w:next w:val="TableGrid"/>
    <w:uiPriority w:val="59"/>
    <w:rsid w:val="007127B1"/>
    <w:pPr>
      <w:spacing w:after="0" w:line="240" w:lineRule="auto"/>
    </w:pPr>
    <w:rPr>
      <w:rFonts w:ascii="Arial" w:eastAsia="Calibri" w:hAnsi="Arial" w:cs="Arial"/>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127B1"/>
    <w:pPr>
      <w:spacing w:after="0" w:line="240" w:lineRule="auto"/>
    </w:pPr>
    <w:rPr>
      <w:rFonts w:ascii="Arial" w:eastAsia="Calibri" w:hAnsi="Arial" w:cs="Arial"/>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127B1"/>
    <w:pPr>
      <w:spacing w:after="0" w:line="240" w:lineRule="auto"/>
    </w:pPr>
    <w:rPr>
      <w:rFonts w:ascii="Georgia" w:eastAsia="Cambria" w:hAnsi="Georgia" w:cs="Times New Roman"/>
      <w:sz w:val="19"/>
      <w:szCs w:val="24"/>
      <w:lang w:val="en-AU"/>
    </w:rPr>
  </w:style>
  <w:style w:type="paragraph" w:customStyle="1" w:styleId="a">
    <w:name w:val="段"/>
    <w:rsid w:val="007127B1"/>
    <w:pPr>
      <w:autoSpaceDE w:val="0"/>
      <w:autoSpaceDN w:val="0"/>
      <w:spacing w:after="0" w:line="240" w:lineRule="auto"/>
      <w:ind w:firstLineChars="200" w:firstLine="200"/>
      <w:jc w:val="both"/>
    </w:pPr>
    <w:rPr>
      <w:rFonts w:ascii="SimSun" w:eastAsia="SimSun" w:hAnsi="Times New Roman" w:cs="Times New Roman"/>
      <w:noProof/>
      <w:sz w:val="21"/>
      <w:szCs w:val="21"/>
      <w:lang w:eastAsia="zh-CN"/>
    </w:rPr>
  </w:style>
  <w:style w:type="paragraph" w:styleId="NormalWeb">
    <w:name w:val="Normal (Web)"/>
    <w:basedOn w:val="Normal"/>
    <w:uiPriority w:val="99"/>
    <w:unhideWhenUsed/>
    <w:rsid w:val="007127B1"/>
    <w:pPr>
      <w:spacing w:before="100" w:beforeAutospacing="1" w:after="100" w:afterAutospacing="1" w:line="240" w:lineRule="auto"/>
    </w:pPr>
    <w:rPr>
      <w:rFonts w:ascii="Times New Roman" w:eastAsia="Times New Roman" w:hAnsi="Times New Roman"/>
      <w:sz w:val="24"/>
      <w:lang w:eastAsia="en-AU"/>
    </w:rPr>
  </w:style>
  <w:style w:type="character" w:customStyle="1" w:styleId="apple-converted-space">
    <w:name w:val="apple-converted-space"/>
    <w:basedOn w:val="DefaultParagraphFont"/>
    <w:rsid w:val="007127B1"/>
  </w:style>
  <w:style w:type="character" w:styleId="PlaceholderText">
    <w:name w:val="Placeholder Text"/>
    <w:basedOn w:val="DefaultParagraphFont"/>
    <w:uiPriority w:val="99"/>
    <w:semiHidden/>
    <w:rsid w:val="007127B1"/>
    <w:rPr>
      <w:color w:val="808080"/>
    </w:rPr>
  </w:style>
  <w:style w:type="character" w:styleId="FollowedHyperlink">
    <w:name w:val="FollowedHyperlink"/>
    <w:basedOn w:val="DefaultParagraphFont"/>
    <w:uiPriority w:val="99"/>
    <w:semiHidden/>
    <w:unhideWhenUsed/>
    <w:rsid w:val="007127B1"/>
    <w:rPr>
      <w:color w:val="800080" w:themeColor="followedHyperlink"/>
      <w:u w:val="single"/>
    </w:rPr>
  </w:style>
  <w:style w:type="character" w:styleId="Emphasis">
    <w:name w:val="Emphasis"/>
    <w:basedOn w:val="DefaultParagraphFont"/>
    <w:qFormat/>
    <w:rsid w:val="007127B1"/>
    <w:rPr>
      <w:i/>
      <w:iCs/>
    </w:rPr>
  </w:style>
  <w:style w:type="character" w:customStyle="1" w:styleId="h6mockup">
    <w:name w:val="h6mockup"/>
    <w:basedOn w:val="DefaultParagraphFont"/>
    <w:rsid w:val="007127B1"/>
  </w:style>
  <w:style w:type="character" w:styleId="Strong">
    <w:name w:val="Strong"/>
    <w:basedOn w:val="DefaultParagraphFont"/>
    <w:uiPriority w:val="22"/>
    <w:qFormat/>
    <w:rsid w:val="007127B1"/>
    <w:rPr>
      <w:b/>
      <w:bCs/>
    </w:rPr>
  </w:style>
  <w:style w:type="paragraph" w:customStyle="1" w:styleId="OutlineHeading1">
    <w:name w:val="Outline Heading 1"/>
    <w:basedOn w:val="BodyText"/>
    <w:next w:val="OutlineHeading2"/>
    <w:rsid w:val="006D613B"/>
    <w:pPr>
      <w:keepNext/>
      <w:numPr>
        <w:numId w:val="6"/>
      </w:numPr>
      <w:tabs>
        <w:tab w:val="clear" w:pos="1134"/>
        <w:tab w:val="num" w:pos="360"/>
      </w:tabs>
      <w:spacing w:before="480" w:after="180" w:line="240" w:lineRule="auto"/>
      <w:ind w:left="0" w:firstLine="0"/>
      <w:outlineLvl w:val="0"/>
    </w:pPr>
    <w:rPr>
      <w:rFonts w:ascii="Arial Black" w:eastAsia="Times New Roman" w:hAnsi="Arial Black"/>
      <w:sz w:val="32"/>
      <w:lang w:val="en-GB" w:eastAsia="en-GB"/>
    </w:rPr>
  </w:style>
  <w:style w:type="paragraph" w:customStyle="1" w:styleId="OutlineHeading2">
    <w:name w:val="Outline Heading 2"/>
    <w:basedOn w:val="BodyText"/>
    <w:next w:val="Outline3"/>
    <w:rsid w:val="006D613B"/>
    <w:pPr>
      <w:keepNext/>
      <w:numPr>
        <w:ilvl w:val="2"/>
        <w:numId w:val="6"/>
      </w:numPr>
      <w:tabs>
        <w:tab w:val="clear" w:pos="1134"/>
        <w:tab w:val="num" w:pos="360"/>
      </w:tabs>
      <w:spacing w:before="440" w:after="180" w:line="240" w:lineRule="auto"/>
      <w:ind w:left="0" w:firstLine="0"/>
      <w:outlineLvl w:val="1"/>
    </w:pPr>
    <w:rPr>
      <w:rFonts w:ascii="Arial Black" w:eastAsia="Times New Roman" w:hAnsi="Arial Black"/>
      <w:sz w:val="28"/>
      <w:lang w:val="en-GB" w:eastAsia="en-GB"/>
    </w:rPr>
  </w:style>
  <w:style w:type="paragraph" w:customStyle="1" w:styleId="Outline3">
    <w:name w:val="Outline3"/>
    <w:basedOn w:val="BodyText"/>
    <w:rsid w:val="006D613B"/>
    <w:pPr>
      <w:numPr>
        <w:ilvl w:val="1"/>
        <w:numId w:val="6"/>
      </w:numPr>
      <w:tabs>
        <w:tab w:val="clear" w:pos="1134"/>
        <w:tab w:val="num" w:pos="360"/>
      </w:tabs>
      <w:spacing w:after="180" w:line="240" w:lineRule="auto"/>
      <w:ind w:left="0" w:firstLine="0"/>
    </w:pPr>
    <w:rPr>
      <w:rFonts w:ascii="Arial" w:eastAsia="Times New Roman" w:hAnsi="Arial"/>
      <w:sz w:val="22"/>
      <w:lang w:val="en-GB" w:eastAsia="en-GB"/>
    </w:rPr>
  </w:style>
  <w:style w:type="paragraph" w:customStyle="1" w:styleId="Outline5">
    <w:name w:val="Outline5"/>
    <w:basedOn w:val="BodyText"/>
    <w:rsid w:val="006D613B"/>
    <w:pPr>
      <w:numPr>
        <w:ilvl w:val="4"/>
        <w:numId w:val="6"/>
      </w:numPr>
      <w:tabs>
        <w:tab w:val="clear" w:pos="2268"/>
        <w:tab w:val="num" w:pos="360"/>
      </w:tabs>
      <w:spacing w:line="240" w:lineRule="auto"/>
      <w:ind w:left="0" w:firstLine="0"/>
    </w:pPr>
    <w:rPr>
      <w:rFonts w:ascii="Arial" w:eastAsia="Times New Roman" w:hAnsi="Arial"/>
      <w:sz w:val="22"/>
      <w:lang w:val="en-GB" w:eastAsia="en-GB"/>
    </w:rPr>
  </w:style>
  <w:style w:type="character" w:customStyle="1" w:styleId="enumxml1">
    <w:name w:val="enumxml1"/>
    <w:basedOn w:val="DefaultParagraphFont"/>
    <w:rsid w:val="00BB4E08"/>
    <w:rPr>
      <w:b/>
      <w:bCs/>
    </w:rPr>
  </w:style>
  <w:style w:type="character" w:customStyle="1" w:styleId="ptext-18">
    <w:name w:val="ptext-18"/>
    <w:basedOn w:val="DefaultParagraphFont"/>
    <w:rsid w:val="00BB4E08"/>
  </w:style>
  <w:style w:type="character" w:customStyle="1" w:styleId="ptext-33">
    <w:name w:val="ptext-33"/>
    <w:basedOn w:val="DefaultParagraphFont"/>
    <w:rsid w:val="00BB4E08"/>
  </w:style>
  <w:style w:type="character" w:customStyle="1" w:styleId="ptext-23">
    <w:name w:val="ptext-23"/>
    <w:basedOn w:val="DefaultParagraphFont"/>
    <w:rsid w:val="00BB4E08"/>
  </w:style>
  <w:style w:type="paragraph" w:styleId="ListBullet5">
    <w:name w:val="List Bullet 5"/>
    <w:basedOn w:val="Normal"/>
    <w:unhideWhenUsed/>
    <w:rsid w:val="00443288"/>
    <w:pPr>
      <w:numPr>
        <w:numId w:val="7"/>
      </w:numPr>
      <w:spacing w:before="40" w:after="40" w:line="240" w:lineRule="auto"/>
      <w:contextualSpacing/>
    </w:pPr>
    <w:rPr>
      <w:rFonts w:ascii="Cambria" w:eastAsia="MS Gothic" w:hAnsi="Cambria"/>
      <w:sz w:val="20"/>
      <w:szCs w:val="22"/>
    </w:rPr>
  </w:style>
  <w:style w:type="paragraph" w:styleId="ListBullet4">
    <w:name w:val="List Bullet 4"/>
    <w:basedOn w:val="Normal"/>
    <w:semiHidden/>
    <w:unhideWhenUsed/>
    <w:rsid w:val="00443288"/>
    <w:pPr>
      <w:numPr>
        <w:numId w:val="8"/>
      </w:numPr>
      <w:spacing w:before="40" w:after="40" w:line="240" w:lineRule="auto"/>
      <w:contextualSpacing/>
    </w:pPr>
    <w:rPr>
      <w:rFonts w:ascii="Cambria" w:eastAsia="MS Gothic" w:hAnsi="Cambria"/>
      <w:sz w:val="20"/>
      <w:szCs w:val="22"/>
    </w:rPr>
  </w:style>
  <w:style w:type="character" w:customStyle="1" w:styleId="Heading6Char">
    <w:name w:val="Heading 6 Char"/>
    <w:basedOn w:val="DefaultParagraphFont"/>
    <w:link w:val="Heading6"/>
    <w:semiHidden/>
    <w:rsid w:val="00334066"/>
    <w:rPr>
      <w:rFonts w:asciiTheme="majorHAnsi" w:eastAsiaTheme="majorEastAsia" w:hAnsiTheme="majorHAnsi" w:cstheme="majorBidi"/>
      <w:i/>
      <w:iCs/>
      <w:color w:val="243F60" w:themeColor="accent1" w:themeShade="7F"/>
      <w:lang w:val="en-AU"/>
    </w:rPr>
  </w:style>
  <w:style w:type="character" w:customStyle="1" w:styleId="Heading7Char">
    <w:name w:val="Heading 7 Char"/>
    <w:basedOn w:val="DefaultParagraphFont"/>
    <w:link w:val="Heading7"/>
    <w:semiHidden/>
    <w:rsid w:val="00334066"/>
    <w:rPr>
      <w:rFonts w:asciiTheme="majorHAnsi" w:eastAsiaTheme="majorEastAsia" w:hAnsiTheme="majorHAnsi" w:cstheme="majorBidi"/>
      <w:i/>
      <w:iCs/>
      <w:color w:val="404040" w:themeColor="text1" w:themeTint="BF"/>
      <w:lang w:val="en-AU"/>
    </w:rPr>
  </w:style>
  <w:style w:type="character" w:customStyle="1" w:styleId="Heading8Char">
    <w:name w:val="Heading 8 Char"/>
    <w:basedOn w:val="DefaultParagraphFont"/>
    <w:link w:val="Heading8"/>
    <w:semiHidden/>
    <w:rsid w:val="00334066"/>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semiHidden/>
    <w:rsid w:val="00334066"/>
    <w:rPr>
      <w:rFonts w:asciiTheme="majorHAnsi" w:eastAsiaTheme="majorEastAsia" w:hAnsiTheme="majorHAnsi" w:cstheme="majorBidi"/>
      <w:i/>
      <w:iCs/>
      <w:color w:val="404040" w:themeColor="text1" w:themeTint="BF"/>
      <w:sz w:val="20"/>
      <w:szCs w:val="20"/>
      <w:lang w:val="en-AU"/>
    </w:rPr>
  </w:style>
  <w:style w:type="paragraph" w:styleId="NoSpacing">
    <w:name w:val="No Spacing"/>
    <w:autoRedefine/>
    <w:uiPriority w:val="1"/>
    <w:qFormat/>
    <w:rsid w:val="00334066"/>
    <w:pPr>
      <w:spacing w:after="0" w:line="240" w:lineRule="auto"/>
    </w:pPr>
    <w:rPr>
      <w:rFonts w:ascii="Calibri" w:eastAsia="Calibri" w:hAnsi="Calibri" w:cs="Times New Roman"/>
    </w:rPr>
  </w:style>
  <w:style w:type="character" w:styleId="SubtleEmphasis">
    <w:name w:val="Subtle Emphasis"/>
    <w:basedOn w:val="DefaultParagraphFont"/>
    <w:uiPriority w:val="19"/>
    <w:qFormat/>
    <w:rsid w:val="00334066"/>
    <w:rPr>
      <w:i/>
      <w:iCs/>
      <w:color w:val="808080" w:themeColor="text1" w:themeTint="7F"/>
    </w:rPr>
  </w:style>
  <w:style w:type="paragraph" w:styleId="Quote">
    <w:name w:val="Quote"/>
    <w:basedOn w:val="Normal"/>
    <w:next w:val="Normal"/>
    <w:link w:val="QuoteChar"/>
    <w:autoRedefine/>
    <w:uiPriority w:val="29"/>
    <w:qFormat/>
    <w:rsid w:val="00334066"/>
    <w:pPr>
      <w:spacing w:after="200" w:line="276" w:lineRule="auto"/>
    </w:pPr>
    <w:rPr>
      <w:rFonts w:ascii="Calibri" w:eastAsia="Calibri" w:hAnsi="Calibri"/>
      <w:i/>
      <w:iCs/>
      <w:color w:val="000000" w:themeColor="text1"/>
      <w:sz w:val="22"/>
      <w:szCs w:val="22"/>
    </w:rPr>
  </w:style>
  <w:style w:type="character" w:customStyle="1" w:styleId="QuoteChar">
    <w:name w:val="Quote Char"/>
    <w:basedOn w:val="DefaultParagraphFont"/>
    <w:link w:val="Quote"/>
    <w:uiPriority w:val="29"/>
    <w:rsid w:val="00334066"/>
    <w:rPr>
      <w:rFonts w:ascii="Calibri" w:eastAsia="Calibri" w:hAnsi="Calibri" w:cs="Times New Roman"/>
      <w:i/>
      <w:iCs/>
      <w:color w:val="000000" w:themeColor="text1"/>
      <w:lang w:val="en-AU"/>
    </w:rPr>
  </w:style>
  <w:style w:type="character" w:styleId="SubtleReference">
    <w:name w:val="Subtle Reference"/>
    <w:basedOn w:val="DefaultParagraphFont"/>
    <w:uiPriority w:val="31"/>
    <w:qFormat/>
    <w:rsid w:val="00334066"/>
    <w:rPr>
      <w:smallCaps/>
      <w:color w:val="C0504D" w:themeColor="accent2"/>
      <w:u w:val="single"/>
    </w:rPr>
  </w:style>
  <w:style w:type="character" w:styleId="IntenseReference">
    <w:name w:val="Intense Reference"/>
    <w:basedOn w:val="DefaultParagraphFont"/>
    <w:uiPriority w:val="32"/>
    <w:qFormat/>
    <w:rsid w:val="00334066"/>
    <w:rPr>
      <w:b/>
      <w:bCs/>
      <w:smallCaps/>
      <w:color w:val="C0504D" w:themeColor="accent2"/>
      <w:spacing w:val="5"/>
      <w:u w:val="single"/>
    </w:rPr>
  </w:style>
  <w:style w:type="character" w:styleId="BookTitle">
    <w:name w:val="Book Title"/>
    <w:basedOn w:val="DefaultParagraphFont"/>
    <w:uiPriority w:val="33"/>
    <w:qFormat/>
    <w:rsid w:val="00334066"/>
    <w:rPr>
      <w:b/>
      <w:bCs/>
      <w:smallCaps/>
      <w:spacing w:val="5"/>
    </w:rPr>
  </w:style>
  <w:style w:type="paragraph" w:styleId="EndnoteText">
    <w:name w:val="endnote text"/>
    <w:basedOn w:val="Normal"/>
    <w:link w:val="EndnoteTextChar"/>
    <w:rsid w:val="00334066"/>
    <w:pPr>
      <w:spacing w:after="0" w:line="240" w:lineRule="auto"/>
    </w:pPr>
    <w:rPr>
      <w:rFonts w:ascii="Calibri" w:eastAsia="Calibri" w:hAnsi="Calibri"/>
      <w:sz w:val="20"/>
      <w:szCs w:val="20"/>
    </w:rPr>
  </w:style>
  <w:style w:type="character" w:customStyle="1" w:styleId="EndnoteTextChar">
    <w:name w:val="Endnote Text Char"/>
    <w:basedOn w:val="DefaultParagraphFont"/>
    <w:link w:val="EndnoteText"/>
    <w:rsid w:val="00334066"/>
    <w:rPr>
      <w:rFonts w:ascii="Calibri" w:eastAsia="Calibri" w:hAnsi="Calibri" w:cs="Times New Roman"/>
      <w:sz w:val="20"/>
      <w:szCs w:val="20"/>
      <w:lang w:val="en-AU"/>
    </w:rPr>
  </w:style>
  <w:style w:type="character" w:styleId="EndnoteReference">
    <w:name w:val="endnote reference"/>
    <w:basedOn w:val="DefaultParagraphFont"/>
    <w:rsid w:val="00334066"/>
    <w:rPr>
      <w:vertAlign w:val="superscript"/>
    </w:rPr>
  </w:style>
  <w:style w:type="table" w:styleId="MediumGrid3-Accent5">
    <w:name w:val="Medium Grid 3 Accent 5"/>
    <w:basedOn w:val="TableNormal"/>
    <w:uiPriority w:val="69"/>
    <w:rsid w:val="00334066"/>
    <w:pPr>
      <w:spacing w:after="0" w:line="240" w:lineRule="auto"/>
    </w:pPr>
    <w:rPr>
      <w:rFonts w:ascii="Times New Roman" w:eastAsia="Times New Roman" w:hAnsi="Times New Roman" w:cs="Times New Roman"/>
      <w:sz w:val="20"/>
      <w:szCs w:val="20"/>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Table3Deffects3">
    <w:name w:val="Table 3D effects 3"/>
    <w:basedOn w:val="TableNormal"/>
    <w:rsid w:val="00334066"/>
    <w:rPr>
      <w:rFonts w:ascii="Times New Roman" w:eastAsia="Times New Roman" w:hAnsi="Times New Roman" w:cs="Times New Roman"/>
      <w:sz w:val="20"/>
      <w:szCs w:val="20"/>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List21">
    <w:name w:val="Medium List 21"/>
    <w:basedOn w:val="TableNormal"/>
    <w:uiPriority w:val="66"/>
    <w:rsid w:val="00334066"/>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Classic1">
    <w:name w:val="Table Classic 1"/>
    <w:basedOn w:val="TableNormal"/>
    <w:rsid w:val="00334066"/>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334066"/>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Paragraph">
    <w:name w:val="Table Paragraph"/>
    <w:basedOn w:val="Normal"/>
    <w:uiPriority w:val="1"/>
    <w:qFormat/>
    <w:rsid w:val="005D1C88"/>
    <w:pPr>
      <w:widowControl w:val="0"/>
      <w:spacing w:after="0" w:line="240" w:lineRule="auto"/>
    </w:pPr>
    <w:rPr>
      <w:rFonts w:asciiTheme="minorHAnsi" w:eastAsiaTheme="minorHAnsi" w:hAnsiTheme="minorHAnsi" w:cstheme="minorBidi"/>
      <w:sz w:val="22"/>
      <w:szCs w:val="22"/>
      <w:lang w:val="en-US"/>
    </w:rPr>
  </w:style>
  <w:style w:type="table" w:customStyle="1" w:styleId="TableGrid5">
    <w:name w:val="Table Grid5"/>
    <w:basedOn w:val="TableNormal"/>
    <w:next w:val="TableGrid"/>
    <w:uiPriority w:val="59"/>
    <w:rsid w:val="00A5198A"/>
    <w:pPr>
      <w:spacing w:before="40" w:after="40" w:line="240" w:lineRule="auto"/>
    </w:pPr>
    <w:rPr>
      <w:rFonts w:ascii="Helvetica Neue Light" w:eastAsia="Times New Roman" w:hAnsi="Helvetica Neue Light" w:cs="Times New Roman"/>
      <w:sz w:val="17"/>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rsid w:val="00761A15"/>
    <w:rPr>
      <w:rFonts w:cs="Gotham Narrow Book"/>
      <w:color w:val="000000"/>
      <w:sz w:val="34"/>
      <w:szCs w:val="34"/>
    </w:rPr>
  </w:style>
  <w:style w:type="paragraph" w:customStyle="1" w:styleId="lead">
    <w:name w:val="lead"/>
    <w:basedOn w:val="Normal"/>
    <w:rsid w:val="00651792"/>
    <w:pPr>
      <w:spacing w:before="100" w:beforeAutospacing="1" w:after="100" w:afterAutospacing="1" w:line="240" w:lineRule="auto"/>
    </w:pPr>
    <w:rPr>
      <w:rFonts w:ascii="Times New Roman" w:eastAsia="Times New Roman" w:hAnsi="Times New Roman"/>
      <w:sz w:val="24"/>
      <w:lang w:eastAsia="en-AU"/>
    </w:rPr>
  </w:style>
  <w:style w:type="paragraph" w:customStyle="1" w:styleId="wp-caption-text">
    <w:name w:val="wp-caption-text"/>
    <w:basedOn w:val="Normal"/>
    <w:rsid w:val="00651792"/>
    <w:pPr>
      <w:spacing w:before="100" w:beforeAutospacing="1" w:after="100" w:afterAutospacing="1" w:line="240" w:lineRule="auto"/>
    </w:pPr>
    <w:rPr>
      <w:rFonts w:ascii="Times New Roman" w:eastAsia="Times New Roman" w:hAnsi="Times New Roman"/>
      <w:sz w:val="24"/>
      <w:lang w:eastAsia="en-AU"/>
    </w:rPr>
  </w:style>
  <w:style w:type="table" w:styleId="TableContemporary">
    <w:name w:val="Table Contemporary"/>
    <w:basedOn w:val="TableNormal"/>
    <w:rsid w:val="00613925"/>
    <w:rPr>
      <w:rFonts w:ascii="Times New Roman" w:eastAsia="Times New Roman" w:hAnsi="Times New Roman" w:cs="Times New Roman"/>
      <w:sz w:val="20"/>
      <w:szCs w:val="20"/>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BulletedBold">
    <w:name w:val="Style Bulleted Bold"/>
    <w:basedOn w:val="NoList"/>
    <w:rsid w:val="000F60DE"/>
    <w:pPr>
      <w:numPr>
        <w:numId w:val="36"/>
      </w:numPr>
    </w:pPr>
  </w:style>
  <w:style w:type="table" w:customStyle="1" w:styleId="TableGrid6">
    <w:name w:val="Table Grid6"/>
    <w:basedOn w:val="TableNormal"/>
    <w:next w:val="TableGrid"/>
    <w:uiPriority w:val="59"/>
    <w:rsid w:val="00A069C0"/>
    <w:pPr>
      <w:spacing w:after="0" w:line="240" w:lineRule="auto"/>
    </w:pPr>
    <w:rPr>
      <w:rFonts w:ascii="Calibri" w:eastAsia="Calibri" w:hAnsi="Calibri" w:cs="Times New Roman"/>
      <w:sz w:val="20"/>
      <w:szCs w:val="20"/>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723C2B"/>
    <w:pPr>
      <w:spacing w:before="40" w:after="40" w:line="240" w:lineRule="auto"/>
    </w:pPr>
    <w:rPr>
      <w:rFonts w:ascii="Helvetica Neue Light" w:eastAsia="Times New Roman" w:hAnsi="Helvetica Neue Light" w:cs="Times New Roman"/>
      <w:sz w:val="17"/>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able of authorities" w:uiPriority="0"/>
    <w:lsdException w:name="List Bullet" w:uiPriority="0"/>
    <w:lsdException w:name="List Bullet 4" w:uiPriority="0"/>
    <w:lsdException w:name="List Bullet 5"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Classic 1" w:uiPriority="0"/>
    <w:lsdException w:name="Table Grid 1" w:uiPriority="0"/>
    <w:lsdException w:name="Table 3D effects 3" w:uiPriority="0"/>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5E4"/>
    <w:pPr>
      <w:spacing w:after="113" w:line="278" w:lineRule="auto"/>
    </w:pPr>
    <w:rPr>
      <w:rFonts w:ascii="Georgia" w:eastAsia="Cambria" w:hAnsi="Georgia" w:cs="Times New Roman"/>
      <w:sz w:val="19"/>
      <w:szCs w:val="24"/>
      <w:lang w:val="en-AU"/>
    </w:rPr>
  </w:style>
  <w:style w:type="paragraph" w:styleId="Heading1">
    <w:name w:val="heading 1"/>
    <w:aliases w:val="Tim Heading 1"/>
    <w:basedOn w:val="Normal"/>
    <w:next w:val="Normal"/>
    <w:link w:val="Heading1Char"/>
    <w:qFormat/>
    <w:rsid w:val="00631365"/>
    <w:pPr>
      <w:keepNext/>
      <w:keepLines/>
      <w:numPr>
        <w:numId w:val="46"/>
      </w:numPr>
      <w:tabs>
        <w:tab w:val="left" w:pos="851"/>
      </w:tabs>
      <w:spacing w:before="120" w:after="100" w:afterAutospacing="1"/>
      <w:outlineLvl w:val="0"/>
    </w:pPr>
    <w:rPr>
      <w:rFonts w:ascii="Helvetica" w:eastAsia="Times New Roman" w:hAnsi="Helvetica"/>
      <w:b/>
      <w:bCs/>
      <w:sz w:val="40"/>
      <w:szCs w:val="32"/>
    </w:rPr>
  </w:style>
  <w:style w:type="paragraph" w:styleId="Heading2">
    <w:name w:val="heading 2"/>
    <w:aliases w:val="TIM Heading 2"/>
    <w:basedOn w:val="Normal"/>
    <w:next w:val="Normal"/>
    <w:link w:val="Heading2Char"/>
    <w:unhideWhenUsed/>
    <w:qFormat/>
    <w:rsid w:val="00631365"/>
    <w:pPr>
      <w:keepNext/>
      <w:keepLines/>
      <w:numPr>
        <w:ilvl w:val="1"/>
        <w:numId w:val="46"/>
      </w:numPr>
      <w:spacing w:before="300"/>
      <w:outlineLvl w:val="1"/>
    </w:pPr>
    <w:rPr>
      <w:rFonts w:ascii="Helvetica" w:eastAsia="Times New Roman" w:hAnsi="Helvetica"/>
      <w:b/>
      <w:bCs/>
      <w:sz w:val="26"/>
      <w:szCs w:val="26"/>
    </w:rPr>
  </w:style>
  <w:style w:type="paragraph" w:styleId="Heading3">
    <w:name w:val="heading 3"/>
    <w:aliases w:val="TIM Heading 3"/>
    <w:basedOn w:val="Normal"/>
    <w:next w:val="Normal"/>
    <w:link w:val="Heading3Char"/>
    <w:unhideWhenUsed/>
    <w:qFormat/>
    <w:rsid w:val="00631365"/>
    <w:pPr>
      <w:keepNext/>
      <w:keepLines/>
      <w:numPr>
        <w:ilvl w:val="2"/>
        <w:numId w:val="46"/>
      </w:numPr>
      <w:spacing w:before="120" w:after="120" w:line="240" w:lineRule="auto"/>
      <w:outlineLvl w:val="2"/>
    </w:pPr>
    <w:rPr>
      <w:rFonts w:eastAsia="Times New Roman"/>
      <w:b/>
      <w:bCs/>
      <w:color w:val="E31F26"/>
      <w:sz w:val="22"/>
    </w:rPr>
  </w:style>
  <w:style w:type="paragraph" w:styleId="Heading4">
    <w:name w:val="heading 4"/>
    <w:aliases w:val="TIM Heading 4"/>
    <w:basedOn w:val="Normal"/>
    <w:next w:val="Normal"/>
    <w:link w:val="Heading4Char"/>
    <w:autoRedefine/>
    <w:qFormat/>
    <w:rsid w:val="00631365"/>
    <w:pPr>
      <w:keepNext/>
      <w:keepLines/>
      <w:numPr>
        <w:ilvl w:val="3"/>
        <w:numId w:val="46"/>
      </w:numPr>
      <w:spacing w:before="113"/>
      <w:outlineLvl w:val="3"/>
    </w:pPr>
    <w:rPr>
      <w:rFonts w:eastAsia="Times New Roman"/>
      <w:b/>
      <w:bCs/>
      <w:iCs/>
      <w:color w:val="FF0000"/>
    </w:rPr>
  </w:style>
  <w:style w:type="paragraph" w:styleId="Heading5">
    <w:name w:val="heading 5"/>
    <w:basedOn w:val="Normal"/>
    <w:next w:val="Normal"/>
    <w:link w:val="Heading5Char"/>
    <w:unhideWhenUsed/>
    <w:qFormat/>
    <w:rsid w:val="00AF38D9"/>
    <w:pPr>
      <w:keepNext/>
      <w:keepLines/>
      <w:numPr>
        <w:ilvl w:val="4"/>
        <w:numId w:val="4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334066"/>
    <w:pPr>
      <w:keepNext/>
      <w:keepLines/>
      <w:spacing w:before="200" w:after="0" w:line="276" w:lineRule="auto"/>
      <w:ind w:left="1152" w:hanging="1152"/>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semiHidden/>
    <w:unhideWhenUsed/>
    <w:qFormat/>
    <w:rsid w:val="00334066"/>
    <w:pPr>
      <w:keepNext/>
      <w:keepLines/>
      <w:spacing w:before="200" w:after="0" w:line="276" w:lineRule="auto"/>
      <w:ind w:left="1296" w:hanging="1296"/>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semiHidden/>
    <w:unhideWhenUsed/>
    <w:qFormat/>
    <w:rsid w:val="00334066"/>
    <w:pPr>
      <w:keepNext/>
      <w:keepLines/>
      <w:spacing w:before="200" w:after="0" w:line="276"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334066"/>
    <w:pPr>
      <w:keepNext/>
      <w:keepLines/>
      <w:spacing w:before="200" w:after="0" w:line="276"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Bullets">
    <w:name w:val="E3 Bullets"/>
    <w:basedOn w:val="Normal"/>
    <w:link w:val="E3BulletsChar"/>
    <w:qFormat/>
    <w:rsid w:val="00720C13"/>
    <w:pPr>
      <w:numPr>
        <w:numId w:val="3"/>
      </w:numPr>
      <w:contextualSpacing/>
    </w:pPr>
  </w:style>
  <w:style w:type="character" w:customStyle="1" w:styleId="E3BulletsChar">
    <w:name w:val="E3 Bullets Char"/>
    <w:basedOn w:val="DefaultParagraphFont"/>
    <w:link w:val="E3Bullets"/>
    <w:rsid w:val="00284ABD"/>
    <w:rPr>
      <w:rFonts w:ascii="Georgia" w:eastAsia="Cambria" w:hAnsi="Georgia" w:cs="Times New Roman"/>
      <w:sz w:val="19"/>
      <w:szCs w:val="24"/>
      <w:lang w:val="en-AU"/>
    </w:rPr>
  </w:style>
  <w:style w:type="paragraph" w:customStyle="1" w:styleId="E3BodyIntroductionText">
    <w:name w:val="E3 Body Introduction Text"/>
    <w:basedOn w:val="Normal"/>
    <w:qFormat/>
    <w:rsid w:val="006715E4"/>
    <w:pPr>
      <w:tabs>
        <w:tab w:val="left" w:pos="480"/>
      </w:tabs>
    </w:pPr>
    <w:rPr>
      <w:i/>
    </w:rPr>
  </w:style>
  <w:style w:type="character" w:customStyle="1" w:styleId="Bold">
    <w:name w:val="Bold"/>
    <w:basedOn w:val="DefaultParagraphFont"/>
    <w:rsid w:val="006715E4"/>
    <w:rPr>
      <w:rFonts w:ascii="Georgia" w:hAnsi="Georgia"/>
      <w:b/>
    </w:rPr>
  </w:style>
  <w:style w:type="paragraph" w:styleId="Caption">
    <w:name w:val="caption"/>
    <w:basedOn w:val="Normal"/>
    <w:next w:val="Normal"/>
    <w:uiPriority w:val="35"/>
    <w:qFormat/>
    <w:rsid w:val="0016451B"/>
    <w:pPr>
      <w:spacing w:before="20" w:after="40" w:line="240" w:lineRule="auto"/>
    </w:pPr>
    <w:rPr>
      <w:bCs/>
      <w:i/>
      <w:sz w:val="16"/>
      <w:szCs w:val="16"/>
    </w:rPr>
  </w:style>
  <w:style w:type="character" w:styleId="CommentReference">
    <w:name w:val="annotation reference"/>
    <w:basedOn w:val="DefaultParagraphFont"/>
    <w:uiPriority w:val="99"/>
    <w:unhideWhenUsed/>
    <w:rsid w:val="006715E4"/>
    <w:rPr>
      <w:sz w:val="16"/>
      <w:szCs w:val="16"/>
    </w:rPr>
  </w:style>
  <w:style w:type="paragraph" w:styleId="CommentText">
    <w:name w:val="annotation text"/>
    <w:basedOn w:val="Normal"/>
    <w:link w:val="CommentTextChar"/>
    <w:uiPriority w:val="99"/>
    <w:unhideWhenUsed/>
    <w:rsid w:val="006715E4"/>
    <w:pPr>
      <w:spacing w:after="200" w:line="240" w:lineRule="auto"/>
    </w:pPr>
    <w:rPr>
      <w:rFonts w:ascii="Cambria" w:hAnsi="Cambria"/>
      <w:sz w:val="20"/>
      <w:szCs w:val="20"/>
    </w:rPr>
  </w:style>
  <w:style w:type="character" w:customStyle="1" w:styleId="CommentTextChar">
    <w:name w:val="Comment Text Char"/>
    <w:basedOn w:val="DefaultParagraphFont"/>
    <w:link w:val="CommentText"/>
    <w:uiPriority w:val="99"/>
    <w:rsid w:val="006715E4"/>
    <w:rPr>
      <w:rFonts w:ascii="Cambria" w:eastAsia="Cambria" w:hAnsi="Cambria" w:cs="Times New Roman"/>
      <w:sz w:val="20"/>
      <w:szCs w:val="20"/>
      <w:lang w:val="en-AU"/>
    </w:rPr>
  </w:style>
  <w:style w:type="character" w:customStyle="1" w:styleId="Heading1Char">
    <w:name w:val="Heading 1 Char"/>
    <w:aliases w:val="Tim Heading 1 Char"/>
    <w:basedOn w:val="DefaultParagraphFont"/>
    <w:link w:val="Heading1"/>
    <w:rsid w:val="00631365"/>
    <w:rPr>
      <w:rFonts w:ascii="Helvetica" w:eastAsia="Times New Roman" w:hAnsi="Helvetica" w:cs="Times New Roman"/>
      <w:b/>
      <w:bCs/>
      <w:sz w:val="40"/>
      <w:szCs w:val="32"/>
      <w:lang w:val="en-AU"/>
    </w:rPr>
  </w:style>
  <w:style w:type="paragraph" w:customStyle="1" w:styleId="E3ChapterTitle">
    <w:name w:val="E3 Chapter Title"/>
    <w:basedOn w:val="Heading2"/>
    <w:qFormat/>
    <w:rsid w:val="00AF38D9"/>
    <w:pPr>
      <w:spacing w:before="0"/>
    </w:pPr>
    <w:rPr>
      <w:color w:val="231F20"/>
      <w:sz w:val="40"/>
    </w:rPr>
  </w:style>
  <w:style w:type="paragraph" w:customStyle="1" w:styleId="E3CoverFooter">
    <w:name w:val="E3 Cover Footer"/>
    <w:basedOn w:val="Normal"/>
    <w:qFormat/>
    <w:rsid w:val="006715E4"/>
    <w:rPr>
      <w:rFonts w:ascii="Helvetica" w:hAnsi="Helvetica"/>
      <w:b/>
      <w:color w:val="808080"/>
      <w:sz w:val="24"/>
    </w:rPr>
  </w:style>
  <w:style w:type="paragraph" w:styleId="FootnoteText">
    <w:name w:val="footnote text"/>
    <w:basedOn w:val="Normal"/>
    <w:link w:val="FootnoteTextChar"/>
    <w:rsid w:val="006715E4"/>
    <w:pPr>
      <w:spacing w:after="0"/>
    </w:pPr>
    <w:rPr>
      <w:sz w:val="16"/>
    </w:rPr>
  </w:style>
  <w:style w:type="character" w:customStyle="1" w:styleId="FootnoteTextChar">
    <w:name w:val="Footnote Text Char"/>
    <w:basedOn w:val="DefaultParagraphFont"/>
    <w:link w:val="FootnoteText"/>
    <w:rsid w:val="006715E4"/>
    <w:rPr>
      <w:rFonts w:ascii="Georgia" w:eastAsia="Cambria" w:hAnsi="Georgia" w:cs="Times New Roman"/>
      <w:sz w:val="16"/>
      <w:szCs w:val="24"/>
    </w:rPr>
  </w:style>
  <w:style w:type="paragraph" w:customStyle="1" w:styleId="E3FootnoteText">
    <w:name w:val="E3 Footnote Text"/>
    <w:basedOn w:val="FootnoteText"/>
    <w:qFormat/>
    <w:rsid w:val="006715E4"/>
  </w:style>
  <w:style w:type="paragraph" w:customStyle="1" w:styleId="E3Heading1">
    <w:name w:val="E3 Heading 1"/>
    <w:basedOn w:val="Normal"/>
    <w:rsid w:val="006715E4"/>
    <w:rPr>
      <w:rFonts w:ascii="Helvetica" w:hAnsi="Helvetica" w:cs="Helvetica"/>
      <w:b/>
      <w:sz w:val="40"/>
      <w:szCs w:val="40"/>
    </w:rPr>
  </w:style>
  <w:style w:type="character" w:customStyle="1" w:styleId="Heading2Char">
    <w:name w:val="Heading 2 Char"/>
    <w:aliases w:val="TIM Heading 2 Char"/>
    <w:basedOn w:val="DefaultParagraphFont"/>
    <w:link w:val="Heading2"/>
    <w:rsid w:val="00631365"/>
    <w:rPr>
      <w:rFonts w:ascii="Helvetica" w:eastAsia="Times New Roman" w:hAnsi="Helvetica" w:cs="Times New Roman"/>
      <w:b/>
      <w:bCs/>
      <w:sz w:val="26"/>
      <w:szCs w:val="26"/>
      <w:lang w:val="en-AU"/>
    </w:rPr>
  </w:style>
  <w:style w:type="paragraph" w:customStyle="1" w:styleId="E3Heading2">
    <w:name w:val="E3 Heading 2"/>
    <w:basedOn w:val="Heading3"/>
    <w:next w:val="Normal"/>
    <w:qFormat/>
    <w:rsid w:val="00231794"/>
    <w:pPr>
      <w:spacing w:before="300" w:after="114"/>
    </w:pPr>
    <w:rPr>
      <w:rFonts w:ascii="Helvetica" w:hAnsi="Helvetica"/>
      <w:color w:val="000000" w:themeColor="text1"/>
      <w:sz w:val="26"/>
    </w:rPr>
  </w:style>
  <w:style w:type="character" w:customStyle="1" w:styleId="Heading3Char">
    <w:name w:val="Heading 3 Char"/>
    <w:aliases w:val="TIM Heading 3 Char"/>
    <w:basedOn w:val="DefaultParagraphFont"/>
    <w:link w:val="Heading3"/>
    <w:rsid w:val="00631365"/>
    <w:rPr>
      <w:rFonts w:ascii="Georgia" w:eastAsia="Times New Roman" w:hAnsi="Georgia" w:cs="Times New Roman"/>
      <w:b/>
      <w:bCs/>
      <w:color w:val="E31F26"/>
      <w:szCs w:val="24"/>
      <w:lang w:val="en-AU"/>
    </w:rPr>
  </w:style>
  <w:style w:type="paragraph" w:customStyle="1" w:styleId="E3Heading3">
    <w:name w:val="E3 Heading 3"/>
    <w:basedOn w:val="Heading4"/>
    <w:next w:val="Normal"/>
    <w:qFormat/>
    <w:rsid w:val="00AF38D9"/>
    <w:pPr>
      <w:spacing w:before="0" w:after="114"/>
    </w:pPr>
    <w:rPr>
      <w:color w:val="E31F26"/>
      <w:sz w:val="22"/>
    </w:rPr>
  </w:style>
  <w:style w:type="character" w:customStyle="1" w:styleId="Heading4Char">
    <w:name w:val="Heading 4 Char"/>
    <w:aliases w:val="TIM Heading 4 Char"/>
    <w:basedOn w:val="DefaultParagraphFont"/>
    <w:link w:val="Heading4"/>
    <w:rsid w:val="00631365"/>
    <w:rPr>
      <w:rFonts w:ascii="Georgia" w:eastAsia="Times New Roman" w:hAnsi="Georgia" w:cs="Times New Roman"/>
      <w:b/>
      <w:bCs/>
      <w:iCs/>
      <w:color w:val="FF0000"/>
      <w:sz w:val="19"/>
      <w:szCs w:val="24"/>
      <w:lang w:val="en-AU"/>
    </w:rPr>
  </w:style>
  <w:style w:type="paragraph" w:customStyle="1" w:styleId="E3Heading4">
    <w:name w:val="E3 Heading 4"/>
    <w:basedOn w:val="Heading5"/>
    <w:qFormat/>
    <w:rsid w:val="00AF38D9"/>
    <w:rPr>
      <w:rFonts w:ascii="Georgia" w:hAnsi="Georgia"/>
      <w:b/>
      <w:color w:val="auto"/>
    </w:rPr>
  </w:style>
  <w:style w:type="paragraph" w:styleId="ListBullet">
    <w:name w:val="List Bullet"/>
    <w:basedOn w:val="Normal"/>
    <w:rsid w:val="006715E4"/>
    <w:pPr>
      <w:numPr>
        <w:numId w:val="2"/>
      </w:numPr>
      <w:contextualSpacing/>
    </w:pPr>
  </w:style>
  <w:style w:type="paragraph" w:customStyle="1" w:styleId="E3SubBullets">
    <w:name w:val="E3 Sub Bullets"/>
    <w:basedOn w:val="ListBullet"/>
    <w:qFormat/>
    <w:rsid w:val="00284ABD"/>
  </w:style>
  <w:style w:type="paragraph" w:styleId="Subtitle">
    <w:name w:val="Subtitle"/>
    <w:basedOn w:val="Normal"/>
    <w:next w:val="Normal"/>
    <w:link w:val="SubtitleChar"/>
    <w:qFormat/>
    <w:rsid w:val="006715E4"/>
    <w:rPr>
      <w:rFonts w:ascii="Helvetica" w:hAnsi="Helvetica"/>
      <w:b/>
      <w:sz w:val="24"/>
    </w:rPr>
  </w:style>
  <w:style w:type="character" w:customStyle="1" w:styleId="SubtitleChar">
    <w:name w:val="Subtitle Char"/>
    <w:basedOn w:val="DefaultParagraphFont"/>
    <w:link w:val="Subtitle"/>
    <w:rsid w:val="006715E4"/>
    <w:rPr>
      <w:rFonts w:ascii="Helvetica" w:eastAsia="Cambria" w:hAnsi="Helvetica" w:cs="Times New Roman"/>
      <w:b/>
      <w:sz w:val="24"/>
      <w:szCs w:val="24"/>
    </w:rPr>
  </w:style>
  <w:style w:type="paragraph" w:customStyle="1" w:styleId="E3Subtitle">
    <w:name w:val="E3 Sub title"/>
    <w:qFormat/>
    <w:rsid w:val="00675EFD"/>
    <w:rPr>
      <w:rFonts w:ascii="Helvetica" w:eastAsia="Cambria" w:hAnsi="Helvetica" w:cs="Times New Roman"/>
      <w:b/>
      <w:sz w:val="24"/>
      <w:szCs w:val="24"/>
      <w:lang w:val="en-AU"/>
    </w:rPr>
  </w:style>
  <w:style w:type="paragraph" w:customStyle="1" w:styleId="E3Title">
    <w:name w:val="E3 Title"/>
    <w:basedOn w:val="Heading1"/>
    <w:rsid w:val="00AF38D9"/>
    <w:pPr>
      <w:numPr>
        <w:numId w:val="0"/>
      </w:numPr>
    </w:pPr>
    <w:rPr>
      <w:sz w:val="60"/>
    </w:rPr>
  </w:style>
  <w:style w:type="paragraph" w:styleId="Title">
    <w:name w:val="Title"/>
    <w:basedOn w:val="Heading1"/>
    <w:next w:val="Normal"/>
    <w:link w:val="TitleChar"/>
    <w:qFormat/>
    <w:rsid w:val="006715E4"/>
    <w:pPr>
      <w:numPr>
        <w:numId w:val="0"/>
      </w:numPr>
    </w:pPr>
  </w:style>
  <w:style w:type="character" w:customStyle="1" w:styleId="TitleChar">
    <w:name w:val="Title Char"/>
    <w:basedOn w:val="DefaultParagraphFont"/>
    <w:link w:val="Title"/>
    <w:rsid w:val="006715E4"/>
    <w:rPr>
      <w:rFonts w:ascii="Helvetica" w:eastAsia="Times New Roman" w:hAnsi="Helvetica" w:cs="Times New Roman"/>
      <w:b/>
      <w:bCs/>
      <w:color w:val="F2F2F2"/>
      <w:sz w:val="40"/>
      <w:szCs w:val="32"/>
    </w:rPr>
  </w:style>
  <w:style w:type="paragraph" w:customStyle="1" w:styleId="E3TOCTitle">
    <w:name w:val="E3 TOC Title"/>
    <w:basedOn w:val="Title"/>
    <w:rsid w:val="006715E4"/>
  </w:style>
  <w:style w:type="paragraph" w:customStyle="1" w:styleId="E3Underline">
    <w:name w:val="E3 Underline"/>
    <w:basedOn w:val="Normal"/>
    <w:rsid w:val="006715E4"/>
    <w:pPr>
      <w:tabs>
        <w:tab w:val="left" w:pos="480"/>
      </w:tabs>
    </w:pPr>
    <w:rPr>
      <w:b/>
      <w:i/>
      <w:u w:val="single"/>
    </w:rPr>
  </w:style>
  <w:style w:type="paragraph" w:styleId="Footer">
    <w:name w:val="footer"/>
    <w:basedOn w:val="Normal"/>
    <w:link w:val="FooterChar"/>
    <w:uiPriority w:val="99"/>
    <w:unhideWhenUsed/>
    <w:rsid w:val="006715E4"/>
    <w:pPr>
      <w:tabs>
        <w:tab w:val="center" w:pos="4320"/>
        <w:tab w:val="right" w:pos="8640"/>
      </w:tabs>
      <w:spacing w:after="0" w:line="240" w:lineRule="auto"/>
      <w:jc w:val="right"/>
    </w:pPr>
    <w:rPr>
      <w:rFonts w:ascii="Helvetica" w:hAnsi="Helvetica"/>
      <w:b/>
      <w:sz w:val="16"/>
    </w:rPr>
  </w:style>
  <w:style w:type="character" w:customStyle="1" w:styleId="FooterChar">
    <w:name w:val="Footer Char"/>
    <w:basedOn w:val="DefaultParagraphFont"/>
    <w:link w:val="Footer"/>
    <w:uiPriority w:val="99"/>
    <w:rsid w:val="006715E4"/>
    <w:rPr>
      <w:rFonts w:ascii="Helvetica" w:eastAsia="Cambria" w:hAnsi="Helvetica" w:cs="Times New Roman"/>
      <w:b/>
      <w:sz w:val="16"/>
      <w:szCs w:val="24"/>
    </w:rPr>
  </w:style>
  <w:style w:type="character" w:styleId="FootnoteReference">
    <w:name w:val="footnote reference"/>
    <w:basedOn w:val="DefaultParagraphFont"/>
    <w:rsid w:val="006715E4"/>
    <w:rPr>
      <w:vertAlign w:val="superscript"/>
    </w:rPr>
  </w:style>
  <w:style w:type="paragraph" w:styleId="Header">
    <w:name w:val="header"/>
    <w:basedOn w:val="Normal"/>
    <w:link w:val="HeaderChar"/>
    <w:uiPriority w:val="99"/>
    <w:unhideWhenUsed/>
    <w:rsid w:val="006715E4"/>
    <w:pPr>
      <w:tabs>
        <w:tab w:val="center" w:pos="4320"/>
        <w:tab w:val="right" w:pos="8640"/>
      </w:tabs>
      <w:spacing w:after="0" w:line="240" w:lineRule="auto"/>
    </w:pPr>
  </w:style>
  <w:style w:type="character" w:customStyle="1" w:styleId="HeaderChar">
    <w:name w:val="Header Char"/>
    <w:basedOn w:val="DefaultParagraphFont"/>
    <w:link w:val="Header"/>
    <w:uiPriority w:val="99"/>
    <w:rsid w:val="006715E4"/>
    <w:rPr>
      <w:rFonts w:ascii="Georgia" w:eastAsia="Cambria" w:hAnsi="Georgia" w:cs="Times New Roman"/>
      <w:sz w:val="19"/>
      <w:szCs w:val="24"/>
    </w:rPr>
  </w:style>
  <w:style w:type="character" w:styleId="Hyperlink">
    <w:name w:val="Hyperlink"/>
    <w:basedOn w:val="DefaultParagraphFont"/>
    <w:uiPriority w:val="99"/>
    <w:unhideWhenUsed/>
    <w:rsid w:val="006715E4"/>
    <w:rPr>
      <w:color w:val="0000FF"/>
      <w:u w:val="single"/>
    </w:rPr>
  </w:style>
  <w:style w:type="character" w:styleId="PageNumber">
    <w:name w:val="page number"/>
    <w:basedOn w:val="DefaultParagraphFont"/>
    <w:rsid w:val="006715E4"/>
    <w:rPr>
      <w:rFonts w:ascii="Georgia" w:hAnsi="Georgia"/>
      <w:b/>
      <w:i/>
      <w:sz w:val="16"/>
    </w:rPr>
  </w:style>
  <w:style w:type="table" w:styleId="TableGrid">
    <w:name w:val="Table Grid"/>
    <w:basedOn w:val="TableNormal"/>
    <w:uiPriority w:val="59"/>
    <w:rsid w:val="006715E4"/>
    <w:pPr>
      <w:spacing w:before="40" w:after="40" w:line="240" w:lineRule="auto"/>
    </w:pPr>
    <w:rPr>
      <w:rFonts w:ascii="Helvetica Neue Light" w:eastAsia="Times New Roman" w:hAnsi="Helvetica Neue Light" w:cs="Times New Roman"/>
      <w:sz w:val="17"/>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3TableHeading">
    <w:name w:val="E3 Table Heading"/>
    <w:basedOn w:val="E3FootnoteText"/>
    <w:uiPriority w:val="99"/>
    <w:qFormat/>
    <w:locked/>
    <w:rsid w:val="001A1201"/>
    <w:pPr>
      <w:spacing w:before="60" w:after="60" w:line="240" w:lineRule="auto"/>
    </w:pPr>
    <w:rPr>
      <w:rFonts w:ascii="Helvetica" w:eastAsia="Times New Roman" w:hAnsi="Helvetica" w:cs="Helvetica"/>
      <w:b/>
      <w:sz w:val="15"/>
      <w:szCs w:val="14"/>
    </w:rPr>
  </w:style>
  <w:style w:type="paragraph" w:styleId="TableofAuthorities">
    <w:name w:val="table of authorities"/>
    <w:basedOn w:val="Normal"/>
    <w:next w:val="Normal"/>
    <w:rsid w:val="006715E4"/>
    <w:pPr>
      <w:spacing w:after="0"/>
      <w:ind w:left="190" w:hanging="190"/>
    </w:pPr>
  </w:style>
  <w:style w:type="paragraph" w:styleId="TableofFigures">
    <w:name w:val="table of figures"/>
    <w:basedOn w:val="Normal"/>
    <w:next w:val="Normal"/>
    <w:uiPriority w:val="99"/>
    <w:rsid w:val="006715E4"/>
    <w:pPr>
      <w:spacing w:after="0"/>
    </w:pPr>
  </w:style>
  <w:style w:type="paragraph" w:customStyle="1" w:styleId="E3TableSubHeading">
    <w:name w:val="E3 Table Sub Heading"/>
    <w:qFormat/>
    <w:locked/>
    <w:rsid w:val="001A1201"/>
    <w:pPr>
      <w:spacing w:before="60" w:after="60" w:line="240" w:lineRule="auto"/>
    </w:pPr>
    <w:rPr>
      <w:rFonts w:ascii="Georgia" w:eastAsia="Times New Roman" w:hAnsi="Georgia" w:cs="Times New Roman"/>
      <w:b/>
      <w:sz w:val="14"/>
      <w:szCs w:val="14"/>
      <w:lang w:val="en-AU"/>
    </w:rPr>
  </w:style>
  <w:style w:type="paragraph" w:customStyle="1" w:styleId="E3Tabletext">
    <w:name w:val="E3 Table text"/>
    <w:autoRedefine/>
    <w:uiPriority w:val="99"/>
    <w:qFormat/>
    <w:locked/>
    <w:rsid w:val="00255AA3"/>
    <w:pPr>
      <w:spacing w:before="60" w:after="60" w:line="240" w:lineRule="auto"/>
      <w:jc w:val="right"/>
    </w:pPr>
    <w:rPr>
      <w:rFonts w:ascii="Georgia" w:eastAsia="Times New Roman" w:hAnsi="Georgia" w:cs="Times New Roman"/>
      <w:i/>
      <w:spacing w:val="-3"/>
      <w:sz w:val="14"/>
      <w:szCs w:val="14"/>
      <w:lang w:val="en-AU" w:eastAsia="en-AU"/>
    </w:rPr>
  </w:style>
  <w:style w:type="paragraph" w:customStyle="1" w:styleId="TextBox">
    <w:name w:val="Text Box"/>
    <w:basedOn w:val="Normal"/>
    <w:rsid w:val="006715E4"/>
    <w:pPr>
      <w:spacing w:before="40"/>
    </w:pPr>
    <w:rPr>
      <w:rFonts w:eastAsia="Times New Roman"/>
      <w:szCs w:val="20"/>
    </w:rPr>
  </w:style>
  <w:style w:type="paragraph" w:styleId="TOC1">
    <w:name w:val="toc 1"/>
    <w:basedOn w:val="Normal"/>
    <w:next w:val="Normal"/>
    <w:autoRedefine/>
    <w:uiPriority w:val="39"/>
    <w:rsid w:val="00DF5FC5"/>
    <w:pPr>
      <w:widowControl w:val="0"/>
      <w:tabs>
        <w:tab w:val="right" w:leader="dot" w:pos="9629"/>
      </w:tabs>
      <w:spacing w:before="120" w:after="0" w:line="276" w:lineRule="auto"/>
    </w:pPr>
    <w:rPr>
      <w:rFonts w:ascii="Helvetica" w:hAnsi="Helvetica"/>
      <w:b/>
      <w:caps/>
    </w:rPr>
  </w:style>
  <w:style w:type="paragraph" w:styleId="TOC2">
    <w:name w:val="toc 2"/>
    <w:basedOn w:val="Normal"/>
    <w:next w:val="Normal"/>
    <w:autoRedefine/>
    <w:uiPriority w:val="39"/>
    <w:rsid w:val="006715E4"/>
    <w:pPr>
      <w:widowControl w:val="0"/>
      <w:spacing w:after="0" w:line="276" w:lineRule="auto"/>
      <w:ind w:left="200"/>
    </w:pPr>
    <w:rPr>
      <w:szCs w:val="22"/>
    </w:rPr>
  </w:style>
  <w:style w:type="paragraph" w:styleId="TOC3">
    <w:name w:val="toc 3"/>
    <w:basedOn w:val="Normal"/>
    <w:next w:val="Normal"/>
    <w:autoRedefine/>
    <w:uiPriority w:val="39"/>
    <w:rsid w:val="00DF5FC5"/>
    <w:pPr>
      <w:spacing w:after="0"/>
      <w:ind w:left="380"/>
    </w:pPr>
  </w:style>
  <w:style w:type="paragraph" w:styleId="TOC4">
    <w:name w:val="toc 4"/>
    <w:basedOn w:val="Normal"/>
    <w:next w:val="Normal"/>
    <w:autoRedefine/>
    <w:uiPriority w:val="39"/>
    <w:unhideWhenUsed/>
    <w:rsid w:val="006715E4"/>
    <w:pPr>
      <w:spacing w:after="100" w:line="276"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6715E4"/>
    <w:pPr>
      <w:spacing w:after="100" w:line="276"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6715E4"/>
    <w:pPr>
      <w:spacing w:after="100" w:line="276"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6715E4"/>
    <w:pPr>
      <w:spacing w:after="100" w:line="276"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6715E4"/>
    <w:pPr>
      <w:spacing w:after="100" w:line="276"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6715E4"/>
    <w:pPr>
      <w:spacing w:after="100" w:line="276" w:lineRule="auto"/>
      <w:ind w:left="1760"/>
    </w:pPr>
    <w:rPr>
      <w:rFonts w:asciiTheme="minorHAnsi" w:eastAsiaTheme="minorEastAsia" w:hAnsiTheme="minorHAnsi" w:cstheme="minorBidi"/>
      <w:sz w:val="22"/>
      <w:szCs w:val="22"/>
      <w:lang w:eastAsia="en-AU"/>
    </w:rPr>
  </w:style>
  <w:style w:type="paragraph" w:styleId="IntenseQuote">
    <w:name w:val="Intense Quote"/>
    <w:basedOn w:val="Normal"/>
    <w:next w:val="Normal"/>
    <w:link w:val="IntenseQuoteChar"/>
    <w:uiPriority w:val="30"/>
    <w:rsid w:val="0094387C"/>
    <w:pPr>
      <w:pBdr>
        <w:bottom w:val="single" w:sz="4" w:space="4" w:color="4F81BD" w:themeColor="accent1"/>
      </w:pBdr>
      <w:spacing w:before="200" w:after="280"/>
      <w:ind w:left="936" w:right="936"/>
    </w:pPr>
    <w:rPr>
      <w:b/>
      <w:bCs/>
      <w:i/>
      <w:iCs/>
    </w:rPr>
  </w:style>
  <w:style w:type="paragraph" w:styleId="BalloonText">
    <w:name w:val="Balloon Text"/>
    <w:basedOn w:val="Normal"/>
    <w:link w:val="BalloonTextChar"/>
    <w:uiPriority w:val="99"/>
    <w:unhideWhenUsed/>
    <w:rsid w:val="00C30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30351"/>
    <w:rPr>
      <w:rFonts w:ascii="Tahoma" w:eastAsia="Cambria" w:hAnsi="Tahoma" w:cs="Tahoma"/>
      <w:sz w:val="16"/>
      <w:szCs w:val="16"/>
    </w:rPr>
  </w:style>
  <w:style w:type="character" w:customStyle="1" w:styleId="IntenseQuoteChar">
    <w:name w:val="Intense Quote Char"/>
    <w:basedOn w:val="DefaultParagraphFont"/>
    <w:link w:val="IntenseQuote"/>
    <w:uiPriority w:val="30"/>
    <w:rsid w:val="0094387C"/>
    <w:rPr>
      <w:rFonts w:ascii="Georgia" w:eastAsia="Cambria" w:hAnsi="Georgia" w:cs="Times New Roman"/>
      <w:b/>
      <w:bCs/>
      <w:i/>
      <w:iCs/>
      <w:sz w:val="19"/>
      <w:szCs w:val="24"/>
    </w:rPr>
  </w:style>
  <w:style w:type="character" w:styleId="IntenseEmphasis">
    <w:name w:val="Intense Emphasis"/>
    <w:basedOn w:val="DefaultParagraphFont"/>
    <w:uiPriority w:val="21"/>
    <w:qFormat/>
    <w:rsid w:val="0094387C"/>
    <w:rPr>
      <w:b/>
      <w:bCs/>
      <w:i/>
      <w:iCs/>
      <w:color w:val="auto"/>
    </w:rPr>
  </w:style>
  <w:style w:type="paragraph" w:styleId="DocumentMap">
    <w:name w:val="Document Map"/>
    <w:basedOn w:val="Normal"/>
    <w:link w:val="DocumentMapChar"/>
    <w:unhideWhenUsed/>
    <w:rsid w:val="009E6B3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9E6B3E"/>
    <w:rPr>
      <w:rFonts w:ascii="Tahoma" w:eastAsia="Cambria" w:hAnsi="Tahoma" w:cs="Tahoma"/>
      <w:sz w:val="16"/>
      <w:szCs w:val="16"/>
    </w:rPr>
  </w:style>
  <w:style w:type="paragraph" w:customStyle="1" w:styleId="E3TableTitles">
    <w:name w:val="E3 Table Titles"/>
    <w:qFormat/>
    <w:rsid w:val="006227CC"/>
    <w:pPr>
      <w:spacing w:after="120"/>
    </w:pPr>
    <w:rPr>
      <w:rFonts w:ascii="Georgia" w:eastAsia="Cambria" w:hAnsi="Georgia" w:cs="Times New Roman"/>
      <w:b/>
      <w:bCs/>
      <w:sz w:val="18"/>
      <w:szCs w:val="20"/>
    </w:rPr>
  </w:style>
  <w:style w:type="paragraph" w:styleId="TOCHeading">
    <w:name w:val="TOC Heading"/>
    <w:basedOn w:val="Heading1"/>
    <w:next w:val="Normal"/>
    <w:uiPriority w:val="39"/>
    <w:unhideWhenUsed/>
    <w:qFormat/>
    <w:rsid w:val="00C2766B"/>
    <w:pPr>
      <w:numPr>
        <w:numId w:val="0"/>
      </w:numPr>
      <w:spacing w:before="480" w:line="276" w:lineRule="auto"/>
      <w:outlineLvl w:val="9"/>
    </w:pPr>
    <w:rPr>
      <w:rFonts w:eastAsiaTheme="majorEastAsia" w:cs="Helvetica"/>
      <w:sz w:val="26"/>
      <w:szCs w:val="26"/>
    </w:rPr>
  </w:style>
  <w:style w:type="paragraph" w:customStyle="1" w:styleId="E3Figuretitles">
    <w:name w:val="E3 Figure titles"/>
    <w:qFormat/>
    <w:rsid w:val="00BD0CDF"/>
    <w:rPr>
      <w:rFonts w:ascii="Georgia" w:eastAsia="Cambria" w:hAnsi="Georgia" w:cs="Times New Roman"/>
      <w:b/>
      <w:bCs/>
      <w:sz w:val="18"/>
      <w:szCs w:val="20"/>
    </w:rPr>
  </w:style>
  <w:style w:type="paragraph" w:customStyle="1" w:styleId="E3SubSubBullets">
    <w:name w:val="E3 Sub Sub Bullets"/>
    <w:basedOn w:val="E3SubBullets"/>
    <w:qFormat/>
    <w:rsid w:val="0016451B"/>
    <w:pPr>
      <w:numPr>
        <w:numId w:val="4"/>
      </w:numPr>
    </w:pPr>
  </w:style>
  <w:style w:type="paragraph" w:customStyle="1" w:styleId="E3Caption">
    <w:name w:val="E3 Caption"/>
    <w:basedOn w:val="Caption"/>
    <w:qFormat/>
    <w:rsid w:val="00A37E0E"/>
    <w:pPr>
      <w:spacing w:before="60" w:after="120"/>
    </w:pPr>
  </w:style>
  <w:style w:type="paragraph" w:customStyle="1" w:styleId="E3BodyText">
    <w:name w:val="E3 Body Text"/>
    <w:basedOn w:val="Normal"/>
    <w:qFormat/>
    <w:rsid w:val="00D31981"/>
  </w:style>
  <w:style w:type="character" w:customStyle="1" w:styleId="Heading5Char">
    <w:name w:val="Heading 5 Char"/>
    <w:basedOn w:val="DefaultParagraphFont"/>
    <w:link w:val="Heading5"/>
    <w:rsid w:val="00AF38D9"/>
    <w:rPr>
      <w:rFonts w:asciiTheme="majorHAnsi" w:eastAsiaTheme="majorEastAsia" w:hAnsiTheme="majorHAnsi" w:cstheme="majorBidi"/>
      <w:color w:val="243F60" w:themeColor="accent1" w:themeShade="7F"/>
      <w:sz w:val="19"/>
      <w:szCs w:val="24"/>
      <w:lang w:val="en-AU"/>
    </w:rPr>
  </w:style>
  <w:style w:type="paragraph" w:customStyle="1" w:styleId="Default">
    <w:name w:val="Default"/>
    <w:rsid w:val="00AD2A5C"/>
    <w:pPr>
      <w:autoSpaceDE w:val="0"/>
      <w:autoSpaceDN w:val="0"/>
      <w:adjustRightInd w:val="0"/>
      <w:spacing w:after="0" w:line="240" w:lineRule="auto"/>
    </w:pPr>
    <w:rPr>
      <w:rFonts w:ascii="Arial" w:hAnsi="Arial" w:cs="Arial"/>
      <w:color w:val="000000"/>
      <w:sz w:val="24"/>
      <w:szCs w:val="24"/>
      <w:lang w:val="en-AU"/>
    </w:rPr>
  </w:style>
  <w:style w:type="paragraph" w:styleId="BodyText">
    <w:name w:val="Body Text"/>
    <w:basedOn w:val="Normal"/>
    <w:link w:val="BodyTextChar"/>
    <w:uiPriority w:val="1"/>
    <w:unhideWhenUsed/>
    <w:qFormat/>
    <w:rsid w:val="00AD2A5C"/>
    <w:pPr>
      <w:spacing w:after="120"/>
    </w:pPr>
  </w:style>
  <w:style w:type="character" w:customStyle="1" w:styleId="BodyTextChar">
    <w:name w:val="Body Text Char"/>
    <w:basedOn w:val="DefaultParagraphFont"/>
    <w:link w:val="BodyText"/>
    <w:uiPriority w:val="99"/>
    <w:rsid w:val="00AD2A5C"/>
    <w:rPr>
      <w:rFonts w:ascii="Georgia" w:eastAsia="Cambria" w:hAnsi="Georgia" w:cs="Times New Roman"/>
      <w:sz w:val="19"/>
      <w:szCs w:val="24"/>
      <w:lang w:val="en-AU"/>
    </w:rPr>
  </w:style>
  <w:style w:type="table" w:customStyle="1" w:styleId="TableGrid2">
    <w:name w:val="Table Grid2"/>
    <w:basedOn w:val="TableNormal"/>
    <w:next w:val="TableGrid"/>
    <w:uiPriority w:val="59"/>
    <w:rsid w:val="00AD2A5C"/>
    <w:pPr>
      <w:spacing w:after="0" w:line="240" w:lineRule="auto"/>
    </w:pPr>
    <w:rPr>
      <w:rFonts w:ascii="Arial" w:eastAsia="Calibri" w:hAnsi="Arial" w:cs="Arial"/>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redE3tabletext">
    <w:name w:val="centred E3 table text"/>
    <w:basedOn w:val="E3Tabletext"/>
    <w:qFormat/>
    <w:rsid w:val="00AD2A5C"/>
  </w:style>
  <w:style w:type="paragraph" w:styleId="CommentSubject">
    <w:name w:val="annotation subject"/>
    <w:basedOn w:val="CommentText"/>
    <w:next w:val="CommentText"/>
    <w:link w:val="CommentSubjectChar"/>
    <w:unhideWhenUsed/>
    <w:rsid w:val="007127B1"/>
    <w:pPr>
      <w:spacing w:after="113"/>
    </w:pPr>
    <w:rPr>
      <w:rFonts w:ascii="Georgia" w:hAnsi="Georgia"/>
      <w:b/>
      <w:bCs/>
    </w:rPr>
  </w:style>
  <w:style w:type="character" w:customStyle="1" w:styleId="CommentSubjectChar">
    <w:name w:val="Comment Subject Char"/>
    <w:basedOn w:val="CommentTextChar"/>
    <w:link w:val="CommentSubject"/>
    <w:rsid w:val="007127B1"/>
    <w:rPr>
      <w:rFonts w:ascii="Georgia" w:eastAsia="Cambria" w:hAnsi="Georgia" w:cs="Times New Roman"/>
      <w:b/>
      <w:bCs/>
      <w:sz w:val="20"/>
      <w:szCs w:val="20"/>
      <w:lang w:val="en-AU"/>
    </w:rPr>
  </w:style>
  <w:style w:type="table" w:customStyle="1" w:styleId="TableGrid1">
    <w:name w:val="Table Grid1"/>
    <w:basedOn w:val="TableNormal"/>
    <w:next w:val="TableGrid"/>
    <w:uiPriority w:val="59"/>
    <w:rsid w:val="007127B1"/>
    <w:pPr>
      <w:spacing w:after="0" w:line="240" w:lineRule="auto"/>
    </w:pPr>
    <w:rPr>
      <w:rFonts w:ascii="Arial" w:eastAsia="Calibri" w:hAnsi="Arial" w:cs="Arial"/>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27B1"/>
    <w:pPr>
      <w:spacing w:after="0" w:line="240" w:lineRule="auto"/>
      <w:ind w:left="720"/>
    </w:pPr>
    <w:rPr>
      <w:rFonts w:ascii="Arial" w:eastAsia="Calibri" w:hAnsi="Arial" w:cs="Arial"/>
      <w:sz w:val="20"/>
      <w:szCs w:val="22"/>
    </w:rPr>
  </w:style>
  <w:style w:type="table" w:customStyle="1" w:styleId="TableGrid3">
    <w:name w:val="Table Grid3"/>
    <w:basedOn w:val="TableNormal"/>
    <w:next w:val="TableGrid"/>
    <w:uiPriority w:val="59"/>
    <w:rsid w:val="007127B1"/>
    <w:pPr>
      <w:spacing w:after="0" w:line="240" w:lineRule="auto"/>
    </w:pPr>
    <w:rPr>
      <w:rFonts w:ascii="Arial" w:eastAsia="Calibri" w:hAnsi="Arial" w:cs="Arial"/>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127B1"/>
    <w:pPr>
      <w:spacing w:after="0" w:line="240" w:lineRule="auto"/>
    </w:pPr>
    <w:rPr>
      <w:rFonts w:ascii="Arial" w:eastAsia="Calibri" w:hAnsi="Arial" w:cs="Arial"/>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127B1"/>
    <w:pPr>
      <w:spacing w:after="0" w:line="240" w:lineRule="auto"/>
    </w:pPr>
    <w:rPr>
      <w:rFonts w:ascii="Georgia" w:eastAsia="Cambria" w:hAnsi="Georgia" w:cs="Times New Roman"/>
      <w:sz w:val="19"/>
      <w:szCs w:val="24"/>
      <w:lang w:val="en-AU"/>
    </w:rPr>
  </w:style>
  <w:style w:type="paragraph" w:customStyle="1" w:styleId="a">
    <w:name w:val="段"/>
    <w:rsid w:val="007127B1"/>
    <w:pPr>
      <w:autoSpaceDE w:val="0"/>
      <w:autoSpaceDN w:val="0"/>
      <w:spacing w:after="0" w:line="240" w:lineRule="auto"/>
      <w:ind w:firstLineChars="200" w:firstLine="200"/>
      <w:jc w:val="both"/>
    </w:pPr>
    <w:rPr>
      <w:rFonts w:ascii="SimSun" w:eastAsia="SimSun" w:hAnsi="Times New Roman" w:cs="Times New Roman"/>
      <w:noProof/>
      <w:sz w:val="21"/>
      <w:szCs w:val="21"/>
      <w:lang w:eastAsia="zh-CN"/>
    </w:rPr>
  </w:style>
  <w:style w:type="paragraph" w:styleId="NormalWeb">
    <w:name w:val="Normal (Web)"/>
    <w:basedOn w:val="Normal"/>
    <w:uiPriority w:val="99"/>
    <w:unhideWhenUsed/>
    <w:rsid w:val="007127B1"/>
    <w:pPr>
      <w:spacing w:before="100" w:beforeAutospacing="1" w:after="100" w:afterAutospacing="1" w:line="240" w:lineRule="auto"/>
    </w:pPr>
    <w:rPr>
      <w:rFonts w:ascii="Times New Roman" w:eastAsia="Times New Roman" w:hAnsi="Times New Roman"/>
      <w:sz w:val="24"/>
      <w:lang w:eastAsia="en-AU"/>
    </w:rPr>
  </w:style>
  <w:style w:type="character" w:customStyle="1" w:styleId="apple-converted-space">
    <w:name w:val="apple-converted-space"/>
    <w:basedOn w:val="DefaultParagraphFont"/>
    <w:rsid w:val="007127B1"/>
  </w:style>
  <w:style w:type="character" w:styleId="PlaceholderText">
    <w:name w:val="Placeholder Text"/>
    <w:basedOn w:val="DefaultParagraphFont"/>
    <w:uiPriority w:val="99"/>
    <w:semiHidden/>
    <w:rsid w:val="007127B1"/>
    <w:rPr>
      <w:color w:val="808080"/>
    </w:rPr>
  </w:style>
  <w:style w:type="character" w:styleId="FollowedHyperlink">
    <w:name w:val="FollowedHyperlink"/>
    <w:basedOn w:val="DefaultParagraphFont"/>
    <w:uiPriority w:val="99"/>
    <w:semiHidden/>
    <w:unhideWhenUsed/>
    <w:rsid w:val="007127B1"/>
    <w:rPr>
      <w:color w:val="800080" w:themeColor="followedHyperlink"/>
      <w:u w:val="single"/>
    </w:rPr>
  </w:style>
  <w:style w:type="character" w:styleId="Emphasis">
    <w:name w:val="Emphasis"/>
    <w:basedOn w:val="DefaultParagraphFont"/>
    <w:qFormat/>
    <w:rsid w:val="007127B1"/>
    <w:rPr>
      <w:i/>
      <w:iCs/>
    </w:rPr>
  </w:style>
  <w:style w:type="character" w:customStyle="1" w:styleId="h6mockup">
    <w:name w:val="h6mockup"/>
    <w:basedOn w:val="DefaultParagraphFont"/>
    <w:rsid w:val="007127B1"/>
  </w:style>
  <w:style w:type="character" w:styleId="Strong">
    <w:name w:val="Strong"/>
    <w:basedOn w:val="DefaultParagraphFont"/>
    <w:uiPriority w:val="22"/>
    <w:qFormat/>
    <w:rsid w:val="007127B1"/>
    <w:rPr>
      <w:b/>
      <w:bCs/>
    </w:rPr>
  </w:style>
  <w:style w:type="paragraph" w:customStyle="1" w:styleId="OutlineHeading1">
    <w:name w:val="Outline Heading 1"/>
    <w:basedOn w:val="BodyText"/>
    <w:next w:val="OutlineHeading2"/>
    <w:rsid w:val="006D613B"/>
    <w:pPr>
      <w:keepNext/>
      <w:numPr>
        <w:numId w:val="6"/>
      </w:numPr>
      <w:tabs>
        <w:tab w:val="clear" w:pos="1134"/>
        <w:tab w:val="num" w:pos="360"/>
      </w:tabs>
      <w:spacing w:before="480" w:after="180" w:line="240" w:lineRule="auto"/>
      <w:ind w:left="0" w:firstLine="0"/>
      <w:outlineLvl w:val="0"/>
    </w:pPr>
    <w:rPr>
      <w:rFonts w:ascii="Arial Black" w:eastAsia="Times New Roman" w:hAnsi="Arial Black"/>
      <w:sz w:val="32"/>
      <w:lang w:val="en-GB" w:eastAsia="en-GB"/>
    </w:rPr>
  </w:style>
  <w:style w:type="paragraph" w:customStyle="1" w:styleId="OutlineHeading2">
    <w:name w:val="Outline Heading 2"/>
    <w:basedOn w:val="BodyText"/>
    <w:next w:val="Outline3"/>
    <w:rsid w:val="006D613B"/>
    <w:pPr>
      <w:keepNext/>
      <w:numPr>
        <w:ilvl w:val="2"/>
        <w:numId w:val="6"/>
      </w:numPr>
      <w:tabs>
        <w:tab w:val="clear" w:pos="1134"/>
        <w:tab w:val="num" w:pos="360"/>
      </w:tabs>
      <w:spacing w:before="440" w:after="180" w:line="240" w:lineRule="auto"/>
      <w:ind w:left="0" w:firstLine="0"/>
      <w:outlineLvl w:val="1"/>
    </w:pPr>
    <w:rPr>
      <w:rFonts w:ascii="Arial Black" w:eastAsia="Times New Roman" w:hAnsi="Arial Black"/>
      <w:sz w:val="28"/>
      <w:lang w:val="en-GB" w:eastAsia="en-GB"/>
    </w:rPr>
  </w:style>
  <w:style w:type="paragraph" w:customStyle="1" w:styleId="Outline3">
    <w:name w:val="Outline3"/>
    <w:basedOn w:val="BodyText"/>
    <w:rsid w:val="006D613B"/>
    <w:pPr>
      <w:numPr>
        <w:ilvl w:val="1"/>
        <w:numId w:val="6"/>
      </w:numPr>
      <w:tabs>
        <w:tab w:val="clear" w:pos="1134"/>
        <w:tab w:val="num" w:pos="360"/>
      </w:tabs>
      <w:spacing w:after="180" w:line="240" w:lineRule="auto"/>
      <w:ind w:left="0" w:firstLine="0"/>
    </w:pPr>
    <w:rPr>
      <w:rFonts w:ascii="Arial" w:eastAsia="Times New Roman" w:hAnsi="Arial"/>
      <w:sz w:val="22"/>
      <w:lang w:val="en-GB" w:eastAsia="en-GB"/>
    </w:rPr>
  </w:style>
  <w:style w:type="paragraph" w:customStyle="1" w:styleId="Outline5">
    <w:name w:val="Outline5"/>
    <w:basedOn w:val="BodyText"/>
    <w:rsid w:val="006D613B"/>
    <w:pPr>
      <w:numPr>
        <w:ilvl w:val="4"/>
        <w:numId w:val="6"/>
      </w:numPr>
      <w:tabs>
        <w:tab w:val="clear" w:pos="2268"/>
        <w:tab w:val="num" w:pos="360"/>
      </w:tabs>
      <w:spacing w:line="240" w:lineRule="auto"/>
      <w:ind w:left="0" w:firstLine="0"/>
    </w:pPr>
    <w:rPr>
      <w:rFonts w:ascii="Arial" w:eastAsia="Times New Roman" w:hAnsi="Arial"/>
      <w:sz w:val="22"/>
      <w:lang w:val="en-GB" w:eastAsia="en-GB"/>
    </w:rPr>
  </w:style>
  <w:style w:type="character" w:customStyle="1" w:styleId="enumxml1">
    <w:name w:val="enumxml1"/>
    <w:basedOn w:val="DefaultParagraphFont"/>
    <w:rsid w:val="00BB4E08"/>
    <w:rPr>
      <w:b/>
      <w:bCs/>
    </w:rPr>
  </w:style>
  <w:style w:type="character" w:customStyle="1" w:styleId="ptext-18">
    <w:name w:val="ptext-18"/>
    <w:basedOn w:val="DefaultParagraphFont"/>
    <w:rsid w:val="00BB4E08"/>
  </w:style>
  <w:style w:type="character" w:customStyle="1" w:styleId="ptext-33">
    <w:name w:val="ptext-33"/>
    <w:basedOn w:val="DefaultParagraphFont"/>
    <w:rsid w:val="00BB4E08"/>
  </w:style>
  <w:style w:type="character" w:customStyle="1" w:styleId="ptext-23">
    <w:name w:val="ptext-23"/>
    <w:basedOn w:val="DefaultParagraphFont"/>
    <w:rsid w:val="00BB4E08"/>
  </w:style>
  <w:style w:type="paragraph" w:styleId="ListBullet5">
    <w:name w:val="List Bullet 5"/>
    <w:basedOn w:val="Normal"/>
    <w:unhideWhenUsed/>
    <w:rsid w:val="00443288"/>
    <w:pPr>
      <w:numPr>
        <w:numId w:val="7"/>
      </w:numPr>
      <w:spacing w:before="40" w:after="40" w:line="240" w:lineRule="auto"/>
      <w:contextualSpacing/>
    </w:pPr>
    <w:rPr>
      <w:rFonts w:ascii="Cambria" w:eastAsia="MS Gothic" w:hAnsi="Cambria"/>
      <w:sz w:val="20"/>
      <w:szCs w:val="22"/>
    </w:rPr>
  </w:style>
  <w:style w:type="paragraph" w:styleId="ListBullet4">
    <w:name w:val="List Bullet 4"/>
    <w:basedOn w:val="Normal"/>
    <w:semiHidden/>
    <w:unhideWhenUsed/>
    <w:rsid w:val="00443288"/>
    <w:pPr>
      <w:numPr>
        <w:numId w:val="8"/>
      </w:numPr>
      <w:spacing w:before="40" w:after="40" w:line="240" w:lineRule="auto"/>
      <w:contextualSpacing/>
    </w:pPr>
    <w:rPr>
      <w:rFonts w:ascii="Cambria" w:eastAsia="MS Gothic" w:hAnsi="Cambria"/>
      <w:sz w:val="20"/>
      <w:szCs w:val="22"/>
    </w:rPr>
  </w:style>
  <w:style w:type="character" w:customStyle="1" w:styleId="Heading6Char">
    <w:name w:val="Heading 6 Char"/>
    <w:basedOn w:val="DefaultParagraphFont"/>
    <w:link w:val="Heading6"/>
    <w:semiHidden/>
    <w:rsid w:val="00334066"/>
    <w:rPr>
      <w:rFonts w:asciiTheme="majorHAnsi" w:eastAsiaTheme="majorEastAsia" w:hAnsiTheme="majorHAnsi" w:cstheme="majorBidi"/>
      <w:i/>
      <w:iCs/>
      <w:color w:val="243F60" w:themeColor="accent1" w:themeShade="7F"/>
      <w:lang w:val="en-AU"/>
    </w:rPr>
  </w:style>
  <w:style w:type="character" w:customStyle="1" w:styleId="Heading7Char">
    <w:name w:val="Heading 7 Char"/>
    <w:basedOn w:val="DefaultParagraphFont"/>
    <w:link w:val="Heading7"/>
    <w:semiHidden/>
    <w:rsid w:val="00334066"/>
    <w:rPr>
      <w:rFonts w:asciiTheme="majorHAnsi" w:eastAsiaTheme="majorEastAsia" w:hAnsiTheme="majorHAnsi" w:cstheme="majorBidi"/>
      <w:i/>
      <w:iCs/>
      <w:color w:val="404040" w:themeColor="text1" w:themeTint="BF"/>
      <w:lang w:val="en-AU"/>
    </w:rPr>
  </w:style>
  <w:style w:type="character" w:customStyle="1" w:styleId="Heading8Char">
    <w:name w:val="Heading 8 Char"/>
    <w:basedOn w:val="DefaultParagraphFont"/>
    <w:link w:val="Heading8"/>
    <w:semiHidden/>
    <w:rsid w:val="00334066"/>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semiHidden/>
    <w:rsid w:val="00334066"/>
    <w:rPr>
      <w:rFonts w:asciiTheme="majorHAnsi" w:eastAsiaTheme="majorEastAsia" w:hAnsiTheme="majorHAnsi" w:cstheme="majorBidi"/>
      <w:i/>
      <w:iCs/>
      <w:color w:val="404040" w:themeColor="text1" w:themeTint="BF"/>
      <w:sz w:val="20"/>
      <w:szCs w:val="20"/>
      <w:lang w:val="en-AU"/>
    </w:rPr>
  </w:style>
  <w:style w:type="paragraph" w:styleId="NoSpacing">
    <w:name w:val="No Spacing"/>
    <w:autoRedefine/>
    <w:uiPriority w:val="1"/>
    <w:qFormat/>
    <w:rsid w:val="00334066"/>
    <w:pPr>
      <w:spacing w:after="0" w:line="240" w:lineRule="auto"/>
    </w:pPr>
    <w:rPr>
      <w:rFonts w:ascii="Calibri" w:eastAsia="Calibri" w:hAnsi="Calibri" w:cs="Times New Roman"/>
    </w:rPr>
  </w:style>
  <w:style w:type="character" w:styleId="SubtleEmphasis">
    <w:name w:val="Subtle Emphasis"/>
    <w:basedOn w:val="DefaultParagraphFont"/>
    <w:uiPriority w:val="19"/>
    <w:qFormat/>
    <w:rsid w:val="00334066"/>
    <w:rPr>
      <w:i/>
      <w:iCs/>
      <w:color w:val="808080" w:themeColor="text1" w:themeTint="7F"/>
    </w:rPr>
  </w:style>
  <w:style w:type="paragraph" w:styleId="Quote">
    <w:name w:val="Quote"/>
    <w:basedOn w:val="Normal"/>
    <w:next w:val="Normal"/>
    <w:link w:val="QuoteChar"/>
    <w:autoRedefine/>
    <w:uiPriority w:val="29"/>
    <w:qFormat/>
    <w:rsid w:val="00334066"/>
    <w:pPr>
      <w:spacing w:after="200" w:line="276" w:lineRule="auto"/>
    </w:pPr>
    <w:rPr>
      <w:rFonts w:ascii="Calibri" w:eastAsia="Calibri" w:hAnsi="Calibri"/>
      <w:i/>
      <w:iCs/>
      <w:color w:val="000000" w:themeColor="text1"/>
      <w:sz w:val="22"/>
      <w:szCs w:val="22"/>
    </w:rPr>
  </w:style>
  <w:style w:type="character" w:customStyle="1" w:styleId="QuoteChar">
    <w:name w:val="Quote Char"/>
    <w:basedOn w:val="DefaultParagraphFont"/>
    <w:link w:val="Quote"/>
    <w:uiPriority w:val="29"/>
    <w:rsid w:val="00334066"/>
    <w:rPr>
      <w:rFonts w:ascii="Calibri" w:eastAsia="Calibri" w:hAnsi="Calibri" w:cs="Times New Roman"/>
      <w:i/>
      <w:iCs/>
      <w:color w:val="000000" w:themeColor="text1"/>
      <w:lang w:val="en-AU"/>
    </w:rPr>
  </w:style>
  <w:style w:type="character" w:styleId="SubtleReference">
    <w:name w:val="Subtle Reference"/>
    <w:basedOn w:val="DefaultParagraphFont"/>
    <w:uiPriority w:val="31"/>
    <w:qFormat/>
    <w:rsid w:val="00334066"/>
    <w:rPr>
      <w:smallCaps/>
      <w:color w:val="C0504D" w:themeColor="accent2"/>
      <w:u w:val="single"/>
    </w:rPr>
  </w:style>
  <w:style w:type="character" w:styleId="IntenseReference">
    <w:name w:val="Intense Reference"/>
    <w:basedOn w:val="DefaultParagraphFont"/>
    <w:uiPriority w:val="32"/>
    <w:qFormat/>
    <w:rsid w:val="00334066"/>
    <w:rPr>
      <w:b/>
      <w:bCs/>
      <w:smallCaps/>
      <w:color w:val="C0504D" w:themeColor="accent2"/>
      <w:spacing w:val="5"/>
      <w:u w:val="single"/>
    </w:rPr>
  </w:style>
  <w:style w:type="character" w:styleId="BookTitle">
    <w:name w:val="Book Title"/>
    <w:basedOn w:val="DefaultParagraphFont"/>
    <w:uiPriority w:val="33"/>
    <w:qFormat/>
    <w:rsid w:val="00334066"/>
    <w:rPr>
      <w:b/>
      <w:bCs/>
      <w:smallCaps/>
      <w:spacing w:val="5"/>
    </w:rPr>
  </w:style>
  <w:style w:type="paragraph" w:styleId="EndnoteText">
    <w:name w:val="endnote text"/>
    <w:basedOn w:val="Normal"/>
    <w:link w:val="EndnoteTextChar"/>
    <w:rsid w:val="00334066"/>
    <w:pPr>
      <w:spacing w:after="0" w:line="240" w:lineRule="auto"/>
    </w:pPr>
    <w:rPr>
      <w:rFonts w:ascii="Calibri" w:eastAsia="Calibri" w:hAnsi="Calibri"/>
      <w:sz w:val="20"/>
      <w:szCs w:val="20"/>
    </w:rPr>
  </w:style>
  <w:style w:type="character" w:customStyle="1" w:styleId="EndnoteTextChar">
    <w:name w:val="Endnote Text Char"/>
    <w:basedOn w:val="DefaultParagraphFont"/>
    <w:link w:val="EndnoteText"/>
    <w:rsid w:val="00334066"/>
    <w:rPr>
      <w:rFonts w:ascii="Calibri" w:eastAsia="Calibri" w:hAnsi="Calibri" w:cs="Times New Roman"/>
      <w:sz w:val="20"/>
      <w:szCs w:val="20"/>
      <w:lang w:val="en-AU"/>
    </w:rPr>
  </w:style>
  <w:style w:type="character" w:styleId="EndnoteReference">
    <w:name w:val="endnote reference"/>
    <w:basedOn w:val="DefaultParagraphFont"/>
    <w:rsid w:val="00334066"/>
    <w:rPr>
      <w:vertAlign w:val="superscript"/>
    </w:rPr>
  </w:style>
  <w:style w:type="table" w:styleId="MediumGrid3-Accent5">
    <w:name w:val="Medium Grid 3 Accent 5"/>
    <w:basedOn w:val="TableNormal"/>
    <w:uiPriority w:val="69"/>
    <w:rsid w:val="00334066"/>
    <w:pPr>
      <w:spacing w:after="0" w:line="240" w:lineRule="auto"/>
    </w:pPr>
    <w:rPr>
      <w:rFonts w:ascii="Times New Roman" w:eastAsia="Times New Roman" w:hAnsi="Times New Roman" w:cs="Times New Roman"/>
      <w:sz w:val="20"/>
      <w:szCs w:val="20"/>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Table3Deffects3">
    <w:name w:val="Table 3D effects 3"/>
    <w:basedOn w:val="TableNormal"/>
    <w:rsid w:val="00334066"/>
    <w:rPr>
      <w:rFonts w:ascii="Times New Roman" w:eastAsia="Times New Roman" w:hAnsi="Times New Roman" w:cs="Times New Roman"/>
      <w:sz w:val="20"/>
      <w:szCs w:val="20"/>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List21">
    <w:name w:val="Medium List 21"/>
    <w:basedOn w:val="TableNormal"/>
    <w:uiPriority w:val="66"/>
    <w:rsid w:val="00334066"/>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Classic1">
    <w:name w:val="Table Classic 1"/>
    <w:basedOn w:val="TableNormal"/>
    <w:rsid w:val="00334066"/>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334066"/>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Paragraph">
    <w:name w:val="Table Paragraph"/>
    <w:basedOn w:val="Normal"/>
    <w:uiPriority w:val="1"/>
    <w:qFormat/>
    <w:rsid w:val="005D1C88"/>
    <w:pPr>
      <w:widowControl w:val="0"/>
      <w:spacing w:after="0" w:line="240" w:lineRule="auto"/>
    </w:pPr>
    <w:rPr>
      <w:rFonts w:asciiTheme="minorHAnsi" w:eastAsiaTheme="minorHAnsi" w:hAnsiTheme="minorHAnsi" w:cstheme="minorBidi"/>
      <w:sz w:val="22"/>
      <w:szCs w:val="22"/>
      <w:lang w:val="en-US"/>
    </w:rPr>
  </w:style>
  <w:style w:type="table" w:customStyle="1" w:styleId="TableGrid5">
    <w:name w:val="Table Grid5"/>
    <w:basedOn w:val="TableNormal"/>
    <w:next w:val="TableGrid"/>
    <w:uiPriority w:val="59"/>
    <w:rsid w:val="00A5198A"/>
    <w:pPr>
      <w:spacing w:before="40" w:after="40" w:line="240" w:lineRule="auto"/>
    </w:pPr>
    <w:rPr>
      <w:rFonts w:ascii="Helvetica Neue Light" w:eastAsia="Times New Roman" w:hAnsi="Helvetica Neue Light" w:cs="Times New Roman"/>
      <w:sz w:val="17"/>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rsid w:val="00761A15"/>
    <w:rPr>
      <w:rFonts w:cs="Gotham Narrow Book"/>
      <w:color w:val="000000"/>
      <w:sz w:val="34"/>
      <w:szCs w:val="34"/>
    </w:rPr>
  </w:style>
  <w:style w:type="paragraph" w:customStyle="1" w:styleId="lead">
    <w:name w:val="lead"/>
    <w:basedOn w:val="Normal"/>
    <w:rsid w:val="00651792"/>
    <w:pPr>
      <w:spacing w:before="100" w:beforeAutospacing="1" w:after="100" w:afterAutospacing="1" w:line="240" w:lineRule="auto"/>
    </w:pPr>
    <w:rPr>
      <w:rFonts w:ascii="Times New Roman" w:eastAsia="Times New Roman" w:hAnsi="Times New Roman"/>
      <w:sz w:val="24"/>
      <w:lang w:eastAsia="en-AU"/>
    </w:rPr>
  </w:style>
  <w:style w:type="paragraph" w:customStyle="1" w:styleId="wp-caption-text">
    <w:name w:val="wp-caption-text"/>
    <w:basedOn w:val="Normal"/>
    <w:rsid w:val="00651792"/>
    <w:pPr>
      <w:spacing w:before="100" w:beforeAutospacing="1" w:after="100" w:afterAutospacing="1" w:line="240" w:lineRule="auto"/>
    </w:pPr>
    <w:rPr>
      <w:rFonts w:ascii="Times New Roman" w:eastAsia="Times New Roman" w:hAnsi="Times New Roman"/>
      <w:sz w:val="24"/>
      <w:lang w:eastAsia="en-AU"/>
    </w:rPr>
  </w:style>
  <w:style w:type="table" w:styleId="TableContemporary">
    <w:name w:val="Table Contemporary"/>
    <w:basedOn w:val="TableNormal"/>
    <w:rsid w:val="00613925"/>
    <w:rPr>
      <w:rFonts w:ascii="Times New Roman" w:eastAsia="Times New Roman" w:hAnsi="Times New Roman" w:cs="Times New Roman"/>
      <w:sz w:val="20"/>
      <w:szCs w:val="20"/>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BulletedBold">
    <w:name w:val="Style Bulleted Bold"/>
    <w:basedOn w:val="NoList"/>
    <w:rsid w:val="000F60DE"/>
    <w:pPr>
      <w:numPr>
        <w:numId w:val="36"/>
      </w:numPr>
    </w:pPr>
  </w:style>
  <w:style w:type="table" w:customStyle="1" w:styleId="TableGrid6">
    <w:name w:val="Table Grid6"/>
    <w:basedOn w:val="TableNormal"/>
    <w:next w:val="TableGrid"/>
    <w:uiPriority w:val="59"/>
    <w:rsid w:val="00A069C0"/>
    <w:pPr>
      <w:spacing w:after="0" w:line="240" w:lineRule="auto"/>
    </w:pPr>
    <w:rPr>
      <w:rFonts w:ascii="Calibri" w:eastAsia="Calibri" w:hAnsi="Calibri" w:cs="Times New Roman"/>
      <w:sz w:val="20"/>
      <w:szCs w:val="20"/>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723C2B"/>
    <w:pPr>
      <w:spacing w:before="40" w:after="40" w:line="240" w:lineRule="auto"/>
    </w:pPr>
    <w:rPr>
      <w:rFonts w:ascii="Helvetica Neue Light" w:eastAsia="Times New Roman" w:hAnsi="Helvetica Neue Light" w:cs="Times New Roman"/>
      <w:sz w:val="17"/>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47428">
      <w:bodyDiv w:val="1"/>
      <w:marLeft w:val="0"/>
      <w:marRight w:val="0"/>
      <w:marTop w:val="0"/>
      <w:marBottom w:val="0"/>
      <w:divBdr>
        <w:top w:val="none" w:sz="0" w:space="0" w:color="auto"/>
        <w:left w:val="none" w:sz="0" w:space="0" w:color="auto"/>
        <w:bottom w:val="none" w:sz="0" w:space="0" w:color="auto"/>
        <w:right w:val="none" w:sz="0" w:space="0" w:color="auto"/>
      </w:divBdr>
      <w:divsChild>
        <w:div w:id="373041608">
          <w:marLeft w:val="720"/>
          <w:marRight w:val="0"/>
          <w:marTop w:val="0"/>
          <w:marBottom w:val="0"/>
          <w:divBdr>
            <w:top w:val="none" w:sz="0" w:space="0" w:color="auto"/>
            <w:left w:val="none" w:sz="0" w:space="0" w:color="auto"/>
            <w:bottom w:val="none" w:sz="0" w:space="0" w:color="auto"/>
            <w:right w:val="none" w:sz="0" w:space="0" w:color="auto"/>
          </w:divBdr>
        </w:div>
        <w:div w:id="1928536834">
          <w:marLeft w:val="720"/>
          <w:marRight w:val="0"/>
          <w:marTop w:val="0"/>
          <w:marBottom w:val="0"/>
          <w:divBdr>
            <w:top w:val="none" w:sz="0" w:space="0" w:color="auto"/>
            <w:left w:val="none" w:sz="0" w:space="0" w:color="auto"/>
            <w:bottom w:val="none" w:sz="0" w:space="0" w:color="auto"/>
            <w:right w:val="none" w:sz="0" w:space="0" w:color="auto"/>
          </w:divBdr>
        </w:div>
      </w:divsChild>
    </w:div>
    <w:div w:id="108933237">
      <w:bodyDiv w:val="1"/>
      <w:marLeft w:val="0"/>
      <w:marRight w:val="0"/>
      <w:marTop w:val="0"/>
      <w:marBottom w:val="0"/>
      <w:divBdr>
        <w:top w:val="none" w:sz="0" w:space="0" w:color="auto"/>
        <w:left w:val="none" w:sz="0" w:space="0" w:color="auto"/>
        <w:bottom w:val="none" w:sz="0" w:space="0" w:color="auto"/>
        <w:right w:val="none" w:sz="0" w:space="0" w:color="auto"/>
      </w:divBdr>
    </w:div>
    <w:div w:id="117183440">
      <w:bodyDiv w:val="1"/>
      <w:marLeft w:val="0"/>
      <w:marRight w:val="0"/>
      <w:marTop w:val="0"/>
      <w:marBottom w:val="0"/>
      <w:divBdr>
        <w:top w:val="none" w:sz="0" w:space="0" w:color="auto"/>
        <w:left w:val="none" w:sz="0" w:space="0" w:color="auto"/>
        <w:bottom w:val="none" w:sz="0" w:space="0" w:color="auto"/>
        <w:right w:val="none" w:sz="0" w:space="0" w:color="auto"/>
      </w:divBdr>
      <w:divsChild>
        <w:div w:id="343749141">
          <w:marLeft w:val="0"/>
          <w:marRight w:val="0"/>
          <w:marTop w:val="0"/>
          <w:marBottom w:val="0"/>
          <w:divBdr>
            <w:top w:val="none" w:sz="0" w:space="0" w:color="auto"/>
            <w:left w:val="none" w:sz="0" w:space="0" w:color="auto"/>
            <w:bottom w:val="none" w:sz="0" w:space="0" w:color="auto"/>
            <w:right w:val="none" w:sz="0" w:space="0" w:color="auto"/>
          </w:divBdr>
        </w:div>
        <w:div w:id="708578579">
          <w:marLeft w:val="0"/>
          <w:marRight w:val="0"/>
          <w:marTop w:val="0"/>
          <w:marBottom w:val="0"/>
          <w:divBdr>
            <w:top w:val="none" w:sz="0" w:space="0" w:color="auto"/>
            <w:left w:val="none" w:sz="0" w:space="0" w:color="auto"/>
            <w:bottom w:val="none" w:sz="0" w:space="0" w:color="auto"/>
            <w:right w:val="none" w:sz="0" w:space="0" w:color="auto"/>
          </w:divBdr>
        </w:div>
        <w:div w:id="777144012">
          <w:marLeft w:val="0"/>
          <w:marRight w:val="0"/>
          <w:marTop w:val="0"/>
          <w:marBottom w:val="0"/>
          <w:divBdr>
            <w:top w:val="none" w:sz="0" w:space="0" w:color="auto"/>
            <w:left w:val="none" w:sz="0" w:space="0" w:color="auto"/>
            <w:bottom w:val="none" w:sz="0" w:space="0" w:color="auto"/>
            <w:right w:val="none" w:sz="0" w:space="0" w:color="auto"/>
          </w:divBdr>
        </w:div>
        <w:div w:id="1163623944">
          <w:marLeft w:val="0"/>
          <w:marRight w:val="0"/>
          <w:marTop w:val="0"/>
          <w:marBottom w:val="0"/>
          <w:divBdr>
            <w:top w:val="none" w:sz="0" w:space="0" w:color="auto"/>
            <w:left w:val="none" w:sz="0" w:space="0" w:color="auto"/>
            <w:bottom w:val="none" w:sz="0" w:space="0" w:color="auto"/>
            <w:right w:val="none" w:sz="0" w:space="0" w:color="auto"/>
          </w:divBdr>
        </w:div>
        <w:div w:id="1682778912">
          <w:marLeft w:val="0"/>
          <w:marRight w:val="0"/>
          <w:marTop w:val="0"/>
          <w:marBottom w:val="0"/>
          <w:divBdr>
            <w:top w:val="none" w:sz="0" w:space="0" w:color="auto"/>
            <w:left w:val="none" w:sz="0" w:space="0" w:color="auto"/>
            <w:bottom w:val="none" w:sz="0" w:space="0" w:color="auto"/>
            <w:right w:val="none" w:sz="0" w:space="0" w:color="auto"/>
          </w:divBdr>
        </w:div>
      </w:divsChild>
    </w:div>
    <w:div w:id="138966273">
      <w:bodyDiv w:val="1"/>
      <w:marLeft w:val="0"/>
      <w:marRight w:val="0"/>
      <w:marTop w:val="0"/>
      <w:marBottom w:val="0"/>
      <w:divBdr>
        <w:top w:val="none" w:sz="0" w:space="0" w:color="auto"/>
        <w:left w:val="none" w:sz="0" w:space="0" w:color="auto"/>
        <w:bottom w:val="none" w:sz="0" w:space="0" w:color="auto"/>
        <w:right w:val="none" w:sz="0" w:space="0" w:color="auto"/>
      </w:divBdr>
    </w:div>
    <w:div w:id="176509352">
      <w:bodyDiv w:val="1"/>
      <w:marLeft w:val="0"/>
      <w:marRight w:val="0"/>
      <w:marTop w:val="0"/>
      <w:marBottom w:val="0"/>
      <w:divBdr>
        <w:top w:val="none" w:sz="0" w:space="0" w:color="auto"/>
        <w:left w:val="none" w:sz="0" w:space="0" w:color="auto"/>
        <w:bottom w:val="none" w:sz="0" w:space="0" w:color="auto"/>
        <w:right w:val="none" w:sz="0" w:space="0" w:color="auto"/>
      </w:divBdr>
      <w:divsChild>
        <w:div w:id="1119185537">
          <w:marLeft w:val="720"/>
          <w:marRight w:val="0"/>
          <w:marTop w:val="0"/>
          <w:marBottom w:val="0"/>
          <w:divBdr>
            <w:top w:val="none" w:sz="0" w:space="0" w:color="auto"/>
            <w:left w:val="none" w:sz="0" w:space="0" w:color="auto"/>
            <w:bottom w:val="none" w:sz="0" w:space="0" w:color="auto"/>
            <w:right w:val="none" w:sz="0" w:space="0" w:color="auto"/>
          </w:divBdr>
        </w:div>
      </w:divsChild>
    </w:div>
    <w:div w:id="197857509">
      <w:bodyDiv w:val="1"/>
      <w:marLeft w:val="0"/>
      <w:marRight w:val="0"/>
      <w:marTop w:val="0"/>
      <w:marBottom w:val="0"/>
      <w:divBdr>
        <w:top w:val="none" w:sz="0" w:space="0" w:color="auto"/>
        <w:left w:val="none" w:sz="0" w:space="0" w:color="auto"/>
        <w:bottom w:val="none" w:sz="0" w:space="0" w:color="auto"/>
        <w:right w:val="none" w:sz="0" w:space="0" w:color="auto"/>
      </w:divBdr>
    </w:div>
    <w:div w:id="206718920">
      <w:bodyDiv w:val="1"/>
      <w:marLeft w:val="0"/>
      <w:marRight w:val="0"/>
      <w:marTop w:val="0"/>
      <w:marBottom w:val="0"/>
      <w:divBdr>
        <w:top w:val="none" w:sz="0" w:space="0" w:color="auto"/>
        <w:left w:val="none" w:sz="0" w:space="0" w:color="auto"/>
        <w:bottom w:val="none" w:sz="0" w:space="0" w:color="auto"/>
        <w:right w:val="none" w:sz="0" w:space="0" w:color="auto"/>
      </w:divBdr>
      <w:divsChild>
        <w:div w:id="106320571">
          <w:marLeft w:val="1267"/>
          <w:marRight w:val="0"/>
          <w:marTop w:val="0"/>
          <w:marBottom w:val="0"/>
          <w:divBdr>
            <w:top w:val="none" w:sz="0" w:space="0" w:color="auto"/>
            <w:left w:val="none" w:sz="0" w:space="0" w:color="auto"/>
            <w:bottom w:val="none" w:sz="0" w:space="0" w:color="auto"/>
            <w:right w:val="none" w:sz="0" w:space="0" w:color="auto"/>
          </w:divBdr>
        </w:div>
        <w:div w:id="269123333">
          <w:marLeft w:val="1267"/>
          <w:marRight w:val="0"/>
          <w:marTop w:val="0"/>
          <w:marBottom w:val="0"/>
          <w:divBdr>
            <w:top w:val="none" w:sz="0" w:space="0" w:color="auto"/>
            <w:left w:val="none" w:sz="0" w:space="0" w:color="auto"/>
            <w:bottom w:val="none" w:sz="0" w:space="0" w:color="auto"/>
            <w:right w:val="none" w:sz="0" w:space="0" w:color="auto"/>
          </w:divBdr>
        </w:div>
      </w:divsChild>
    </w:div>
    <w:div w:id="286083853">
      <w:bodyDiv w:val="1"/>
      <w:marLeft w:val="0"/>
      <w:marRight w:val="0"/>
      <w:marTop w:val="0"/>
      <w:marBottom w:val="0"/>
      <w:divBdr>
        <w:top w:val="none" w:sz="0" w:space="0" w:color="auto"/>
        <w:left w:val="none" w:sz="0" w:space="0" w:color="auto"/>
        <w:bottom w:val="none" w:sz="0" w:space="0" w:color="auto"/>
        <w:right w:val="none" w:sz="0" w:space="0" w:color="auto"/>
      </w:divBdr>
      <w:divsChild>
        <w:div w:id="345593055">
          <w:marLeft w:val="720"/>
          <w:marRight w:val="0"/>
          <w:marTop w:val="0"/>
          <w:marBottom w:val="0"/>
          <w:divBdr>
            <w:top w:val="none" w:sz="0" w:space="0" w:color="auto"/>
            <w:left w:val="none" w:sz="0" w:space="0" w:color="auto"/>
            <w:bottom w:val="none" w:sz="0" w:space="0" w:color="auto"/>
            <w:right w:val="none" w:sz="0" w:space="0" w:color="auto"/>
          </w:divBdr>
        </w:div>
      </w:divsChild>
    </w:div>
    <w:div w:id="339894545">
      <w:bodyDiv w:val="1"/>
      <w:marLeft w:val="0"/>
      <w:marRight w:val="0"/>
      <w:marTop w:val="0"/>
      <w:marBottom w:val="0"/>
      <w:divBdr>
        <w:top w:val="none" w:sz="0" w:space="0" w:color="auto"/>
        <w:left w:val="none" w:sz="0" w:space="0" w:color="auto"/>
        <w:bottom w:val="none" w:sz="0" w:space="0" w:color="auto"/>
        <w:right w:val="none" w:sz="0" w:space="0" w:color="auto"/>
      </w:divBdr>
      <w:divsChild>
        <w:div w:id="1140225564">
          <w:marLeft w:val="1267"/>
          <w:marRight w:val="0"/>
          <w:marTop w:val="0"/>
          <w:marBottom w:val="0"/>
          <w:divBdr>
            <w:top w:val="none" w:sz="0" w:space="0" w:color="auto"/>
            <w:left w:val="none" w:sz="0" w:space="0" w:color="auto"/>
            <w:bottom w:val="none" w:sz="0" w:space="0" w:color="auto"/>
            <w:right w:val="none" w:sz="0" w:space="0" w:color="auto"/>
          </w:divBdr>
        </w:div>
        <w:div w:id="1443528086">
          <w:marLeft w:val="1267"/>
          <w:marRight w:val="0"/>
          <w:marTop w:val="0"/>
          <w:marBottom w:val="0"/>
          <w:divBdr>
            <w:top w:val="none" w:sz="0" w:space="0" w:color="auto"/>
            <w:left w:val="none" w:sz="0" w:space="0" w:color="auto"/>
            <w:bottom w:val="none" w:sz="0" w:space="0" w:color="auto"/>
            <w:right w:val="none" w:sz="0" w:space="0" w:color="auto"/>
          </w:divBdr>
        </w:div>
      </w:divsChild>
    </w:div>
    <w:div w:id="404035604">
      <w:bodyDiv w:val="1"/>
      <w:marLeft w:val="0"/>
      <w:marRight w:val="0"/>
      <w:marTop w:val="0"/>
      <w:marBottom w:val="0"/>
      <w:divBdr>
        <w:top w:val="none" w:sz="0" w:space="0" w:color="auto"/>
        <w:left w:val="none" w:sz="0" w:space="0" w:color="auto"/>
        <w:bottom w:val="none" w:sz="0" w:space="0" w:color="auto"/>
        <w:right w:val="none" w:sz="0" w:space="0" w:color="auto"/>
      </w:divBdr>
      <w:divsChild>
        <w:div w:id="259337956">
          <w:marLeft w:val="720"/>
          <w:marRight w:val="0"/>
          <w:marTop w:val="0"/>
          <w:marBottom w:val="0"/>
          <w:divBdr>
            <w:top w:val="none" w:sz="0" w:space="0" w:color="auto"/>
            <w:left w:val="none" w:sz="0" w:space="0" w:color="auto"/>
            <w:bottom w:val="none" w:sz="0" w:space="0" w:color="auto"/>
            <w:right w:val="none" w:sz="0" w:space="0" w:color="auto"/>
          </w:divBdr>
        </w:div>
        <w:div w:id="562568118">
          <w:marLeft w:val="720"/>
          <w:marRight w:val="0"/>
          <w:marTop w:val="0"/>
          <w:marBottom w:val="0"/>
          <w:divBdr>
            <w:top w:val="none" w:sz="0" w:space="0" w:color="auto"/>
            <w:left w:val="none" w:sz="0" w:space="0" w:color="auto"/>
            <w:bottom w:val="none" w:sz="0" w:space="0" w:color="auto"/>
            <w:right w:val="none" w:sz="0" w:space="0" w:color="auto"/>
          </w:divBdr>
        </w:div>
      </w:divsChild>
    </w:div>
    <w:div w:id="434332109">
      <w:bodyDiv w:val="1"/>
      <w:marLeft w:val="0"/>
      <w:marRight w:val="0"/>
      <w:marTop w:val="0"/>
      <w:marBottom w:val="300"/>
      <w:divBdr>
        <w:top w:val="none" w:sz="0" w:space="0" w:color="auto"/>
        <w:left w:val="none" w:sz="0" w:space="0" w:color="auto"/>
        <w:bottom w:val="none" w:sz="0" w:space="0" w:color="auto"/>
        <w:right w:val="none" w:sz="0" w:space="0" w:color="auto"/>
      </w:divBdr>
      <w:divsChild>
        <w:div w:id="477115746">
          <w:marLeft w:val="0"/>
          <w:marRight w:val="0"/>
          <w:marTop w:val="0"/>
          <w:marBottom w:val="0"/>
          <w:divBdr>
            <w:top w:val="none" w:sz="0" w:space="0" w:color="auto"/>
            <w:left w:val="none" w:sz="0" w:space="0" w:color="auto"/>
            <w:bottom w:val="none" w:sz="0" w:space="0" w:color="auto"/>
            <w:right w:val="none" w:sz="0" w:space="0" w:color="auto"/>
          </w:divBdr>
          <w:divsChild>
            <w:div w:id="1900941771">
              <w:marLeft w:val="0"/>
              <w:marRight w:val="0"/>
              <w:marTop w:val="0"/>
              <w:marBottom w:val="0"/>
              <w:divBdr>
                <w:top w:val="none" w:sz="0" w:space="0" w:color="auto"/>
                <w:left w:val="none" w:sz="0" w:space="0" w:color="auto"/>
                <w:bottom w:val="none" w:sz="0" w:space="0" w:color="auto"/>
                <w:right w:val="none" w:sz="0" w:space="0" w:color="auto"/>
              </w:divBdr>
              <w:divsChild>
                <w:div w:id="1766654118">
                  <w:marLeft w:val="0"/>
                  <w:marRight w:val="0"/>
                  <w:marTop w:val="0"/>
                  <w:marBottom w:val="0"/>
                  <w:divBdr>
                    <w:top w:val="none" w:sz="0" w:space="0" w:color="auto"/>
                    <w:left w:val="none" w:sz="0" w:space="0" w:color="auto"/>
                    <w:bottom w:val="none" w:sz="0" w:space="0" w:color="auto"/>
                    <w:right w:val="none" w:sz="0" w:space="0" w:color="auto"/>
                  </w:divBdr>
                  <w:divsChild>
                    <w:div w:id="1264537735">
                      <w:marLeft w:val="0"/>
                      <w:marRight w:val="0"/>
                      <w:marTop w:val="0"/>
                      <w:marBottom w:val="0"/>
                      <w:divBdr>
                        <w:top w:val="single" w:sz="36" w:space="30" w:color="EBEBEB"/>
                        <w:left w:val="single" w:sz="36" w:space="23" w:color="EBEBEB"/>
                        <w:bottom w:val="single" w:sz="36" w:space="19" w:color="EBEBEB"/>
                        <w:right w:val="single" w:sz="36" w:space="23" w:color="EBEBEB"/>
                      </w:divBdr>
                      <w:divsChild>
                        <w:div w:id="180437989">
                          <w:marLeft w:val="0"/>
                          <w:marRight w:val="0"/>
                          <w:marTop w:val="0"/>
                          <w:marBottom w:val="0"/>
                          <w:divBdr>
                            <w:top w:val="none" w:sz="0" w:space="0" w:color="auto"/>
                            <w:left w:val="none" w:sz="0" w:space="0" w:color="auto"/>
                            <w:bottom w:val="none" w:sz="0" w:space="0" w:color="auto"/>
                            <w:right w:val="none" w:sz="0" w:space="0" w:color="auto"/>
                          </w:divBdr>
                          <w:divsChild>
                            <w:div w:id="1659575108">
                              <w:marLeft w:val="0"/>
                              <w:marRight w:val="0"/>
                              <w:marTop w:val="0"/>
                              <w:marBottom w:val="0"/>
                              <w:divBdr>
                                <w:top w:val="none" w:sz="0" w:space="0" w:color="auto"/>
                                <w:left w:val="none" w:sz="0" w:space="0" w:color="auto"/>
                                <w:bottom w:val="none" w:sz="0" w:space="0" w:color="auto"/>
                                <w:right w:val="none" w:sz="0" w:space="0" w:color="auto"/>
                              </w:divBdr>
                              <w:divsChild>
                                <w:div w:id="1501002453">
                                  <w:marLeft w:val="0"/>
                                  <w:marRight w:val="0"/>
                                  <w:marTop w:val="0"/>
                                  <w:marBottom w:val="0"/>
                                  <w:divBdr>
                                    <w:top w:val="none" w:sz="0" w:space="0" w:color="auto"/>
                                    <w:left w:val="none" w:sz="0" w:space="0" w:color="auto"/>
                                    <w:bottom w:val="none" w:sz="0" w:space="0" w:color="auto"/>
                                    <w:right w:val="none" w:sz="0" w:space="0" w:color="auto"/>
                                  </w:divBdr>
                                  <w:divsChild>
                                    <w:div w:id="132528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247072">
      <w:bodyDiv w:val="1"/>
      <w:marLeft w:val="0"/>
      <w:marRight w:val="0"/>
      <w:marTop w:val="0"/>
      <w:marBottom w:val="0"/>
      <w:divBdr>
        <w:top w:val="none" w:sz="0" w:space="0" w:color="auto"/>
        <w:left w:val="none" w:sz="0" w:space="0" w:color="auto"/>
        <w:bottom w:val="none" w:sz="0" w:space="0" w:color="auto"/>
        <w:right w:val="none" w:sz="0" w:space="0" w:color="auto"/>
      </w:divBdr>
    </w:div>
    <w:div w:id="492377474">
      <w:bodyDiv w:val="1"/>
      <w:marLeft w:val="0"/>
      <w:marRight w:val="0"/>
      <w:marTop w:val="0"/>
      <w:marBottom w:val="0"/>
      <w:divBdr>
        <w:top w:val="none" w:sz="0" w:space="0" w:color="auto"/>
        <w:left w:val="none" w:sz="0" w:space="0" w:color="auto"/>
        <w:bottom w:val="none" w:sz="0" w:space="0" w:color="auto"/>
        <w:right w:val="none" w:sz="0" w:space="0" w:color="auto"/>
      </w:divBdr>
    </w:div>
    <w:div w:id="497111142">
      <w:bodyDiv w:val="1"/>
      <w:marLeft w:val="0"/>
      <w:marRight w:val="0"/>
      <w:marTop w:val="0"/>
      <w:marBottom w:val="0"/>
      <w:divBdr>
        <w:top w:val="none" w:sz="0" w:space="0" w:color="auto"/>
        <w:left w:val="none" w:sz="0" w:space="0" w:color="auto"/>
        <w:bottom w:val="none" w:sz="0" w:space="0" w:color="auto"/>
        <w:right w:val="none" w:sz="0" w:space="0" w:color="auto"/>
      </w:divBdr>
      <w:divsChild>
        <w:div w:id="6298426">
          <w:marLeft w:val="720"/>
          <w:marRight w:val="0"/>
          <w:marTop w:val="0"/>
          <w:marBottom w:val="0"/>
          <w:divBdr>
            <w:top w:val="none" w:sz="0" w:space="0" w:color="auto"/>
            <w:left w:val="none" w:sz="0" w:space="0" w:color="auto"/>
            <w:bottom w:val="none" w:sz="0" w:space="0" w:color="auto"/>
            <w:right w:val="none" w:sz="0" w:space="0" w:color="auto"/>
          </w:divBdr>
        </w:div>
        <w:div w:id="583033879">
          <w:marLeft w:val="720"/>
          <w:marRight w:val="0"/>
          <w:marTop w:val="0"/>
          <w:marBottom w:val="0"/>
          <w:divBdr>
            <w:top w:val="none" w:sz="0" w:space="0" w:color="auto"/>
            <w:left w:val="none" w:sz="0" w:space="0" w:color="auto"/>
            <w:bottom w:val="none" w:sz="0" w:space="0" w:color="auto"/>
            <w:right w:val="none" w:sz="0" w:space="0" w:color="auto"/>
          </w:divBdr>
        </w:div>
      </w:divsChild>
    </w:div>
    <w:div w:id="517282303">
      <w:bodyDiv w:val="1"/>
      <w:marLeft w:val="0"/>
      <w:marRight w:val="0"/>
      <w:marTop w:val="0"/>
      <w:marBottom w:val="0"/>
      <w:divBdr>
        <w:top w:val="none" w:sz="0" w:space="0" w:color="auto"/>
        <w:left w:val="none" w:sz="0" w:space="0" w:color="auto"/>
        <w:bottom w:val="none" w:sz="0" w:space="0" w:color="auto"/>
        <w:right w:val="none" w:sz="0" w:space="0" w:color="auto"/>
      </w:divBdr>
      <w:divsChild>
        <w:div w:id="263535655">
          <w:marLeft w:val="720"/>
          <w:marRight w:val="0"/>
          <w:marTop w:val="0"/>
          <w:marBottom w:val="0"/>
          <w:divBdr>
            <w:top w:val="none" w:sz="0" w:space="0" w:color="auto"/>
            <w:left w:val="none" w:sz="0" w:space="0" w:color="auto"/>
            <w:bottom w:val="none" w:sz="0" w:space="0" w:color="auto"/>
            <w:right w:val="none" w:sz="0" w:space="0" w:color="auto"/>
          </w:divBdr>
        </w:div>
        <w:div w:id="416054612">
          <w:marLeft w:val="720"/>
          <w:marRight w:val="0"/>
          <w:marTop w:val="0"/>
          <w:marBottom w:val="0"/>
          <w:divBdr>
            <w:top w:val="none" w:sz="0" w:space="0" w:color="auto"/>
            <w:left w:val="none" w:sz="0" w:space="0" w:color="auto"/>
            <w:bottom w:val="none" w:sz="0" w:space="0" w:color="auto"/>
            <w:right w:val="none" w:sz="0" w:space="0" w:color="auto"/>
          </w:divBdr>
        </w:div>
        <w:div w:id="817461470">
          <w:marLeft w:val="720"/>
          <w:marRight w:val="0"/>
          <w:marTop w:val="0"/>
          <w:marBottom w:val="0"/>
          <w:divBdr>
            <w:top w:val="none" w:sz="0" w:space="0" w:color="auto"/>
            <w:left w:val="none" w:sz="0" w:space="0" w:color="auto"/>
            <w:bottom w:val="none" w:sz="0" w:space="0" w:color="auto"/>
            <w:right w:val="none" w:sz="0" w:space="0" w:color="auto"/>
          </w:divBdr>
        </w:div>
      </w:divsChild>
    </w:div>
    <w:div w:id="526062954">
      <w:bodyDiv w:val="1"/>
      <w:marLeft w:val="0"/>
      <w:marRight w:val="0"/>
      <w:marTop w:val="0"/>
      <w:marBottom w:val="0"/>
      <w:divBdr>
        <w:top w:val="none" w:sz="0" w:space="0" w:color="auto"/>
        <w:left w:val="none" w:sz="0" w:space="0" w:color="auto"/>
        <w:bottom w:val="none" w:sz="0" w:space="0" w:color="auto"/>
        <w:right w:val="none" w:sz="0" w:space="0" w:color="auto"/>
      </w:divBdr>
      <w:divsChild>
        <w:div w:id="269356515">
          <w:marLeft w:val="720"/>
          <w:marRight w:val="0"/>
          <w:marTop w:val="0"/>
          <w:marBottom w:val="0"/>
          <w:divBdr>
            <w:top w:val="none" w:sz="0" w:space="0" w:color="auto"/>
            <w:left w:val="none" w:sz="0" w:space="0" w:color="auto"/>
            <w:bottom w:val="none" w:sz="0" w:space="0" w:color="auto"/>
            <w:right w:val="none" w:sz="0" w:space="0" w:color="auto"/>
          </w:divBdr>
        </w:div>
        <w:div w:id="717318519">
          <w:marLeft w:val="720"/>
          <w:marRight w:val="0"/>
          <w:marTop w:val="0"/>
          <w:marBottom w:val="0"/>
          <w:divBdr>
            <w:top w:val="none" w:sz="0" w:space="0" w:color="auto"/>
            <w:left w:val="none" w:sz="0" w:space="0" w:color="auto"/>
            <w:bottom w:val="none" w:sz="0" w:space="0" w:color="auto"/>
            <w:right w:val="none" w:sz="0" w:space="0" w:color="auto"/>
          </w:divBdr>
        </w:div>
        <w:div w:id="794105698">
          <w:marLeft w:val="720"/>
          <w:marRight w:val="0"/>
          <w:marTop w:val="0"/>
          <w:marBottom w:val="0"/>
          <w:divBdr>
            <w:top w:val="none" w:sz="0" w:space="0" w:color="auto"/>
            <w:left w:val="none" w:sz="0" w:space="0" w:color="auto"/>
            <w:bottom w:val="none" w:sz="0" w:space="0" w:color="auto"/>
            <w:right w:val="none" w:sz="0" w:space="0" w:color="auto"/>
          </w:divBdr>
        </w:div>
      </w:divsChild>
    </w:div>
    <w:div w:id="549999823">
      <w:bodyDiv w:val="1"/>
      <w:marLeft w:val="0"/>
      <w:marRight w:val="0"/>
      <w:marTop w:val="0"/>
      <w:marBottom w:val="0"/>
      <w:divBdr>
        <w:top w:val="none" w:sz="0" w:space="0" w:color="auto"/>
        <w:left w:val="none" w:sz="0" w:space="0" w:color="auto"/>
        <w:bottom w:val="none" w:sz="0" w:space="0" w:color="auto"/>
        <w:right w:val="none" w:sz="0" w:space="0" w:color="auto"/>
      </w:divBdr>
    </w:div>
    <w:div w:id="634020389">
      <w:bodyDiv w:val="1"/>
      <w:marLeft w:val="0"/>
      <w:marRight w:val="0"/>
      <w:marTop w:val="0"/>
      <w:marBottom w:val="0"/>
      <w:divBdr>
        <w:top w:val="none" w:sz="0" w:space="0" w:color="auto"/>
        <w:left w:val="none" w:sz="0" w:space="0" w:color="auto"/>
        <w:bottom w:val="none" w:sz="0" w:space="0" w:color="auto"/>
        <w:right w:val="none" w:sz="0" w:space="0" w:color="auto"/>
      </w:divBdr>
      <w:divsChild>
        <w:div w:id="883713549">
          <w:marLeft w:val="720"/>
          <w:marRight w:val="0"/>
          <w:marTop w:val="0"/>
          <w:marBottom w:val="0"/>
          <w:divBdr>
            <w:top w:val="none" w:sz="0" w:space="0" w:color="auto"/>
            <w:left w:val="none" w:sz="0" w:space="0" w:color="auto"/>
            <w:bottom w:val="none" w:sz="0" w:space="0" w:color="auto"/>
            <w:right w:val="none" w:sz="0" w:space="0" w:color="auto"/>
          </w:divBdr>
        </w:div>
        <w:div w:id="1535146847">
          <w:marLeft w:val="720"/>
          <w:marRight w:val="0"/>
          <w:marTop w:val="0"/>
          <w:marBottom w:val="0"/>
          <w:divBdr>
            <w:top w:val="none" w:sz="0" w:space="0" w:color="auto"/>
            <w:left w:val="none" w:sz="0" w:space="0" w:color="auto"/>
            <w:bottom w:val="none" w:sz="0" w:space="0" w:color="auto"/>
            <w:right w:val="none" w:sz="0" w:space="0" w:color="auto"/>
          </w:divBdr>
        </w:div>
      </w:divsChild>
    </w:div>
    <w:div w:id="680083272">
      <w:bodyDiv w:val="1"/>
      <w:marLeft w:val="0"/>
      <w:marRight w:val="0"/>
      <w:marTop w:val="0"/>
      <w:marBottom w:val="0"/>
      <w:divBdr>
        <w:top w:val="none" w:sz="0" w:space="0" w:color="auto"/>
        <w:left w:val="none" w:sz="0" w:space="0" w:color="auto"/>
        <w:bottom w:val="none" w:sz="0" w:space="0" w:color="auto"/>
        <w:right w:val="none" w:sz="0" w:space="0" w:color="auto"/>
      </w:divBdr>
      <w:divsChild>
        <w:div w:id="751972438">
          <w:marLeft w:val="720"/>
          <w:marRight w:val="0"/>
          <w:marTop w:val="0"/>
          <w:marBottom w:val="0"/>
          <w:divBdr>
            <w:top w:val="none" w:sz="0" w:space="0" w:color="auto"/>
            <w:left w:val="none" w:sz="0" w:space="0" w:color="auto"/>
            <w:bottom w:val="none" w:sz="0" w:space="0" w:color="auto"/>
            <w:right w:val="none" w:sz="0" w:space="0" w:color="auto"/>
          </w:divBdr>
        </w:div>
        <w:div w:id="960840404">
          <w:marLeft w:val="720"/>
          <w:marRight w:val="0"/>
          <w:marTop w:val="0"/>
          <w:marBottom w:val="0"/>
          <w:divBdr>
            <w:top w:val="none" w:sz="0" w:space="0" w:color="auto"/>
            <w:left w:val="none" w:sz="0" w:space="0" w:color="auto"/>
            <w:bottom w:val="none" w:sz="0" w:space="0" w:color="auto"/>
            <w:right w:val="none" w:sz="0" w:space="0" w:color="auto"/>
          </w:divBdr>
        </w:div>
        <w:div w:id="1967272194">
          <w:marLeft w:val="720"/>
          <w:marRight w:val="0"/>
          <w:marTop w:val="0"/>
          <w:marBottom w:val="0"/>
          <w:divBdr>
            <w:top w:val="none" w:sz="0" w:space="0" w:color="auto"/>
            <w:left w:val="none" w:sz="0" w:space="0" w:color="auto"/>
            <w:bottom w:val="none" w:sz="0" w:space="0" w:color="auto"/>
            <w:right w:val="none" w:sz="0" w:space="0" w:color="auto"/>
          </w:divBdr>
        </w:div>
      </w:divsChild>
    </w:div>
    <w:div w:id="689794614">
      <w:bodyDiv w:val="1"/>
      <w:marLeft w:val="0"/>
      <w:marRight w:val="0"/>
      <w:marTop w:val="0"/>
      <w:marBottom w:val="0"/>
      <w:divBdr>
        <w:top w:val="none" w:sz="0" w:space="0" w:color="auto"/>
        <w:left w:val="none" w:sz="0" w:space="0" w:color="auto"/>
        <w:bottom w:val="none" w:sz="0" w:space="0" w:color="auto"/>
        <w:right w:val="none" w:sz="0" w:space="0" w:color="auto"/>
      </w:divBdr>
      <w:divsChild>
        <w:div w:id="178587783">
          <w:marLeft w:val="1267"/>
          <w:marRight w:val="0"/>
          <w:marTop w:val="0"/>
          <w:marBottom w:val="0"/>
          <w:divBdr>
            <w:top w:val="none" w:sz="0" w:space="0" w:color="auto"/>
            <w:left w:val="none" w:sz="0" w:space="0" w:color="auto"/>
            <w:bottom w:val="none" w:sz="0" w:space="0" w:color="auto"/>
            <w:right w:val="none" w:sz="0" w:space="0" w:color="auto"/>
          </w:divBdr>
        </w:div>
        <w:div w:id="588808114">
          <w:marLeft w:val="1267"/>
          <w:marRight w:val="0"/>
          <w:marTop w:val="0"/>
          <w:marBottom w:val="0"/>
          <w:divBdr>
            <w:top w:val="none" w:sz="0" w:space="0" w:color="auto"/>
            <w:left w:val="none" w:sz="0" w:space="0" w:color="auto"/>
            <w:bottom w:val="none" w:sz="0" w:space="0" w:color="auto"/>
            <w:right w:val="none" w:sz="0" w:space="0" w:color="auto"/>
          </w:divBdr>
        </w:div>
      </w:divsChild>
    </w:div>
    <w:div w:id="716010265">
      <w:bodyDiv w:val="1"/>
      <w:marLeft w:val="0"/>
      <w:marRight w:val="0"/>
      <w:marTop w:val="0"/>
      <w:marBottom w:val="0"/>
      <w:divBdr>
        <w:top w:val="none" w:sz="0" w:space="0" w:color="auto"/>
        <w:left w:val="none" w:sz="0" w:space="0" w:color="auto"/>
        <w:bottom w:val="none" w:sz="0" w:space="0" w:color="auto"/>
        <w:right w:val="none" w:sz="0" w:space="0" w:color="auto"/>
      </w:divBdr>
      <w:divsChild>
        <w:div w:id="269824695">
          <w:marLeft w:val="720"/>
          <w:marRight w:val="0"/>
          <w:marTop w:val="0"/>
          <w:marBottom w:val="0"/>
          <w:divBdr>
            <w:top w:val="none" w:sz="0" w:space="0" w:color="auto"/>
            <w:left w:val="none" w:sz="0" w:space="0" w:color="auto"/>
            <w:bottom w:val="none" w:sz="0" w:space="0" w:color="auto"/>
            <w:right w:val="none" w:sz="0" w:space="0" w:color="auto"/>
          </w:divBdr>
        </w:div>
        <w:div w:id="1854223301">
          <w:marLeft w:val="720"/>
          <w:marRight w:val="0"/>
          <w:marTop w:val="0"/>
          <w:marBottom w:val="0"/>
          <w:divBdr>
            <w:top w:val="none" w:sz="0" w:space="0" w:color="auto"/>
            <w:left w:val="none" w:sz="0" w:space="0" w:color="auto"/>
            <w:bottom w:val="none" w:sz="0" w:space="0" w:color="auto"/>
            <w:right w:val="none" w:sz="0" w:space="0" w:color="auto"/>
          </w:divBdr>
        </w:div>
      </w:divsChild>
    </w:div>
    <w:div w:id="745999274">
      <w:bodyDiv w:val="1"/>
      <w:marLeft w:val="0"/>
      <w:marRight w:val="0"/>
      <w:marTop w:val="0"/>
      <w:marBottom w:val="0"/>
      <w:divBdr>
        <w:top w:val="none" w:sz="0" w:space="0" w:color="auto"/>
        <w:left w:val="none" w:sz="0" w:space="0" w:color="auto"/>
        <w:bottom w:val="none" w:sz="0" w:space="0" w:color="auto"/>
        <w:right w:val="none" w:sz="0" w:space="0" w:color="auto"/>
      </w:divBdr>
    </w:div>
    <w:div w:id="788671918">
      <w:bodyDiv w:val="1"/>
      <w:marLeft w:val="0"/>
      <w:marRight w:val="0"/>
      <w:marTop w:val="0"/>
      <w:marBottom w:val="0"/>
      <w:divBdr>
        <w:top w:val="none" w:sz="0" w:space="0" w:color="auto"/>
        <w:left w:val="none" w:sz="0" w:space="0" w:color="auto"/>
        <w:bottom w:val="none" w:sz="0" w:space="0" w:color="auto"/>
        <w:right w:val="none" w:sz="0" w:space="0" w:color="auto"/>
      </w:divBdr>
      <w:divsChild>
        <w:div w:id="889420246">
          <w:marLeft w:val="720"/>
          <w:marRight w:val="0"/>
          <w:marTop w:val="0"/>
          <w:marBottom w:val="0"/>
          <w:divBdr>
            <w:top w:val="none" w:sz="0" w:space="0" w:color="auto"/>
            <w:left w:val="none" w:sz="0" w:space="0" w:color="auto"/>
            <w:bottom w:val="none" w:sz="0" w:space="0" w:color="auto"/>
            <w:right w:val="none" w:sz="0" w:space="0" w:color="auto"/>
          </w:divBdr>
        </w:div>
      </w:divsChild>
    </w:div>
    <w:div w:id="858159394">
      <w:bodyDiv w:val="1"/>
      <w:marLeft w:val="0"/>
      <w:marRight w:val="0"/>
      <w:marTop w:val="0"/>
      <w:marBottom w:val="0"/>
      <w:divBdr>
        <w:top w:val="none" w:sz="0" w:space="0" w:color="auto"/>
        <w:left w:val="none" w:sz="0" w:space="0" w:color="auto"/>
        <w:bottom w:val="none" w:sz="0" w:space="0" w:color="auto"/>
        <w:right w:val="none" w:sz="0" w:space="0" w:color="auto"/>
      </w:divBdr>
    </w:div>
    <w:div w:id="926693463">
      <w:bodyDiv w:val="1"/>
      <w:marLeft w:val="0"/>
      <w:marRight w:val="0"/>
      <w:marTop w:val="0"/>
      <w:marBottom w:val="0"/>
      <w:divBdr>
        <w:top w:val="none" w:sz="0" w:space="0" w:color="auto"/>
        <w:left w:val="none" w:sz="0" w:space="0" w:color="auto"/>
        <w:bottom w:val="none" w:sz="0" w:space="0" w:color="auto"/>
        <w:right w:val="none" w:sz="0" w:space="0" w:color="auto"/>
      </w:divBdr>
      <w:divsChild>
        <w:div w:id="852035532">
          <w:marLeft w:val="720"/>
          <w:marRight w:val="0"/>
          <w:marTop w:val="0"/>
          <w:marBottom w:val="0"/>
          <w:divBdr>
            <w:top w:val="none" w:sz="0" w:space="0" w:color="auto"/>
            <w:left w:val="none" w:sz="0" w:space="0" w:color="auto"/>
            <w:bottom w:val="none" w:sz="0" w:space="0" w:color="auto"/>
            <w:right w:val="none" w:sz="0" w:space="0" w:color="auto"/>
          </w:divBdr>
        </w:div>
      </w:divsChild>
    </w:div>
    <w:div w:id="929581047">
      <w:bodyDiv w:val="1"/>
      <w:marLeft w:val="0"/>
      <w:marRight w:val="0"/>
      <w:marTop w:val="0"/>
      <w:marBottom w:val="0"/>
      <w:divBdr>
        <w:top w:val="none" w:sz="0" w:space="0" w:color="auto"/>
        <w:left w:val="none" w:sz="0" w:space="0" w:color="auto"/>
        <w:bottom w:val="none" w:sz="0" w:space="0" w:color="auto"/>
        <w:right w:val="none" w:sz="0" w:space="0" w:color="auto"/>
      </w:divBdr>
      <w:divsChild>
        <w:div w:id="500969457">
          <w:marLeft w:val="720"/>
          <w:marRight w:val="0"/>
          <w:marTop w:val="0"/>
          <w:marBottom w:val="0"/>
          <w:divBdr>
            <w:top w:val="none" w:sz="0" w:space="0" w:color="auto"/>
            <w:left w:val="none" w:sz="0" w:space="0" w:color="auto"/>
            <w:bottom w:val="none" w:sz="0" w:space="0" w:color="auto"/>
            <w:right w:val="none" w:sz="0" w:space="0" w:color="auto"/>
          </w:divBdr>
        </w:div>
      </w:divsChild>
    </w:div>
    <w:div w:id="942305053">
      <w:bodyDiv w:val="1"/>
      <w:marLeft w:val="0"/>
      <w:marRight w:val="0"/>
      <w:marTop w:val="0"/>
      <w:marBottom w:val="0"/>
      <w:divBdr>
        <w:top w:val="none" w:sz="0" w:space="0" w:color="auto"/>
        <w:left w:val="none" w:sz="0" w:space="0" w:color="auto"/>
        <w:bottom w:val="none" w:sz="0" w:space="0" w:color="auto"/>
        <w:right w:val="none" w:sz="0" w:space="0" w:color="auto"/>
      </w:divBdr>
      <w:divsChild>
        <w:div w:id="559904864">
          <w:marLeft w:val="720"/>
          <w:marRight w:val="0"/>
          <w:marTop w:val="0"/>
          <w:marBottom w:val="0"/>
          <w:divBdr>
            <w:top w:val="none" w:sz="0" w:space="0" w:color="auto"/>
            <w:left w:val="none" w:sz="0" w:space="0" w:color="auto"/>
            <w:bottom w:val="none" w:sz="0" w:space="0" w:color="auto"/>
            <w:right w:val="none" w:sz="0" w:space="0" w:color="auto"/>
          </w:divBdr>
        </w:div>
      </w:divsChild>
    </w:div>
    <w:div w:id="1011566762">
      <w:bodyDiv w:val="1"/>
      <w:marLeft w:val="0"/>
      <w:marRight w:val="0"/>
      <w:marTop w:val="0"/>
      <w:marBottom w:val="0"/>
      <w:divBdr>
        <w:top w:val="none" w:sz="0" w:space="0" w:color="auto"/>
        <w:left w:val="none" w:sz="0" w:space="0" w:color="auto"/>
        <w:bottom w:val="none" w:sz="0" w:space="0" w:color="auto"/>
        <w:right w:val="none" w:sz="0" w:space="0" w:color="auto"/>
      </w:divBdr>
      <w:divsChild>
        <w:div w:id="1415973848">
          <w:marLeft w:val="0"/>
          <w:marRight w:val="0"/>
          <w:marTop w:val="0"/>
          <w:marBottom w:val="0"/>
          <w:divBdr>
            <w:top w:val="none" w:sz="0" w:space="0" w:color="auto"/>
            <w:left w:val="none" w:sz="0" w:space="0" w:color="auto"/>
            <w:bottom w:val="none" w:sz="0" w:space="0" w:color="auto"/>
            <w:right w:val="none" w:sz="0" w:space="0" w:color="auto"/>
          </w:divBdr>
        </w:div>
        <w:div w:id="1766685583">
          <w:marLeft w:val="0"/>
          <w:marRight w:val="0"/>
          <w:marTop w:val="0"/>
          <w:marBottom w:val="0"/>
          <w:divBdr>
            <w:top w:val="none" w:sz="0" w:space="0" w:color="auto"/>
            <w:left w:val="none" w:sz="0" w:space="0" w:color="auto"/>
            <w:bottom w:val="none" w:sz="0" w:space="0" w:color="auto"/>
            <w:right w:val="none" w:sz="0" w:space="0" w:color="auto"/>
          </w:divBdr>
        </w:div>
      </w:divsChild>
    </w:div>
    <w:div w:id="1015424040">
      <w:bodyDiv w:val="1"/>
      <w:marLeft w:val="0"/>
      <w:marRight w:val="0"/>
      <w:marTop w:val="0"/>
      <w:marBottom w:val="0"/>
      <w:divBdr>
        <w:top w:val="none" w:sz="0" w:space="0" w:color="auto"/>
        <w:left w:val="none" w:sz="0" w:space="0" w:color="auto"/>
        <w:bottom w:val="none" w:sz="0" w:space="0" w:color="auto"/>
        <w:right w:val="none" w:sz="0" w:space="0" w:color="auto"/>
      </w:divBdr>
      <w:divsChild>
        <w:div w:id="1274485053">
          <w:marLeft w:val="0"/>
          <w:marRight w:val="0"/>
          <w:marTop w:val="0"/>
          <w:marBottom w:val="0"/>
          <w:divBdr>
            <w:top w:val="none" w:sz="0" w:space="0" w:color="auto"/>
            <w:left w:val="none" w:sz="0" w:space="0" w:color="auto"/>
            <w:bottom w:val="none" w:sz="0" w:space="0" w:color="auto"/>
            <w:right w:val="none" w:sz="0" w:space="0" w:color="auto"/>
          </w:divBdr>
          <w:divsChild>
            <w:div w:id="1391268770">
              <w:marLeft w:val="0"/>
              <w:marRight w:val="0"/>
              <w:marTop w:val="0"/>
              <w:marBottom w:val="0"/>
              <w:divBdr>
                <w:top w:val="none" w:sz="0" w:space="0" w:color="auto"/>
                <w:left w:val="none" w:sz="0" w:space="0" w:color="auto"/>
                <w:bottom w:val="none" w:sz="0" w:space="0" w:color="auto"/>
                <w:right w:val="none" w:sz="0" w:space="0" w:color="auto"/>
              </w:divBdr>
              <w:divsChild>
                <w:div w:id="241794903">
                  <w:marLeft w:val="0"/>
                  <w:marRight w:val="0"/>
                  <w:marTop w:val="0"/>
                  <w:marBottom w:val="0"/>
                  <w:divBdr>
                    <w:top w:val="none" w:sz="0" w:space="0" w:color="auto"/>
                    <w:left w:val="none" w:sz="0" w:space="0" w:color="auto"/>
                    <w:bottom w:val="none" w:sz="0" w:space="0" w:color="auto"/>
                    <w:right w:val="none" w:sz="0" w:space="0" w:color="auto"/>
                  </w:divBdr>
                  <w:divsChild>
                    <w:div w:id="1327396142">
                      <w:marLeft w:val="0"/>
                      <w:marRight w:val="0"/>
                      <w:marTop w:val="0"/>
                      <w:marBottom w:val="0"/>
                      <w:divBdr>
                        <w:top w:val="none" w:sz="0" w:space="0" w:color="auto"/>
                        <w:left w:val="none" w:sz="0" w:space="0" w:color="auto"/>
                        <w:bottom w:val="none" w:sz="0" w:space="0" w:color="auto"/>
                        <w:right w:val="none" w:sz="0" w:space="0" w:color="auto"/>
                      </w:divBdr>
                      <w:divsChild>
                        <w:div w:id="1130394217">
                          <w:marLeft w:val="0"/>
                          <w:marRight w:val="0"/>
                          <w:marTop w:val="0"/>
                          <w:marBottom w:val="0"/>
                          <w:divBdr>
                            <w:top w:val="none" w:sz="0" w:space="0" w:color="auto"/>
                            <w:left w:val="none" w:sz="0" w:space="0" w:color="auto"/>
                            <w:bottom w:val="none" w:sz="0" w:space="0" w:color="auto"/>
                            <w:right w:val="none" w:sz="0" w:space="0" w:color="auto"/>
                          </w:divBdr>
                          <w:divsChild>
                            <w:div w:id="1017007118">
                              <w:marLeft w:val="0"/>
                              <w:marRight w:val="0"/>
                              <w:marTop w:val="0"/>
                              <w:marBottom w:val="0"/>
                              <w:divBdr>
                                <w:top w:val="none" w:sz="0" w:space="0" w:color="auto"/>
                                <w:left w:val="none" w:sz="0" w:space="0" w:color="auto"/>
                                <w:bottom w:val="none" w:sz="0" w:space="0" w:color="auto"/>
                                <w:right w:val="none" w:sz="0" w:space="0" w:color="auto"/>
                              </w:divBdr>
                              <w:divsChild>
                                <w:div w:id="1658915542">
                                  <w:marLeft w:val="0"/>
                                  <w:marRight w:val="0"/>
                                  <w:marTop w:val="0"/>
                                  <w:marBottom w:val="0"/>
                                  <w:divBdr>
                                    <w:top w:val="none" w:sz="0" w:space="0" w:color="auto"/>
                                    <w:left w:val="none" w:sz="0" w:space="0" w:color="auto"/>
                                    <w:bottom w:val="none" w:sz="0" w:space="0" w:color="auto"/>
                                    <w:right w:val="none" w:sz="0" w:space="0" w:color="auto"/>
                                  </w:divBdr>
                                  <w:divsChild>
                                    <w:div w:id="820730695">
                                      <w:marLeft w:val="0"/>
                                      <w:marRight w:val="0"/>
                                      <w:marTop w:val="0"/>
                                      <w:marBottom w:val="0"/>
                                      <w:divBdr>
                                        <w:top w:val="none" w:sz="0" w:space="0" w:color="auto"/>
                                        <w:left w:val="none" w:sz="0" w:space="0" w:color="auto"/>
                                        <w:bottom w:val="none" w:sz="0" w:space="0" w:color="auto"/>
                                        <w:right w:val="none" w:sz="0" w:space="0" w:color="auto"/>
                                      </w:divBdr>
                                      <w:divsChild>
                                        <w:div w:id="1766346362">
                                          <w:marLeft w:val="0"/>
                                          <w:marRight w:val="0"/>
                                          <w:marTop w:val="0"/>
                                          <w:marBottom w:val="0"/>
                                          <w:divBdr>
                                            <w:top w:val="none" w:sz="0" w:space="0" w:color="auto"/>
                                            <w:left w:val="none" w:sz="0" w:space="0" w:color="auto"/>
                                            <w:bottom w:val="none" w:sz="0" w:space="0" w:color="auto"/>
                                            <w:right w:val="none" w:sz="0" w:space="0" w:color="auto"/>
                                          </w:divBdr>
                                          <w:divsChild>
                                            <w:div w:id="834035611">
                                              <w:marLeft w:val="0"/>
                                              <w:marRight w:val="0"/>
                                              <w:marTop w:val="0"/>
                                              <w:marBottom w:val="0"/>
                                              <w:divBdr>
                                                <w:top w:val="none" w:sz="0" w:space="0" w:color="auto"/>
                                                <w:left w:val="none" w:sz="0" w:space="0" w:color="auto"/>
                                                <w:bottom w:val="none" w:sz="0" w:space="0" w:color="auto"/>
                                                <w:right w:val="none" w:sz="0" w:space="0" w:color="auto"/>
                                              </w:divBdr>
                                              <w:divsChild>
                                                <w:div w:id="529532386">
                                                  <w:marLeft w:val="0"/>
                                                  <w:marRight w:val="0"/>
                                                  <w:marTop w:val="0"/>
                                                  <w:marBottom w:val="0"/>
                                                  <w:divBdr>
                                                    <w:top w:val="none" w:sz="0" w:space="0" w:color="auto"/>
                                                    <w:left w:val="none" w:sz="0" w:space="0" w:color="auto"/>
                                                    <w:bottom w:val="none" w:sz="0" w:space="0" w:color="auto"/>
                                                    <w:right w:val="none" w:sz="0" w:space="0" w:color="auto"/>
                                                  </w:divBdr>
                                                  <w:divsChild>
                                                    <w:div w:id="309870247">
                                                      <w:marLeft w:val="0"/>
                                                      <w:marRight w:val="0"/>
                                                      <w:marTop w:val="0"/>
                                                      <w:marBottom w:val="0"/>
                                                      <w:divBdr>
                                                        <w:top w:val="none" w:sz="0" w:space="0" w:color="auto"/>
                                                        <w:left w:val="none" w:sz="0" w:space="0" w:color="auto"/>
                                                        <w:bottom w:val="none" w:sz="0" w:space="0" w:color="auto"/>
                                                        <w:right w:val="none" w:sz="0" w:space="0" w:color="auto"/>
                                                      </w:divBdr>
                                                      <w:divsChild>
                                                        <w:div w:id="1741244525">
                                                          <w:marLeft w:val="0"/>
                                                          <w:marRight w:val="0"/>
                                                          <w:marTop w:val="0"/>
                                                          <w:marBottom w:val="0"/>
                                                          <w:divBdr>
                                                            <w:top w:val="none" w:sz="0" w:space="0" w:color="auto"/>
                                                            <w:left w:val="none" w:sz="0" w:space="0" w:color="auto"/>
                                                            <w:bottom w:val="none" w:sz="0" w:space="0" w:color="auto"/>
                                                            <w:right w:val="none" w:sz="0" w:space="0" w:color="auto"/>
                                                          </w:divBdr>
                                                          <w:divsChild>
                                                            <w:div w:id="358354247">
                                                              <w:marLeft w:val="0"/>
                                                              <w:marRight w:val="0"/>
                                                              <w:marTop w:val="0"/>
                                                              <w:marBottom w:val="0"/>
                                                              <w:divBdr>
                                                                <w:top w:val="none" w:sz="0" w:space="0" w:color="auto"/>
                                                                <w:left w:val="none" w:sz="0" w:space="0" w:color="auto"/>
                                                                <w:bottom w:val="none" w:sz="0" w:space="0" w:color="auto"/>
                                                                <w:right w:val="none" w:sz="0" w:space="0" w:color="auto"/>
                                                              </w:divBdr>
                                                              <w:divsChild>
                                                                <w:div w:id="402414422">
                                                                  <w:marLeft w:val="0"/>
                                                                  <w:marRight w:val="0"/>
                                                                  <w:marTop w:val="0"/>
                                                                  <w:marBottom w:val="0"/>
                                                                  <w:divBdr>
                                                                    <w:top w:val="none" w:sz="0" w:space="0" w:color="auto"/>
                                                                    <w:left w:val="none" w:sz="0" w:space="0" w:color="auto"/>
                                                                    <w:bottom w:val="none" w:sz="0" w:space="0" w:color="auto"/>
                                                                    <w:right w:val="none" w:sz="0" w:space="0" w:color="auto"/>
                                                                  </w:divBdr>
                                                                </w:div>
                                                                <w:div w:id="488256931">
                                                                  <w:marLeft w:val="0"/>
                                                                  <w:marRight w:val="0"/>
                                                                  <w:marTop w:val="0"/>
                                                                  <w:marBottom w:val="0"/>
                                                                  <w:divBdr>
                                                                    <w:top w:val="none" w:sz="0" w:space="0" w:color="auto"/>
                                                                    <w:left w:val="none" w:sz="0" w:space="0" w:color="auto"/>
                                                                    <w:bottom w:val="none" w:sz="0" w:space="0" w:color="auto"/>
                                                                    <w:right w:val="none" w:sz="0" w:space="0" w:color="auto"/>
                                                                  </w:divBdr>
                                                                </w:div>
                                                                <w:div w:id="942539592">
                                                                  <w:marLeft w:val="0"/>
                                                                  <w:marRight w:val="0"/>
                                                                  <w:marTop w:val="0"/>
                                                                  <w:marBottom w:val="0"/>
                                                                  <w:divBdr>
                                                                    <w:top w:val="none" w:sz="0" w:space="0" w:color="auto"/>
                                                                    <w:left w:val="none" w:sz="0" w:space="0" w:color="auto"/>
                                                                    <w:bottom w:val="none" w:sz="0" w:space="0" w:color="auto"/>
                                                                    <w:right w:val="none" w:sz="0" w:space="0" w:color="auto"/>
                                                                  </w:divBdr>
                                                                </w:div>
                                                                <w:div w:id="1183207473">
                                                                  <w:marLeft w:val="0"/>
                                                                  <w:marRight w:val="0"/>
                                                                  <w:marTop w:val="0"/>
                                                                  <w:marBottom w:val="0"/>
                                                                  <w:divBdr>
                                                                    <w:top w:val="none" w:sz="0" w:space="0" w:color="auto"/>
                                                                    <w:left w:val="none" w:sz="0" w:space="0" w:color="auto"/>
                                                                    <w:bottom w:val="none" w:sz="0" w:space="0" w:color="auto"/>
                                                                    <w:right w:val="none" w:sz="0" w:space="0" w:color="auto"/>
                                                                  </w:divBdr>
                                                                </w:div>
                                                                <w:div w:id="1622682633">
                                                                  <w:marLeft w:val="0"/>
                                                                  <w:marRight w:val="0"/>
                                                                  <w:marTop w:val="0"/>
                                                                  <w:marBottom w:val="0"/>
                                                                  <w:divBdr>
                                                                    <w:top w:val="none" w:sz="0" w:space="0" w:color="auto"/>
                                                                    <w:left w:val="none" w:sz="0" w:space="0" w:color="auto"/>
                                                                    <w:bottom w:val="none" w:sz="0" w:space="0" w:color="auto"/>
                                                                    <w:right w:val="none" w:sz="0" w:space="0" w:color="auto"/>
                                                                  </w:divBdr>
                                                                </w:div>
                                                                <w:div w:id="185919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1080068">
      <w:bodyDiv w:val="1"/>
      <w:marLeft w:val="0"/>
      <w:marRight w:val="0"/>
      <w:marTop w:val="0"/>
      <w:marBottom w:val="0"/>
      <w:divBdr>
        <w:top w:val="none" w:sz="0" w:space="0" w:color="auto"/>
        <w:left w:val="none" w:sz="0" w:space="0" w:color="auto"/>
        <w:bottom w:val="none" w:sz="0" w:space="0" w:color="auto"/>
        <w:right w:val="none" w:sz="0" w:space="0" w:color="auto"/>
      </w:divBdr>
      <w:divsChild>
        <w:div w:id="1375350876">
          <w:marLeft w:val="0"/>
          <w:marRight w:val="0"/>
          <w:marTop w:val="0"/>
          <w:marBottom w:val="0"/>
          <w:divBdr>
            <w:top w:val="none" w:sz="0" w:space="0" w:color="auto"/>
            <w:left w:val="none" w:sz="0" w:space="0" w:color="auto"/>
            <w:bottom w:val="none" w:sz="0" w:space="0" w:color="auto"/>
            <w:right w:val="none" w:sz="0" w:space="0" w:color="auto"/>
          </w:divBdr>
          <w:divsChild>
            <w:div w:id="1531449531">
              <w:marLeft w:val="0"/>
              <w:marRight w:val="0"/>
              <w:marTop w:val="0"/>
              <w:marBottom w:val="0"/>
              <w:divBdr>
                <w:top w:val="none" w:sz="0" w:space="0" w:color="auto"/>
                <w:left w:val="none" w:sz="0" w:space="0" w:color="auto"/>
                <w:bottom w:val="none" w:sz="0" w:space="0" w:color="auto"/>
                <w:right w:val="none" w:sz="0" w:space="0" w:color="auto"/>
              </w:divBdr>
              <w:divsChild>
                <w:div w:id="131756222">
                  <w:marLeft w:val="0"/>
                  <w:marRight w:val="0"/>
                  <w:marTop w:val="0"/>
                  <w:marBottom w:val="0"/>
                  <w:divBdr>
                    <w:top w:val="none" w:sz="0" w:space="0" w:color="auto"/>
                    <w:left w:val="none" w:sz="0" w:space="0" w:color="auto"/>
                    <w:bottom w:val="none" w:sz="0" w:space="0" w:color="auto"/>
                    <w:right w:val="none" w:sz="0" w:space="0" w:color="auto"/>
                  </w:divBdr>
                  <w:divsChild>
                    <w:div w:id="1820730828">
                      <w:marLeft w:val="0"/>
                      <w:marRight w:val="0"/>
                      <w:marTop w:val="0"/>
                      <w:marBottom w:val="0"/>
                      <w:divBdr>
                        <w:top w:val="none" w:sz="0" w:space="0" w:color="auto"/>
                        <w:left w:val="none" w:sz="0" w:space="0" w:color="auto"/>
                        <w:bottom w:val="none" w:sz="0" w:space="0" w:color="auto"/>
                        <w:right w:val="none" w:sz="0" w:space="0" w:color="auto"/>
                      </w:divBdr>
                      <w:divsChild>
                        <w:div w:id="1809468264">
                          <w:marLeft w:val="0"/>
                          <w:marRight w:val="0"/>
                          <w:marTop w:val="0"/>
                          <w:marBottom w:val="0"/>
                          <w:divBdr>
                            <w:top w:val="none" w:sz="0" w:space="0" w:color="auto"/>
                            <w:left w:val="none" w:sz="0" w:space="0" w:color="auto"/>
                            <w:bottom w:val="none" w:sz="0" w:space="0" w:color="auto"/>
                            <w:right w:val="none" w:sz="0" w:space="0" w:color="auto"/>
                          </w:divBdr>
                          <w:divsChild>
                            <w:div w:id="1664356956">
                              <w:marLeft w:val="0"/>
                              <w:marRight w:val="0"/>
                              <w:marTop w:val="0"/>
                              <w:marBottom w:val="0"/>
                              <w:divBdr>
                                <w:top w:val="none" w:sz="0" w:space="0" w:color="auto"/>
                                <w:left w:val="none" w:sz="0" w:space="0" w:color="auto"/>
                                <w:bottom w:val="none" w:sz="0" w:space="0" w:color="auto"/>
                                <w:right w:val="none" w:sz="0" w:space="0" w:color="auto"/>
                              </w:divBdr>
                              <w:divsChild>
                                <w:div w:id="1898936294">
                                  <w:marLeft w:val="0"/>
                                  <w:marRight w:val="0"/>
                                  <w:marTop w:val="0"/>
                                  <w:marBottom w:val="0"/>
                                  <w:divBdr>
                                    <w:top w:val="none" w:sz="0" w:space="0" w:color="auto"/>
                                    <w:left w:val="none" w:sz="0" w:space="0" w:color="auto"/>
                                    <w:bottom w:val="none" w:sz="0" w:space="0" w:color="auto"/>
                                    <w:right w:val="none" w:sz="0" w:space="0" w:color="auto"/>
                                  </w:divBdr>
                                  <w:divsChild>
                                    <w:div w:id="1695887106">
                                      <w:marLeft w:val="0"/>
                                      <w:marRight w:val="0"/>
                                      <w:marTop w:val="0"/>
                                      <w:marBottom w:val="0"/>
                                      <w:divBdr>
                                        <w:top w:val="none" w:sz="0" w:space="0" w:color="auto"/>
                                        <w:left w:val="none" w:sz="0" w:space="0" w:color="auto"/>
                                        <w:bottom w:val="none" w:sz="0" w:space="0" w:color="auto"/>
                                        <w:right w:val="none" w:sz="0" w:space="0" w:color="auto"/>
                                      </w:divBdr>
                                      <w:divsChild>
                                        <w:div w:id="738989704">
                                          <w:marLeft w:val="0"/>
                                          <w:marRight w:val="0"/>
                                          <w:marTop w:val="0"/>
                                          <w:marBottom w:val="0"/>
                                          <w:divBdr>
                                            <w:top w:val="none" w:sz="0" w:space="0" w:color="auto"/>
                                            <w:left w:val="none" w:sz="0" w:space="0" w:color="auto"/>
                                            <w:bottom w:val="none" w:sz="0" w:space="0" w:color="auto"/>
                                            <w:right w:val="none" w:sz="0" w:space="0" w:color="auto"/>
                                          </w:divBdr>
                                          <w:divsChild>
                                            <w:div w:id="787551711">
                                              <w:marLeft w:val="0"/>
                                              <w:marRight w:val="0"/>
                                              <w:marTop w:val="0"/>
                                              <w:marBottom w:val="0"/>
                                              <w:divBdr>
                                                <w:top w:val="none" w:sz="0" w:space="0" w:color="auto"/>
                                                <w:left w:val="none" w:sz="0" w:space="0" w:color="auto"/>
                                                <w:bottom w:val="none" w:sz="0" w:space="0" w:color="auto"/>
                                                <w:right w:val="none" w:sz="0" w:space="0" w:color="auto"/>
                                              </w:divBdr>
                                              <w:divsChild>
                                                <w:div w:id="1985887107">
                                                  <w:marLeft w:val="0"/>
                                                  <w:marRight w:val="0"/>
                                                  <w:marTop w:val="0"/>
                                                  <w:marBottom w:val="0"/>
                                                  <w:divBdr>
                                                    <w:top w:val="none" w:sz="0" w:space="0" w:color="auto"/>
                                                    <w:left w:val="none" w:sz="0" w:space="0" w:color="auto"/>
                                                    <w:bottom w:val="none" w:sz="0" w:space="0" w:color="auto"/>
                                                    <w:right w:val="none" w:sz="0" w:space="0" w:color="auto"/>
                                                  </w:divBdr>
                                                  <w:divsChild>
                                                    <w:div w:id="1035350062">
                                                      <w:marLeft w:val="0"/>
                                                      <w:marRight w:val="0"/>
                                                      <w:marTop w:val="0"/>
                                                      <w:marBottom w:val="0"/>
                                                      <w:divBdr>
                                                        <w:top w:val="none" w:sz="0" w:space="0" w:color="auto"/>
                                                        <w:left w:val="none" w:sz="0" w:space="0" w:color="auto"/>
                                                        <w:bottom w:val="none" w:sz="0" w:space="0" w:color="auto"/>
                                                        <w:right w:val="none" w:sz="0" w:space="0" w:color="auto"/>
                                                      </w:divBdr>
                                                      <w:divsChild>
                                                        <w:div w:id="591279109">
                                                          <w:marLeft w:val="0"/>
                                                          <w:marRight w:val="0"/>
                                                          <w:marTop w:val="0"/>
                                                          <w:marBottom w:val="0"/>
                                                          <w:divBdr>
                                                            <w:top w:val="none" w:sz="0" w:space="0" w:color="auto"/>
                                                            <w:left w:val="none" w:sz="0" w:space="0" w:color="auto"/>
                                                            <w:bottom w:val="none" w:sz="0" w:space="0" w:color="auto"/>
                                                            <w:right w:val="none" w:sz="0" w:space="0" w:color="auto"/>
                                                          </w:divBdr>
                                                          <w:divsChild>
                                                            <w:div w:id="127019569">
                                                              <w:marLeft w:val="0"/>
                                                              <w:marRight w:val="0"/>
                                                              <w:marTop w:val="0"/>
                                                              <w:marBottom w:val="0"/>
                                                              <w:divBdr>
                                                                <w:top w:val="none" w:sz="0" w:space="0" w:color="auto"/>
                                                                <w:left w:val="none" w:sz="0" w:space="0" w:color="auto"/>
                                                                <w:bottom w:val="none" w:sz="0" w:space="0" w:color="auto"/>
                                                                <w:right w:val="none" w:sz="0" w:space="0" w:color="auto"/>
                                                              </w:divBdr>
                                                              <w:divsChild>
                                                                <w:div w:id="19430321">
                                                                  <w:marLeft w:val="0"/>
                                                                  <w:marRight w:val="0"/>
                                                                  <w:marTop w:val="0"/>
                                                                  <w:marBottom w:val="0"/>
                                                                  <w:divBdr>
                                                                    <w:top w:val="none" w:sz="0" w:space="0" w:color="auto"/>
                                                                    <w:left w:val="none" w:sz="0" w:space="0" w:color="auto"/>
                                                                    <w:bottom w:val="none" w:sz="0" w:space="0" w:color="auto"/>
                                                                    <w:right w:val="none" w:sz="0" w:space="0" w:color="auto"/>
                                                                  </w:divBdr>
                                                                </w:div>
                                                                <w:div w:id="190804471">
                                                                  <w:marLeft w:val="0"/>
                                                                  <w:marRight w:val="0"/>
                                                                  <w:marTop w:val="0"/>
                                                                  <w:marBottom w:val="0"/>
                                                                  <w:divBdr>
                                                                    <w:top w:val="none" w:sz="0" w:space="0" w:color="auto"/>
                                                                    <w:left w:val="none" w:sz="0" w:space="0" w:color="auto"/>
                                                                    <w:bottom w:val="none" w:sz="0" w:space="0" w:color="auto"/>
                                                                    <w:right w:val="none" w:sz="0" w:space="0" w:color="auto"/>
                                                                  </w:divBdr>
                                                                </w:div>
                                                                <w:div w:id="246766545">
                                                                  <w:marLeft w:val="0"/>
                                                                  <w:marRight w:val="0"/>
                                                                  <w:marTop w:val="0"/>
                                                                  <w:marBottom w:val="0"/>
                                                                  <w:divBdr>
                                                                    <w:top w:val="none" w:sz="0" w:space="0" w:color="auto"/>
                                                                    <w:left w:val="none" w:sz="0" w:space="0" w:color="auto"/>
                                                                    <w:bottom w:val="none" w:sz="0" w:space="0" w:color="auto"/>
                                                                    <w:right w:val="none" w:sz="0" w:space="0" w:color="auto"/>
                                                                  </w:divBdr>
                                                                </w:div>
                                                                <w:div w:id="704719892">
                                                                  <w:marLeft w:val="0"/>
                                                                  <w:marRight w:val="0"/>
                                                                  <w:marTop w:val="0"/>
                                                                  <w:marBottom w:val="0"/>
                                                                  <w:divBdr>
                                                                    <w:top w:val="none" w:sz="0" w:space="0" w:color="auto"/>
                                                                    <w:left w:val="none" w:sz="0" w:space="0" w:color="auto"/>
                                                                    <w:bottom w:val="none" w:sz="0" w:space="0" w:color="auto"/>
                                                                    <w:right w:val="none" w:sz="0" w:space="0" w:color="auto"/>
                                                                  </w:divBdr>
                                                                </w:div>
                                                                <w:div w:id="799687633">
                                                                  <w:marLeft w:val="0"/>
                                                                  <w:marRight w:val="0"/>
                                                                  <w:marTop w:val="0"/>
                                                                  <w:marBottom w:val="0"/>
                                                                  <w:divBdr>
                                                                    <w:top w:val="none" w:sz="0" w:space="0" w:color="auto"/>
                                                                    <w:left w:val="none" w:sz="0" w:space="0" w:color="auto"/>
                                                                    <w:bottom w:val="none" w:sz="0" w:space="0" w:color="auto"/>
                                                                    <w:right w:val="none" w:sz="0" w:space="0" w:color="auto"/>
                                                                  </w:divBdr>
                                                                </w:div>
                                                                <w:div w:id="1150516187">
                                                                  <w:marLeft w:val="0"/>
                                                                  <w:marRight w:val="0"/>
                                                                  <w:marTop w:val="0"/>
                                                                  <w:marBottom w:val="0"/>
                                                                  <w:divBdr>
                                                                    <w:top w:val="none" w:sz="0" w:space="0" w:color="auto"/>
                                                                    <w:left w:val="none" w:sz="0" w:space="0" w:color="auto"/>
                                                                    <w:bottom w:val="none" w:sz="0" w:space="0" w:color="auto"/>
                                                                    <w:right w:val="none" w:sz="0" w:space="0" w:color="auto"/>
                                                                  </w:divBdr>
                                                                </w:div>
                                                                <w:div w:id="1205866262">
                                                                  <w:marLeft w:val="0"/>
                                                                  <w:marRight w:val="0"/>
                                                                  <w:marTop w:val="0"/>
                                                                  <w:marBottom w:val="0"/>
                                                                  <w:divBdr>
                                                                    <w:top w:val="none" w:sz="0" w:space="0" w:color="auto"/>
                                                                    <w:left w:val="none" w:sz="0" w:space="0" w:color="auto"/>
                                                                    <w:bottom w:val="none" w:sz="0" w:space="0" w:color="auto"/>
                                                                    <w:right w:val="none" w:sz="0" w:space="0" w:color="auto"/>
                                                                  </w:divBdr>
                                                                </w:div>
                                                                <w:div w:id="1281180317">
                                                                  <w:marLeft w:val="0"/>
                                                                  <w:marRight w:val="0"/>
                                                                  <w:marTop w:val="0"/>
                                                                  <w:marBottom w:val="0"/>
                                                                  <w:divBdr>
                                                                    <w:top w:val="none" w:sz="0" w:space="0" w:color="auto"/>
                                                                    <w:left w:val="none" w:sz="0" w:space="0" w:color="auto"/>
                                                                    <w:bottom w:val="none" w:sz="0" w:space="0" w:color="auto"/>
                                                                    <w:right w:val="none" w:sz="0" w:space="0" w:color="auto"/>
                                                                  </w:divBdr>
                                                                </w:div>
                                                                <w:div w:id="186929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8137668">
      <w:bodyDiv w:val="1"/>
      <w:marLeft w:val="0"/>
      <w:marRight w:val="0"/>
      <w:marTop w:val="0"/>
      <w:marBottom w:val="0"/>
      <w:divBdr>
        <w:top w:val="none" w:sz="0" w:space="0" w:color="auto"/>
        <w:left w:val="none" w:sz="0" w:space="0" w:color="auto"/>
        <w:bottom w:val="none" w:sz="0" w:space="0" w:color="auto"/>
        <w:right w:val="none" w:sz="0" w:space="0" w:color="auto"/>
      </w:divBdr>
      <w:divsChild>
        <w:div w:id="957293756">
          <w:marLeft w:val="720"/>
          <w:marRight w:val="0"/>
          <w:marTop w:val="0"/>
          <w:marBottom w:val="0"/>
          <w:divBdr>
            <w:top w:val="none" w:sz="0" w:space="0" w:color="auto"/>
            <w:left w:val="none" w:sz="0" w:space="0" w:color="auto"/>
            <w:bottom w:val="none" w:sz="0" w:space="0" w:color="auto"/>
            <w:right w:val="none" w:sz="0" w:space="0" w:color="auto"/>
          </w:divBdr>
        </w:div>
      </w:divsChild>
    </w:div>
    <w:div w:id="1137185343">
      <w:bodyDiv w:val="1"/>
      <w:marLeft w:val="0"/>
      <w:marRight w:val="0"/>
      <w:marTop w:val="0"/>
      <w:marBottom w:val="0"/>
      <w:divBdr>
        <w:top w:val="none" w:sz="0" w:space="0" w:color="auto"/>
        <w:left w:val="none" w:sz="0" w:space="0" w:color="auto"/>
        <w:bottom w:val="none" w:sz="0" w:space="0" w:color="auto"/>
        <w:right w:val="none" w:sz="0" w:space="0" w:color="auto"/>
      </w:divBdr>
      <w:divsChild>
        <w:div w:id="1113981133">
          <w:marLeft w:val="3"/>
          <w:marRight w:val="3"/>
          <w:marTop w:val="0"/>
          <w:marBottom w:val="0"/>
          <w:divBdr>
            <w:top w:val="single" w:sz="48" w:space="0" w:color="FFFFFF"/>
            <w:left w:val="single" w:sz="48" w:space="0" w:color="FFFFFF"/>
            <w:bottom w:val="single" w:sz="48" w:space="0" w:color="FFFFFF"/>
            <w:right w:val="single" w:sz="48" w:space="0" w:color="FFFFFF"/>
          </w:divBdr>
          <w:divsChild>
            <w:div w:id="646785582">
              <w:marLeft w:val="0"/>
              <w:marRight w:val="0"/>
              <w:marTop w:val="0"/>
              <w:marBottom w:val="0"/>
              <w:divBdr>
                <w:top w:val="none" w:sz="0" w:space="0" w:color="auto"/>
                <w:left w:val="none" w:sz="0" w:space="0" w:color="auto"/>
                <w:bottom w:val="none" w:sz="0" w:space="0" w:color="auto"/>
                <w:right w:val="none" w:sz="0" w:space="0" w:color="auto"/>
              </w:divBdr>
              <w:divsChild>
                <w:div w:id="276722073">
                  <w:marLeft w:val="0"/>
                  <w:marRight w:val="0"/>
                  <w:marTop w:val="0"/>
                  <w:marBottom w:val="0"/>
                  <w:divBdr>
                    <w:top w:val="none" w:sz="0" w:space="0" w:color="auto"/>
                    <w:left w:val="none" w:sz="0" w:space="0" w:color="auto"/>
                    <w:bottom w:val="none" w:sz="0" w:space="0" w:color="auto"/>
                    <w:right w:val="none" w:sz="0" w:space="0" w:color="auto"/>
                  </w:divBdr>
                  <w:divsChild>
                    <w:div w:id="1317874421">
                      <w:marLeft w:val="0"/>
                      <w:marRight w:val="-100"/>
                      <w:marTop w:val="0"/>
                      <w:marBottom w:val="0"/>
                      <w:divBdr>
                        <w:top w:val="none" w:sz="0" w:space="0" w:color="auto"/>
                        <w:left w:val="none" w:sz="0" w:space="0" w:color="auto"/>
                        <w:bottom w:val="none" w:sz="0" w:space="0" w:color="auto"/>
                        <w:right w:val="none" w:sz="0" w:space="0" w:color="auto"/>
                      </w:divBdr>
                      <w:divsChild>
                        <w:div w:id="988245402">
                          <w:marLeft w:val="25"/>
                          <w:marRight w:val="25"/>
                          <w:marTop w:val="0"/>
                          <w:marBottom w:val="0"/>
                          <w:divBdr>
                            <w:top w:val="none" w:sz="0" w:space="0" w:color="auto"/>
                            <w:left w:val="none" w:sz="0" w:space="0" w:color="auto"/>
                            <w:bottom w:val="none" w:sz="0" w:space="0" w:color="auto"/>
                            <w:right w:val="none" w:sz="0" w:space="0" w:color="auto"/>
                          </w:divBdr>
                          <w:divsChild>
                            <w:div w:id="34939044">
                              <w:marLeft w:val="0"/>
                              <w:marRight w:val="0"/>
                              <w:marTop w:val="0"/>
                              <w:marBottom w:val="0"/>
                              <w:divBdr>
                                <w:top w:val="none" w:sz="0" w:space="0" w:color="auto"/>
                                <w:left w:val="none" w:sz="0" w:space="0" w:color="auto"/>
                                <w:bottom w:val="none" w:sz="0" w:space="0" w:color="auto"/>
                                <w:right w:val="none" w:sz="0" w:space="0" w:color="auto"/>
                              </w:divBdr>
                              <w:divsChild>
                                <w:div w:id="668605942">
                                  <w:marLeft w:val="0"/>
                                  <w:marRight w:val="0"/>
                                  <w:marTop w:val="0"/>
                                  <w:marBottom w:val="0"/>
                                  <w:divBdr>
                                    <w:top w:val="none" w:sz="0" w:space="0" w:color="auto"/>
                                    <w:left w:val="none" w:sz="0" w:space="0" w:color="auto"/>
                                    <w:bottom w:val="none" w:sz="0" w:space="0" w:color="auto"/>
                                    <w:right w:val="none" w:sz="0" w:space="0" w:color="auto"/>
                                  </w:divBdr>
                                  <w:divsChild>
                                    <w:div w:id="800995503">
                                      <w:marLeft w:val="0"/>
                                      <w:marRight w:val="0"/>
                                      <w:marTop w:val="0"/>
                                      <w:marBottom w:val="0"/>
                                      <w:divBdr>
                                        <w:top w:val="none" w:sz="0" w:space="0" w:color="auto"/>
                                        <w:left w:val="none" w:sz="0" w:space="0" w:color="auto"/>
                                        <w:bottom w:val="none" w:sz="0" w:space="0" w:color="auto"/>
                                        <w:right w:val="none" w:sz="0" w:space="0" w:color="auto"/>
                                      </w:divBdr>
                                      <w:divsChild>
                                        <w:div w:id="1362978721">
                                          <w:marLeft w:val="0"/>
                                          <w:marRight w:val="0"/>
                                          <w:marTop w:val="0"/>
                                          <w:marBottom w:val="0"/>
                                          <w:divBdr>
                                            <w:top w:val="none" w:sz="0" w:space="0" w:color="auto"/>
                                            <w:left w:val="none" w:sz="0" w:space="0" w:color="auto"/>
                                            <w:bottom w:val="none" w:sz="0" w:space="0" w:color="auto"/>
                                            <w:right w:val="none" w:sz="0" w:space="0" w:color="auto"/>
                                          </w:divBdr>
                                          <w:divsChild>
                                            <w:div w:id="198201191">
                                              <w:marLeft w:val="0"/>
                                              <w:marRight w:val="0"/>
                                              <w:marTop w:val="0"/>
                                              <w:marBottom w:val="0"/>
                                              <w:divBdr>
                                                <w:top w:val="none" w:sz="0" w:space="0" w:color="auto"/>
                                                <w:left w:val="none" w:sz="0" w:space="0" w:color="auto"/>
                                                <w:bottom w:val="none" w:sz="0" w:space="0" w:color="auto"/>
                                                <w:right w:val="none" w:sz="0" w:space="0" w:color="auto"/>
                                              </w:divBdr>
                                              <w:divsChild>
                                                <w:div w:id="569966699">
                                                  <w:marLeft w:val="0"/>
                                                  <w:marRight w:val="0"/>
                                                  <w:marTop w:val="0"/>
                                                  <w:marBottom w:val="0"/>
                                                  <w:divBdr>
                                                    <w:top w:val="none" w:sz="0" w:space="0" w:color="auto"/>
                                                    <w:left w:val="none" w:sz="0" w:space="0" w:color="auto"/>
                                                    <w:bottom w:val="none" w:sz="0" w:space="0" w:color="auto"/>
                                                    <w:right w:val="none" w:sz="0" w:space="0" w:color="auto"/>
                                                  </w:divBdr>
                                                  <w:divsChild>
                                                    <w:div w:id="2008366725">
                                                      <w:marLeft w:val="0"/>
                                                      <w:marRight w:val="0"/>
                                                      <w:marTop w:val="0"/>
                                                      <w:marBottom w:val="0"/>
                                                      <w:divBdr>
                                                        <w:top w:val="none" w:sz="0" w:space="0" w:color="auto"/>
                                                        <w:left w:val="none" w:sz="0" w:space="0" w:color="auto"/>
                                                        <w:bottom w:val="none" w:sz="0" w:space="0" w:color="auto"/>
                                                        <w:right w:val="none" w:sz="0" w:space="0" w:color="auto"/>
                                                      </w:divBdr>
                                                      <w:divsChild>
                                                        <w:div w:id="1454638293">
                                                          <w:marLeft w:val="0"/>
                                                          <w:marRight w:val="0"/>
                                                          <w:marTop w:val="0"/>
                                                          <w:marBottom w:val="0"/>
                                                          <w:divBdr>
                                                            <w:top w:val="none" w:sz="0" w:space="0" w:color="auto"/>
                                                            <w:left w:val="none" w:sz="0" w:space="0" w:color="auto"/>
                                                            <w:bottom w:val="none" w:sz="0" w:space="0" w:color="auto"/>
                                                            <w:right w:val="none" w:sz="0" w:space="0" w:color="auto"/>
                                                          </w:divBdr>
                                                          <w:divsChild>
                                                            <w:div w:id="379743055">
                                                              <w:marLeft w:val="0"/>
                                                              <w:marRight w:val="0"/>
                                                              <w:marTop w:val="0"/>
                                                              <w:marBottom w:val="0"/>
                                                              <w:divBdr>
                                                                <w:top w:val="none" w:sz="0" w:space="0" w:color="auto"/>
                                                                <w:left w:val="none" w:sz="0" w:space="0" w:color="auto"/>
                                                                <w:bottom w:val="none" w:sz="0" w:space="0" w:color="auto"/>
                                                                <w:right w:val="none" w:sz="0" w:space="0" w:color="auto"/>
                                                              </w:divBdr>
                                                              <w:divsChild>
                                                                <w:div w:id="2843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2455412">
      <w:bodyDiv w:val="1"/>
      <w:marLeft w:val="0"/>
      <w:marRight w:val="0"/>
      <w:marTop w:val="0"/>
      <w:marBottom w:val="0"/>
      <w:divBdr>
        <w:top w:val="none" w:sz="0" w:space="0" w:color="auto"/>
        <w:left w:val="none" w:sz="0" w:space="0" w:color="auto"/>
        <w:bottom w:val="none" w:sz="0" w:space="0" w:color="auto"/>
        <w:right w:val="none" w:sz="0" w:space="0" w:color="auto"/>
      </w:divBdr>
      <w:divsChild>
        <w:div w:id="22217873">
          <w:marLeft w:val="720"/>
          <w:marRight w:val="0"/>
          <w:marTop w:val="0"/>
          <w:marBottom w:val="0"/>
          <w:divBdr>
            <w:top w:val="none" w:sz="0" w:space="0" w:color="auto"/>
            <w:left w:val="none" w:sz="0" w:space="0" w:color="auto"/>
            <w:bottom w:val="none" w:sz="0" w:space="0" w:color="auto"/>
            <w:right w:val="none" w:sz="0" w:space="0" w:color="auto"/>
          </w:divBdr>
        </w:div>
        <w:div w:id="608510200">
          <w:marLeft w:val="720"/>
          <w:marRight w:val="0"/>
          <w:marTop w:val="0"/>
          <w:marBottom w:val="0"/>
          <w:divBdr>
            <w:top w:val="none" w:sz="0" w:space="0" w:color="auto"/>
            <w:left w:val="none" w:sz="0" w:space="0" w:color="auto"/>
            <w:bottom w:val="none" w:sz="0" w:space="0" w:color="auto"/>
            <w:right w:val="none" w:sz="0" w:space="0" w:color="auto"/>
          </w:divBdr>
        </w:div>
        <w:div w:id="1584140842">
          <w:marLeft w:val="720"/>
          <w:marRight w:val="0"/>
          <w:marTop w:val="0"/>
          <w:marBottom w:val="0"/>
          <w:divBdr>
            <w:top w:val="none" w:sz="0" w:space="0" w:color="auto"/>
            <w:left w:val="none" w:sz="0" w:space="0" w:color="auto"/>
            <w:bottom w:val="none" w:sz="0" w:space="0" w:color="auto"/>
            <w:right w:val="none" w:sz="0" w:space="0" w:color="auto"/>
          </w:divBdr>
        </w:div>
      </w:divsChild>
    </w:div>
    <w:div w:id="1194879429">
      <w:bodyDiv w:val="1"/>
      <w:marLeft w:val="0"/>
      <w:marRight w:val="0"/>
      <w:marTop w:val="0"/>
      <w:marBottom w:val="0"/>
      <w:divBdr>
        <w:top w:val="none" w:sz="0" w:space="0" w:color="auto"/>
        <w:left w:val="none" w:sz="0" w:space="0" w:color="auto"/>
        <w:bottom w:val="none" w:sz="0" w:space="0" w:color="auto"/>
        <w:right w:val="none" w:sz="0" w:space="0" w:color="auto"/>
      </w:divBdr>
    </w:div>
    <w:div w:id="1197085467">
      <w:bodyDiv w:val="1"/>
      <w:marLeft w:val="0"/>
      <w:marRight w:val="0"/>
      <w:marTop w:val="0"/>
      <w:marBottom w:val="0"/>
      <w:divBdr>
        <w:top w:val="none" w:sz="0" w:space="0" w:color="auto"/>
        <w:left w:val="none" w:sz="0" w:space="0" w:color="auto"/>
        <w:bottom w:val="none" w:sz="0" w:space="0" w:color="auto"/>
        <w:right w:val="none" w:sz="0" w:space="0" w:color="auto"/>
      </w:divBdr>
      <w:divsChild>
        <w:div w:id="1931112040">
          <w:marLeft w:val="720"/>
          <w:marRight w:val="0"/>
          <w:marTop w:val="0"/>
          <w:marBottom w:val="0"/>
          <w:divBdr>
            <w:top w:val="none" w:sz="0" w:space="0" w:color="auto"/>
            <w:left w:val="none" w:sz="0" w:space="0" w:color="auto"/>
            <w:bottom w:val="none" w:sz="0" w:space="0" w:color="auto"/>
            <w:right w:val="none" w:sz="0" w:space="0" w:color="auto"/>
          </w:divBdr>
        </w:div>
      </w:divsChild>
    </w:div>
    <w:div w:id="1293558536">
      <w:bodyDiv w:val="1"/>
      <w:marLeft w:val="0"/>
      <w:marRight w:val="0"/>
      <w:marTop w:val="0"/>
      <w:marBottom w:val="0"/>
      <w:divBdr>
        <w:top w:val="none" w:sz="0" w:space="0" w:color="auto"/>
        <w:left w:val="none" w:sz="0" w:space="0" w:color="auto"/>
        <w:bottom w:val="none" w:sz="0" w:space="0" w:color="auto"/>
        <w:right w:val="none" w:sz="0" w:space="0" w:color="auto"/>
      </w:divBdr>
      <w:divsChild>
        <w:div w:id="881794082">
          <w:marLeft w:val="1267"/>
          <w:marRight w:val="0"/>
          <w:marTop w:val="0"/>
          <w:marBottom w:val="0"/>
          <w:divBdr>
            <w:top w:val="none" w:sz="0" w:space="0" w:color="auto"/>
            <w:left w:val="none" w:sz="0" w:space="0" w:color="auto"/>
            <w:bottom w:val="none" w:sz="0" w:space="0" w:color="auto"/>
            <w:right w:val="none" w:sz="0" w:space="0" w:color="auto"/>
          </w:divBdr>
        </w:div>
        <w:div w:id="1120102953">
          <w:marLeft w:val="1267"/>
          <w:marRight w:val="0"/>
          <w:marTop w:val="0"/>
          <w:marBottom w:val="0"/>
          <w:divBdr>
            <w:top w:val="none" w:sz="0" w:space="0" w:color="auto"/>
            <w:left w:val="none" w:sz="0" w:space="0" w:color="auto"/>
            <w:bottom w:val="none" w:sz="0" w:space="0" w:color="auto"/>
            <w:right w:val="none" w:sz="0" w:space="0" w:color="auto"/>
          </w:divBdr>
        </w:div>
      </w:divsChild>
    </w:div>
    <w:div w:id="1307201140">
      <w:bodyDiv w:val="1"/>
      <w:marLeft w:val="0"/>
      <w:marRight w:val="0"/>
      <w:marTop w:val="0"/>
      <w:marBottom w:val="0"/>
      <w:divBdr>
        <w:top w:val="none" w:sz="0" w:space="0" w:color="auto"/>
        <w:left w:val="none" w:sz="0" w:space="0" w:color="auto"/>
        <w:bottom w:val="none" w:sz="0" w:space="0" w:color="auto"/>
        <w:right w:val="none" w:sz="0" w:space="0" w:color="auto"/>
      </w:divBdr>
    </w:div>
    <w:div w:id="1315716798">
      <w:bodyDiv w:val="1"/>
      <w:marLeft w:val="0"/>
      <w:marRight w:val="0"/>
      <w:marTop w:val="0"/>
      <w:marBottom w:val="0"/>
      <w:divBdr>
        <w:top w:val="none" w:sz="0" w:space="0" w:color="auto"/>
        <w:left w:val="none" w:sz="0" w:space="0" w:color="auto"/>
        <w:bottom w:val="none" w:sz="0" w:space="0" w:color="auto"/>
        <w:right w:val="none" w:sz="0" w:space="0" w:color="auto"/>
      </w:divBdr>
      <w:divsChild>
        <w:div w:id="412822483">
          <w:marLeft w:val="720"/>
          <w:marRight w:val="0"/>
          <w:marTop w:val="0"/>
          <w:marBottom w:val="0"/>
          <w:divBdr>
            <w:top w:val="none" w:sz="0" w:space="0" w:color="auto"/>
            <w:left w:val="none" w:sz="0" w:space="0" w:color="auto"/>
            <w:bottom w:val="none" w:sz="0" w:space="0" w:color="auto"/>
            <w:right w:val="none" w:sz="0" w:space="0" w:color="auto"/>
          </w:divBdr>
        </w:div>
        <w:div w:id="632104561">
          <w:marLeft w:val="720"/>
          <w:marRight w:val="0"/>
          <w:marTop w:val="0"/>
          <w:marBottom w:val="0"/>
          <w:divBdr>
            <w:top w:val="none" w:sz="0" w:space="0" w:color="auto"/>
            <w:left w:val="none" w:sz="0" w:space="0" w:color="auto"/>
            <w:bottom w:val="none" w:sz="0" w:space="0" w:color="auto"/>
            <w:right w:val="none" w:sz="0" w:space="0" w:color="auto"/>
          </w:divBdr>
        </w:div>
      </w:divsChild>
    </w:div>
    <w:div w:id="1317957558">
      <w:bodyDiv w:val="1"/>
      <w:marLeft w:val="0"/>
      <w:marRight w:val="0"/>
      <w:marTop w:val="0"/>
      <w:marBottom w:val="0"/>
      <w:divBdr>
        <w:top w:val="none" w:sz="0" w:space="0" w:color="auto"/>
        <w:left w:val="none" w:sz="0" w:space="0" w:color="auto"/>
        <w:bottom w:val="none" w:sz="0" w:space="0" w:color="auto"/>
        <w:right w:val="none" w:sz="0" w:space="0" w:color="auto"/>
      </w:divBdr>
      <w:divsChild>
        <w:div w:id="1083601032">
          <w:marLeft w:val="720"/>
          <w:marRight w:val="0"/>
          <w:marTop w:val="0"/>
          <w:marBottom w:val="0"/>
          <w:divBdr>
            <w:top w:val="none" w:sz="0" w:space="0" w:color="auto"/>
            <w:left w:val="none" w:sz="0" w:space="0" w:color="auto"/>
            <w:bottom w:val="none" w:sz="0" w:space="0" w:color="auto"/>
            <w:right w:val="none" w:sz="0" w:space="0" w:color="auto"/>
          </w:divBdr>
        </w:div>
        <w:div w:id="1338462232">
          <w:marLeft w:val="720"/>
          <w:marRight w:val="0"/>
          <w:marTop w:val="0"/>
          <w:marBottom w:val="0"/>
          <w:divBdr>
            <w:top w:val="none" w:sz="0" w:space="0" w:color="auto"/>
            <w:left w:val="none" w:sz="0" w:space="0" w:color="auto"/>
            <w:bottom w:val="none" w:sz="0" w:space="0" w:color="auto"/>
            <w:right w:val="none" w:sz="0" w:space="0" w:color="auto"/>
          </w:divBdr>
        </w:div>
      </w:divsChild>
    </w:div>
    <w:div w:id="1335953453">
      <w:bodyDiv w:val="1"/>
      <w:marLeft w:val="0"/>
      <w:marRight w:val="0"/>
      <w:marTop w:val="0"/>
      <w:marBottom w:val="0"/>
      <w:divBdr>
        <w:top w:val="none" w:sz="0" w:space="0" w:color="auto"/>
        <w:left w:val="none" w:sz="0" w:space="0" w:color="auto"/>
        <w:bottom w:val="none" w:sz="0" w:space="0" w:color="auto"/>
        <w:right w:val="none" w:sz="0" w:space="0" w:color="auto"/>
      </w:divBdr>
    </w:div>
    <w:div w:id="1346593792">
      <w:bodyDiv w:val="1"/>
      <w:marLeft w:val="0"/>
      <w:marRight w:val="0"/>
      <w:marTop w:val="0"/>
      <w:marBottom w:val="0"/>
      <w:divBdr>
        <w:top w:val="none" w:sz="0" w:space="0" w:color="auto"/>
        <w:left w:val="none" w:sz="0" w:space="0" w:color="auto"/>
        <w:bottom w:val="none" w:sz="0" w:space="0" w:color="auto"/>
        <w:right w:val="none" w:sz="0" w:space="0" w:color="auto"/>
      </w:divBdr>
    </w:div>
    <w:div w:id="1384790196">
      <w:bodyDiv w:val="1"/>
      <w:marLeft w:val="0"/>
      <w:marRight w:val="0"/>
      <w:marTop w:val="0"/>
      <w:marBottom w:val="0"/>
      <w:divBdr>
        <w:top w:val="none" w:sz="0" w:space="0" w:color="auto"/>
        <w:left w:val="none" w:sz="0" w:space="0" w:color="auto"/>
        <w:bottom w:val="none" w:sz="0" w:space="0" w:color="auto"/>
        <w:right w:val="none" w:sz="0" w:space="0" w:color="auto"/>
      </w:divBdr>
      <w:divsChild>
        <w:div w:id="1450198444">
          <w:marLeft w:val="0"/>
          <w:marRight w:val="0"/>
          <w:marTop w:val="0"/>
          <w:marBottom w:val="0"/>
          <w:divBdr>
            <w:top w:val="none" w:sz="0" w:space="0" w:color="auto"/>
            <w:left w:val="none" w:sz="0" w:space="0" w:color="auto"/>
            <w:bottom w:val="none" w:sz="0" w:space="0" w:color="auto"/>
            <w:right w:val="none" w:sz="0" w:space="0" w:color="auto"/>
          </w:divBdr>
        </w:div>
        <w:div w:id="1659846592">
          <w:marLeft w:val="0"/>
          <w:marRight w:val="0"/>
          <w:marTop w:val="0"/>
          <w:marBottom w:val="0"/>
          <w:divBdr>
            <w:top w:val="none" w:sz="0" w:space="0" w:color="auto"/>
            <w:left w:val="none" w:sz="0" w:space="0" w:color="auto"/>
            <w:bottom w:val="none" w:sz="0" w:space="0" w:color="auto"/>
            <w:right w:val="none" w:sz="0" w:space="0" w:color="auto"/>
          </w:divBdr>
        </w:div>
      </w:divsChild>
    </w:div>
    <w:div w:id="1392312401">
      <w:bodyDiv w:val="1"/>
      <w:marLeft w:val="0"/>
      <w:marRight w:val="0"/>
      <w:marTop w:val="0"/>
      <w:marBottom w:val="0"/>
      <w:divBdr>
        <w:top w:val="none" w:sz="0" w:space="0" w:color="auto"/>
        <w:left w:val="none" w:sz="0" w:space="0" w:color="auto"/>
        <w:bottom w:val="none" w:sz="0" w:space="0" w:color="auto"/>
        <w:right w:val="none" w:sz="0" w:space="0" w:color="auto"/>
      </w:divBdr>
      <w:divsChild>
        <w:div w:id="42870091">
          <w:marLeft w:val="0"/>
          <w:marRight w:val="0"/>
          <w:marTop w:val="0"/>
          <w:marBottom w:val="0"/>
          <w:divBdr>
            <w:top w:val="none" w:sz="0" w:space="0" w:color="auto"/>
            <w:left w:val="none" w:sz="0" w:space="0" w:color="auto"/>
            <w:bottom w:val="none" w:sz="0" w:space="0" w:color="auto"/>
            <w:right w:val="none" w:sz="0" w:space="0" w:color="auto"/>
          </w:divBdr>
        </w:div>
        <w:div w:id="111678814">
          <w:marLeft w:val="0"/>
          <w:marRight w:val="0"/>
          <w:marTop w:val="0"/>
          <w:marBottom w:val="0"/>
          <w:divBdr>
            <w:top w:val="none" w:sz="0" w:space="0" w:color="auto"/>
            <w:left w:val="none" w:sz="0" w:space="0" w:color="auto"/>
            <w:bottom w:val="none" w:sz="0" w:space="0" w:color="auto"/>
            <w:right w:val="none" w:sz="0" w:space="0" w:color="auto"/>
          </w:divBdr>
        </w:div>
        <w:div w:id="935792443">
          <w:marLeft w:val="0"/>
          <w:marRight w:val="0"/>
          <w:marTop w:val="0"/>
          <w:marBottom w:val="0"/>
          <w:divBdr>
            <w:top w:val="none" w:sz="0" w:space="0" w:color="auto"/>
            <w:left w:val="none" w:sz="0" w:space="0" w:color="auto"/>
            <w:bottom w:val="none" w:sz="0" w:space="0" w:color="auto"/>
            <w:right w:val="none" w:sz="0" w:space="0" w:color="auto"/>
          </w:divBdr>
        </w:div>
        <w:div w:id="959188902">
          <w:marLeft w:val="0"/>
          <w:marRight w:val="0"/>
          <w:marTop w:val="0"/>
          <w:marBottom w:val="0"/>
          <w:divBdr>
            <w:top w:val="none" w:sz="0" w:space="0" w:color="auto"/>
            <w:left w:val="none" w:sz="0" w:space="0" w:color="auto"/>
            <w:bottom w:val="none" w:sz="0" w:space="0" w:color="auto"/>
            <w:right w:val="none" w:sz="0" w:space="0" w:color="auto"/>
          </w:divBdr>
        </w:div>
        <w:div w:id="1427534509">
          <w:marLeft w:val="0"/>
          <w:marRight w:val="0"/>
          <w:marTop w:val="0"/>
          <w:marBottom w:val="0"/>
          <w:divBdr>
            <w:top w:val="none" w:sz="0" w:space="0" w:color="auto"/>
            <w:left w:val="none" w:sz="0" w:space="0" w:color="auto"/>
            <w:bottom w:val="none" w:sz="0" w:space="0" w:color="auto"/>
            <w:right w:val="none" w:sz="0" w:space="0" w:color="auto"/>
          </w:divBdr>
        </w:div>
        <w:div w:id="1821920810">
          <w:marLeft w:val="0"/>
          <w:marRight w:val="0"/>
          <w:marTop w:val="0"/>
          <w:marBottom w:val="0"/>
          <w:divBdr>
            <w:top w:val="none" w:sz="0" w:space="0" w:color="auto"/>
            <w:left w:val="none" w:sz="0" w:space="0" w:color="auto"/>
            <w:bottom w:val="none" w:sz="0" w:space="0" w:color="auto"/>
            <w:right w:val="none" w:sz="0" w:space="0" w:color="auto"/>
          </w:divBdr>
        </w:div>
      </w:divsChild>
    </w:div>
    <w:div w:id="1454667224">
      <w:bodyDiv w:val="1"/>
      <w:marLeft w:val="0"/>
      <w:marRight w:val="0"/>
      <w:marTop w:val="0"/>
      <w:marBottom w:val="0"/>
      <w:divBdr>
        <w:top w:val="none" w:sz="0" w:space="0" w:color="auto"/>
        <w:left w:val="none" w:sz="0" w:space="0" w:color="auto"/>
        <w:bottom w:val="none" w:sz="0" w:space="0" w:color="auto"/>
        <w:right w:val="none" w:sz="0" w:space="0" w:color="auto"/>
      </w:divBdr>
      <w:divsChild>
        <w:div w:id="632635322">
          <w:marLeft w:val="0"/>
          <w:marRight w:val="0"/>
          <w:marTop w:val="0"/>
          <w:marBottom w:val="0"/>
          <w:divBdr>
            <w:top w:val="none" w:sz="0" w:space="0" w:color="auto"/>
            <w:left w:val="none" w:sz="0" w:space="0" w:color="auto"/>
            <w:bottom w:val="none" w:sz="0" w:space="0" w:color="auto"/>
            <w:right w:val="none" w:sz="0" w:space="0" w:color="auto"/>
          </w:divBdr>
        </w:div>
        <w:div w:id="668824241">
          <w:marLeft w:val="0"/>
          <w:marRight w:val="0"/>
          <w:marTop w:val="0"/>
          <w:marBottom w:val="0"/>
          <w:divBdr>
            <w:top w:val="none" w:sz="0" w:space="0" w:color="auto"/>
            <w:left w:val="none" w:sz="0" w:space="0" w:color="auto"/>
            <w:bottom w:val="none" w:sz="0" w:space="0" w:color="auto"/>
            <w:right w:val="none" w:sz="0" w:space="0" w:color="auto"/>
          </w:divBdr>
        </w:div>
        <w:div w:id="1362439400">
          <w:marLeft w:val="0"/>
          <w:marRight w:val="0"/>
          <w:marTop w:val="0"/>
          <w:marBottom w:val="0"/>
          <w:divBdr>
            <w:top w:val="none" w:sz="0" w:space="0" w:color="auto"/>
            <w:left w:val="none" w:sz="0" w:space="0" w:color="auto"/>
            <w:bottom w:val="none" w:sz="0" w:space="0" w:color="auto"/>
            <w:right w:val="none" w:sz="0" w:space="0" w:color="auto"/>
          </w:divBdr>
        </w:div>
      </w:divsChild>
    </w:div>
    <w:div w:id="1561866228">
      <w:bodyDiv w:val="1"/>
      <w:marLeft w:val="0"/>
      <w:marRight w:val="0"/>
      <w:marTop w:val="0"/>
      <w:marBottom w:val="0"/>
      <w:divBdr>
        <w:top w:val="none" w:sz="0" w:space="0" w:color="auto"/>
        <w:left w:val="none" w:sz="0" w:space="0" w:color="auto"/>
        <w:bottom w:val="none" w:sz="0" w:space="0" w:color="auto"/>
        <w:right w:val="none" w:sz="0" w:space="0" w:color="auto"/>
      </w:divBdr>
    </w:div>
    <w:div w:id="1616671576">
      <w:bodyDiv w:val="1"/>
      <w:marLeft w:val="0"/>
      <w:marRight w:val="0"/>
      <w:marTop w:val="0"/>
      <w:marBottom w:val="0"/>
      <w:divBdr>
        <w:top w:val="none" w:sz="0" w:space="0" w:color="auto"/>
        <w:left w:val="none" w:sz="0" w:space="0" w:color="auto"/>
        <w:bottom w:val="none" w:sz="0" w:space="0" w:color="auto"/>
        <w:right w:val="none" w:sz="0" w:space="0" w:color="auto"/>
      </w:divBdr>
      <w:divsChild>
        <w:div w:id="1670214146">
          <w:marLeft w:val="720"/>
          <w:marRight w:val="0"/>
          <w:marTop w:val="0"/>
          <w:marBottom w:val="0"/>
          <w:divBdr>
            <w:top w:val="none" w:sz="0" w:space="0" w:color="auto"/>
            <w:left w:val="none" w:sz="0" w:space="0" w:color="auto"/>
            <w:bottom w:val="none" w:sz="0" w:space="0" w:color="auto"/>
            <w:right w:val="none" w:sz="0" w:space="0" w:color="auto"/>
          </w:divBdr>
        </w:div>
        <w:div w:id="1934315033">
          <w:marLeft w:val="720"/>
          <w:marRight w:val="0"/>
          <w:marTop w:val="0"/>
          <w:marBottom w:val="0"/>
          <w:divBdr>
            <w:top w:val="none" w:sz="0" w:space="0" w:color="auto"/>
            <w:left w:val="none" w:sz="0" w:space="0" w:color="auto"/>
            <w:bottom w:val="none" w:sz="0" w:space="0" w:color="auto"/>
            <w:right w:val="none" w:sz="0" w:space="0" w:color="auto"/>
          </w:divBdr>
        </w:div>
      </w:divsChild>
    </w:div>
    <w:div w:id="1657029174">
      <w:bodyDiv w:val="1"/>
      <w:marLeft w:val="0"/>
      <w:marRight w:val="0"/>
      <w:marTop w:val="0"/>
      <w:marBottom w:val="0"/>
      <w:divBdr>
        <w:top w:val="none" w:sz="0" w:space="0" w:color="auto"/>
        <w:left w:val="none" w:sz="0" w:space="0" w:color="auto"/>
        <w:bottom w:val="none" w:sz="0" w:space="0" w:color="auto"/>
        <w:right w:val="none" w:sz="0" w:space="0" w:color="auto"/>
      </w:divBdr>
      <w:divsChild>
        <w:div w:id="1268074106">
          <w:marLeft w:val="1267"/>
          <w:marRight w:val="0"/>
          <w:marTop w:val="0"/>
          <w:marBottom w:val="0"/>
          <w:divBdr>
            <w:top w:val="none" w:sz="0" w:space="0" w:color="auto"/>
            <w:left w:val="none" w:sz="0" w:space="0" w:color="auto"/>
            <w:bottom w:val="none" w:sz="0" w:space="0" w:color="auto"/>
            <w:right w:val="none" w:sz="0" w:space="0" w:color="auto"/>
          </w:divBdr>
        </w:div>
        <w:div w:id="1750348052">
          <w:marLeft w:val="1267"/>
          <w:marRight w:val="0"/>
          <w:marTop w:val="0"/>
          <w:marBottom w:val="0"/>
          <w:divBdr>
            <w:top w:val="none" w:sz="0" w:space="0" w:color="auto"/>
            <w:left w:val="none" w:sz="0" w:space="0" w:color="auto"/>
            <w:bottom w:val="none" w:sz="0" w:space="0" w:color="auto"/>
            <w:right w:val="none" w:sz="0" w:space="0" w:color="auto"/>
          </w:divBdr>
        </w:div>
      </w:divsChild>
    </w:div>
    <w:div w:id="1673072504">
      <w:bodyDiv w:val="1"/>
      <w:marLeft w:val="0"/>
      <w:marRight w:val="0"/>
      <w:marTop w:val="0"/>
      <w:marBottom w:val="0"/>
      <w:divBdr>
        <w:top w:val="none" w:sz="0" w:space="0" w:color="auto"/>
        <w:left w:val="none" w:sz="0" w:space="0" w:color="auto"/>
        <w:bottom w:val="none" w:sz="0" w:space="0" w:color="auto"/>
        <w:right w:val="none" w:sz="0" w:space="0" w:color="auto"/>
      </w:divBdr>
      <w:divsChild>
        <w:div w:id="206918307">
          <w:marLeft w:val="1008"/>
          <w:marRight w:val="0"/>
          <w:marTop w:val="110"/>
          <w:marBottom w:val="0"/>
          <w:divBdr>
            <w:top w:val="none" w:sz="0" w:space="0" w:color="auto"/>
            <w:left w:val="none" w:sz="0" w:space="0" w:color="auto"/>
            <w:bottom w:val="none" w:sz="0" w:space="0" w:color="auto"/>
            <w:right w:val="none" w:sz="0" w:space="0" w:color="auto"/>
          </w:divBdr>
        </w:div>
        <w:div w:id="1039432636">
          <w:marLeft w:val="1008"/>
          <w:marRight w:val="0"/>
          <w:marTop w:val="110"/>
          <w:marBottom w:val="0"/>
          <w:divBdr>
            <w:top w:val="none" w:sz="0" w:space="0" w:color="auto"/>
            <w:left w:val="none" w:sz="0" w:space="0" w:color="auto"/>
            <w:bottom w:val="none" w:sz="0" w:space="0" w:color="auto"/>
            <w:right w:val="none" w:sz="0" w:space="0" w:color="auto"/>
          </w:divBdr>
        </w:div>
      </w:divsChild>
    </w:div>
    <w:div w:id="1684624056">
      <w:bodyDiv w:val="1"/>
      <w:marLeft w:val="0"/>
      <w:marRight w:val="0"/>
      <w:marTop w:val="0"/>
      <w:marBottom w:val="0"/>
      <w:divBdr>
        <w:top w:val="none" w:sz="0" w:space="0" w:color="auto"/>
        <w:left w:val="none" w:sz="0" w:space="0" w:color="auto"/>
        <w:bottom w:val="none" w:sz="0" w:space="0" w:color="auto"/>
        <w:right w:val="none" w:sz="0" w:space="0" w:color="auto"/>
      </w:divBdr>
      <w:divsChild>
        <w:div w:id="1651977855">
          <w:marLeft w:val="720"/>
          <w:marRight w:val="0"/>
          <w:marTop w:val="0"/>
          <w:marBottom w:val="0"/>
          <w:divBdr>
            <w:top w:val="none" w:sz="0" w:space="0" w:color="auto"/>
            <w:left w:val="none" w:sz="0" w:space="0" w:color="auto"/>
            <w:bottom w:val="none" w:sz="0" w:space="0" w:color="auto"/>
            <w:right w:val="none" w:sz="0" w:space="0" w:color="auto"/>
          </w:divBdr>
        </w:div>
      </w:divsChild>
    </w:div>
    <w:div w:id="1711951398">
      <w:bodyDiv w:val="1"/>
      <w:marLeft w:val="0"/>
      <w:marRight w:val="0"/>
      <w:marTop w:val="0"/>
      <w:marBottom w:val="0"/>
      <w:divBdr>
        <w:top w:val="none" w:sz="0" w:space="0" w:color="auto"/>
        <w:left w:val="none" w:sz="0" w:space="0" w:color="auto"/>
        <w:bottom w:val="none" w:sz="0" w:space="0" w:color="auto"/>
        <w:right w:val="none" w:sz="0" w:space="0" w:color="auto"/>
      </w:divBdr>
      <w:divsChild>
        <w:div w:id="166673048">
          <w:marLeft w:val="720"/>
          <w:marRight w:val="0"/>
          <w:marTop w:val="0"/>
          <w:marBottom w:val="0"/>
          <w:divBdr>
            <w:top w:val="none" w:sz="0" w:space="0" w:color="auto"/>
            <w:left w:val="none" w:sz="0" w:space="0" w:color="auto"/>
            <w:bottom w:val="none" w:sz="0" w:space="0" w:color="auto"/>
            <w:right w:val="none" w:sz="0" w:space="0" w:color="auto"/>
          </w:divBdr>
        </w:div>
        <w:div w:id="1685669414">
          <w:marLeft w:val="720"/>
          <w:marRight w:val="0"/>
          <w:marTop w:val="0"/>
          <w:marBottom w:val="0"/>
          <w:divBdr>
            <w:top w:val="none" w:sz="0" w:space="0" w:color="auto"/>
            <w:left w:val="none" w:sz="0" w:space="0" w:color="auto"/>
            <w:bottom w:val="none" w:sz="0" w:space="0" w:color="auto"/>
            <w:right w:val="none" w:sz="0" w:space="0" w:color="auto"/>
          </w:divBdr>
        </w:div>
      </w:divsChild>
    </w:div>
    <w:div w:id="1758817817">
      <w:bodyDiv w:val="1"/>
      <w:marLeft w:val="0"/>
      <w:marRight w:val="0"/>
      <w:marTop w:val="0"/>
      <w:marBottom w:val="0"/>
      <w:divBdr>
        <w:top w:val="none" w:sz="0" w:space="0" w:color="auto"/>
        <w:left w:val="none" w:sz="0" w:space="0" w:color="auto"/>
        <w:bottom w:val="none" w:sz="0" w:space="0" w:color="auto"/>
        <w:right w:val="none" w:sz="0" w:space="0" w:color="auto"/>
      </w:divBdr>
      <w:divsChild>
        <w:div w:id="355041096">
          <w:marLeft w:val="1267"/>
          <w:marRight w:val="0"/>
          <w:marTop w:val="0"/>
          <w:marBottom w:val="0"/>
          <w:divBdr>
            <w:top w:val="none" w:sz="0" w:space="0" w:color="auto"/>
            <w:left w:val="none" w:sz="0" w:space="0" w:color="auto"/>
            <w:bottom w:val="none" w:sz="0" w:space="0" w:color="auto"/>
            <w:right w:val="none" w:sz="0" w:space="0" w:color="auto"/>
          </w:divBdr>
        </w:div>
        <w:div w:id="2070808709">
          <w:marLeft w:val="1267"/>
          <w:marRight w:val="0"/>
          <w:marTop w:val="0"/>
          <w:marBottom w:val="0"/>
          <w:divBdr>
            <w:top w:val="none" w:sz="0" w:space="0" w:color="auto"/>
            <w:left w:val="none" w:sz="0" w:space="0" w:color="auto"/>
            <w:bottom w:val="none" w:sz="0" w:space="0" w:color="auto"/>
            <w:right w:val="none" w:sz="0" w:space="0" w:color="auto"/>
          </w:divBdr>
        </w:div>
      </w:divsChild>
    </w:div>
    <w:div w:id="1775781942">
      <w:bodyDiv w:val="1"/>
      <w:marLeft w:val="0"/>
      <w:marRight w:val="0"/>
      <w:marTop w:val="0"/>
      <w:marBottom w:val="0"/>
      <w:divBdr>
        <w:top w:val="none" w:sz="0" w:space="0" w:color="auto"/>
        <w:left w:val="none" w:sz="0" w:space="0" w:color="auto"/>
        <w:bottom w:val="none" w:sz="0" w:space="0" w:color="auto"/>
        <w:right w:val="none" w:sz="0" w:space="0" w:color="auto"/>
      </w:divBdr>
      <w:divsChild>
        <w:div w:id="1423986655">
          <w:marLeft w:val="1267"/>
          <w:marRight w:val="0"/>
          <w:marTop w:val="0"/>
          <w:marBottom w:val="0"/>
          <w:divBdr>
            <w:top w:val="none" w:sz="0" w:space="0" w:color="auto"/>
            <w:left w:val="none" w:sz="0" w:space="0" w:color="auto"/>
            <w:bottom w:val="none" w:sz="0" w:space="0" w:color="auto"/>
            <w:right w:val="none" w:sz="0" w:space="0" w:color="auto"/>
          </w:divBdr>
        </w:div>
        <w:div w:id="2065830422">
          <w:marLeft w:val="1267"/>
          <w:marRight w:val="0"/>
          <w:marTop w:val="0"/>
          <w:marBottom w:val="0"/>
          <w:divBdr>
            <w:top w:val="none" w:sz="0" w:space="0" w:color="auto"/>
            <w:left w:val="none" w:sz="0" w:space="0" w:color="auto"/>
            <w:bottom w:val="none" w:sz="0" w:space="0" w:color="auto"/>
            <w:right w:val="none" w:sz="0" w:space="0" w:color="auto"/>
          </w:divBdr>
        </w:div>
      </w:divsChild>
    </w:div>
    <w:div w:id="1893494381">
      <w:bodyDiv w:val="1"/>
      <w:marLeft w:val="0"/>
      <w:marRight w:val="0"/>
      <w:marTop w:val="0"/>
      <w:marBottom w:val="0"/>
      <w:divBdr>
        <w:top w:val="none" w:sz="0" w:space="0" w:color="auto"/>
        <w:left w:val="none" w:sz="0" w:space="0" w:color="auto"/>
        <w:bottom w:val="none" w:sz="0" w:space="0" w:color="auto"/>
        <w:right w:val="none" w:sz="0" w:space="0" w:color="auto"/>
      </w:divBdr>
    </w:div>
    <w:div w:id="1902017372">
      <w:bodyDiv w:val="1"/>
      <w:marLeft w:val="0"/>
      <w:marRight w:val="0"/>
      <w:marTop w:val="0"/>
      <w:marBottom w:val="0"/>
      <w:divBdr>
        <w:top w:val="none" w:sz="0" w:space="0" w:color="auto"/>
        <w:left w:val="none" w:sz="0" w:space="0" w:color="auto"/>
        <w:bottom w:val="none" w:sz="0" w:space="0" w:color="auto"/>
        <w:right w:val="none" w:sz="0" w:space="0" w:color="auto"/>
      </w:divBdr>
    </w:div>
    <w:div w:id="1940867690">
      <w:bodyDiv w:val="1"/>
      <w:marLeft w:val="0"/>
      <w:marRight w:val="0"/>
      <w:marTop w:val="0"/>
      <w:marBottom w:val="0"/>
      <w:divBdr>
        <w:top w:val="none" w:sz="0" w:space="0" w:color="auto"/>
        <w:left w:val="none" w:sz="0" w:space="0" w:color="auto"/>
        <w:bottom w:val="none" w:sz="0" w:space="0" w:color="auto"/>
        <w:right w:val="none" w:sz="0" w:space="0" w:color="auto"/>
      </w:divBdr>
    </w:div>
    <w:div w:id="1957788344">
      <w:bodyDiv w:val="1"/>
      <w:marLeft w:val="0"/>
      <w:marRight w:val="0"/>
      <w:marTop w:val="0"/>
      <w:marBottom w:val="0"/>
      <w:divBdr>
        <w:top w:val="none" w:sz="0" w:space="0" w:color="auto"/>
        <w:left w:val="none" w:sz="0" w:space="0" w:color="auto"/>
        <w:bottom w:val="none" w:sz="0" w:space="0" w:color="auto"/>
        <w:right w:val="none" w:sz="0" w:space="0" w:color="auto"/>
      </w:divBdr>
      <w:divsChild>
        <w:div w:id="101387676">
          <w:marLeft w:val="720"/>
          <w:marRight w:val="0"/>
          <w:marTop w:val="0"/>
          <w:marBottom w:val="0"/>
          <w:divBdr>
            <w:top w:val="none" w:sz="0" w:space="0" w:color="auto"/>
            <w:left w:val="none" w:sz="0" w:space="0" w:color="auto"/>
            <w:bottom w:val="none" w:sz="0" w:space="0" w:color="auto"/>
            <w:right w:val="none" w:sz="0" w:space="0" w:color="auto"/>
          </w:divBdr>
        </w:div>
        <w:div w:id="1387413805">
          <w:marLeft w:val="720"/>
          <w:marRight w:val="0"/>
          <w:marTop w:val="0"/>
          <w:marBottom w:val="0"/>
          <w:divBdr>
            <w:top w:val="none" w:sz="0" w:space="0" w:color="auto"/>
            <w:left w:val="none" w:sz="0" w:space="0" w:color="auto"/>
            <w:bottom w:val="none" w:sz="0" w:space="0" w:color="auto"/>
            <w:right w:val="none" w:sz="0" w:space="0" w:color="auto"/>
          </w:divBdr>
        </w:div>
      </w:divsChild>
    </w:div>
    <w:div w:id="1966422506">
      <w:bodyDiv w:val="1"/>
      <w:marLeft w:val="0"/>
      <w:marRight w:val="0"/>
      <w:marTop w:val="0"/>
      <w:marBottom w:val="0"/>
      <w:divBdr>
        <w:top w:val="none" w:sz="0" w:space="0" w:color="auto"/>
        <w:left w:val="none" w:sz="0" w:space="0" w:color="auto"/>
        <w:bottom w:val="none" w:sz="0" w:space="0" w:color="auto"/>
        <w:right w:val="none" w:sz="0" w:space="0" w:color="auto"/>
      </w:divBdr>
      <w:divsChild>
        <w:div w:id="1183713107">
          <w:marLeft w:val="1008"/>
          <w:marRight w:val="0"/>
          <w:marTop w:val="110"/>
          <w:marBottom w:val="0"/>
          <w:divBdr>
            <w:top w:val="none" w:sz="0" w:space="0" w:color="auto"/>
            <w:left w:val="none" w:sz="0" w:space="0" w:color="auto"/>
            <w:bottom w:val="none" w:sz="0" w:space="0" w:color="auto"/>
            <w:right w:val="none" w:sz="0" w:space="0" w:color="auto"/>
          </w:divBdr>
        </w:div>
      </w:divsChild>
    </w:div>
    <w:div w:id="1993482958">
      <w:bodyDiv w:val="1"/>
      <w:marLeft w:val="0"/>
      <w:marRight w:val="0"/>
      <w:marTop w:val="0"/>
      <w:marBottom w:val="0"/>
      <w:divBdr>
        <w:top w:val="none" w:sz="0" w:space="0" w:color="auto"/>
        <w:left w:val="none" w:sz="0" w:space="0" w:color="auto"/>
        <w:bottom w:val="none" w:sz="0" w:space="0" w:color="auto"/>
        <w:right w:val="none" w:sz="0" w:space="0" w:color="auto"/>
      </w:divBdr>
      <w:divsChild>
        <w:div w:id="1252204439">
          <w:marLeft w:val="3"/>
          <w:marRight w:val="3"/>
          <w:marTop w:val="0"/>
          <w:marBottom w:val="0"/>
          <w:divBdr>
            <w:top w:val="single" w:sz="48" w:space="0" w:color="FFFFFF"/>
            <w:left w:val="single" w:sz="48" w:space="0" w:color="FFFFFF"/>
            <w:bottom w:val="single" w:sz="48" w:space="0" w:color="FFFFFF"/>
            <w:right w:val="single" w:sz="48" w:space="0" w:color="FFFFFF"/>
          </w:divBdr>
          <w:divsChild>
            <w:div w:id="2088723088">
              <w:marLeft w:val="0"/>
              <w:marRight w:val="0"/>
              <w:marTop w:val="0"/>
              <w:marBottom w:val="0"/>
              <w:divBdr>
                <w:top w:val="none" w:sz="0" w:space="0" w:color="auto"/>
                <w:left w:val="none" w:sz="0" w:space="0" w:color="auto"/>
                <w:bottom w:val="none" w:sz="0" w:space="0" w:color="auto"/>
                <w:right w:val="none" w:sz="0" w:space="0" w:color="auto"/>
              </w:divBdr>
              <w:divsChild>
                <w:div w:id="589587753">
                  <w:marLeft w:val="0"/>
                  <w:marRight w:val="0"/>
                  <w:marTop w:val="0"/>
                  <w:marBottom w:val="0"/>
                  <w:divBdr>
                    <w:top w:val="none" w:sz="0" w:space="0" w:color="auto"/>
                    <w:left w:val="none" w:sz="0" w:space="0" w:color="auto"/>
                    <w:bottom w:val="none" w:sz="0" w:space="0" w:color="auto"/>
                    <w:right w:val="none" w:sz="0" w:space="0" w:color="auto"/>
                  </w:divBdr>
                  <w:divsChild>
                    <w:div w:id="1307006796">
                      <w:marLeft w:val="0"/>
                      <w:marRight w:val="-100"/>
                      <w:marTop w:val="0"/>
                      <w:marBottom w:val="0"/>
                      <w:divBdr>
                        <w:top w:val="none" w:sz="0" w:space="0" w:color="auto"/>
                        <w:left w:val="none" w:sz="0" w:space="0" w:color="auto"/>
                        <w:bottom w:val="none" w:sz="0" w:space="0" w:color="auto"/>
                        <w:right w:val="none" w:sz="0" w:space="0" w:color="auto"/>
                      </w:divBdr>
                      <w:divsChild>
                        <w:div w:id="1459303046">
                          <w:marLeft w:val="25"/>
                          <w:marRight w:val="25"/>
                          <w:marTop w:val="0"/>
                          <w:marBottom w:val="0"/>
                          <w:divBdr>
                            <w:top w:val="none" w:sz="0" w:space="0" w:color="auto"/>
                            <w:left w:val="none" w:sz="0" w:space="0" w:color="auto"/>
                            <w:bottom w:val="none" w:sz="0" w:space="0" w:color="auto"/>
                            <w:right w:val="none" w:sz="0" w:space="0" w:color="auto"/>
                          </w:divBdr>
                          <w:divsChild>
                            <w:div w:id="175702619">
                              <w:marLeft w:val="0"/>
                              <w:marRight w:val="0"/>
                              <w:marTop w:val="0"/>
                              <w:marBottom w:val="0"/>
                              <w:divBdr>
                                <w:top w:val="none" w:sz="0" w:space="0" w:color="auto"/>
                                <w:left w:val="none" w:sz="0" w:space="0" w:color="auto"/>
                                <w:bottom w:val="none" w:sz="0" w:space="0" w:color="auto"/>
                                <w:right w:val="none" w:sz="0" w:space="0" w:color="auto"/>
                              </w:divBdr>
                              <w:divsChild>
                                <w:div w:id="470447116">
                                  <w:marLeft w:val="0"/>
                                  <w:marRight w:val="0"/>
                                  <w:marTop w:val="0"/>
                                  <w:marBottom w:val="0"/>
                                  <w:divBdr>
                                    <w:top w:val="none" w:sz="0" w:space="0" w:color="auto"/>
                                    <w:left w:val="none" w:sz="0" w:space="0" w:color="auto"/>
                                    <w:bottom w:val="none" w:sz="0" w:space="0" w:color="auto"/>
                                    <w:right w:val="none" w:sz="0" w:space="0" w:color="auto"/>
                                  </w:divBdr>
                                  <w:divsChild>
                                    <w:div w:id="619186391">
                                      <w:marLeft w:val="0"/>
                                      <w:marRight w:val="0"/>
                                      <w:marTop w:val="0"/>
                                      <w:marBottom w:val="0"/>
                                      <w:divBdr>
                                        <w:top w:val="none" w:sz="0" w:space="0" w:color="auto"/>
                                        <w:left w:val="none" w:sz="0" w:space="0" w:color="auto"/>
                                        <w:bottom w:val="none" w:sz="0" w:space="0" w:color="auto"/>
                                        <w:right w:val="none" w:sz="0" w:space="0" w:color="auto"/>
                                      </w:divBdr>
                                      <w:divsChild>
                                        <w:div w:id="783960187">
                                          <w:marLeft w:val="0"/>
                                          <w:marRight w:val="0"/>
                                          <w:marTop w:val="0"/>
                                          <w:marBottom w:val="0"/>
                                          <w:divBdr>
                                            <w:top w:val="none" w:sz="0" w:space="0" w:color="auto"/>
                                            <w:left w:val="none" w:sz="0" w:space="0" w:color="auto"/>
                                            <w:bottom w:val="none" w:sz="0" w:space="0" w:color="auto"/>
                                            <w:right w:val="none" w:sz="0" w:space="0" w:color="auto"/>
                                          </w:divBdr>
                                          <w:divsChild>
                                            <w:div w:id="1418407704">
                                              <w:marLeft w:val="0"/>
                                              <w:marRight w:val="0"/>
                                              <w:marTop w:val="0"/>
                                              <w:marBottom w:val="0"/>
                                              <w:divBdr>
                                                <w:top w:val="none" w:sz="0" w:space="0" w:color="auto"/>
                                                <w:left w:val="none" w:sz="0" w:space="0" w:color="auto"/>
                                                <w:bottom w:val="none" w:sz="0" w:space="0" w:color="auto"/>
                                                <w:right w:val="none" w:sz="0" w:space="0" w:color="auto"/>
                                              </w:divBdr>
                                              <w:divsChild>
                                                <w:div w:id="858854483">
                                                  <w:marLeft w:val="0"/>
                                                  <w:marRight w:val="0"/>
                                                  <w:marTop w:val="0"/>
                                                  <w:marBottom w:val="0"/>
                                                  <w:divBdr>
                                                    <w:top w:val="none" w:sz="0" w:space="0" w:color="auto"/>
                                                    <w:left w:val="none" w:sz="0" w:space="0" w:color="auto"/>
                                                    <w:bottom w:val="none" w:sz="0" w:space="0" w:color="auto"/>
                                                    <w:right w:val="none" w:sz="0" w:space="0" w:color="auto"/>
                                                  </w:divBdr>
                                                  <w:divsChild>
                                                    <w:div w:id="1428428346">
                                                      <w:marLeft w:val="0"/>
                                                      <w:marRight w:val="0"/>
                                                      <w:marTop w:val="0"/>
                                                      <w:marBottom w:val="0"/>
                                                      <w:divBdr>
                                                        <w:top w:val="none" w:sz="0" w:space="0" w:color="auto"/>
                                                        <w:left w:val="none" w:sz="0" w:space="0" w:color="auto"/>
                                                        <w:bottom w:val="none" w:sz="0" w:space="0" w:color="auto"/>
                                                        <w:right w:val="none" w:sz="0" w:space="0" w:color="auto"/>
                                                      </w:divBdr>
                                                      <w:divsChild>
                                                        <w:div w:id="541674463">
                                                          <w:marLeft w:val="0"/>
                                                          <w:marRight w:val="0"/>
                                                          <w:marTop w:val="0"/>
                                                          <w:marBottom w:val="0"/>
                                                          <w:divBdr>
                                                            <w:top w:val="none" w:sz="0" w:space="0" w:color="auto"/>
                                                            <w:left w:val="none" w:sz="0" w:space="0" w:color="auto"/>
                                                            <w:bottom w:val="none" w:sz="0" w:space="0" w:color="auto"/>
                                                            <w:right w:val="none" w:sz="0" w:space="0" w:color="auto"/>
                                                          </w:divBdr>
                                                          <w:divsChild>
                                                            <w:div w:id="296448679">
                                                              <w:marLeft w:val="0"/>
                                                              <w:marRight w:val="0"/>
                                                              <w:marTop w:val="0"/>
                                                              <w:marBottom w:val="0"/>
                                                              <w:divBdr>
                                                                <w:top w:val="none" w:sz="0" w:space="0" w:color="auto"/>
                                                                <w:left w:val="none" w:sz="0" w:space="0" w:color="auto"/>
                                                                <w:bottom w:val="none" w:sz="0" w:space="0" w:color="auto"/>
                                                                <w:right w:val="none" w:sz="0" w:space="0" w:color="auto"/>
                                                              </w:divBdr>
                                                              <w:divsChild>
                                                                <w:div w:id="15932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832421">
      <w:bodyDiv w:val="1"/>
      <w:marLeft w:val="0"/>
      <w:marRight w:val="0"/>
      <w:marTop w:val="0"/>
      <w:marBottom w:val="0"/>
      <w:divBdr>
        <w:top w:val="none" w:sz="0" w:space="0" w:color="auto"/>
        <w:left w:val="none" w:sz="0" w:space="0" w:color="auto"/>
        <w:bottom w:val="none" w:sz="0" w:space="0" w:color="auto"/>
        <w:right w:val="none" w:sz="0" w:space="0" w:color="auto"/>
      </w:divBdr>
      <w:divsChild>
        <w:div w:id="780343069">
          <w:marLeft w:val="0"/>
          <w:marRight w:val="0"/>
          <w:marTop w:val="0"/>
          <w:marBottom w:val="0"/>
          <w:divBdr>
            <w:top w:val="none" w:sz="0" w:space="0" w:color="auto"/>
            <w:left w:val="none" w:sz="0" w:space="0" w:color="auto"/>
            <w:bottom w:val="none" w:sz="0" w:space="0" w:color="auto"/>
            <w:right w:val="none" w:sz="0" w:space="0" w:color="auto"/>
          </w:divBdr>
        </w:div>
        <w:div w:id="936790541">
          <w:marLeft w:val="0"/>
          <w:marRight w:val="0"/>
          <w:marTop w:val="0"/>
          <w:marBottom w:val="0"/>
          <w:divBdr>
            <w:top w:val="none" w:sz="0" w:space="0" w:color="auto"/>
            <w:left w:val="none" w:sz="0" w:space="0" w:color="auto"/>
            <w:bottom w:val="none" w:sz="0" w:space="0" w:color="auto"/>
            <w:right w:val="none" w:sz="0" w:space="0" w:color="auto"/>
          </w:divBdr>
        </w:div>
      </w:divsChild>
    </w:div>
    <w:div w:id="2080784289">
      <w:bodyDiv w:val="1"/>
      <w:marLeft w:val="0"/>
      <w:marRight w:val="0"/>
      <w:marTop w:val="0"/>
      <w:marBottom w:val="0"/>
      <w:divBdr>
        <w:top w:val="none" w:sz="0" w:space="0" w:color="auto"/>
        <w:left w:val="none" w:sz="0" w:space="0" w:color="auto"/>
        <w:bottom w:val="none" w:sz="0" w:space="0" w:color="auto"/>
        <w:right w:val="none" w:sz="0" w:space="0" w:color="auto"/>
      </w:divBdr>
    </w:div>
    <w:div w:id="2085761425">
      <w:bodyDiv w:val="1"/>
      <w:marLeft w:val="0"/>
      <w:marRight w:val="0"/>
      <w:marTop w:val="0"/>
      <w:marBottom w:val="0"/>
      <w:divBdr>
        <w:top w:val="none" w:sz="0" w:space="0" w:color="auto"/>
        <w:left w:val="none" w:sz="0" w:space="0" w:color="auto"/>
        <w:bottom w:val="none" w:sz="0" w:space="0" w:color="auto"/>
        <w:right w:val="none" w:sz="0" w:space="0" w:color="auto"/>
      </w:divBdr>
      <w:divsChild>
        <w:div w:id="995575152">
          <w:marLeft w:val="720"/>
          <w:marRight w:val="0"/>
          <w:marTop w:val="0"/>
          <w:marBottom w:val="0"/>
          <w:divBdr>
            <w:top w:val="none" w:sz="0" w:space="0" w:color="auto"/>
            <w:left w:val="none" w:sz="0" w:space="0" w:color="auto"/>
            <w:bottom w:val="none" w:sz="0" w:space="0" w:color="auto"/>
            <w:right w:val="none" w:sz="0" w:space="0" w:color="auto"/>
          </w:divBdr>
        </w:div>
        <w:div w:id="2054497019">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74.jpeg"/><Relationship Id="rId21" Type="http://schemas.openxmlformats.org/officeDocument/2006/relationships/header" Target="header5.xml"/><Relationship Id="rId42" Type="http://schemas.openxmlformats.org/officeDocument/2006/relationships/image" Target="media/image17.jpeg"/><Relationship Id="rId47" Type="http://schemas.openxmlformats.org/officeDocument/2006/relationships/image" Target="media/image21.jpeg"/><Relationship Id="rId63" Type="http://schemas.openxmlformats.org/officeDocument/2006/relationships/image" Target="media/image35.jpeg"/><Relationship Id="rId68" Type="http://schemas.openxmlformats.org/officeDocument/2006/relationships/image" Target="media/image40.png"/><Relationship Id="rId84" Type="http://schemas.openxmlformats.org/officeDocument/2006/relationships/image" Target="media/image54.png"/><Relationship Id="rId89" Type="http://schemas.openxmlformats.org/officeDocument/2006/relationships/image" Target="media/image59.png"/><Relationship Id="rId112" Type="http://schemas.openxmlformats.org/officeDocument/2006/relationships/image" Target="media/image70.png"/><Relationship Id="rId133" Type="http://schemas.openxmlformats.org/officeDocument/2006/relationships/image" Target="media/image87.png"/><Relationship Id="rId138" Type="http://schemas.openxmlformats.org/officeDocument/2006/relationships/image" Target="media/image92.png"/><Relationship Id="rId154" Type="http://schemas.openxmlformats.org/officeDocument/2006/relationships/hyperlink" Target="http://www.cbd.gov.au/overview-of-the-program/statistics" TargetMode="External"/><Relationship Id="rId16" Type="http://schemas.openxmlformats.org/officeDocument/2006/relationships/hyperlink" Target="http://creativecommons.org/licences/by/3.0/au" TargetMode="External"/><Relationship Id="rId107" Type="http://schemas.openxmlformats.org/officeDocument/2006/relationships/image" Target="media/image65.png"/><Relationship Id="rId11" Type="http://schemas.openxmlformats.org/officeDocument/2006/relationships/header" Target="header2.xml"/><Relationship Id="rId32" Type="http://schemas.openxmlformats.org/officeDocument/2006/relationships/hyperlink" Target="http://www.energyrating.gov.au/for-industry/consultations/incandescent-halogen-and-compact-fluorescent-lamps-product-profile-consultation/" TargetMode="External"/><Relationship Id="rId37" Type="http://schemas.openxmlformats.org/officeDocument/2006/relationships/image" Target="media/image12.jpeg"/><Relationship Id="rId53" Type="http://schemas.openxmlformats.org/officeDocument/2006/relationships/image" Target="media/image27.png"/><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header" Target="header8.xml"/><Relationship Id="rId102" Type="http://schemas.openxmlformats.org/officeDocument/2006/relationships/hyperlink" Target="http://www.sa.gov.au/topics/water-energy-and-environment/energy/rebates-concessions-and-incentives/retailer-energy-efficiency-scheme-rees" TargetMode="External"/><Relationship Id="rId123" Type="http://schemas.openxmlformats.org/officeDocument/2006/relationships/image" Target="media/image78.png"/><Relationship Id="rId128" Type="http://schemas.openxmlformats.org/officeDocument/2006/relationships/image" Target="media/image83.png"/><Relationship Id="rId144" Type="http://schemas.openxmlformats.org/officeDocument/2006/relationships/image" Target="media/image98.png"/><Relationship Id="rId149" Type="http://schemas.openxmlformats.org/officeDocument/2006/relationships/hyperlink" Target="http://www.energystar.gov/ia/products/ligh%20ting/iledl/IntLampCenterBeamTool.zip" TargetMode="External"/><Relationship Id="rId5" Type="http://schemas.microsoft.com/office/2007/relationships/stylesWithEffects" Target="stylesWithEffects.xml"/><Relationship Id="rId90" Type="http://schemas.openxmlformats.org/officeDocument/2006/relationships/header" Target="header9.xml"/><Relationship Id="rId95" Type="http://schemas.openxmlformats.org/officeDocument/2006/relationships/header" Target="header10.xml"/><Relationship Id="rId22" Type="http://schemas.openxmlformats.org/officeDocument/2006/relationships/footer" Target="footer5.xml"/><Relationship Id="rId27" Type="http://schemas.openxmlformats.org/officeDocument/2006/relationships/hyperlink" Target="file:///C:\Users\David\AppData\Local\Microsoft\Windows\Temporary%20Internet%20Files\Content.Outlook\XEBSYA9V\enduse.eeca.govt.nz" TargetMode="External"/><Relationship Id="rId43" Type="http://schemas.openxmlformats.org/officeDocument/2006/relationships/image" Target="media/image18.png"/><Relationship Id="rId48" Type="http://schemas.openxmlformats.org/officeDocument/2006/relationships/image" Target="media/image22.jpeg"/><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image" Target="media/image71.png"/><Relationship Id="rId118" Type="http://schemas.openxmlformats.org/officeDocument/2006/relationships/hyperlink" Target="http://www.lites.asia/downloads/tropical-performance-criteria" TargetMode="External"/><Relationship Id="rId134" Type="http://schemas.openxmlformats.org/officeDocument/2006/relationships/image" Target="media/image88.png"/><Relationship Id="rId139" Type="http://schemas.openxmlformats.org/officeDocument/2006/relationships/image" Target="media/image93.png"/><Relationship Id="rId80" Type="http://schemas.openxmlformats.org/officeDocument/2006/relationships/image" Target="media/image50.png"/><Relationship Id="rId85" Type="http://schemas.openxmlformats.org/officeDocument/2006/relationships/image" Target="media/image55.png"/><Relationship Id="rId150" Type="http://schemas.openxmlformats.org/officeDocument/2006/relationships/hyperlink" Target="http://www.energystar.gov/ia/products/ligh%20ting/iledl/IntLampCenterBeamTool.zip" TargetMode="External"/><Relationship Id="rId155" Type="http://schemas.openxmlformats.org/officeDocument/2006/relationships/header" Target="header16.xml"/><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hyperlink" Target="http://www.energyrating.gov.au/for-industry/consultations/incandescent-halogen-and-compact-fluorescent-lamps-product-profile-consultation/" TargetMode="External"/><Relationship Id="rId38" Type="http://schemas.openxmlformats.org/officeDocument/2006/relationships/image" Target="media/image13.jpeg"/><Relationship Id="rId59" Type="http://schemas.openxmlformats.org/officeDocument/2006/relationships/image" Target="media/image31.png"/><Relationship Id="rId103" Type="http://schemas.openxmlformats.org/officeDocument/2006/relationships/header" Target="header11.xml"/><Relationship Id="rId108" Type="http://schemas.openxmlformats.org/officeDocument/2006/relationships/image" Target="media/image66.png"/><Relationship Id="rId124" Type="http://schemas.openxmlformats.org/officeDocument/2006/relationships/image" Target="media/image79.png"/><Relationship Id="rId129" Type="http://schemas.openxmlformats.org/officeDocument/2006/relationships/image" Target="media/image84.png"/><Relationship Id="rId20" Type="http://schemas.openxmlformats.org/officeDocument/2006/relationships/footer" Target="footer4.xml"/><Relationship Id="rId41" Type="http://schemas.openxmlformats.org/officeDocument/2006/relationships/image" Target="media/image16.jpeg"/><Relationship Id="rId54" Type="http://schemas.openxmlformats.org/officeDocument/2006/relationships/image" Target="media/image28.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60.png"/><Relationship Id="rId96" Type="http://schemas.openxmlformats.org/officeDocument/2006/relationships/hyperlink" Target="http://www.cbd.gov.au" TargetMode="External"/><Relationship Id="rId111" Type="http://schemas.openxmlformats.org/officeDocument/2006/relationships/image" Target="media/image69.png"/><Relationship Id="rId132" Type="http://schemas.openxmlformats.org/officeDocument/2006/relationships/header" Target="header14.xml"/><Relationship Id="rId140" Type="http://schemas.openxmlformats.org/officeDocument/2006/relationships/image" Target="media/image94.png"/><Relationship Id="rId145" Type="http://schemas.openxmlformats.org/officeDocument/2006/relationships/image" Target="media/image99.png"/><Relationship Id="rId153" Type="http://schemas.openxmlformats.org/officeDocument/2006/relationships/footer" Target="footer7.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mailto:EER-Lighting@industry.gov.au" TargetMode="External"/><Relationship Id="rId28" Type="http://schemas.openxmlformats.org/officeDocument/2006/relationships/header" Target="header7.xml"/><Relationship Id="rId36" Type="http://schemas.openxmlformats.org/officeDocument/2006/relationships/image" Target="media/image11.jpeg"/><Relationship Id="rId49" Type="http://schemas.openxmlformats.org/officeDocument/2006/relationships/image" Target="media/image23.jpeg"/><Relationship Id="rId57" Type="http://schemas.openxmlformats.org/officeDocument/2006/relationships/hyperlink" Target="http://www.erac.gov.au/index.php?option=com_content&amp;view=article&amp;id=100:equipment-working-group-rulings&amp;catid=80&amp;Itemid=547" TargetMode="External"/><Relationship Id="rId106" Type="http://schemas.openxmlformats.org/officeDocument/2006/relationships/image" Target="media/image64.png"/><Relationship Id="rId114" Type="http://schemas.openxmlformats.org/officeDocument/2006/relationships/image" Target="media/image72.png"/><Relationship Id="rId119" Type="http://schemas.openxmlformats.org/officeDocument/2006/relationships/image" Target="media/image75.png"/><Relationship Id="rId127" Type="http://schemas.openxmlformats.org/officeDocument/2006/relationships/image" Target="media/image82.png"/><Relationship Id="rId10" Type="http://schemas.openxmlformats.org/officeDocument/2006/relationships/header" Target="header1.xml"/><Relationship Id="rId31" Type="http://schemas.openxmlformats.org/officeDocument/2006/relationships/image" Target="media/image8.jpeg"/><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49.emf"/><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63.png"/><Relationship Id="rId99" Type="http://schemas.openxmlformats.org/officeDocument/2006/relationships/hyperlink" Target="http://www.veet.vic.gov.au" TargetMode="External"/><Relationship Id="rId101" Type="http://schemas.openxmlformats.org/officeDocument/2006/relationships/hyperlink" Target="http://www.sa.gov.au/topics/water-energy-and-environment/energy/rebates-concessions-and-incentives/retailer-energy-efficiency-scheme-rees" TargetMode="External"/><Relationship Id="rId122" Type="http://schemas.openxmlformats.org/officeDocument/2006/relationships/image" Target="media/image77.png"/><Relationship Id="rId130" Type="http://schemas.openxmlformats.org/officeDocument/2006/relationships/image" Target="media/image85.png"/><Relationship Id="rId135" Type="http://schemas.openxmlformats.org/officeDocument/2006/relationships/image" Target="media/image89.png"/><Relationship Id="rId143" Type="http://schemas.openxmlformats.org/officeDocument/2006/relationships/image" Target="media/image97.png"/><Relationship Id="rId148" Type="http://schemas.openxmlformats.org/officeDocument/2006/relationships/image" Target="media/image102.png"/><Relationship Id="rId151" Type="http://schemas.openxmlformats.org/officeDocument/2006/relationships/hyperlink" Target="http://www.energystar.gov/ia/products/ligh%20ting/iledl/IntLampCenterBeamTool.zip" TargetMode="External"/><Relationship Id="rId156" Type="http://schemas.openxmlformats.org/officeDocument/2006/relationships/footer" Target="footer8.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energyrating.gov.au/" TargetMode="External"/><Relationship Id="rId39" Type="http://schemas.openxmlformats.org/officeDocument/2006/relationships/image" Target="media/image14.jpeg"/><Relationship Id="rId109" Type="http://schemas.openxmlformats.org/officeDocument/2006/relationships/image" Target="media/image67.png"/><Relationship Id="rId34" Type="http://schemas.openxmlformats.org/officeDocument/2006/relationships/image" Target="media/image9.jpeg"/><Relationship Id="rId50" Type="http://schemas.openxmlformats.org/officeDocument/2006/relationships/image" Target="media/image24.jpeg"/><Relationship Id="rId55" Type="http://schemas.openxmlformats.org/officeDocument/2006/relationships/image" Target="media/image29.png"/><Relationship Id="rId76" Type="http://schemas.openxmlformats.org/officeDocument/2006/relationships/image" Target="media/image48.png"/><Relationship Id="rId97" Type="http://schemas.openxmlformats.org/officeDocument/2006/relationships/hyperlink" Target="http://www.lightingcouncil.com.au" TargetMode="External"/><Relationship Id="rId104" Type="http://schemas.openxmlformats.org/officeDocument/2006/relationships/hyperlink" Target="http://www.complianceandrisks.com/regulations/eu-energy-labelling-of-electrical-lamps-and-luminaires-regulation-eu-no-874-2012-14622/" TargetMode="External"/><Relationship Id="rId120" Type="http://schemas.openxmlformats.org/officeDocument/2006/relationships/image" Target="media/image76.png"/><Relationship Id="rId125" Type="http://schemas.openxmlformats.org/officeDocument/2006/relationships/image" Target="media/image80.png"/><Relationship Id="rId141" Type="http://schemas.openxmlformats.org/officeDocument/2006/relationships/image" Target="media/image95.png"/><Relationship Id="rId146" Type="http://schemas.openxmlformats.org/officeDocument/2006/relationships/image" Target="media/image100.png"/><Relationship Id="rId7" Type="http://schemas.openxmlformats.org/officeDocument/2006/relationships/webSettings" Target="webSettings.xml"/><Relationship Id="rId71" Type="http://schemas.openxmlformats.org/officeDocument/2006/relationships/image" Target="media/image43.png"/><Relationship Id="rId92" Type="http://schemas.openxmlformats.org/officeDocument/2006/relationships/image" Target="media/image61.png"/><Relationship Id="rId2" Type="http://schemas.openxmlformats.org/officeDocument/2006/relationships/customXml" Target="../customXml/item1.xml"/><Relationship Id="rId29" Type="http://schemas.openxmlformats.org/officeDocument/2006/relationships/image" Target="media/image6.jpeg"/><Relationship Id="rId24" Type="http://schemas.openxmlformats.org/officeDocument/2006/relationships/hyperlink" Target="mailto:regs@eeca.govt.nz" TargetMode="External"/><Relationship Id="rId40" Type="http://schemas.openxmlformats.org/officeDocument/2006/relationships/image" Target="media/image15.jpeg"/><Relationship Id="rId45" Type="http://schemas.microsoft.com/office/2007/relationships/hdphoto" Target="media/hdphoto1.wdp"/><Relationship Id="rId66" Type="http://schemas.openxmlformats.org/officeDocument/2006/relationships/image" Target="media/image38.png"/><Relationship Id="rId87" Type="http://schemas.openxmlformats.org/officeDocument/2006/relationships/image" Target="media/image57.png"/><Relationship Id="rId110" Type="http://schemas.openxmlformats.org/officeDocument/2006/relationships/image" Target="media/image68.png"/><Relationship Id="rId115" Type="http://schemas.openxmlformats.org/officeDocument/2006/relationships/image" Target="media/image73.png"/><Relationship Id="rId131" Type="http://schemas.openxmlformats.org/officeDocument/2006/relationships/image" Target="media/image86.png"/><Relationship Id="rId136" Type="http://schemas.openxmlformats.org/officeDocument/2006/relationships/image" Target="media/image90.png"/><Relationship Id="rId157" Type="http://schemas.openxmlformats.org/officeDocument/2006/relationships/fontTable" Target="fontTable.xml"/><Relationship Id="rId61" Type="http://schemas.openxmlformats.org/officeDocument/2006/relationships/image" Target="media/image33.png"/><Relationship Id="rId82" Type="http://schemas.openxmlformats.org/officeDocument/2006/relationships/image" Target="media/image52.png"/><Relationship Id="rId152" Type="http://schemas.openxmlformats.org/officeDocument/2006/relationships/header" Target="header15.xml"/><Relationship Id="rId19" Type="http://schemas.openxmlformats.org/officeDocument/2006/relationships/header" Target="header4.xml"/><Relationship Id="rId14" Type="http://schemas.openxmlformats.org/officeDocument/2006/relationships/header" Target="header3.xml"/><Relationship Id="rId30" Type="http://schemas.openxmlformats.org/officeDocument/2006/relationships/image" Target="media/image7.jpeg"/><Relationship Id="rId35" Type="http://schemas.openxmlformats.org/officeDocument/2006/relationships/image" Target="media/image10.jpeg"/><Relationship Id="rId56" Type="http://schemas.openxmlformats.org/officeDocument/2006/relationships/hyperlink" Target="http://ssl.iea-4e.org/task-1-quality-assurance" TargetMode="External"/><Relationship Id="rId77" Type="http://schemas.openxmlformats.org/officeDocument/2006/relationships/hyperlink" Target="http://ssl.iea-4e.org/health-environment/lifecycle-assessment" TargetMode="External"/><Relationship Id="rId100" Type="http://schemas.openxmlformats.org/officeDocument/2006/relationships/hyperlink" Target="http://www.environment.act.gov.au/energy/energy_efficiency_improvement_scheme_eeis" TargetMode="External"/><Relationship Id="rId105" Type="http://schemas.openxmlformats.org/officeDocument/2006/relationships/header" Target="header12.xml"/><Relationship Id="rId126" Type="http://schemas.openxmlformats.org/officeDocument/2006/relationships/image" Target="media/image81.png"/><Relationship Id="rId147" Type="http://schemas.openxmlformats.org/officeDocument/2006/relationships/image" Target="media/image101.png"/><Relationship Id="rId8" Type="http://schemas.openxmlformats.org/officeDocument/2006/relationships/footnotes" Target="footnotes.xml"/><Relationship Id="rId51" Type="http://schemas.openxmlformats.org/officeDocument/2006/relationships/image" Target="media/image25.jpeg"/><Relationship Id="rId72" Type="http://schemas.openxmlformats.org/officeDocument/2006/relationships/image" Target="media/image44.png"/><Relationship Id="rId93" Type="http://schemas.openxmlformats.org/officeDocument/2006/relationships/image" Target="media/image62.png"/><Relationship Id="rId98" Type="http://schemas.openxmlformats.org/officeDocument/2006/relationships/hyperlink" Target="http://www.ess.nsw.gov.au/Projects_and_equipment/Lighting" TargetMode="External"/><Relationship Id="rId121" Type="http://schemas.openxmlformats.org/officeDocument/2006/relationships/hyperlink" Target="http://www.eeca.govt.nz/resource/energy-savings-improved-product-efficiency-201112-lighting" TargetMode="External"/><Relationship Id="rId142" Type="http://schemas.openxmlformats.org/officeDocument/2006/relationships/image" Target="media/image96.png"/><Relationship Id="rId3" Type="http://schemas.openxmlformats.org/officeDocument/2006/relationships/numbering" Target="numbering.xml"/><Relationship Id="rId25" Type="http://schemas.openxmlformats.org/officeDocument/2006/relationships/header" Target="header6.xml"/><Relationship Id="rId46" Type="http://schemas.openxmlformats.org/officeDocument/2006/relationships/image" Target="media/image20.jpeg"/><Relationship Id="rId67" Type="http://schemas.openxmlformats.org/officeDocument/2006/relationships/image" Target="media/image39.emf"/><Relationship Id="rId116" Type="http://schemas.openxmlformats.org/officeDocument/2006/relationships/header" Target="header13.xml"/><Relationship Id="rId137" Type="http://schemas.openxmlformats.org/officeDocument/2006/relationships/image" Target="media/image91.png"/><Relationship Id="rId15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0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DB73A-2AEC-4DAF-989A-3DB691C44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135</Pages>
  <Words>54372</Words>
  <Characters>309926</Characters>
  <Application>Microsoft Office Word</Application>
  <DocSecurity>4</DocSecurity>
  <Lines>2582</Lines>
  <Paragraphs>727</Paragraphs>
  <ScaleCrop>false</ScaleCrop>
  <HeadingPairs>
    <vt:vector size="2" baseType="variant">
      <vt:variant>
        <vt:lpstr>Title</vt:lpstr>
      </vt:variant>
      <vt:variant>
        <vt:i4>1</vt:i4>
      </vt:variant>
    </vt:vector>
  </HeadingPairs>
  <TitlesOfParts>
    <vt:vector size="1" baseType="lpstr">
      <vt:lpstr>Product Profile Template</vt:lpstr>
    </vt:vector>
  </TitlesOfParts>
  <Company>Grizli777</Company>
  <LinksUpToDate>false</LinksUpToDate>
  <CharactersWithSpaces>363571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Profile Template</dc:title>
  <dc:creator>Allan Cotterill</dc:creator>
  <cp:lastModifiedBy>Bergan, Laura</cp:lastModifiedBy>
  <cp:revision>2</cp:revision>
  <cp:lastPrinted>2015-08-12T06:03:00Z</cp:lastPrinted>
  <dcterms:created xsi:type="dcterms:W3CDTF">2015-09-22T23:41:00Z</dcterms:created>
  <dcterms:modified xsi:type="dcterms:W3CDTF">2015-09-22T23:41:00Z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en-AU</vt:lpwstr>
  </property>
  <property fmtid="{D5CDD505-2E9C-101B-9397-08002B2CF9AE}" pid="3" name="VersionNumber">
    <vt:i4>0</vt:i4>
  </property>
  <property fmtid="{D5CDD505-2E9C-101B-9397-08002B2CF9AE}" pid="4" name="ClassificationPty">
    <vt:lpwstr/>
  </property>
  <property fmtid="{D5CDD505-2E9C-101B-9397-08002B2CF9AE}" pid="5" name="FileNumberPty">
    <vt:lpwstr/>
  </property>
  <property fmtid="{D5CDD505-2E9C-101B-9397-08002B2CF9AE}" pid="6" name="CorporateTmplBased">
    <vt:lpwstr>No</vt:lpwstr>
  </property>
</Properties>
</file>