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E30BB" w14:textId="59D61E80" w:rsidR="00A37634" w:rsidRPr="00A37634" w:rsidRDefault="00C515A0" w:rsidP="00A37634">
      <w:pPr>
        <w:spacing w:before="2960" w:after="4000" w:line="240" w:lineRule="auto"/>
        <w:rPr>
          <w:rFonts w:ascii="Calibri" w:eastAsia="Calibri" w:hAnsi="Calibri" w:cs="Calibri"/>
          <w:b/>
          <w:color w:val="FFFFFF"/>
          <w:sz w:val="60"/>
          <w:szCs w:val="20"/>
          <w:lang w:val="en-AU"/>
        </w:rPr>
      </w:pPr>
      <w:r>
        <w:rPr>
          <w:rFonts w:ascii="Calibri" w:eastAsia="Calibri" w:hAnsi="Calibri" w:cs="Calibri"/>
          <w:b/>
          <w:color w:val="FFFFFF"/>
          <w:sz w:val="60"/>
          <w:szCs w:val="20"/>
          <w:lang w:val="en-AU"/>
        </w:rPr>
        <w:t xml:space="preserve">Regulation Impact Statement for Decision: </w:t>
      </w:r>
      <w:r w:rsidR="00A37634" w:rsidRPr="00A37634">
        <w:rPr>
          <w:rFonts w:ascii="Calibri" w:eastAsia="Calibri" w:hAnsi="Calibri" w:cs="Calibri"/>
          <w:b/>
          <w:color w:val="FFFFFF"/>
          <w:sz w:val="60"/>
          <w:szCs w:val="20"/>
          <w:lang w:val="en-AU"/>
        </w:rPr>
        <w:t xml:space="preserve">‘Smart’ Demand Response Capabilities for Selected Appliances        </w:t>
      </w:r>
      <w:r>
        <w:rPr>
          <w:rFonts w:ascii="Calibri" w:eastAsia="Calibri" w:hAnsi="Calibri" w:cs="Calibri"/>
          <w:b/>
          <w:color w:val="FFFFFF"/>
          <w:sz w:val="60"/>
          <w:szCs w:val="20"/>
          <w:lang w:val="en-AU"/>
        </w:rPr>
        <w:br/>
      </w:r>
      <w:r>
        <w:rPr>
          <w:rFonts w:ascii="Calibri" w:eastAsia="Calibri" w:hAnsi="Calibri" w:cs="Calibri"/>
          <w:b/>
          <w:color w:val="FFFFFF"/>
          <w:sz w:val="40"/>
          <w:szCs w:val="40"/>
          <w:lang w:val="en-AU"/>
        </w:rPr>
        <w:br/>
        <w:t>October</w:t>
      </w:r>
      <w:r w:rsidR="00A37634" w:rsidRPr="00A37634">
        <w:rPr>
          <w:rFonts w:ascii="Calibri" w:eastAsia="Calibri" w:hAnsi="Calibri" w:cs="Calibri"/>
          <w:b/>
          <w:color w:val="FFFFFF"/>
          <w:sz w:val="40"/>
          <w:szCs w:val="40"/>
          <w:lang w:val="en-AU"/>
        </w:rPr>
        <w:t xml:space="preserve"> 2019</w:t>
      </w:r>
    </w:p>
    <w:p w14:paraId="55C04F06" w14:textId="77777777" w:rsidR="00A37634" w:rsidRPr="00A37634" w:rsidRDefault="00A37634" w:rsidP="00A37634">
      <w:pPr>
        <w:spacing w:before="2960" w:after="4000" w:line="240" w:lineRule="auto"/>
        <w:rPr>
          <w:rFonts w:ascii="Calibri" w:eastAsia="Calibri" w:hAnsi="Calibri" w:cs="Calibri"/>
          <w:b/>
          <w:color w:val="FFFFFF"/>
          <w:sz w:val="60"/>
          <w:szCs w:val="20"/>
          <w:lang w:val="en-AU"/>
        </w:rPr>
      </w:pPr>
    </w:p>
    <w:p w14:paraId="4DA471E5" w14:textId="77777777" w:rsidR="00A37634" w:rsidRPr="00A37634" w:rsidRDefault="00A37634" w:rsidP="00A37634">
      <w:pPr>
        <w:spacing w:after="120" w:line="276" w:lineRule="auto"/>
        <w:rPr>
          <w:rFonts w:ascii="Calibri" w:eastAsia="Calibri" w:hAnsi="Calibri" w:cs="Calibri"/>
          <w:sz w:val="16"/>
          <w:szCs w:val="20"/>
          <w:lang w:val="en-AU"/>
        </w:rPr>
      </w:pPr>
      <w:r w:rsidRPr="00A37634">
        <w:rPr>
          <w:rFonts w:ascii="Calibri" w:eastAsia="Calibri" w:hAnsi="Calibri" w:cs="Calibri"/>
          <w:sz w:val="16"/>
          <w:szCs w:val="20"/>
          <w:lang w:val="en-AU"/>
        </w:rPr>
        <w:lastRenderedPageBreak/>
        <w:t>This work is licensed under the Creative Commons Attribution 3.0 Australia Licence. To view a copy of this license, visit the creative commons website.</w:t>
      </w:r>
    </w:p>
    <w:p w14:paraId="38B23A6E" w14:textId="77777777" w:rsidR="00A37634" w:rsidRPr="00A37634" w:rsidRDefault="00A37634" w:rsidP="00A37634">
      <w:pPr>
        <w:spacing w:after="120" w:line="276" w:lineRule="auto"/>
        <w:rPr>
          <w:rFonts w:ascii="Calibri" w:eastAsia="Calibri" w:hAnsi="Calibri" w:cs="Calibri"/>
          <w:sz w:val="16"/>
          <w:szCs w:val="20"/>
          <w:lang w:val="en-AU"/>
        </w:rPr>
      </w:pPr>
      <w:r w:rsidRPr="00A37634">
        <w:rPr>
          <w:rFonts w:ascii="Calibri" w:eastAsia="Calibri" w:hAnsi="Calibri" w:cs="Calibri"/>
          <w:sz w:val="16"/>
          <w:szCs w:val="20"/>
          <w:lang w:val="en-AU"/>
        </w:rPr>
        <w:t>The Department of the Environment and Energy on behalf of the Equipment Energy Efficiency Program asserts the right to be recognised as author of the original material in the following manner:</w:t>
      </w:r>
    </w:p>
    <w:p w14:paraId="28785871" w14:textId="77777777" w:rsidR="00A37634" w:rsidRPr="00A37634" w:rsidRDefault="00A37634" w:rsidP="00A37634">
      <w:pPr>
        <w:spacing w:after="120" w:line="276" w:lineRule="auto"/>
        <w:rPr>
          <w:rFonts w:ascii="Calibri" w:eastAsia="Calibri" w:hAnsi="Calibri" w:cs="Calibri"/>
          <w:sz w:val="16"/>
          <w:szCs w:val="20"/>
          <w:lang w:val="en-AU"/>
        </w:rPr>
      </w:pPr>
      <w:r w:rsidRPr="00A37634">
        <w:rPr>
          <w:rFonts w:ascii="Calibri" w:eastAsia="Calibri" w:hAnsi="Calibri" w:cs="Calibri"/>
          <w:noProof/>
          <w:sz w:val="16"/>
          <w:szCs w:val="20"/>
          <w:lang w:val="en-AU" w:eastAsia="en-AU"/>
        </w:rPr>
        <w:drawing>
          <wp:inline distT="0" distB="0" distL="0" distR="0" wp14:anchorId="235ABB17" wp14:editId="53D29713">
            <wp:extent cx="1227455" cy="431800"/>
            <wp:effectExtent l="0" t="0" r="0" b="6350"/>
            <wp:docPr id="17" name="Picture 17" descr="D:\DP Plus\Docs\Giraffe\Environment\NatHERS, E3\sourcedocs\by.png"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Giraffe\Environment\NatHERS, E3\sourcedocs\by.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27455" cy="431800"/>
                    </a:xfrm>
                    <a:prstGeom prst="rect">
                      <a:avLst/>
                    </a:prstGeom>
                    <a:noFill/>
                    <a:ln>
                      <a:noFill/>
                    </a:ln>
                  </pic:spPr>
                </pic:pic>
              </a:graphicData>
            </a:graphic>
          </wp:inline>
        </w:drawing>
      </w:r>
    </w:p>
    <w:p w14:paraId="2BE5AFA8" w14:textId="77777777" w:rsidR="00A37634" w:rsidRPr="00A37634" w:rsidRDefault="00A37634" w:rsidP="00A37634">
      <w:pPr>
        <w:spacing w:after="120" w:line="276" w:lineRule="auto"/>
        <w:rPr>
          <w:rFonts w:ascii="Calibri" w:eastAsia="Calibri" w:hAnsi="Calibri" w:cs="Calibri"/>
          <w:sz w:val="16"/>
          <w:szCs w:val="20"/>
          <w:lang w:val="en-AU"/>
        </w:rPr>
      </w:pPr>
      <w:r w:rsidRPr="00A37634">
        <w:rPr>
          <w:rFonts w:ascii="Calibri" w:eastAsia="Calibri" w:hAnsi="Calibri" w:cs="Calibri"/>
          <w:sz w:val="16"/>
          <w:szCs w:val="20"/>
          <w:lang w:val="en-AU"/>
        </w:rPr>
        <w:t>© Commonwealth of Australia (Department of Environment and Energy Australia) 2019.</w:t>
      </w:r>
    </w:p>
    <w:p w14:paraId="25909A3F" w14:textId="77777777" w:rsidR="00A37634" w:rsidRPr="00A37634" w:rsidRDefault="00A37634" w:rsidP="00A37634">
      <w:pPr>
        <w:spacing w:after="120" w:line="276" w:lineRule="auto"/>
        <w:rPr>
          <w:rFonts w:ascii="Calibri" w:eastAsia="Calibri" w:hAnsi="Calibri" w:cs="Calibri"/>
          <w:sz w:val="16"/>
          <w:szCs w:val="20"/>
          <w:lang w:val="en-AU"/>
        </w:rPr>
      </w:pPr>
      <w:r w:rsidRPr="00A37634">
        <w:rPr>
          <w:rFonts w:ascii="Calibri" w:eastAsia="Calibri" w:hAnsi="Calibri" w:cs="Calibri"/>
          <w:sz w:val="16"/>
          <w:szCs w:val="20"/>
          <w:lang w:val="en-AU"/>
        </w:rPr>
        <w:t xml:space="preserve">The material in this publication is provided for general information only, and on the understanding that the Australian Government is providing professional advice. Before any action or decision is taken </w:t>
      </w:r>
      <w:proofErr w:type="gramStart"/>
      <w:r w:rsidRPr="00A37634">
        <w:rPr>
          <w:rFonts w:ascii="Calibri" w:eastAsia="Calibri" w:hAnsi="Calibri" w:cs="Calibri"/>
          <w:sz w:val="16"/>
          <w:szCs w:val="20"/>
          <w:lang w:val="en-AU"/>
        </w:rPr>
        <w:t>on the basis of</w:t>
      </w:r>
      <w:proofErr w:type="gramEnd"/>
      <w:r w:rsidRPr="00A37634">
        <w:rPr>
          <w:rFonts w:ascii="Calibri" w:eastAsia="Calibri" w:hAnsi="Calibri" w:cs="Calibri"/>
          <w:sz w:val="16"/>
          <w:szCs w:val="20"/>
          <w:lang w:val="en-AU"/>
        </w:rPr>
        <w:t xml:space="preserve"> this material the reader should obtain appropriate independent professional advice.</w:t>
      </w:r>
    </w:p>
    <w:p w14:paraId="377A310A" w14:textId="77777777" w:rsidR="00A37634" w:rsidRPr="00A37634" w:rsidRDefault="00A37634" w:rsidP="00A37634">
      <w:pPr>
        <w:spacing w:after="120" w:line="276" w:lineRule="auto"/>
        <w:rPr>
          <w:rFonts w:ascii="Calibri" w:eastAsia="Calibri" w:hAnsi="Calibri" w:cs="Calibri"/>
          <w:sz w:val="16"/>
          <w:szCs w:val="20"/>
          <w:lang w:val="en-AU"/>
        </w:rPr>
      </w:pPr>
      <w:r w:rsidRPr="00A37634">
        <w:rPr>
          <w:rFonts w:ascii="Calibri" w:eastAsia="Calibri" w:hAnsi="Calibri" w:cs="Calibri"/>
          <w:sz w:val="16"/>
          <w:szCs w:val="20"/>
          <w:lang w:val="en-AU"/>
        </w:rPr>
        <w:t>This document is available at the Energy Rating website.</w:t>
      </w:r>
    </w:p>
    <w:p w14:paraId="65B8116A" w14:textId="77777777" w:rsidR="00A37634" w:rsidRPr="00A37634" w:rsidRDefault="00A37634" w:rsidP="00A37634">
      <w:pPr>
        <w:spacing w:after="120" w:line="276" w:lineRule="auto"/>
        <w:rPr>
          <w:rFonts w:ascii="Calibri" w:eastAsia="Calibri" w:hAnsi="Calibri" w:cs="Calibri"/>
          <w:sz w:val="16"/>
          <w:szCs w:val="20"/>
          <w:lang w:val="en-AU"/>
        </w:rPr>
      </w:pPr>
      <w:r w:rsidRPr="00A37634">
        <w:rPr>
          <w:rFonts w:ascii="Calibri" w:eastAsia="Calibri" w:hAnsi="Calibri" w:cs="Calibri"/>
          <w:sz w:val="16"/>
          <w:szCs w:val="20"/>
          <w:lang w:val="en-AU"/>
        </w:rPr>
        <w:t xml:space="preserve">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w:t>
      </w:r>
      <w:proofErr w:type="gramStart"/>
      <w:r w:rsidRPr="00A37634">
        <w:rPr>
          <w:rFonts w:ascii="Calibri" w:eastAsia="Calibri" w:hAnsi="Calibri" w:cs="Calibri"/>
          <w:sz w:val="16"/>
          <w:szCs w:val="20"/>
          <w:lang w:val="en-AU"/>
        </w:rPr>
        <w:t>through the use of</w:t>
      </w:r>
      <w:proofErr w:type="gramEnd"/>
      <w:r w:rsidRPr="00A37634">
        <w:rPr>
          <w:rFonts w:ascii="Calibri" w:eastAsia="Calibri" w:hAnsi="Calibri" w:cs="Calibri"/>
          <w:sz w:val="16"/>
          <w:szCs w:val="20"/>
          <w:lang w:val="en-AU"/>
        </w:rPr>
        <w:t>, or reliance on, the contents of this publication.</w:t>
      </w:r>
    </w:p>
    <w:p w14:paraId="618105F8" w14:textId="77777777" w:rsidR="00A37634" w:rsidRPr="00A37634" w:rsidRDefault="00A37634" w:rsidP="00A37634">
      <w:pPr>
        <w:spacing w:after="120" w:line="276" w:lineRule="auto"/>
        <w:rPr>
          <w:rFonts w:ascii="Calibri" w:eastAsia="Calibri" w:hAnsi="Calibri" w:cs="Calibri"/>
          <w:sz w:val="16"/>
          <w:szCs w:val="20"/>
          <w:lang w:val="en-AU"/>
        </w:rPr>
      </w:pPr>
    </w:p>
    <w:p w14:paraId="2DCEDB9A" w14:textId="77777777" w:rsidR="00A37634" w:rsidRPr="00A37634" w:rsidRDefault="00A37634" w:rsidP="00A37634">
      <w:pPr>
        <w:spacing w:after="120" w:line="276" w:lineRule="auto"/>
        <w:rPr>
          <w:rFonts w:ascii="Calibri" w:eastAsia="Calibri" w:hAnsi="Calibri" w:cs="Calibri"/>
          <w:sz w:val="16"/>
          <w:szCs w:val="20"/>
          <w:lang w:val="en-AU"/>
        </w:rPr>
        <w:sectPr w:rsidR="00A37634" w:rsidRPr="00A37634" w:rsidSect="007C7289">
          <w:footerReference w:type="default" r:id="rId12"/>
          <w:headerReference w:type="first" r:id="rId13"/>
          <w:footerReference w:type="first" r:id="rId14"/>
          <w:pgSz w:w="11906" w:h="16838" w:code="9"/>
          <w:pgMar w:top="1728" w:right="1138" w:bottom="1699" w:left="1138" w:header="576" w:footer="720" w:gutter="0"/>
          <w:pgNumType w:fmt="lowerRoman"/>
          <w:cols w:space="708"/>
          <w:titlePg/>
          <w:docGrid w:linePitch="360"/>
        </w:sectPr>
      </w:pPr>
    </w:p>
    <w:p w14:paraId="599836F4" w14:textId="49DE8222" w:rsidR="00524EA2" w:rsidRPr="00524EA2" w:rsidRDefault="00C515A0" w:rsidP="00524EA2">
      <w:pPr>
        <w:pBdr>
          <w:bottom w:val="single" w:sz="12" w:space="1" w:color="ED1B24"/>
        </w:pBdr>
        <w:spacing w:before="200" w:after="600" w:line="240" w:lineRule="auto"/>
        <w:outlineLvl w:val="0"/>
        <w:rPr>
          <w:rFonts w:ascii="Calibri" w:eastAsia="Times New Roman" w:hAnsi="Calibri" w:cs="Calibri"/>
          <w:b/>
          <w:bCs/>
          <w:color w:val="ED1B24"/>
          <w:sz w:val="50"/>
          <w:szCs w:val="28"/>
          <w:lang w:val="en-AU"/>
        </w:rPr>
      </w:pPr>
      <w:bookmarkStart w:id="0" w:name="_Toc22485210"/>
      <w:r>
        <w:rPr>
          <w:rFonts w:ascii="Calibri" w:eastAsia="Times New Roman" w:hAnsi="Calibri" w:cs="Calibri"/>
          <w:b/>
          <w:bCs/>
          <w:color w:val="ED1B24"/>
          <w:sz w:val="50"/>
          <w:szCs w:val="28"/>
          <w:lang w:val="en-AU"/>
        </w:rPr>
        <w:lastRenderedPageBreak/>
        <w:t>Executive Summary</w:t>
      </w:r>
      <w:bookmarkEnd w:id="0"/>
      <w:r>
        <w:rPr>
          <w:rFonts w:ascii="Calibri" w:eastAsia="Times New Roman" w:hAnsi="Calibri" w:cs="Calibri"/>
          <w:b/>
          <w:bCs/>
          <w:color w:val="ED1B24"/>
          <w:sz w:val="50"/>
          <w:szCs w:val="28"/>
          <w:lang w:val="en-AU"/>
        </w:rPr>
        <w:t xml:space="preserve"> </w:t>
      </w:r>
      <w:bookmarkStart w:id="1" w:name="_Toc509835484"/>
    </w:p>
    <w:p w14:paraId="3F7CE943" w14:textId="4894EE5F" w:rsidR="00524EA2" w:rsidRPr="00524EA2" w:rsidRDefault="00524EA2" w:rsidP="00524EA2">
      <w:pPr>
        <w:keepNext/>
        <w:keepLines/>
        <w:spacing w:before="240" w:after="240" w:line="278" w:lineRule="auto"/>
        <w:outlineLvl w:val="4"/>
        <w:rPr>
          <w:rFonts w:ascii="Calibri" w:eastAsia="Times New Roman" w:hAnsi="Calibri" w:cs="Calibri"/>
          <w:b/>
          <w:color w:val="FF0000"/>
          <w:sz w:val="32"/>
          <w:szCs w:val="24"/>
          <w:lang w:val="en-AU"/>
        </w:rPr>
      </w:pPr>
      <w:r w:rsidRPr="00524EA2">
        <w:rPr>
          <w:rFonts w:ascii="Calibri" w:eastAsia="Times New Roman" w:hAnsi="Calibri" w:cs="Calibri"/>
          <w:b/>
          <w:color w:val="FF0000"/>
          <w:sz w:val="32"/>
          <w:szCs w:val="24"/>
          <w:lang w:val="en-AU"/>
        </w:rPr>
        <w:t>Background</w:t>
      </w:r>
    </w:p>
    <w:p w14:paraId="6039FFCB" w14:textId="05B658E4" w:rsidR="00A37634" w:rsidRPr="00385928" w:rsidRDefault="00A37634" w:rsidP="00A37634">
      <w:pPr>
        <w:spacing w:before="240" w:after="120" w:line="276" w:lineRule="auto"/>
        <w:rPr>
          <w:rFonts w:ascii="Calibri" w:eastAsia="Calibri" w:hAnsi="Calibri" w:cs="Calibri"/>
          <w:szCs w:val="20"/>
          <w:lang w:val="en-AU"/>
        </w:rPr>
      </w:pPr>
      <w:r w:rsidRPr="00385928">
        <w:rPr>
          <w:rFonts w:ascii="Calibri" w:eastAsia="Calibri" w:hAnsi="Calibri" w:cs="Calibri"/>
          <w:szCs w:val="20"/>
          <w:lang w:val="en-AU"/>
        </w:rPr>
        <w:t>The integration of electricity supply, demand and distributed energy resources (DER) are major concerns for electricity market regulators, policy makers and network managers. Peak demand events, often prompted by extreme weather, result in major spikes in electricity usage. These events have a disproportionate impact on network costs as they often require expensive investment to increase network capacity and to maintain the reliability of the electricity supply.</w:t>
      </w:r>
    </w:p>
    <w:p w14:paraId="2C16FE77" w14:textId="77777777" w:rsidR="00A37634" w:rsidRPr="00385928" w:rsidRDefault="00A37634" w:rsidP="00A37634">
      <w:pPr>
        <w:spacing w:before="120" w:after="120" w:line="276" w:lineRule="auto"/>
        <w:rPr>
          <w:rFonts w:ascii="Calibri" w:eastAsia="Calibri" w:hAnsi="Calibri" w:cs="Calibri"/>
          <w:szCs w:val="20"/>
          <w:lang w:val="en-AU"/>
        </w:rPr>
      </w:pPr>
      <w:r w:rsidRPr="00385928">
        <w:rPr>
          <w:rFonts w:ascii="Calibri" w:eastAsia="Calibri" w:hAnsi="Calibri" w:cs="Calibri"/>
          <w:szCs w:val="20"/>
          <w:lang w:val="en-AU"/>
        </w:rPr>
        <w:t xml:space="preserve">The rapid adoption of roof-top solar photovoltaic (PV) generation, now present in about 20% of Australian homes, has introduced new challenges. Many localities already experience periods when PV output exceeds the available load during the middle of the day. If the excess energy cannot be used or stored, it creates voltage and power quality issues which add to network costs and can result in PV inverters disconnecting from the grid. The Australian Energy Market Operator (AEMO) projects that South Australia (SA) and Western Australia (WA) will experience regular state-wide minimum load events as early as 2026. </w:t>
      </w:r>
    </w:p>
    <w:p w14:paraId="092CEE68" w14:textId="29FF3FA8" w:rsidR="00A37634" w:rsidRPr="00385928" w:rsidRDefault="00A37634" w:rsidP="00A37634">
      <w:pPr>
        <w:spacing w:before="120" w:after="120" w:line="276" w:lineRule="auto"/>
        <w:rPr>
          <w:rFonts w:ascii="Calibri" w:eastAsia="Calibri" w:hAnsi="Calibri" w:cs="Calibri"/>
          <w:szCs w:val="20"/>
          <w:lang w:val="en-AU"/>
        </w:rPr>
      </w:pPr>
      <w:r w:rsidRPr="00385928">
        <w:rPr>
          <w:rFonts w:ascii="Calibri" w:eastAsia="Calibri" w:hAnsi="Calibri" w:cs="Calibri"/>
          <w:szCs w:val="20"/>
          <w:lang w:val="en-AU"/>
        </w:rPr>
        <w:t>Demand response (DR) – the rapid</w:t>
      </w:r>
      <w:r w:rsidR="00524EA2" w:rsidRPr="00385928">
        <w:rPr>
          <w:rFonts w:ascii="Calibri" w:eastAsia="Calibri" w:hAnsi="Calibri" w:cs="Calibri"/>
          <w:szCs w:val="20"/>
          <w:lang w:val="en-AU"/>
        </w:rPr>
        <w:t>, automated</w:t>
      </w:r>
      <w:r w:rsidRPr="00385928">
        <w:rPr>
          <w:rFonts w:ascii="Calibri" w:eastAsia="Calibri" w:hAnsi="Calibri" w:cs="Calibri"/>
          <w:szCs w:val="20"/>
          <w:lang w:val="en-AU"/>
        </w:rPr>
        <w:t xml:space="preserve"> modification of appliance operation in response to changes in the condition of the grid – has been recognised as a key strategy for increasing the reliability, affordability and sustainability of electricity supply by AEMO</w:t>
      </w:r>
      <w:r w:rsidRPr="00385928">
        <w:rPr>
          <w:rFonts w:ascii="Calibri" w:eastAsia="Calibri" w:hAnsi="Calibri" w:cs="Calibri"/>
          <w:szCs w:val="20"/>
          <w:vertAlign w:val="superscript"/>
          <w:lang w:val="en-AU"/>
        </w:rPr>
        <w:footnoteReference w:id="1"/>
      </w:r>
      <w:r w:rsidRPr="00385928">
        <w:rPr>
          <w:rFonts w:ascii="Calibri" w:eastAsia="Calibri" w:hAnsi="Calibri" w:cs="Calibri"/>
          <w:szCs w:val="20"/>
          <w:lang w:val="en-AU"/>
        </w:rPr>
        <w:t>, the Energy Networks Association (</w:t>
      </w:r>
      <w:proofErr w:type="spellStart"/>
      <w:r w:rsidRPr="00385928">
        <w:rPr>
          <w:rFonts w:ascii="Calibri" w:eastAsia="Calibri" w:hAnsi="Calibri" w:cs="Calibri"/>
          <w:szCs w:val="20"/>
          <w:lang w:val="en-AU"/>
        </w:rPr>
        <w:t>ENA</w:t>
      </w:r>
      <w:proofErr w:type="spellEnd"/>
      <w:r w:rsidRPr="00385928">
        <w:rPr>
          <w:rFonts w:ascii="Calibri" w:eastAsia="Calibri" w:hAnsi="Calibri" w:cs="Calibri"/>
          <w:szCs w:val="20"/>
          <w:lang w:val="en-AU"/>
        </w:rPr>
        <w:t>), the CSIRO</w:t>
      </w:r>
      <w:r w:rsidRPr="00385928">
        <w:rPr>
          <w:rFonts w:ascii="Calibri" w:eastAsia="Calibri" w:hAnsi="Calibri" w:cs="Calibri"/>
          <w:szCs w:val="20"/>
          <w:vertAlign w:val="superscript"/>
          <w:lang w:val="en-AU"/>
        </w:rPr>
        <w:footnoteReference w:id="2"/>
      </w:r>
      <w:r w:rsidRPr="00385928">
        <w:rPr>
          <w:rFonts w:ascii="Calibri" w:eastAsia="Calibri" w:hAnsi="Calibri" w:cs="Calibri"/>
          <w:szCs w:val="20"/>
          <w:lang w:val="en-AU"/>
        </w:rPr>
        <w:t>, the Australian Energy Market Commission (AEMC)</w:t>
      </w:r>
      <w:r w:rsidRPr="00385928">
        <w:rPr>
          <w:rFonts w:ascii="Calibri" w:eastAsia="Calibri" w:hAnsi="Calibri" w:cs="Calibri"/>
          <w:szCs w:val="20"/>
          <w:vertAlign w:val="superscript"/>
          <w:lang w:val="en-AU"/>
        </w:rPr>
        <w:footnoteReference w:id="3"/>
      </w:r>
      <w:r w:rsidRPr="00385928">
        <w:rPr>
          <w:rFonts w:ascii="Calibri" w:eastAsia="Calibri" w:hAnsi="Calibri" w:cs="Calibri"/>
          <w:szCs w:val="20"/>
          <w:lang w:val="en-AU"/>
        </w:rPr>
        <w:t>, the Australian Competition and Consumer Commission (ACCC)</w:t>
      </w:r>
      <w:r w:rsidRPr="00385928">
        <w:rPr>
          <w:rFonts w:ascii="Calibri" w:eastAsia="Calibri" w:hAnsi="Calibri" w:cs="Calibri"/>
          <w:szCs w:val="20"/>
          <w:vertAlign w:val="superscript"/>
          <w:lang w:val="en-AU"/>
        </w:rPr>
        <w:footnoteReference w:id="4"/>
      </w:r>
      <w:r w:rsidRPr="00385928">
        <w:rPr>
          <w:rFonts w:ascii="Calibri" w:eastAsia="Calibri" w:hAnsi="Calibri" w:cs="Calibri"/>
          <w:szCs w:val="20"/>
          <w:lang w:val="en-AU"/>
        </w:rPr>
        <w:t>, and the Independent Review (the Finkel Review).</w:t>
      </w:r>
      <w:r w:rsidRPr="00385928">
        <w:rPr>
          <w:rFonts w:ascii="Calibri" w:eastAsia="Calibri" w:hAnsi="Calibri" w:cs="Calibri"/>
          <w:szCs w:val="20"/>
          <w:vertAlign w:val="superscript"/>
          <w:lang w:val="en-AU"/>
        </w:rPr>
        <w:footnoteReference w:id="5"/>
      </w:r>
      <w:r w:rsidRPr="00385928">
        <w:rPr>
          <w:rFonts w:ascii="Calibri" w:eastAsia="Calibri" w:hAnsi="Calibri" w:cs="Calibri"/>
          <w:szCs w:val="20"/>
          <w:lang w:val="en-AU"/>
        </w:rPr>
        <w:t xml:space="preserve"> </w:t>
      </w:r>
    </w:p>
    <w:p w14:paraId="1BC2B0B9" w14:textId="77777777" w:rsidR="00A37634" w:rsidRPr="00385928" w:rsidRDefault="00A37634" w:rsidP="00A37634">
      <w:pPr>
        <w:spacing w:before="120" w:after="120" w:line="276" w:lineRule="auto"/>
        <w:rPr>
          <w:rFonts w:ascii="Calibri" w:eastAsia="Calibri" w:hAnsi="Calibri" w:cs="Calibri"/>
          <w:szCs w:val="20"/>
          <w:lang w:val="en-AU"/>
        </w:rPr>
      </w:pPr>
      <w:r w:rsidRPr="00385928">
        <w:rPr>
          <w:rFonts w:ascii="Calibri" w:eastAsia="Calibri" w:hAnsi="Calibri" w:cs="Calibri"/>
          <w:szCs w:val="20"/>
          <w:lang w:val="en-AU"/>
        </w:rPr>
        <w:t xml:space="preserve">While DR has been successful with large electricity consumers, it has been difficult to engage the many millions of residential and small business consumers who, collectively, contribute most to both peak load and minimum load events. The reasons include the structure of electricity prices, and regulatory and technical issues. </w:t>
      </w:r>
    </w:p>
    <w:p w14:paraId="170271BE" w14:textId="02B0CEBF" w:rsidR="00A37634" w:rsidRPr="00385928" w:rsidRDefault="00A37634" w:rsidP="00A37634">
      <w:pPr>
        <w:spacing w:before="120" w:after="120" w:line="276" w:lineRule="auto"/>
        <w:rPr>
          <w:rFonts w:ascii="Calibri" w:eastAsia="Calibri" w:hAnsi="Calibri" w:cs="Calibri"/>
          <w:szCs w:val="20"/>
          <w:lang w:val="en-AU"/>
        </w:rPr>
      </w:pPr>
      <w:r w:rsidRPr="00385928">
        <w:rPr>
          <w:rFonts w:ascii="Calibri" w:eastAsia="Calibri" w:hAnsi="Calibri" w:cs="Calibri"/>
          <w:szCs w:val="20"/>
          <w:lang w:val="en-AU"/>
        </w:rPr>
        <w:t xml:space="preserve">The minority of consumers who face time-of-use (TOU) or critical peak pricing can already undertake </w:t>
      </w:r>
      <w:r w:rsidR="00524EA2" w:rsidRPr="00385928">
        <w:rPr>
          <w:rFonts w:ascii="Calibri" w:eastAsia="Calibri" w:hAnsi="Calibri" w:cs="Calibri"/>
          <w:szCs w:val="20"/>
          <w:lang w:val="en-AU"/>
        </w:rPr>
        <w:t>“</w:t>
      </w:r>
      <w:r w:rsidRPr="00385928">
        <w:rPr>
          <w:rFonts w:ascii="Calibri" w:eastAsia="Calibri" w:hAnsi="Calibri" w:cs="Calibri"/>
          <w:szCs w:val="20"/>
          <w:lang w:val="en-AU"/>
        </w:rPr>
        <w:t>price-driven</w:t>
      </w:r>
      <w:r w:rsidR="00524EA2" w:rsidRPr="00385928">
        <w:rPr>
          <w:rFonts w:ascii="Calibri" w:eastAsia="Calibri" w:hAnsi="Calibri" w:cs="Calibri"/>
          <w:szCs w:val="20"/>
          <w:lang w:val="en-AU"/>
        </w:rPr>
        <w:t xml:space="preserve">” or “behavioural” </w:t>
      </w:r>
      <w:r w:rsidR="00F4285D">
        <w:rPr>
          <w:rFonts w:ascii="Calibri" w:eastAsia="Calibri" w:hAnsi="Calibri" w:cs="Calibri"/>
          <w:szCs w:val="20"/>
          <w:lang w:val="en-AU"/>
        </w:rPr>
        <w:t>DR</w:t>
      </w:r>
      <w:r w:rsidRPr="00385928">
        <w:rPr>
          <w:rFonts w:ascii="Calibri" w:eastAsia="Calibri" w:hAnsi="Calibri" w:cs="Calibri"/>
          <w:szCs w:val="20"/>
          <w:lang w:val="en-AU"/>
        </w:rPr>
        <w:t xml:space="preserve"> by switching off appliances during high-price periods and shifting some of their electricity consumption to lower-price periods (sometimes with the use of smartphone applications (‘apps’)). Many PV owners also engage in price-driven DR by maximising consumption during times of </w:t>
      </w:r>
      <w:r w:rsidR="00385928">
        <w:rPr>
          <w:rFonts w:ascii="Calibri" w:eastAsia="Calibri" w:hAnsi="Calibri" w:cs="Calibri"/>
          <w:szCs w:val="20"/>
          <w:lang w:val="en-AU"/>
        </w:rPr>
        <w:t xml:space="preserve">peak </w:t>
      </w:r>
      <w:r w:rsidRPr="00385928">
        <w:rPr>
          <w:rFonts w:ascii="Calibri" w:eastAsia="Calibri" w:hAnsi="Calibri" w:cs="Calibri"/>
          <w:szCs w:val="20"/>
          <w:lang w:val="en-AU"/>
        </w:rPr>
        <w:t xml:space="preserve">PV output, rather than exporting excess energy to the grid at low buy-back prices. </w:t>
      </w:r>
    </w:p>
    <w:p w14:paraId="53D232E8" w14:textId="6D4F71B7" w:rsidR="00A37634" w:rsidRPr="00385928" w:rsidRDefault="00A37634" w:rsidP="00A37634">
      <w:pPr>
        <w:spacing w:before="120" w:after="120" w:line="276" w:lineRule="auto"/>
        <w:rPr>
          <w:rFonts w:ascii="Calibri" w:eastAsia="Calibri" w:hAnsi="Calibri" w:cs="Calibri"/>
          <w:szCs w:val="20"/>
          <w:lang w:val="en-AU"/>
        </w:rPr>
      </w:pPr>
      <w:r w:rsidRPr="00385928">
        <w:rPr>
          <w:rFonts w:ascii="Calibri" w:eastAsia="Calibri" w:hAnsi="Calibri" w:cs="Calibri"/>
          <w:szCs w:val="20"/>
          <w:lang w:val="en-AU"/>
        </w:rPr>
        <w:t xml:space="preserve">However, other approaches are needed to engage the great majority of consumers who do not face TOU tariffs, </w:t>
      </w:r>
      <w:r w:rsidR="00524EA2" w:rsidRPr="00385928">
        <w:rPr>
          <w:rFonts w:ascii="Calibri" w:eastAsia="Calibri" w:hAnsi="Calibri" w:cs="Calibri"/>
          <w:szCs w:val="20"/>
          <w:lang w:val="en-AU"/>
        </w:rPr>
        <w:t xml:space="preserve">do not have PV systems </w:t>
      </w:r>
      <w:r w:rsidRPr="00385928">
        <w:rPr>
          <w:rFonts w:ascii="Calibri" w:eastAsia="Calibri" w:hAnsi="Calibri" w:cs="Calibri"/>
          <w:szCs w:val="20"/>
          <w:lang w:val="en-AU"/>
        </w:rPr>
        <w:t xml:space="preserve">and are not in position to – or simply too busy – to actively manage their energy loads. If consumers are willing to permit a DR service provider (DRSP) to manage some of their appliances, under agreed conditions and in return for agreed financial incentives, their aggregated DR capability can be exercised on their behalf in the electricity market. Aggregation increases both the scale and the reliability of the load reductions and load increases that can be bid into the market, to the point </w:t>
      </w:r>
      <w:r w:rsidRPr="00385928">
        <w:rPr>
          <w:rFonts w:ascii="Calibri" w:eastAsia="Calibri" w:hAnsi="Calibri" w:cs="Calibri"/>
          <w:szCs w:val="20"/>
          <w:lang w:val="en-AU"/>
        </w:rPr>
        <w:lastRenderedPageBreak/>
        <w:t xml:space="preserve">where network service providers and system managers can confidently factor DR into their infrastructure planning and load scheduling. </w:t>
      </w:r>
    </w:p>
    <w:p w14:paraId="7D7537DF" w14:textId="445DC0B7" w:rsidR="00524EA2" w:rsidRPr="00385928" w:rsidRDefault="00A37634" w:rsidP="00A37634">
      <w:pPr>
        <w:spacing w:before="120" w:after="120" w:line="276" w:lineRule="auto"/>
        <w:rPr>
          <w:rFonts w:ascii="Calibri" w:eastAsia="Calibri" w:hAnsi="Calibri" w:cs="Calibri"/>
          <w:szCs w:val="20"/>
          <w:lang w:val="en-AU"/>
        </w:rPr>
      </w:pPr>
      <w:r w:rsidRPr="00385928">
        <w:rPr>
          <w:rFonts w:ascii="Calibri" w:eastAsia="Calibri" w:hAnsi="Calibri" w:cs="Calibri"/>
          <w:szCs w:val="20"/>
          <w:lang w:val="en-AU"/>
        </w:rPr>
        <w:t xml:space="preserve">There are both regulatory and technical barriers to the development of a small consumer DR services market in Australia. </w:t>
      </w:r>
      <w:r w:rsidR="00524EA2" w:rsidRPr="00385928">
        <w:rPr>
          <w:rFonts w:ascii="Calibri" w:eastAsia="Calibri" w:hAnsi="Calibri" w:cs="Calibri"/>
          <w:szCs w:val="20"/>
          <w:lang w:val="en-AU"/>
        </w:rPr>
        <w:t>In July 2019</w:t>
      </w:r>
      <w:r w:rsidR="00F4285D">
        <w:rPr>
          <w:rFonts w:ascii="Calibri" w:eastAsia="Calibri" w:hAnsi="Calibri" w:cs="Calibri"/>
          <w:szCs w:val="20"/>
          <w:lang w:val="en-AU"/>
        </w:rPr>
        <w:t>,</w:t>
      </w:r>
      <w:r w:rsidR="00524EA2" w:rsidRPr="00385928">
        <w:rPr>
          <w:rFonts w:ascii="Calibri" w:eastAsia="Calibri" w:hAnsi="Calibri" w:cs="Calibri"/>
          <w:szCs w:val="20"/>
          <w:lang w:val="en-AU"/>
        </w:rPr>
        <w:t xml:space="preserve"> t</w:t>
      </w:r>
      <w:r w:rsidRPr="00385928">
        <w:rPr>
          <w:rFonts w:ascii="Calibri" w:eastAsia="Calibri" w:hAnsi="Calibri" w:cs="Calibri"/>
          <w:szCs w:val="20"/>
          <w:lang w:val="en-AU"/>
        </w:rPr>
        <w:t>he AEMC published a draft determination for a National Electricity Market (NEM) rule change that “implements a wholesale demand response mechanism, which allows third parties to participate directly in the wholesale market as a substitute for generation, and be paid for providing demand response.”</w:t>
      </w:r>
      <w:r w:rsidRPr="00385928">
        <w:rPr>
          <w:rFonts w:ascii="Calibri" w:eastAsia="Calibri" w:hAnsi="Calibri" w:cs="Calibri"/>
          <w:szCs w:val="20"/>
          <w:vertAlign w:val="superscript"/>
          <w:lang w:val="en-AU"/>
        </w:rPr>
        <w:footnoteReference w:id="6"/>
      </w:r>
      <w:r w:rsidRPr="00385928">
        <w:rPr>
          <w:rFonts w:ascii="Calibri" w:eastAsia="Calibri" w:hAnsi="Calibri" w:cs="Calibri"/>
          <w:szCs w:val="20"/>
          <w:lang w:val="en-AU"/>
        </w:rPr>
        <w:t xml:space="preserve"> The AEMC draft determination covers </w:t>
      </w:r>
      <w:r w:rsidR="00F4285D">
        <w:rPr>
          <w:rFonts w:ascii="Calibri" w:eastAsia="Calibri" w:hAnsi="Calibri" w:cs="Calibri"/>
          <w:szCs w:val="20"/>
          <w:lang w:val="en-AU"/>
        </w:rPr>
        <w:t xml:space="preserve">DR </w:t>
      </w:r>
      <w:r w:rsidRPr="00385928">
        <w:rPr>
          <w:rFonts w:ascii="Calibri" w:eastAsia="Calibri" w:hAnsi="Calibri" w:cs="Calibri"/>
          <w:szCs w:val="20"/>
          <w:lang w:val="en-AU"/>
        </w:rPr>
        <w:t xml:space="preserve">by industrial and commercial sector consumers only, and the </w:t>
      </w:r>
      <w:r w:rsidR="00F4285D">
        <w:rPr>
          <w:rFonts w:ascii="Calibri" w:eastAsia="Calibri" w:hAnsi="Calibri" w:cs="Calibri"/>
          <w:szCs w:val="20"/>
          <w:lang w:val="en-AU"/>
        </w:rPr>
        <w:t>AEMC</w:t>
      </w:r>
      <w:r w:rsidR="00F4285D" w:rsidRPr="00385928">
        <w:rPr>
          <w:rFonts w:ascii="Calibri" w:eastAsia="Calibri" w:hAnsi="Calibri" w:cs="Calibri"/>
          <w:szCs w:val="20"/>
          <w:lang w:val="en-AU"/>
        </w:rPr>
        <w:t xml:space="preserve"> </w:t>
      </w:r>
      <w:r w:rsidRPr="00385928">
        <w:rPr>
          <w:rFonts w:ascii="Calibri" w:eastAsia="Calibri" w:hAnsi="Calibri" w:cs="Calibri"/>
          <w:szCs w:val="20"/>
          <w:lang w:val="en-AU"/>
        </w:rPr>
        <w:t>has decided to defer a decision on extending the rule to cover small consumers pending a review of consumer protections.</w:t>
      </w:r>
      <w:r w:rsidR="00877821">
        <w:rPr>
          <w:rFonts w:ascii="Calibri" w:eastAsia="Calibri" w:hAnsi="Calibri" w:cs="Calibri"/>
          <w:szCs w:val="20"/>
          <w:lang w:val="en-AU"/>
        </w:rPr>
        <w:t xml:space="preserve"> </w:t>
      </w:r>
    </w:p>
    <w:p w14:paraId="41F7C08D" w14:textId="27FD1176" w:rsidR="00A37634" w:rsidRPr="00524EA2" w:rsidRDefault="00524EA2" w:rsidP="00524EA2">
      <w:pPr>
        <w:keepNext/>
        <w:keepLines/>
        <w:spacing w:before="240" w:after="240" w:line="278" w:lineRule="auto"/>
        <w:outlineLvl w:val="4"/>
        <w:rPr>
          <w:rFonts w:ascii="Calibri" w:eastAsia="Times New Roman" w:hAnsi="Calibri" w:cs="Calibri"/>
          <w:b/>
          <w:color w:val="FF0000"/>
          <w:sz w:val="32"/>
          <w:szCs w:val="24"/>
          <w:lang w:val="en-AU"/>
        </w:rPr>
      </w:pPr>
      <w:r w:rsidRPr="00524EA2">
        <w:rPr>
          <w:rFonts w:ascii="Calibri" w:eastAsia="Times New Roman" w:hAnsi="Calibri" w:cs="Calibri"/>
          <w:b/>
          <w:color w:val="FF0000"/>
          <w:sz w:val="32"/>
          <w:szCs w:val="24"/>
          <w:lang w:val="en-AU"/>
        </w:rPr>
        <w:t>The Problem</w:t>
      </w:r>
      <w:r w:rsidR="00A37634" w:rsidRPr="00524EA2">
        <w:rPr>
          <w:rFonts w:ascii="Calibri" w:eastAsia="Times New Roman" w:hAnsi="Calibri" w:cs="Calibri"/>
          <w:b/>
          <w:color w:val="FF0000"/>
          <w:sz w:val="32"/>
          <w:szCs w:val="24"/>
          <w:lang w:val="en-AU"/>
        </w:rPr>
        <w:t xml:space="preserve"> </w:t>
      </w:r>
    </w:p>
    <w:p w14:paraId="58A2CBFF" w14:textId="561F8696" w:rsidR="00A37634" w:rsidRPr="00A37634" w:rsidRDefault="00A37634" w:rsidP="00A37634">
      <w:pPr>
        <w:spacing w:before="120" w:after="120" w:line="276" w:lineRule="auto"/>
        <w:rPr>
          <w:rFonts w:ascii="Calibri" w:eastAsia="Calibri" w:hAnsi="Calibri" w:cs="Calibri"/>
          <w:szCs w:val="20"/>
          <w:lang w:val="en-AU"/>
        </w:rPr>
      </w:pPr>
      <w:r w:rsidRPr="00385928">
        <w:rPr>
          <w:rFonts w:ascii="Calibri" w:eastAsia="Calibri" w:hAnsi="Calibri" w:cs="Calibri"/>
          <w:szCs w:val="20"/>
          <w:lang w:val="en-AU"/>
        </w:rPr>
        <w:t xml:space="preserve">Removal of regulatory barriers would not on its own overcome the technical barriers. The development of a DR services market in which small consumers can participate requires DRSPs to be able to engage large numbers of consumers and to aggregate appliances of many different types from different manufacturers. Otherwise, costs will remain prohibitively high. At present, neither appliance manufacturers nor DRSPs are willing to risk investing in any </w:t>
      </w:r>
      <w:proofErr w:type="gramStart"/>
      <w:r w:rsidRPr="00385928">
        <w:rPr>
          <w:rFonts w:ascii="Calibri" w:eastAsia="Calibri" w:hAnsi="Calibri" w:cs="Calibri"/>
          <w:szCs w:val="20"/>
          <w:lang w:val="en-AU"/>
        </w:rPr>
        <w:t xml:space="preserve">particular </w:t>
      </w:r>
      <w:r w:rsidR="00F4285D">
        <w:rPr>
          <w:rFonts w:ascii="Calibri" w:eastAsia="Calibri" w:hAnsi="Calibri" w:cs="Calibri"/>
          <w:szCs w:val="20"/>
          <w:lang w:val="en-AU"/>
        </w:rPr>
        <w:t>DR</w:t>
      </w:r>
      <w:proofErr w:type="gramEnd"/>
      <w:r w:rsidR="00F4285D">
        <w:rPr>
          <w:rFonts w:ascii="Calibri" w:eastAsia="Calibri" w:hAnsi="Calibri" w:cs="Calibri"/>
          <w:szCs w:val="20"/>
          <w:lang w:val="en-AU"/>
        </w:rPr>
        <w:t xml:space="preserve"> </w:t>
      </w:r>
      <w:r w:rsidRPr="00385928">
        <w:rPr>
          <w:rFonts w:ascii="Calibri" w:eastAsia="Calibri" w:hAnsi="Calibri" w:cs="Calibri"/>
          <w:szCs w:val="20"/>
          <w:lang w:val="en-AU"/>
        </w:rPr>
        <w:t>technology because of the fragmentation of the market.</w:t>
      </w:r>
      <w:r w:rsidRPr="00A37634">
        <w:rPr>
          <w:rFonts w:ascii="Calibri" w:eastAsia="Calibri" w:hAnsi="Calibri" w:cs="Calibri"/>
          <w:szCs w:val="20"/>
          <w:lang w:val="en-AU"/>
        </w:rPr>
        <w:t xml:space="preserve"> </w:t>
      </w:r>
    </w:p>
    <w:p w14:paraId="7CFAB442" w14:textId="5757D8F6" w:rsidR="00C85FB0"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Market fragmentation can be addressed by adopting a common, open (as distinct from proprietary) standard for DR capability.</w:t>
      </w:r>
      <w:r w:rsidR="00C85FB0">
        <w:rPr>
          <w:rFonts w:ascii="Calibri" w:eastAsia="Calibri" w:hAnsi="Calibri" w:cs="Calibri"/>
          <w:szCs w:val="20"/>
          <w:lang w:val="en-AU"/>
        </w:rPr>
        <w:t xml:space="preserve"> This was first proposed in a Consultation Regulation Impact Statement (RIS) published by the Equipment Energy Efficiency (E3) Committee in 2013. The measure was favourably received by stakeholders during public consultations at the time, but did not proceed to a Decision RIS.</w:t>
      </w:r>
      <w:r w:rsidR="007370DA">
        <w:rPr>
          <w:rFonts w:ascii="Calibri" w:eastAsia="Calibri" w:hAnsi="Calibri" w:cs="Calibri"/>
          <w:szCs w:val="20"/>
          <w:lang w:val="en-AU"/>
        </w:rPr>
        <w:t xml:space="preserve"> </w:t>
      </w:r>
      <w:r w:rsidR="00C85FB0">
        <w:rPr>
          <w:rFonts w:ascii="Calibri" w:eastAsia="Calibri" w:hAnsi="Calibri" w:cs="Calibri"/>
          <w:szCs w:val="20"/>
          <w:lang w:val="en-AU"/>
        </w:rPr>
        <w:t>Since then, with the growth in renewable forms of electricity generat</w:t>
      </w:r>
      <w:r w:rsidR="002E3C13">
        <w:rPr>
          <w:rFonts w:ascii="Calibri" w:eastAsia="Calibri" w:hAnsi="Calibri" w:cs="Calibri"/>
          <w:szCs w:val="20"/>
          <w:lang w:val="en-AU"/>
        </w:rPr>
        <w:t>i</w:t>
      </w:r>
      <w:r w:rsidR="00C85FB0">
        <w:rPr>
          <w:rFonts w:ascii="Calibri" w:eastAsia="Calibri" w:hAnsi="Calibri" w:cs="Calibri"/>
          <w:szCs w:val="20"/>
          <w:lang w:val="en-AU"/>
        </w:rPr>
        <w:t xml:space="preserve">on, the challenges of variability in both generation and load have intensified.    </w:t>
      </w:r>
    </w:p>
    <w:p w14:paraId="02102EB2" w14:textId="4B0C91D8" w:rsidR="00C85FB0" w:rsidRDefault="00C85FB0" w:rsidP="00A37634">
      <w:pPr>
        <w:spacing w:before="120" w:after="120" w:line="276" w:lineRule="auto"/>
        <w:rPr>
          <w:rFonts w:ascii="Calibri" w:eastAsia="Calibri" w:hAnsi="Calibri" w:cs="Calibri"/>
          <w:szCs w:val="20"/>
          <w:lang w:val="en-AU"/>
        </w:rPr>
      </w:pPr>
      <w:r w:rsidRPr="00C85FB0">
        <w:rPr>
          <w:rFonts w:ascii="Calibri" w:eastAsia="Calibri" w:hAnsi="Calibri" w:cs="Calibri"/>
          <w:szCs w:val="20"/>
          <w:lang w:val="en-AU"/>
        </w:rPr>
        <w:t xml:space="preserve">In December 2018, </w:t>
      </w:r>
      <w:r w:rsidR="00F4285D">
        <w:rPr>
          <w:rFonts w:ascii="Calibri" w:eastAsia="Calibri" w:hAnsi="Calibri" w:cs="Calibri"/>
          <w:szCs w:val="20"/>
          <w:lang w:val="en-AU"/>
        </w:rPr>
        <w:t xml:space="preserve">the </w:t>
      </w:r>
      <w:r w:rsidR="00086503">
        <w:rPr>
          <w:rFonts w:ascii="Calibri" w:eastAsia="Calibri" w:hAnsi="Calibri" w:cs="Calibri"/>
          <w:szCs w:val="20"/>
          <w:lang w:val="en-AU"/>
        </w:rPr>
        <w:t>Council of Australian Governments (</w:t>
      </w:r>
      <w:r w:rsidRPr="00C85FB0">
        <w:rPr>
          <w:rFonts w:ascii="Calibri" w:eastAsia="Calibri" w:hAnsi="Calibri" w:cs="Calibri"/>
          <w:szCs w:val="20"/>
          <w:lang w:val="en-AU"/>
        </w:rPr>
        <w:t>COAG</w:t>
      </w:r>
      <w:r w:rsidR="00086503">
        <w:rPr>
          <w:rFonts w:ascii="Calibri" w:eastAsia="Calibri" w:hAnsi="Calibri" w:cs="Calibri"/>
          <w:szCs w:val="20"/>
          <w:lang w:val="en-AU"/>
        </w:rPr>
        <w:t>)</w:t>
      </w:r>
      <w:r w:rsidRPr="00C85FB0">
        <w:rPr>
          <w:rFonts w:ascii="Calibri" w:eastAsia="Calibri" w:hAnsi="Calibri" w:cs="Calibri"/>
          <w:szCs w:val="20"/>
          <w:lang w:val="en-AU"/>
        </w:rPr>
        <w:t xml:space="preserve"> Energy Council agreed to re-examine and update </w:t>
      </w:r>
      <w:r>
        <w:rPr>
          <w:rFonts w:ascii="Calibri" w:eastAsia="Calibri" w:hAnsi="Calibri" w:cs="Calibri"/>
          <w:szCs w:val="20"/>
          <w:lang w:val="en-AU"/>
        </w:rPr>
        <w:t xml:space="preserve">the cost-benefit </w:t>
      </w:r>
      <w:r w:rsidRPr="00C85FB0">
        <w:rPr>
          <w:rFonts w:ascii="Calibri" w:eastAsia="Calibri" w:hAnsi="Calibri" w:cs="Calibri"/>
          <w:szCs w:val="20"/>
          <w:lang w:val="en-AU"/>
        </w:rPr>
        <w:t xml:space="preserve">modelling undertaken in 2013/14 </w:t>
      </w:r>
      <w:r w:rsidR="007370DA">
        <w:rPr>
          <w:rFonts w:ascii="Calibri" w:eastAsia="Calibri" w:hAnsi="Calibri" w:cs="Calibri"/>
          <w:szCs w:val="20"/>
          <w:lang w:val="en-AU"/>
        </w:rPr>
        <w:t xml:space="preserve">on the value of </w:t>
      </w:r>
      <w:r w:rsidRPr="00C85FB0">
        <w:rPr>
          <w:rFonts w:ascii="Calibri" w:eastAsia="Calibri" w:hAnsi="Calibri" w:cs="Calibri"/>
          <w:szCs w:val="20"/>
          <w:lang w:val="en-AU"/>
        </w:rPr>
        <w:t>network cost savings, as well as consider additional benefits outside the scope of the previous work, including reduced wholesale prices to all consumers, emergency management (Reliability and Emergency Reserve Trader</w:t>
      </w:r>
      <w:r w:rsidR="00F4285D">
        <w:rPr>
          <w:rFonts w:ascii="Calibri" w:eastAsia="Calibri" w:hAnsi="Calibri" w:cs="Calibri"/>
          <w:szCs w:val="20"/>
          <w:lang w:val="en-AU"/>
        </w:rPr>
        <w:t xml:space="preserve"> (RERT)</w:t>
      </w:r>
      <w:r w:rsidRPr="00C85FB0">
        <w:rPr>
          <w:rFonts w:ascii="Calibri" w:eastAsia="Calibri" w:hAnsi="Calibri" w:cs="Calibri"/>
          <w:szCs w:val="20"/>
          <w:lang w:val="en-AU"/>
        </w:rPr>
        <w:t>) benefits, and benefits from shifting energy load to periods of minimum demand and excess export of rooftop solar PV.</w:t>
      </w:r>
    </w:p>
    <w:p w14:paraId="334F3941" w14:textId="77777777" w:rsidR="00C85FB0" w:rsidRPr="00C85FB0" w:rsidRDefault="00C85FB0" w:rsidP="00C85FB0">
      <w:pPr>
        <w:spacing w:before="120" w:after="120" w:line="276" w:lineRule="auto"/>
        <w:rPr>
          <w:rFonts w:ascii="Calibri" w:eastAsia="Calibri" w:hAnsi="Calibri" w:cs="Calibri"/>
          <w:szCs w:val="20"/>
          <w:lang w:val="en-AU"/>
        </w:rPr>
      </w:pPr>
      <w:r w:rsidRPr="00C85FB0">
        <w:rPr>
          <w:rFonts w:ascii="Calibri" w:eastAsia="Calibri" w:hAnsi="Calibri" w:cs="Calibri"/>
          <w:szCs w:val="20"/>
          <w:lang w:val="en-AU"/>
        </w:rPr>
        <w:t>The objectives of government action in this matter are “to contribute to reducing the future investment requirements for electricity network, generation and transmission infrastructure due to growth in peak electricity demand, and to address network costs arising from the rapid growth in customer-side renewable generation, by facilitating development of the demand response market.”</w:t>
      </w:r>
    </w:p>
    <w:p w14:paraId="01544DCE" w14:textId="77777777" w:rsidR="00C85FB0" w:rsidRPr="00C85FB0" w:rsidRDefault="00C85FB0" w:rsidP="00C85FB0">
      <w:pPr>
        <w:spacing w:before="120" w:after="120" w:line="276" w:lineRule="auto"/>
        <w:rPr>
          <w:rFonts w:ascii="Calibri" w:eastAsia="Calibri" w:hAnsi="Calibri" w:cs="Calibri"/>
          <w:szCs w:val="20"/>
          <w:lang w:val="en-AU"/>
        </w:rPr>
      </w:pPr>
      <w:r w:rsidRPr="00C85FB0">
        <w:rPr>
          <w:rFonts w:ascii="Calibri" w:eastAsia="Calibri" w:hAnsi="Calibri" w:cs="Calibri"/>
          <w:szCs w:val="20"/>
          <w:lang w:val="en-AU"/>
        </w:rPr>
        <w:t xml:space="preserve">A Consultation Paper released in August 2019 considered three options, and assessed the degree to which they could achieve the above objectives:  </w:t>
      </w:r>
    </w:p>
    <w:p w14:paraId="1A398D7D" w14:textId="2B5E8D45" w:rsidR="00C85FB0" w:rsidRPr="00C85FB0" w:rsidRDefault="00C85FB0" w:rsidP="00C85FB0">
      <w:pPr>
        <w:pStyle w:val="ListParagraph"/>
        <w:numPr>
          <w:ilvl w:val="0"/>
          <w:numId w:val="34"/>
        </w:numPr>
        <w:spacing w:before="120"/>
        <w:rPr>
          <w:rFonts w:eastAsia="Calibri" w:cs="Calibri"/>
        </w:rPr>
      </w:pPr>
      <w:r w:rsidRPr="00C85FB0">
        <w:rPr>
          <w:rFonts w:eastAsia="Calibri" w:cs="Calibri"/>
        </w:rPr>
        <w:t>Business as Usual (BAU) – no new regulations;</w:t>
      </w:r>
    </w:p>
    <w:p w14:paraId="2CF5A9FD" w14:textId="53C6D512" w:rsidR="00C85FB0" w:rsidRPr="00C85FB0" w:rsidRDefault="00C85FB0" w:rsidP="00C85FB0">
      <w:pPr>
        <w:pStyle w:val="ListParagraph"/>
        <w:numPr>
          <w:ilvl w:val="0"/>
          <w:numId w:val="34"/>
        </w:numPr>
        <w:spacing w:before="120"/>
        <w:rPr>
          <w:rFonts w:eastAsia="Calibri" w:cs="Calibri"/>
        </w:rPr>
      </w:pPr>
      <w:r w:rsidRPr="00C85FB0">
        <w:rPr>
          <w:rFonts w:eastAsia="Calibri" w:cs="Calibri"/>
        </w:rPr>
        <w:t xml:space="preserve">Encourage the voluntary adoption of </w:t>
      </w:r>
      <w:r w:rsidR="00F4285D">
        <w:rPr>
          <w:rFonts w:eastAsia="Calibri" w:cs="Calibri"/>
        </w:rPr>
        <w:t>DR</w:t>
      </w:r>
      <w:r w:rsidRPr="00C85FB0">
        <w:rPr>
          <w:rFonts w:eastAsia="Calibri" w:cs="Calibri"/>
        </w:rPr>
        <w:t xml:space="preserve"> appliances</w:t>
      </w:r>
      <w:r w:rsidR="007370DA">
        <w:rPr>
          <w:rFonts w:eastAsia="Calibri" w:cs="Calibri"/>
        </w:rPr>
        <w:t xml:space="preserve"> through cash incentives and/or product labelling</w:t>
      </w:r>
      <w:r w:rsidRPr="00C85FB0">
        <w:rPr>
          <w:rFonts w:eastAsia="Calibri" w:cs="Calibri"/>
        </w:rPr>
        <w:t xml:space="preserve">; or </w:t>
      </w:r>
    </w:p>
    <w:p w14:paraId="67870904" w14:textId="43302EBA" w:rsidR="00C85FB0" w:rsidRPr="00C85FB0" w:rsidRDefault="00C85FB0" w:rsidP="00C85FB0">
      <w:pPr>
        <w:pStyle w:val="ListParagraph"/>
        <w:numPr>
          <w:ilvl w:val="0"/>
          <w:numId w:val="34"/>
        </w:numPr>
        <w:spacing w:before="120"/>
        <w:rPr>
          <w:rFonts w:eastAsia="Calibri" w:cs="Calibri"/>
        </w:rPr>
      </w:pPr>
      <w:r w:rsidRPr="00C85FB0">
        <w:rPr>
          <w:rFonts w:eastAsia="Calibri" w:cs="Calibri"/>
        </w:rPr>
        <w:t>Mandate the presence of DR capabilities in the products which contribute (or are likely to contribute) most to peak demand, and for the products where DR could help alleviate network and power quality problems.</w:t>
      </w:r>
    </w:p>
    <w:p w14:paraId="12B99E87" w14:textId="0FA13284" w:rsidR="00C85FB0" w:rsidRDefault="00C85FB0" w:rsidP="00C85FB0">
      <w:pPr>
        <w:spacing w:before="120" w:after="120" w:line="276" w:lineRule="auto"/>
        <w:rPr>
          <w:rFonts w:ascii="Calibri" w:eastAsia="Calibri" w:hAnsi="Calibri" w:cs="Calibri"/>
          <w:szCs w:val="20"/>
          <w:lang w:val="en-AU"/>
        </w:rPr>
      </w:pPr>
      <w:r w:rsidRPr="00C85FB0">
        <w:rPr>
          <w:rFonts w:ascii="Calibri" w:eastAsia="Calibri" w:hAnsi="Calibri" w:cs="Calibri"/>
          <w:szCs w:val="20"/>
          <w:lang w:val="en-AU"/>
        </w:rPr>
        <w:lastRenderedPageBreak/>
        <w:t xml:space="preserve">The Consultation Paper </w:t>
      </w:r>
      <w:r w:rsidR="00327359">
        <w:rPr>
          <w:rFonts w:ascii="Calibri" w:eastAsia="Calibri" w:hAnsi="Calibri" w:cs="Calibri"/>
          <w:szCs w:val="20"/>
          <w:lang w:val="en-AU"/>
        </w:rPr>
        <w:t xml:space="preserve">recommended Option 3 as the preferred option: </w:t>
      </w:r>
      <w:r w:rsidRPr="00C85FB0">
        <w:rPr>
          <w:rFonts w:ascii="Calibri" w:eastAsia="Calibri" w:hAnsi="Calibri" w:cs="Calibri"/>
          <w:szCs w:val="20"/>
          <w:lang w:val="en-AU"/>
        </w:rPr>
        <w:t>the DR capability of residential air conditioners</w:t>
      </w:r>
      <w:r w:rsidR="00F4285D">
        <w:rPr>
          <w:rFonts w:ascii="Calibri" w:eastAsia="Calibri" w:hAnsi="Calibri" w:cs="Calibri"/>
          <w:szCs w:val="20"/>
          <w:lang w:val="en-AU"/>
        </w:rPr>
        <w:t xml:space="preserve"> (ACs)</w:t>
      </w:r>
      <w:r w:rsidRPr="00C85FB0">
        <w:rPr>
          <w:rFonts w:ascii="Calibri" w:eastAsia="Calibri" w:hAnsi="Calibri" w:cs="Calibri"/>
          <w:szCs w:val="20"/>
          <w:lang w:val="en-AU"/>
        </w:rPr>
        <w:t xml:space="preserve">, electric storage water heaters, pool pump controllers and electric vehicle </w:t>
      </w:r>
      <w:r w:rsidR="00F4285D">
        <w:rPr>
          <w:rFonts w:ascii="Calibri" w:eastAsia="Calibri" w:hAnsi="Calibri" w:cs="Calibri"/>
          <w:szCs w:val="20"/>
          <w:lang w:val="en-AU"/>
        </w:rPr>
        <w:t xml:space="preserve">(EV) </w:t>
      </w:r>
      <w:r w:rsidRPr="00C85FB0">
        <w:rPr>
          <w:rFonts w:ascii="Calibri" w:eastAsia="Calibri" w:hAnsi="Calibri" w:cs="Calibri"/>
          <w:szCs w:val="20"/>
          <w:lang w:val="en-AU"/>
        </w:rPr>
        <w:t>chargers should be mandated under the</w:t>
      </w:r>
      <w:r w:rsidR="00F4285D">
        <w:rPr>
          <w:rFonts w:ascii="Calibri" w:eastAsia="Calibri" w:hAnsi="Calibri" w:cs="Calibri"/>
          <w:szCs w:val="20"/>
          <w:lang w:val="en-AU"/>
        </w:rPr>
        <w:t xml:space="preserve"> Greenhouse and Energy Minimum Standards</w:t>
      </w:r>
      <w:r w:rsidRPr="00C85FB0">
        <w:rPr>
          <w:rFonts w:ascii="Calibri" w:eastAsia="Calibri" w:hAnsi="Calibri" w:cs="Calibri"/>
          <w:szCs w:val="20"/>
          <w:lang w:val="en-AU"/>
        </w:rPr>
        <w:t xml:space="preserve"> </w:t>
      </w:r>
      <w:r w:rsidR="00F4285D">
        <w:rPr>
          <w:rFonts w:ascii="Calibri" w:eastAsia="Calibri" w:hAnsi="Calibri" w:cs="Calibri"/>
          <w:szCs w:val="20"/>
          <w:lang w:val="en-AU"/>
        </w:rPr>
        <w:t>(</w:t>
      </w:r>
      <w:r w:rsidRPr="00C85FB0">
        <w:rPr>
          <w:rFonts w:ascii="Calibri" w:eastAsia="Calibri" w:hAnsi="Calibri" w:cs="Calibri"/>
          <w:szCs w:val="20"/>
          <w:lang w:val="en-AU"/>
        </w:rPr>
        <w:t>GEMS</w:t>
      </w:r>
      <w:r w:rsidR="00F4285D">
        <w:rPr>
          <w:rFonts w:ascii="Calibri" w:eastAsia="Calibri" w:hAnsi="Calibri" w:cs="Calibri"/>
          <w:szCs w:val="20"/>
          <w:lang w:val="en-AU"/>
        </w:rPr>
        <w:t>)</w:t>
      </w:r>
      <w:r w:rsidRPr="00C85FB0">
        <w:rPr>
          <w:rFonts w:ascii="Calibri" w:eastAsia="Calibri" w:hAnsi="Calibri" w:cs="Calibri"/>
          <w:szCs w:val="20"/>
          <w:lang w:val="en-AU"/>
        </w:rPr>
        <w:t xml:space="preserve"> Act 2012, as requirements to comply with the relevant parts of AS/NZS 4755</w:t>
      </w:r>
      <w:r w:rsidR="00F4285D">
        <w:rPr>
          <w:rFonts w:ascii="Calibri" w:eastAsia="Calibri" w:hAnsi="Calibri" w:cs="Calibri"/>
          <w:szCs w:val="20"/>
          <w:lang w:val="en-AU"/>
        </w:rPr>
        <w:t>:</w:t>
      </w:r>
      <w:r w:rsidRPr="00C85FB0">
        <w:rPr>
          <w:rFonts w:ascii="Calibri" w:eastAsia="Calibri" w:hAnsi="Calibri" w:cs="Calibri"/>
          <w:szCs w:val="20"/>
          <w:lang w:val="en-AU"/>
        </w:rPr>
        <w:t xml:space="preserve"> </w:t>
      </w:r>
      <w:r w:rsidRPr="00C85FB0">
        <w:rPr>
          <w:rFonts w:ascii="Calibri" w:eastAsia="Calibri" w:hAnsi="Calibri" w:cs="Calibri"/>
          <w:i/>
          <w:iCs/>
          <w:szCs w:val="20"/>
          <w:lang w:val="en-AU"/>
        </w:rPr>
        <w:t>Demand response capabilities and supporting technologies for electrical products</w:t>
      </w:r>
      <w:r w:rsidRPr="00C85FB0">
        <w:rPr>
          <w:rFonts w:ascii="Calibri" w:eastAsia="Calibri" w:hAnsi="Calibri" w:cs="Calibri"/>
          <w:szCs w:val="20"/>
          <w:lang w:val="en-AU"/>
        </w:rPr>
        <w:t xml:space="preserve">. Compliance with this standard is verifiable by testing randomly selected products, </w:t>
      </w:r>
      <w:proofErr w:type="gramStart"/>
      <w:r w:rsidRPr="00C85FB0">
        <w:rPr>
          <w:rFonts w:ascii="Calibri" w:eastAsia="Calibri" w:hAnsi="Calibri" w:cs="Calibri"/>
          <w:szCs w:val="20"/>
          <w:lang w:val="en-AU"/>
        </w:rPr>
        <w:t>similar to</w:t>
      </w:r>
      <w:proofErr w:type="gramEnd"/>
      <w:r w:rsidRPr="00C85FB0">
        <w:rPr>
          <w:rFonts w:ascii="Calibri" w:eastAsia="Calibri" w:hAnsi="Calibri" w:cs="Calibri"/>
          <w:szCs w:val="20"/>
          <w:lang w:val="en-AU"/>
        </w:rPr>
        <w:t xml:space="preserve"> the testing of compliance with minimum energy performance standards</w:t>
      </w:r>
      <w:r w:rsidR="00F4285D">
        <w:rPr>
          <w:rFonts w:ascii="Calibri" w:eastAsia="Calibri" w:hAnsi="Calibri" w:cs="Calibri"/>
          <w:szCs w:val="20"/>
          <w:lang w:val="en-AU"/>
        </w:rPr>
        <w:t xml:space="preserve"> (MEPS)</w:t>
      </w:r>
      <w:r w:rsidRPr="00C85FB0">
        <w:rPr>
          <w:rFonts w:ascii="Calibri" w:eastAsia="Calibri" w:hAnsi="Calibri" w:cs="Calibri"/>
          <w:szCs w:val="20"/>
          <w:lang w:val="en-AU"/>
        </w:rPr>
        <w:t>.</w:t>
      </w:r>
      <w:r w:rsidR="007370DA">
        <w:rPr>
          <w:rFonts w:ascii="Calibri" w:eastAsia="Calibri" w:hAnsi="Calibri" w:cs="Calibri"/>
          <w:szCs w:val="20"/>
          <w:lang w:val="en-AU"/>
        </w:rPr>
        <w:t xml:space="preserve"> </w:t>
      </w:r>
    </w:p>
    <w:p w14:paraId="6FBEBF30" w14:textId="6E29A282" w:rsidR="007370DA" w:rsidRDefault="007370DA" w:rsidP="00C85FB0">
      <w:pPr>
        <w:spacing w:before="120" w:after="120" w:line="276" w:lineRule="auto"/>
        <w:rPr>
          <w:rFonts w:ascii="Calibri" w:eastAsia="Calibri" w:hAnsi="Calibri" w:cs="Calibri"/>
          <w:szCs w:val="20"/>
          <w:lang w:val="en-AU"/>
        </w:rPr>
      </w:pPr>
      <w:r>
        <w:rPr>
          <w:rFonts w:ascii="Calibri" w:eastAsia="Calibri" w:hAnsi="Calibri" w:cs="Calibri"/>
          <w:szCs w:val="20"/>
          <w:lang w:val="en-AU"/>
        </w:rPr>
        <w:t>There are no international</w:t>
      </w:r>
      <w:r w:rsidR="00D5497F">
        <w:rPr>
          <w:rFonts w:ascii="Calibri" w:eastAsia="Calibri" w:hAnsi="Calibri" w:cs="Calibri"/>
          <w:szCs w:val="20"/>
          <w:lang w:val="en-AU"/>
        </w:rPr>
        <w:t xml:space="preserve"> </w:t>
      </w:r>
      <w:r>
        <w:rPr>
          <w:rFonts w:ascii="Calibri" w:eastAsia="Calibri" w:hAnsi="Calibri" w:cs="Calibri"/>
          <w:szCs w:val="20"/>
          <w:lang w:val="en-AU"/>
        </w:rPr>
        <w:t xml:space="preserve">or national standards in use elsewhere that provide equivalent </w:t>
      </w:r>
      <w:r w:rsidR="00D5497F">
        <w:rPr>
          <w:rFonts w:ascii="Calibri" w:eastAsia="Calibri" w:hAnsi="Calibri" w:cs="Calibri"/>
          <w:szCs w:val="20"/>
          <w:lang w:val="en-AU"/>
        </w:rPr>
        <w:t xml:space="preserve">open-access </w:t>
      </w:r>
      <w:r>
        <w:rPr>
          <w:rFonts w:ascii="Calibri" w:eastAsia="Calibri" w:hAnsi="Calibri" w:cs="Calibri"/>
          <w:szCs w:val="20"/>
          <w:lang w:val="en-AU"/>
        </w:rPr>
        <w:t xml:space="preserve">DR capabilities for </w:t>
      </w:r>
      <w:r w:rsidR="00F4285D">
        <w:rPr>
          <w:rFonts w:ascii="Calibri" w:eastAsia="Calibri" w:hAnsi="Calibri" w:cs="Calibri"/>
          <w:szCs w:val="20"/>
          <w:lang w:val="en-AU"/>
        </w:rPr>
        <w:t>ACs</w:t>
      </w:r>
      <w:r>
        <w:rPr>
          <w:rFonts w:ascii="Calibri" w:eastAsia="Calibri" w:hAnsi="Calibri" w:cs="Calibri"/>
          <w:szCs w:val="20"/>
          <w:lang w:val="en-AU"/>
        </w:rPr>
        <w:t>, pool pump controllers or electric storage water heaters. EV chargers</w:t>
      </w:r>
      <w:r w:rsidR="00D5497F">
        <w:rPr>
          <w:rFonts w:ascii="Calibri" w:eastAsia="Calibri" w:hAnsi="Calibri" w:cs="Calibri"/>
          <w:szCs w:val="20"/>
          <w:lang w:val="en-AU"/>
        </w:rPr>
        <w:t xml:space="preserve"> are a different case in that “smart” charging capabilities are available through other standards. </w:t>
      </w:r>
    </w:p>
    <w:p w14:paraId="2027652C" w14:textId="6ED043FC" w:rsidR="002E3C13" w:rsidRDefault="002E3C13" w:rsidP="00C85FB0">
      <w:pPr>
        <w:spacing w:before="120" w:after="120" w:line="276" w:lineRule="auto"/>
        <w:rPr>
          <w:rFonts w:ascii="Calibri" w:eastAsia="Calibri" w:hAnsi="Calibri" w:cs="Calibri"/>
          <w:szCs w:val="20"/>
          <w:lang w:val="en-AU"/>
        </w:rPr>
      </w:pPr>
      <w:r w:rsidRPr="002E3C13">
        <w:rPr>
          <w:rFonts w:ascii="Calibri" w:eastAsia="Calibri" w:hAnsi="Calibri" w:cs="Calibri"/>
          <w:szCs w:val="20"/>
          <w:lang w:val="en-AU"/>
        </w:rPr>
        <w:t>It should be noted that</w:t>
      </w:r>
      <w:r>
        <w:rPr>
          <w:rFonts w:ascii="Calibri" w:eastAsia="Calibri" w:hAnsi="Calibri" w:cs="Calibri"/>
          <w:szCs w:val="20"/>
          <w:lang w:val="en-AU"/>
        </w:rPr>
        <w:t xml:space="preserve">, while products would need to be DR-capable, it would always </w:t>
      </w:r>
      <w:r w:rsidRPr="002E3C13">
        <w:rPr>
          <w:rFonts w:ascii="Calibri" w:eastAsia="Calibri" w:hAnsi="Calibri" w:cs="Calibri"/>
          <w:szCs w:val="20"/>
          <w:lang w:val="en-AU"/>
        </w:rPr>
        <w:t>be up to consumers to decide whether they wish to contract with a DRSP to activate the DR capability in their appliances, in return for monetary, tariff or other benefits offered by the service provider.</w:t>
      </w:r>
    </w:p>
    <w:p w14:paraId="79949B10" w14:textId="5099EAC3" w:rsidR="00C85FB0" w:rsidRPr="002E3C13" w:rsidRDefault="00C85FB0" w:rsidP="002E3C13">
      <w:pPr>
        <w:keepNext/>
        <w:keepLines/>
        <w:spacing w:before="240" w:after="240" w:line="278" w:lineRule="auto"/>
        <w:outlineLvl w:val="4"/>
        <w:rPr>
          <w:rFonts w:ascii="Calibri" w:eastAsia="Times New Roman" w:hAnsi="Calibri" w:cs="Calibri"/>
          <w:b/>
          <w:color w:val="FF0000"/>
          <w:sz w:val="32"/>
          <w:szCs w:val="24"/>
          <w:lang w:val="en-AU"/>
        </w:rPr>
      </w:pPr>
      <w:r w:rsidRPr="002E3C13">
        <w:rPr>
          <w:rFonts w:ascii="Calibri" w:eastAsia="Times New Roman" w:hAnsi="Calibri" w:cs="Calibri"/>
          <w:b/>
          <w:color w:val="FF0000"/>
          <w:sz w:val="32"/>
          <w:szCs w:val="24"/>
          <w:lang w:val="en-AU"/>
        </w:rPr>
        <w:t xml:space="preserve">Projected Costs and Benefits </w:t>
      </w:r>
    </w:p>
    <w:p w14:paraId="3BD00997" w14:textId="045D40ED" w:rsidR="00C85FB0" w:rsidRDefault="002E3C13"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calculation of costs and benefits has been informed by feedback from stakeholders during the consultation process. </w:t>
      </w:r>
      <w:r w:rsidR="00F4285D">
        <w:rPr>
          <w:rFonts w:ascii="Calibri" w:eastAsia="Calibri" w:hAnsi="Calibri" w:cs="Calibri"/>
          <w:szCs w:val="20"/>
          <w:lang w:val="en-AU"/>
        </w:rPr>
        <w:t>DR</w:t>
      </w:r>
      <w:r>
        <w:rPr>
          <w:rFonts w:ascii="Calibri" w:eastAsia="Calibri" w:hAnsi="Calibri" w:cs="Calibri"/>
          <w:szCs w:val="20"/>
          <w:lang w:val="en-AU"/>
        </w:rPr>
        <w:t xml:space="preserve"> can provide four main categories of benefit:</w:t>
      </w:r>
    </w:p>
    <w:p w14:paraId="1B7DAC5D" w14:textId="029D5070" w:rsidR="002E3C13" w:rsidRPr="00D5497F" w:rsidRDefault="00F4285D" w:rsidP="00D5497F">
      <w:pPr>
        <w:pStyle w:val="ListParagraph"/>
        <w:numPr>
          <w:ilvl w:val="0"/>
          <w:numId w:val="32"/>
        </w:numPr>
      </w:pPr>
      <w:r>
        <w:t>N</w:t>
      </w:r>
      <w:r w:rsidR="002E3C13" w:rsidRPr="00D5497F">
        <w:t xml:space="preserve">etwork </w:t>
      </w:r>
      <w:r>
        <w:t xml:space="preserve">DR </w:t>
      </w:r>
      <w:r w:rsidR="002E3C13" w:rsidRPr="00D5497F">
        <w:t>—</w:t>
      </w:r>
      <w:r>
        <w:t xml:space="preserve"> </w:t>
      </w:r>
      <w:r w:rsidR="002E3C13" w:rsidRPr="00D5497F">
        <w:t xml:space="preserve">employed to manage peak demand within a </w:t>
      </w:r>
      <w:proofErr w:type="gramStart"/>
      <w:r w:rsidR="002E3C13" w:rsidRPr="00D5497F">
        <w:t>particular transmission</w:t>
      </w:r>
      <w:proofErr w:type="gramEnd"/>
      <w:r w:rsidR="002E3C13" w:rsidRPr="00D5497F">
        <w:t xml:space="preserve"> or distribution network, or localised part of a network</w:t>
      </w:r>
      <w:r>
        <w:t>;</w:t>
      </w:r>
      <w:r w:rsidR="002E3C13" w:rsidRPr="00D5497F">
        <w:t xml:space="preserve"> </w:t>
      </w:r>
    </w:p>
    <w:p w14:paraId="3F4A1F69" w14:textId="1DB67A05" w:rsidR="002E3C13" w:rsidRPr="00D5497F" w:rsidRDefault="00F4285D" w:rsidP="00D5497F">
      <w:pPr>
        <w:pStyle w:val="ListParagraph"/>
        <w:numPr>
          <w:ilvl w:val="0"/>
          <w:numId w:val="32"/>
        </w:numPr>
      </w:pPr>
      <w:r>
        <w:t>W</w:t>
      </w:r>
      <w:r w:rsidR="002E3C13" w:rsidRPr="00D5497F">
        <w:t xml:space="preserve">holesale </w:t>
      </w:r>
      <w:r>
        <w:t xml:space="preserve">DR </w:t>
      </w:r>
      <w:r w:rsidR="002E3C13" w:rsidRPr="00D5497F">
        <w:t>—</w:t>
      </w:r>
      <w:r>
        <w:t xml:space="preserve"> </w:t>
      </w:r>
      <w:r w:rsidR="002E3C13" w:rsidRPr="00D5497F">
        <w:t>used to reduce the quantity of electricity bought in the wholesale market, either to reduce prices, to help market participants manage their contract market positions, or defer investment in new generation capacity</w:t>
      </w:r>
      <w:r>
        <w:t>;</w:t>
      </w:r>
      <w:r w:rsidR="002E3C13" w:rsidRPr="00D5497F">
        <w:t xml:space="preserve"> </w:t>
      </w:r>
    </w:p>
    <w:p w14:paraId="19A3DEC1" w14:textId="42A30CEA" w:rsidR="002E3C13" w:rsidRPr="00D5497F" w:rsidRDefault="00F4285D" w:rsidP="00D5497F">
      <w:pPr>
        <w:pStyle w:val="ListParagraph"/>
        <w:numPr>
          <w:ilvl w:val="0"/>
          <w:numId w:val="32"/>
        </w:numPr>
      </w:pPr>
      <w:r>
        <w:t>A</w:t>
      </w:r>
      <w:r w:rsidR="002E3C13" w:rsidRPr="00D5497F">
        <w:t xml:space="preserve">ncillary services </w:t>
      </w:r>
      <w:r>
        <w:t xml:space="preserve">DR </w:t>
      </w:r>
      <w:r w:rsidR="002E3C13" w:rsidRPr="00D5497F">
        <w:t>—</w:t>
      </w:r>
      <w:r>
        <w:t xml:space="preserve"> </w:t>
      </w:r>
      <w:r w:rsidR="002E3C13" w:rsidRPr="00D5497F">
        <w:t>sourced by the system operator to maintain grid frequency within its technical operating range</w:t>
      </w:r>
      <w:r>
        <w:t>; and</w:t>
      </w:r>
      <w:r w:rsidR="002E3C13" w:rsidRPr="00D5497F">
        <w:t xml:space="preserve"> </w:t>
      </w:r>
    </w:p>
    <w:p w14:paraId="3EA56343" w14:textId="77200754" w:rsidR="002E3C13" w:rsidRPr="00D5497F" w:rsidRDefault="00F4285D" w:rsidP="00D5497F">
      <w:pPr>
        <w:pStyle w:val="ListParagraph"/>
        <w:numPr>
          <w:ilvl w:val="0"/>
          <w:numId w:val="32"/>
        </w:numPr>
      </w:pPr>
      <w:r>
        <w:t>E</w:t>
      </w:r>
      <w:r w:rsidR="002E3C13" w:rsidRPr="00D5497F">
        <w:t xml:space="preserve">mergency </w:t>
      </w:r>
      <w:r>
        <w:t xml:space="preserve">DR </w:t>
      </w:r>
      <w:r w:rsidR="002E3C13" w:rsidRPr="00D5497F">
        <w:t>—</w:t>
      </w:r>
      <w:r>
        <w:t xml:space="preserve"> </w:t>
      </w:r>
      <w:r w:rsidR="002E3C13" w:rsidRPr="00D5497F">
        <w:t>sourced by the system operator when there are predicted supply shortfalls to avoid involuntary load shedding.</w:t>
      </w:r>
      <w:r w:rsidR="002E3C13" w:rsidRPr="00D5497F">
        <w:rPr>
          <w:vertAlign w:val="superscript"/>
        </w:rPr>
        <w:footnoteReference w:id="7"/>
      </w:r>
      <w:r w:rsidR="002E3C13" w:rsidRPr="00D5497F">
        <w:rPr>
          <w:vertAlign w:val="superscript"/>
        </w:rPr>
        <w:t xml:space="preserve"> </w:t>
      </w:r>
    </w:p>
    <w:p w14:paraId="69DDD050" w14:textId="5AD004CE" w:rsidR="002E3C13" w:rsidRPr="00A37634" w:rsidRDefault="002E3C13" w:rsidP="002E3C1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benefits of managing peak load are captured by estimating the net present value (NPV) of the reductions in projected network capital investment from substituting a MW of reliable demand reduction for a MW of additional peak demand</w:t>
      </w:r>
      <w:r>
        <w:rPr>
          <w:rFonts w:ascii="Calibri" w:eastAsia="Calibri" w:hAnsi="Calibri" w:cs="Calibri"/>
          <w:szCs w:val="20"/>
          <w:lang w:val="en-AU"/>
        </w:rPr>
        <w:t xml:space="preserve">. </w:t>
      </w:r>
      <w:r w:rsidRPr="00A37634">
        <w:rPr>
          <w:rFonts w:ascii="Calibri" w:eastAsia="Calibri" w:hAnsi="Calibri" w:cs="Calibri"/>
          <w:szCs w:val="20"/>
          <w:lang w:val="en-AU"/>
        </w:rPr>
        <w:t xml:space="preserve"> </w:t>
      </w:r>
    </w:p>
    <w:p w14:paraId="7D8D7822" w14:textId="24892221" w:rsidR="002E3C13" w:rsidRPr="00A37634" w:rsidRDefault="002E3C13" w:rsidP="002E3C1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benefits of wholesale price reductions are captured by </w:t>
      </w:r>
      <w:proofErr w:type="gramStart"/>
      <w:r w:rsidRPr="00A37634">
        <w:rPr>
          <w:rFonts w:ascii="Calibri" w:eastAsia="Calibri" w:hAnsi="Calibri" w:cs="Calibri"/>
          <w:szCs w:val="20"/>
          <w:lang w:val="en-AU"/>
        </w:rPr>
        <w:t>assuming that</w:t>
      </w:r>
      <w:proofErr w:type="gramEnd"/>
      <w:r w:rsidRPr="00A37634">
        <w:rPr>
          <w:rFonts w:ascii="Calibri" w:eastAsia="Calibri" w:hAnsi="Calibri" w:cs="Calibri"/>
          <w:szCs w:val="20"/>
          <w:lang w:val="en-AU"/>
        </w:rPr>
        <w:t xml:space="preserve"> retailers or other DR aggregators can withdraw sufficient load from the market to make it unnecessary for the next-highest cost dispatchable generator (usually gas) to bid into the pool</w:t>
      </w:r>
      <w:r>
        <w:rPr>
          <w:rFonts w:ascii="Calibri" w:eastAsia="Calibri" w:hAnsi="Calibri" w:cs="Calibri"/>
          <w:szCs w:val="20"/>
          <w:lang w:val="en-AU"/>
        </w:rPr>
        <w:t xml:space="preserve">, to the </w:t>
      </w:r>
      <w:r w:rsidRPr="00A37634">
        <w:rPr>
          <w:rFonts w:ascii="Calibri" w:eastAsia="Calibri" w:hAnsi="Calibri" w:cs="Calibri"/>
          <w:szCs w:val="20"/>
          <w:lang w:val="en-AU"/>
        </w:rPr>
        <w:t xml:space="preserve">benefit </w:t>
      </w:r>
      <w:r>
        <w:rPr>
          <w:rFonts w:ascii="Calibri" w:eastAsia="Calibri" w:hAnsi="Calibri" w:cs="Calibri"/>
          <w:szCs w:val="20"/>
          <w:lang w:val="en-AU"/>
        </w:rPr>
        <w:t xml:space="preserve">of </w:t>
      </w:r>
      <w:r w:rsidRPr="00A37634">
        <w:rPr>
          <w:rFonts w:ascii="Calibri" w:eastAsia="Calibri" w:hAnsi="Calibri" w:cs="Calibri"/>
          <w:szCs w:val="20"/>
          <w:lang w:val="en-AU"/>
        </w:rPr>
        <w:t xml:space="preserve">both the DR participants who contribute to the load reduction and all other consumers using electricity over the same time period. </w:t>
      </w:r>
    </w:p>
    <w:p w14:paraId="37469FD9" w14:textId="1EDB1DEC" w:rsidR="002E3C13" w:rsidRPr="00A37634" w:rsidRDefault="002E3C13" w:rsidP="002E3C1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As the share of non-dispatchable renewable wind and solar generation grows, the time when available supply exceeds demand is increasing</w:t>
      </w:r>
      <w:r w:rsidR="00AD6C99">
        <w:rPr>
          <w:rFonts w:ascii="Calibri" w:eastAsia="Calibri" w:hAnsi="Calibri" w:cs="Calibri"/>
          <w:szCs w:val="20"/>
          <w:lang w:val="en-AU"/>
        </w:rPr>
        <w:t xml:space="preserve">, making it more difficult to maintain </w:t>
      </w:r>
      <w:r w:rsidR="00AD6C99" w:rsidRPr="00A37634">
        <w:rPr>
          <w:rFonts w:ascii="Calibri" w:eastAsia="Calibri" w:hAnsi="Calibri" w:cs="Calibri"/>
          <w:szCs w:val="20"/>
          <w:lang w:val="en-AU"/>
        </w:rPr>
        <w:t xml:space="preserve">voltage and frequency </w:t>
      </w:r>
      <w:r w:rsidR="00AD6C99">
        <w:rPr>
          <w:rFonts w:ascii="Calibri" w:eastAsia="Calibri" w:hAnsi="Calibri" w:cs="Calibri"/>
          <w:szCs w:val="20"/>
          <w:lang w:val="en-AU"/>
        </w:rPr>
        <w:t xml:space="preserve">within safe levels. </w:t>
      </w:r>
      <w:r w:rsidRPr="00A37634">
        <w:rPr>
          <w:rFonts w:ascii="Calibri" w:eastAsia="Calibri" w:hAnsi="Calibri" w:cs="Calibri"/>
          <w:szCs w:val="20"/>
          <w:lang w:val="en-AU"/>
        </w:rPr>
        <w:t xml:space="preserve">The DR value is reflected by estimating the total energy demand that can be presented to the grid by </w:t>
      </w:r>
      <w:r w:rsidR="00D5497F">
        <w:rPr>
          <w:rFonts w:ascii="Calibri" w:eastAsia="Calibri" w:hAnsi="Calibri" w:cs="Calibri"/>
          <w:szCs w:val="20"/>
          <w:lang w:val="en-AU"/>
        </w:rPr>
        <w:t xml:space="preserve">DR-activated </w:t>
      </w:r>
      <w:r w:rsidRPr="00A37634">
        <w:rPr>
          <w:rFonts w:ascii="Calibri" w:eastAsia="Calibri" w:hAnsi="Calibri" w:cs="Calibri"/>
          <w:szCs w:val="20"/>
          <w:lang w:val="en-AU"/>
        </w:rPr>
        <w:t>products</w:t>
      </w:r>
      <w:r w:rsidR="00D5497F">
        <w:rPr>
          <w:rFonts w:ascii="Calibri" w:eastAsia="Calibri" w:hAnsi="Calibri" w:cs="Calibri"/>
          <w:szCs w:val="20"/>
          <w:lang w:val="en-AU"/>
        </w:rPr>
        <w:t xml:space="preserve">, </w:t>
      </w:r>
      <w:r w:rsidRPr="00A37634">
        <w:rPr>
          <w:rFonts w:ascii="Calibri" w:eastAsia="Calibri" w:hAnsi="Calibri" w:cs="Calibri"/>
          <w:szCs w:val="20"/>
          <w:lang w:val="en-AU"/>
        </w:rPr>
        <w:t>and assigning a value to that energy</w:t>
      </w:r>
      <w:r w:rsidR="00AD6C99">
        <w:rPr>
          <w:rFonts w:ascii="Calibri" w:eastAsia="Calibri" w:hAnsi="Calibri" w:cs="Calibri"/>
          <w:szCs w:val="20"/>
          <w:lang w:val="en-AU"/>
        </w:rPr>
        <w:t>.</w:t>
      </w:r>
      <w:r w:rsidRPr="00A37634">
        <w:rPr>
          <w:rFonts w:ascii="Calibri" w:eastAsia="Calibri" w:hAnsi="Calibri" w:cs="Calibri"/>
          <w:szCs w:val="20"/>
          <w:lang w:val="en-AU"/>
        </w:rPr>
        <w:t xml:space="preserve">   </w:t>
      </w:r>
    </w:p>
    <w:p w14:paraId="6DB72C7C" w14:textId="5F49EBC0" w:rsidR="00AD6C99" w:rsidRPr="00AD6C99" w:rsidRDefault="002E3C13" w:rsidP="00AD6C99">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lastRenderedPageBreak/>
        <w:t>Emergency response occurs under the opposite conditions – when expected load exceeds the availability of generation capacity. To address this, AEMO has set up a RERT facility</w:t>
      </w:r>
      <w:r w:rsidR="00AD6C99">
        <w:rPr>
          <w:rFonts w:ascii="Calibri" w:eastAsia="Calibri" w:hAnsi="Calibri" w:cs="Calibri"/>
          <w:szCs w:val="20"/>
          <w:lang w:val="en-AU"/>
        </w:rPr>
        <w:t xml:space="preserve">. </w:t>
      </w:r>
      <w:r w:rsidR="00AD6C99" w:rsidRPr="00AD6C99">
        <w:rPr>
          <w:rFonts w:ascii="Calibri" w:eastAsia="Calibri" w:hAnsi="Calibri" w:cs="Calibri"/>
          <w:szCs w:val="20"/>
          <w:lang w:val="en-AU"/>
        </w:rPr>
        <w:t xml:space="preserve">It is assumed that DR aggregators </w:t>
      </w:r>
      <w:r w:rsidR="00AD6C99">
        <w:rPr>
          <w:rFonts w:ascii="Calibri" w:eastAsia="Calibri" w:hAnsi="Calibri" w:cs="Calibri"/>
          <w:szCs w:val="20"/>
          <w:lang w:val="en-AU"/>
        </w:rPr>
        <w:t xml:space="preserve">will be able to </w:t>
      </w:r>
      <w:r w:rsidR="00AD6C99" w:rsidRPr="00AD6C99">
        <w:rPr>
          <w:rFonts w:ascii="Calibri" w:eastAsia="Calibri" w:hAnsi="Calibri" w:cs="Calibri"/>
          <w:szCs w:val="20"/>
          <w:lang w:val="en-AU"/>
        </w:rPr>
        <w:t xml:space="preserve">bid into the </w:t>
      </w:r>
      <w:r w:rsidR="00D5497F">
        <w:rPr>
          <w:rFonts w:ascii="Calibri" w:eastAsia="Calibri" w:hAnsi="Calibri" w:cs="Calibri"/>
          <w:szCs w:val="20"/>
          <w:lang w:val="en-AU"/>
        </w:rPr>
        <w:t xml:space="preserve">high-value </w:t>
      </w:r>
      <w:r w:rsidR="00AD6C99" w:rsidRPr="00AD6C99">
        <w:rPr>
          <w:rFonts w:ascii="Calibri" w:eastAsia="Calibri" w:hAnsi="Calibri" w:cs="Calibri"/>
          <w:szCs w:val="20"/>
          <w:lang w:val="en-AU"/>
        </w:rPr>
        <w:t>RERT market.</w:t>
      </w:r>
    </w:p>
    <w:p w14:paraId="7E9607AB" w14:textId="31E60A47" w:rsidR="00C85FB0" w:rsidRDefault="00AD6C99" w:rsidP="00AD6C99">
      <w:pPr>
        <w:spacing w:before="120" w:after="120" w:line="276" w:lineRule="auto"/>
        <w:rPr>
          <w:rFonts w:ascii="Calibri" w:eastAsia="Calibri" w:hAnsi="Calibri" w:cs="Calibri"/>
          <w:szCs w:val="20"/>
          <w:lang w:val="en-AU"/>
        </w:rPr>
      </w:pPr>
      <w:r w:rsidRPr="00AD6C99">
        <w:rPr>
          <w:rFonts w:ascii="Calibri" w:eastAsia="Calibri" w:hAnsi="Calibri" w:cs="Calibri"/>
          <w:szCs w:val="20"/>
          <w:lang w:val="en-AU"/>
        </w:rPr>
        <w:t xml:space="preserve">DR could also supply ancillary services to the NEM. The services which best match the capabilities of AS/NZS 4755-compliant products are those </w:t>
      </w:r>
      <w:r w:rsidR="00162A85">
        <w:rPr>
          <w:rFonts w:ascii="Calibri" w:eastAsia="Calibri" w:hAnsi="Calibri" w:cs="Calibri"/>
          <w:szCs w:val="20"/>
          <w:lang w:val="en-AU"/>
        </w:rPr>
        <w:t xml:space="preserve">with </w:t>
      </w:r>
      <w:r w:rsidRPr="00AD6C99">
        <w:rPr>
          <w:rFonts w:ascii="Calibri" w:eastAsia="Calibri" w:hAnsi="Calibri" w:cs="Calibri"/>
          <w:szCs w:val="20"/>
          <w:lang w:val="en-AU"/>
        </w:rPr>
        <w:t xml:space="preserve">frequency and voltage control which require responses within five minutes. The value of such services has not been quantified.  </w:t>
      </w:r>
    </w:p>
    <w:p w14:paraId="154AB025" w14:textId="6125245A" w:rsidR="00C85FB0" w:rsidRDefault="00AD6C99" w:rsidP="00A37634">
      <w:pPr>
        <w:spacing w:before="120" w:after="120" w:line="276" w:lineRule="auto"/>
        <w:rPr>
          <w:rFonts w:ascii="Calibri" w:eastAsia="Calibri" w:hAnsi="Calibri" w:cs="Calibri"/>
          <w:szCs w:val="20"/>
          <w:lang w:val="en-AU"/>
        </w:rPr>
      </w:pPr>
      <w:r w:rsidRPr="00AD6C99">
        <w:rPr>
          <w:rFonts w:ascii="Calibri" w:eastAsia="Calibri" w:hAnsi="Calibri" w:cs="Calibri"/>
          <w:szCs w:val="20"/>
          <w:lang w:val="en-AU"/>
        </w:rPr>
        <w:t xml:space="preserve">Adding DR capability to products will impose additional design and manufacturing costs, which will be passed on in every product purchase. </w:t>
      </w:r>
      <w:r>
        <w:rPr>
          <w:rFonts w:ascii="Calibri" w:eastAsia="Calibri" w:hAnsi="Calibri" w:cs="Calibri"/>
          <w:szCs w:val="20"/>
          <w:lang w:val="en-AU"/>
        </w:rPr>
        <w:t xml:space="preserve">The </w:t>
      </w:r>
      <w:r w:rsidRPr="00AD6C99">
        <w:rPr>
          <w:rFonts w:ascii="Calibri" w:eastAsia="Calibri" w:hAnsi="Calibri" w:cs="Calibri"/>
          <w:szCs w:val="20"/>
          <w:lang w:val="en-AU"/>
        </w:rPr>
        <w:t>estimated increase in appliance purchase prices</w:t>
      </w:r>
      <w:r>
        <w:rPr>
          <w:rFonts w:ascii="Calibri" w:eastAsia="Calibri" w:hAnsi="Calibri" w:cs="Calibri"/>
          <w:szCs w:val="20"/>
          <w:lang w:val="en-AU"/>
        </w:rPr>
        <w:t xml:space="preserve"> ranges </w:t>
      </w:r>
      <w:r w:rsidRPr="00AD6C99">
        <w:rPr>
          <w:rFonts w:ascii="Calibri" w:eastAsia="Calibri" w:hAnsi="Calibri" w:cs="Calibri"/>
          <w:szCs w:val="20"/>
          <w:lang w:val="en-AU"/>
        </w:rPr>
        <w:t xml:space="preserve">from $80 for large water heaters to $10 for split unit </w:t>
      </w:r>
      <w:r w:rsidR="00162A85">
        <w:rPr>
          <w:rFonts w:ascii="Calibri" w:eastAsia="Calibri" w:hAnsi="Calibri" w:cs="Calibri"/>
          <w:szCs w:val="20"/>
          <w:lang w:val="en-AU"/>
        </w:rPr>
        <w:t>ACs</w:t>
      </w:r>
      <w:r w:rsidRPr="00AD6C99">
        <w:rPr>
          <w:rFonts w:ascii="Calibri" w:eastAsia="Calibri" w:hAnsi="Calibri" w:cs="Calibri"/>
          <w:szCs w:val="20"/>
          <w:lang w:val="en-AU"/>
        </w:rPr>
        <w:t>. The weighted average price increase is about $31 per compliant product sold, falling to $25 over time as production volumes increase.</w:t>
      </w:r>
    </w:p>
    <w:p w14:paraId="52595661" w14:textId="6B870C2E" w:rsidR="00C85FB0" w:rsidRDefault="00AD6C99" w:rsidP="00A37634">
      <w:pPr>
        <w:spacing w:before="120" w:after="120" w:line="276" w:lineRule="auto"/>
        <w:rPr>
          <w:rFonts w:ascii="Calibri" w:eastAsia="Calibri" w:hAnsi="Calibri" w:cs="Calibri"/>
          <w:szCs w:val="20"/>
          <w:lang w:val="en-AU"/>
        </w:rPr>
      </w:pPr>
      <w:r w:rsidRPr="00AD6C99">
        <w:rPr>
          <w:rFonts w:ascii="Calibri" w:eastAsia="Calibri" w:hAnsi="Calibri" w:cs="Calibri"/>
          <w:szCs w:val="20"/>
          <w:lang w:val="en-AU"/>
        </w:rPr>
        <w:t xml:space="preserve">The load of a DR-capable appliance does not become controllable until it is “activated” and the customer consents to participate in a </w:t>
      </w:r>
      <w:r w:rsidR="00162A85">
        <w:rPr>
          <w:rFonts w:ascii="Calibri" w:eastAsia="Calibri" w:hAnsi="Calibri" w:cs="Calibri"/>
          <w:szCs w:val="20"/>
          <w:lang w:val="en-AU"/>
        </w:rPr>
        <w:t>demand load control (</w:t>
      </w:r>
      <w:r w:rsidRPr="00AD6C99">
        <w:rPr>
          <w:rFonts w:ascii="Calibri" w:eastAsia="Calibri" w:hAnsi="Calibri" w:cs="Calibri"/>
          <w:szCs w:val="20"/>
          <w:lang w:val="en-AU"/>
        </w:rPr>
        <w:t>DLC</w:t>
      </w:r>
      <w:r w:rsidR="00162A85">
        <w:rPr>
          <w:rFonts w:ascii="Calibri" w:eastAsia="Calibri" w:hAnsi="Calibri" w:cs="Calibri"/>
          <w:szCs w:val="20"/>
          <w:lang w:val="en-AU"/>
        </w:rPr>
        <w:t>)</w:t>
      </w:r>
      <w:r w:rsidRPr="00AD6C99">
        <w:rPr>
          <w:rFonts w:ascii="Calibri" w:eastAsia="Calibri" w:hAnsi="Calibri" w:cs="Calibri"/>
          <w:szCs w:val="20"/>
          <w:lang w:val="en-AU"/>
        </w:rPr>
        <w:t xml:space="preserve"> program. </w:t>
      </w:r>
      <w:r>
        <w:rPr>
          <w:rFonts w:ascii="Calibri" w:eastAsia="Calibri" w:hAnsi="Calibri" w:cs="Calibri"/>
          <w:szCs w:val="20"/>
          <w:lang w:val="en-AU"/>
        </w:rPr>
        <w:t>A</w:t>
      </w:r>
      <w:r w:rsidRPr="00AD6C99">
        <w:rPr>
          <w:rFonts w:ascii="Calibri" w:eastAsia="Calibri" w:hAnsi="Calibri" w:cs="Calibri"/>
          <w:szCs w:val="20"/>
          <w:lang w:val="en-AU"/>
        </w:rPr>
        <w:t xml:space="preserve">ctivation requires </w:t>
      </w:r>
      <w:r>
        <w:rPr>
          <w:rFonts w:ascii="Calibri" w:eastAsia="Calibri" w:hAnsi="Calibri" w:cs="Calibri"/>
          <w:szCs w:val="20"/>
          <w:lang w:val="en-AU"/>
        </w:rPr>
        <w:t xml:space="preserve">either </w:t>
      </w:r>
      <w:r w:rsidRPr="00AD6C99">
        <w:rPr>
          <w:rFonts w:ascii="Calibri" w:eastAsia="Calibri" w:hAnsi="Calibri" w:cs="Calibri"/>
          <w:szCs w:val="20"/>
          <w:lang w:val="en-AU"/>
        </w:rPr>
        <w:t xml:space="preserve">the installation of a </w:t>
      </w:r>
      <w:r>
        <w:rPr>
          <w:rFonts w:ascii="Calibri" w:eastAsia="Calibri" w:hAnsi="Calibri" w:cs="Calibri"/>
          <w:szCs w:val="20"/>
          <w:lang w:val="en-AU"/>
        </w:rPr>
        <w:t xml:space="preserve">demand response enabling device (a </w:t>
      </w:r>
      <w:r w:rsidRPr="00AD6C99">
        <w:rPr>
          <w:rFonts w:ascii="Calibri" w:eastAsia="Calibri" w:hAnsi="Calibri" w:cs="Calibri"/>
          <w:szCs w:val="20"/>
          <w:lang w:val="en-AU"/>
        </w:rPr>
        <w:t>DRED</w:t>
      </w:r>
      <w:r>
        <w:rPr>
          <w:rFonts w:ascii="Calibri" w:eastAsia="Calibri" w:hAnsi="Calibri" w:cs="Calibri"/>
          <w:szCs w:val="20"/>
          <w:lang w:val="en-AU"/>
        </w:rPr>
        <w:t>) or</w:t>
      </w:r>
      <w:r w:rsidRPr="00AD6C99">
        <w:rPr>
          <w:rFonts w:ascii="Calibri" w:eastAsia="Calibri" w:hAnsi="Calibri" w:cs="Calibri"/>
          <w:szCs w:val="20"/>
          <w:lang w:val="en-AU"/>
        </w:rPr>
        <w:t xml:space="preserve"> connect</w:t>
      </w:r>
      <w:r>
        <w:rPr>
          <w:rFonts w:ascii="Calibri" w:eastAsia="Calibri" w:hAnsi="Calibri" w:cs="Calibri"/>
          <w:szCs w:val="20"/>
          <w:lang w:val="en-AU"/>
        </w:rPr>
        <w:t>ion</w:t>
      </w:r>
      <w:r w:rsidRPr="00AD6C99">
        <w:rPr>
          <w:rFonts w:ascii="Calibri" w:eastAsia="Calibri" w:hAnsi="Calibri" w:cs="Calibri"/>
          <w:szCs w:val="20"/>
          <w:lang w:val="en-AU"/>
        </w:rPr>
        <w:t xml:space="preserve"> to the internet using pathways already present in most home, such as WiFi routers or via the mobile phone network (3G/4G/5G standards). An initial average activation cost of between $120 and $140 has been assumed, </w:t>
      </w:r>
      <w:r>
        <w:rPr>
          <w:rFonts w:ascii="Calibri" w:eastAsia="Calibri" w:hAnsi="Calibri" w:cs="Calibri"/>
          <w:szCs w:val="20"/>
          <w:lang w:val="en-AU"/>
        </w:rPr>
        <w:t xml:space="preserve">based on the experience of the PeakSmart program in Queensland, which began in 2014 and now has 108,000 AS/NZS 4755-compliant </w:t>
      </w:r>
      <w:r w:rsidR="00162A85">
        <w:rPr>
          <w:rFonts w:ascii="Calibri" w:eastAsia="Calibri" w:hAnsi="Calibri" w:cs="Calibri"/>
          <w:szCs w:val="20"/>
          <w:lang w:val="en-AU"/>
        </w:rPr>
        <w:t xml:space="preserve">ACs </w:t>
      </w:r>
      <w:r>
        <w:rPr>
          <w:rFonts w:ascii="Calibri" w:eastAsia="Calibri" w:hAnsi="Calibri" w:cs="Calibri"/>
          <w:szCs w:val="20"/>
          <w:lang w:val="en-AU"/>
        </w:rPr>
        <w:t xml:space="preserve">enrolled. </w:t>
      </w:r>
      <w:r w:rsidRPr="00AD6C99">
        <w:rPr>
          <w:rFonts w:ascii="Calibri" w:eastAsia="Calibri" w:hAnsi="Calibri" w:cs="Calibri"/>
          <w:szCs w:val="20"/>
          <w:lang w:val="en-AU"/>
        </w:rPr>
        <w:t xml:space="preserve">Some modes of activation will support several DR-capable appliances at the one site, so as time </w:t>
      </w:r>
      <w:r w:rsidR="00162A85" w:rsidRPr="00AD6C99">
        <w:rPr>
          <w:rFonts w:ascii="Calibri" w:eastAsia="Calibri" w:hAnsi="Calibri" w:cs="Calibri"/>
          <w:szCs w:val="20"/>
          <w:lang w:val="en-AU"/>
        </w:rPr>
        <w:t>passes,</w:t>
      </w:r>
      <w:r w:rsidRPr="00AD6C99">
        <w:rPr>
          <w:rFonts w:ascii="Calibri" w:eastAsia="Calibri" w:hAnsi="Calibri" w:cs="Calibri"/>
          <w:szCs w:val="20"/>
          <w:lang w:val="en-AU"/>
        </w:rPr>
        <w:t xml:space="preserve"> and households activate multiple DR-capable products</w:t>
      </w:r>
      <w:r w:rsidR="00162A85">
        <w:rPr>
          <w:rFonts w:ascii="Calibri" w:eastAsia="Calibri" w:hAnsi="Calibri" w:cs="Calibri"/>
          <w:szCs w:val="20"/>
          <w:lang w:val="en-AU"/>
        </w:rPr>
        <w:t>,</w:t>
      </w:r>
      <w:r w:rsidRPr="00AD6C99">
        <w:rPr>
          <w:rFonts w:ascii="Calibri" w:eastAsia="Calibri" w:hAnsi="Calibri" w:cs="Calibri"/>
          <w:szCs w:val="20"/>
          <w:lang w:val="en-AU"/>
        </w:rPr>
        <w:t xml:space="preserve"> the cost per new activation should fall.</w:t>
      </w:r>
    </w:p>
    <w:p w14:paraId="699F1E91" w14:textId="339E4A85" w:rsidR="00D06B4D" w:rsidRPr="00063CCE" w:rsidRDefault="00AD6C99" w:rsidP="00D06B4D">
      <w:pPr>
        <w:spacing w:before="120" w:after="120" w:line="276" w:lineRule="auto"/>
        <w:rPr>
          <w:rFonts w:ascii="Calibri" w:eastAsia="Cambria" w:hAnsi="Calibri" w:cs="Calibri"/>
          <w:b/>
          <w:bCs/>
          <w:sz w:val="20"/>
          <w:szCs w:val="16"/>
          <w:lang w:val="en-AU"/>
        </w:rPr>
      </w:pPr>
      <w:r w:rsidRPr="00AD6C99">
        <w:rPr>
          <w:rFonts w:ascii="Calibri" w:eastAsia="Calibri" w:hAnsi="Calibri" w:cs="Calibri"/>
          <w:szCs w:val="20"/>
          <w:lang w:val="en-AU"/>
        </w:rPr>
        <w:t xml:space="preserve">Estimating the number of customers participating </w:t>
      </w:r>
      <w:r w:rsidR="00F11295">
        <w:rPr>
          <w:rFonts w:ascii="Calibri" w:eastAsia="Calibri" w:hAnsi="Calibri" w:cs="Calibri"/>
          <w:szCs w:val="20"/>
          <w:lang w:val="en-AU"/>
        </w:rPr>
        <w:t xml:space="preserve">in DR programs </w:t>
      </w:r>
      <w:r w:rsidRPr="00AD6C99">
        <w:rPr>
          <w:rFonts w:ascii="Calibri" w:eastAsia="Calibri" w:hAnsi="Calibri" w:cs="Calibri"/>
          <w:szCs w:val="20"/>
          <w:lang w:val="en-AU"/>
        </w:rPr>
        <w:t xml:space="preserve">at any given time is a key factor in projecting the total benefit. Low, Medium and High </w:t>
      </w:r>
      <w:r w:rsidR="00D06B4D">
        <w:rPr>
          <w:rFonts w:ascii="Calibri" w:eastAsia="Calibri" w:hAnsi="Calibri" w:cs="Calibri"/>
          <w:szCs w:val="20"/>
          <w:lang w:val="en-AU"/>
        </w:rPr>
        <w:t xml:space="preserve">activation trends are modelled, with the </w:t>
      </w:r>
      <w:r w:rsidR="00F11295">
        <w:rPr>
          <w:rFonts w:ascii="Calibri" w:eastAsia="Calibri" w:hAnsi="Calibri" w:cs="Calibri"/>
          <w:szCs w:val="20"/>
          <w:lang w:val="en-AU"/>
        </w:rPr>
        <w:t xml:space="preserve">activated </w:t>
      </w:r>
      <w:r w:rsidRPr="00AD6C99">
        <w:rPr>
          <w:rFonts w:ascii="Calibri" w:eastAsia="Calibri" w:hAnsi="Calibri" w:cs="Calibri"/>
          <w:szCs w:val="20"/>
          <w:lang w:val="en-AU"/>
        </w:rPr>
        <w:t xml:space="preserve">share of </w:t>
      </w:r>
      <w:r w:rsidR="00F11295">
        <w:rPr>
          <w:rFonts w:ascii="Calibri" w:eastAsia="Calibri" w:hAnsi="Calibri" w:cs="Calibri"/>
          <w:szCs w:val="20"/>
          <w:lang w:val="en-AU"/>
        </w:rPr>
        <w:t xml:space="preserve">the DR-capable </w:t>
      </w:r>
      <w:r w:rsidRPr="00AD6C99">
        <w:rPr>
          <w:rFonts w:ascii="Calibri" w:eastAsia="Calibri" w:hAnsi="Calibri" w:cs="Calibri"/>
          <w:szCs w:val="20"/>
          <w:lang w:val="en-AU"/>
        </w:rPr>
        <w:t>product</w:t>
      </w:r>
      <w:r w:rsidR="00F11295">
        <w:rPr>
          <w:rFonts w:ascii="Calibri" w:eastAsia="Calibri" w:hAnsi="Calibri" w:cs="Calibri"/>
          <w:szCs w:val="20"/>
          <w:lang w:val="en-AU"/>
        </w:rPr>
        <w:t xml:space="preserve"> stock</w:t>
      </w:r>
      <w:r w:rsidRPr="00AD6C99">
        <w:rPr>
          <w:rFonts w:ascii="Calibri" w:eastAsia="Calibri" w:hAnsi="Calibri" w:cs="Calibri"/>
          <w:szCs w:val="20"/>
          <w:lang w:val="en-AU"/>
        </w:rPr>
        <w:t xml:space="preserve"> </w:t>
      </w:r>
      <w:r w:rsidR="00D06B4D">
        <w:rPr>
          <w:rFonts w:ascii="Calibri" w:eastAsia="Calibri" w:hAnsi="Calibri" w:cs="Calibri"/>
          <w:szCs w:val="20"/>
          <w:lang w:val="en-AU"/>
        </w:rPr>
        <w:t xml:space="preserve">reaching </w:t>
      </w:r>
      <w:r w:rsidRPr="00AD6C99">
        <w:rPr>
          <w:rFonts w:ascii="Calibri" w:eastAsia="Calibri" w:hAnsi="Calibri" w:cs="Calibri"/>
          <w:szCs w:val="20"/>
          <w:lang w:val="en-AU"/>
        </w:rPr>
        <w:t>about 22%, 37% and 39% respectively by 2036</w:t>
      </w:r>
      <w:r w:rsidR="00DA7345">
        <w:rPr>
          <w:rFonts w:ascii="Calibri" w:eastAsia="Calibri" w:hAnsi="Calibri" w:cs="Calibri"/>
          <w:szCs w:val="20"/>
          <w:lang w:val="en-AU"/>
        </w:rPr>
        <w:t xml:space="preserve"> under Option 3</w:t>
      </w:r>
      <w:r w:rsidRPr="00AD6C99">
        <w:rPr>
          <w:rFonts w:ascii="Calibri" w:eastAsia="Calibri" w:hAnsi="Calibri" w:cs="Calibri"/>
          <w:szCs w:val="20"/>
          <w:lang w:val="en-AU"/>
        </w:rPr>
        <w:t xml:space="preserve">, compared with 3%, 4% and 5% respectively under the BAU scenario (Option 1). </w:t>
      </w:r>
      <w:r w:rsidR="00D06B4D" w:rsidRPr="00A37634">
        <w:rPr>
          <w:rFonts w:ascii="Calibri" w:eastAsia="Calibri" w:hAnsi="Calibri" w:cs="Calibri"/>
          <w:szCs w:val="20"/>
          <w:lang w:val="en-AU"/>
        </w:rPr>
        <w:t xml:space="preserve">The minimum activation rates to achieve a benefit/cost ratio of exactly 1.0 </w:t>
      </w:r>
      <w:r w:rsidR="00D06B4D">
        <w:rPr>
          <w:rFonts w:ascii="Calibri" w:eastAsia="Calibri" w:hAnsi="Calibri" w:cs="Calibri"/>
          <w:szCs w:val="20"/>
          <w:lang w:val="en-AU"/>
        </w:rPr>
        <w:t>have also been calculated.</w:t>
      </w:r>
      <w:r w:rsidR="00D06B4D" w:rsidRPr="00A37634">
        <w:rPr>
          <w:rFonts w:ascii="Calibri" w:eastAsia="Calibri" w:hAnsi="Calibri" w:cs="Calibri"/>
          <w:szCs w:val="20"/>
          <w:lang w:val="en-AU"/>
        </w:rPr>
        <w:t xml:space="preserve"> To achieve cost-effectiveness in Australia, at least </w:t>
      </w:r>
      <w:r w:rsidR="00D06B4D">
        <w:rPr>
          <w:rFonts w:ascii="Calibri" w:eastAsia="Calibri" w:hAnsi="Calibri" w:cs="Calibri"/>
          <w:szCs w:val="20"/>
          <w:lang w:val="en-AU"/>
        </w:rPr>
        <w:t>5</w:t>
      </w:r>
      <w:r w:rsidR="00D06B4D" w:rsidRPr="00A37634">
        <w:rPr>
          <w:rFonts w:ascii="Calibri" w:eastAsia="Calibri" w:hAnsi="Calibri" w:cs="Calibri"/>
          <w:szCs w:val="20"/>
          <w:lang w:val="en-AU"/>
        </w:rPr>
        <w:t>% of the total AC stock needs to be activated by 203</w:t>
      </w:r>
      <w:r w:rsidR="00D06B4D">
        <w:rPr>
          <w:rFonts w:ascii="Calibri" w:eastAsia="Calibri" w:hAnsi="Calibri" w:cs="Calibri"/>
          <w:szCs w:val="20"/>
          <w:lang w:val="en-AU"/>
        </w:rPr>
        <w:t>6</w:t>
      </w:r>
      <w:r w:rsidR="00D06B4D" w:rsidRPr="00A37634">
        <w:rPr>
          <w:rFonts w:ascii="Calibri" w:eastAsia="Calibri" w:hAnsi="Calibri" w:cs="Calibri"/>
          <w:szCs w:val="20"/>
          <w:lang w:val="en-AU"/>
        </w:rPr>
        <w:t xml:space="preserve">, </w:t>
      </w:r>
      <w:r w:rsidR="00162A85">
        <w:rPr>
          <w:rFonts w:ascii="Calibri" w:eastAsia="Calibri" w:hAnsi="Calibri" w:cs="Calibri"/>
          <w:szCs w:val="20"/>
          <w:lang w:val="en-AU"/>
        </w:rPr>
        <w:t xml:space="preserve">as well as </w:t>
      </w:r>
      <w:r w:rsidR="00D06B4D">
        <w:rPr>
          <w:rFonts w:ascii="Calibri" w:eastAsia="Calibri" w:hAnsi="Calibri" w:cs="Calibri"/>
          <w:szCs w:val="20"/>
          <w:lang w:val="en-AU"/>
        </w:rPr>
        <w:t>11</w:t>
      </w:r>
      <w:r w:rsidR="00D06B4D" w:rsidRPr="00A37634">
        <w:rPr>
          <w:rFonts w:ascii="Calibri" w:eastAsia="Calibri" w:hAnsi="Calibri" w:cs="Calibri"/>
          <w:szCs w:val="20"/>
          <w:lang w:val="en-AU"/>
        </w:rPr>
        <w:t>% of the pool pump controller stock, 1</w:t>
      </w:r>
      <w:r w:rsidR="00D06B4D">
        <w:rPr>
          <w:rFonts w:ascii="Calibri" w:eastAsia="Calibri" w:hAnsi="Calibri" w:cs="Calibri"/>
          <w:szCs w:val="20"/>
          <w:lang w:val="en-AU"/>
        </w:rPr>
        <w:t>3</w:t>
      </w:r>
      <w:r w:rsidR="00D06B4D" w:rsidRPr="00A37634">
        <w:rPr>
          <w:rFonts w:ascii="Calibri" w:eastAsia="Calibri" w:hAnsi="Calibri" w:cs="Calibri"/>
          <w:szCs w:val="20"/>
          <w:lang w:val="en-AU"/>
        </w:rPr>
        <w:t>% of the water heater stock and 3% of the EV charge</w:t>
      </w:r>
      <w:r w:rsidR="00D06B4D">
        <w:rPr>
          <w:rFonts w:ascii="Calibri" w:eastAsia="Calibri" w:hAnsi="Calibri" w:cs="Calibri"/>
          <w:szCs w:val="20"/>
          <w:lang w:val="en-AU"/>
        </w:rPr>
        <w:t>r</w:t>
      </w:r>
      <w:r w:rsidR="00D06B4D" w:rsidRPr="00A37634">
        <w:rPr>
          <w:rFonts w:ascii="Calibri" w:eastAsia="Calibri" w:hAnsi="Calibri" w:cs="Calibri"/>
          <w:szCs w:val="20"/>
          <w:lang w:val="en-AU"/>
        </w:rPr>
        <w:t xml:space="preserve"> stock. For New Zealand, the minimum cost-effective activation rates are </w:t>
      </w:r>
      <w:r w:rsidR="00D06B4D">
        <w:rPr>
          <w:rFonts w:ascii="Calibri" w:eastAsia="Calibri" w:hAnsi="Calibri" w:cs="Calibri"/>
          <w:szCs w:val="20"/>
          <w:lang w:val="en-AU"/>
        </w:rPr>
        <w:t>similar.</w:t>
      </w:r>
      <w:r w:rsidR="00D06B4D" w:rsidRPr="00A37634">
        <w:rPr>
          <w:rFonts w:ascii="Calibri" w:eastAsia="Calibri" w:hAnsi="Calibri" w:cs="Calibri"/>
          <w:szCs w:val="20"/>
          <w:lang w:val="en-AU"/>
        </w:rPr>
        <w:t xml:space="preserve"> </w:t>
      </w:r>
    </w:p>
    <w:p w14:paraId="617DA06D" w14:textId="5CEEAA41" w:rsidR="00D06B4D" w:rsidRPr="00063CCE" w:rsidRDefault="00D06B4D" w:rsidP="00D06B4D">
      <w:pPr>
        <w:spacing w:before="120" w:after="120" w:line="276" w:lineRule="auto"/>
        <w:rPr>
          <w:rFonts w:ascii="Calibri" w:eastAsia="Cambria" w:hAnsi="Calibri" w:cs="Calibri"/>
          <w:b/>
          <w:bCs/>
          <w:sz w:val="20"/>
          <w:szCs w:val="16"/>
          <w:lang w:val="en-AU"/>
        </w:rPr>
      </w:pPr>
      <w:r w:rsidRPr="00A37634">
        <w:rPr>
          <w:rFonts w:ascii="Calibri" w:eastAsia="Calibri" w:hAnsi="Calibri" w:cs="Calibri"/>
          <w:szCs w:val="20"/>
          <w:lang w:val="en-AU"/>
        </w:rPr>
        <w:t>The total MW of appliance load available for curtailment during non-emergency (or ‘routine’) peak load events in Australia, with ACs reduced to 50% load and pool pump, water heater and EV charging loads switched off completely, ranges from about 2,</w:t>
      </w:r>
      <w:r>
        <w:rPr>
          <w:rFonts w:ascii="Calibri" w:eastAsia="Calibri" w:hAnsi="Calibri" w:cs="Calibri"/>
          <w:szCs w:val="20"/>
          <w:lang w:val="en-AU"/>
        </w:rPr>
        <w:t>72</w:t>
      </w:r>
      <w:r w:rsidRPr="00BB0627">
        <w:rPr>
          <w:rFonts w:ascii="Calibri" w:eastAsia="Calibri" w:hAnsi="Calibri" w:cs="Calibri"/>
          <w:szCs w:val="20"/>
          <w:lang w:val="en-AU"/>
        </w:rPr>
        <w:t>0 MW to 5,</w:t>
      </w:r>
      <w:r>
        <w:rPr>
          <w:rFonts w:ascii="Calibri" w:eastAsia="Calibri" w:hAnsi="Calibri" w:cs="Calibri"/>
          <w:szCs w:val="20"/>
          <w:lang w:val="en-AU"/>
        </w:rPr>
        <w:t>040</w:t>
      </w:r>
      <w:r w:rsidRPr="00BB0627">
        <w:rPr>
          <w:rFonts w:ascii="Calibri" w:eastAsia="Calibri" w:hAnsi="Calibri" w:cs="Calibri"/>
          <w:szCs w:val="20"/>
          <w:lang w:val="en-AU"/>
        </w:rPr>
        <w:t xml:space="preserve"> MW</w:t>
      </w:r>
      <w:r w:rsidRPr="00A37634">
        <w:rPr>
          <w:rFonts w:ascii="Calibri" w:eastAsia="Calibri" w:hAnsi="Calibri" w:cs="Calibri"/>
          <w:szCs w:val="20"/>
          <w:lang w:val="en-AU"/>
        </w:rPr>
        <w:t>, with the likely value around 3,</w:t>
      </w:r>
      <w:r>
        <w:rPr>
          <w:rFonts w:ascii="Calibri" w:eastAsia="Calibri" w:hAnsi="Calibri" w:cs="Calibri"/>
          <w:szCs w:val="20"/>
          <w:lang w:val="en-AU"/>
        </w:rPr>
        <w:t>40</w:t>
      </w:r>
      <w:r w:rsidRPr="00A37634">
        <w:rPr>
          <w:rFonts w:ascii="Calibri" w:eastAsia="Calibri" w:hAnsi="Calibri" w:cs="Calibri"/>
          <w:szCs w:val="20"/>
          <w:lang w:val="en-AU"/>
        </w:rPr>
        <w:t xml:space="preserve">0 </w:t>
      </w:r>
      <w:r w:rsidRPr="00E401CD">
        <w:rPr>
          <w:rFonts w:ascii="Calibri" w:eastAsia="Calibri" w:hAnsi="Calibri" w:cs="Calibri"/>
          <w:szCs w:val="20"/>
          <w:lang w:val="en-AU"/>
        </w:rPr>
        <w:t>MW (</w:t>
      </w:r>
      <w:r w:rsidR="00092BA8" w:rsidRPr="00DA7345">
        <w:rPr>
          <w:rStyle w:val="FigreferenceChar"/>
        </w:rPr>
        <w:fldChar w:fldCharType="begin"/>
      </w:r>
      <w:r w:rsidR="00092BA8" w:rsidRPr="00DA7345">
        <w:rPr>
          <w:rStyle w:val="FigreferenceChar"/>
        </w:rPr>
        <w:instrText xml:space="preserve"> REF _Ref22473578 \h </w:instrText>
      </w:r>
      <w:r w:rsidR="00DA7345">
        <w:rPr>
          <w:rStyle w:val="FigreferenceChar"/>
        </w:rPr>
        <w:instrText xml:space="preserve"> \* MERGEFORMAT </w:instrText>
      </w:r>
      <w:r w:rsidR="00092BA8" w:rsidRPr="00DA7345">
        <w:rPr>
          <w:rStyle w:val="FigreferenceChar"/>
        </w:rPr>
      </w:r>
      <w:r w:rsidR="00092BA8" w:rsidRPr="00DA7345">
        <w:rPr>
          <w:rStyle w:val="FigreferenceChar"/>
        </w:rPr>
        <w:fldChar w:fldCharType="separate"/>
      </w:r>
      <w:r w:rsidR="006B22A7" w:rsidRPr="006B22A7">
        <w:rPr>
          <w:rStyle w:val="FigreferenceChar"/>
        </w:rPr>
        <w:t>Table 1</w:t>
      </w:r>
      <w:r w:rsidR="00092BA8" w:rsidRPr="00DA7345">
        <w:rPr>
          <w:rStyle w:val="FigreferenceChar"/>
        </w:rPr>
        <w:fldChar w:fldCharType="end"/>
      </w:r>
      <w:r w:rsidRPr="00E401CD">
        <w:rPr>
          <w:rFonts w:ascii="Calibri" w:eastAsia="Calibri" w:hAnsi="Calibri" w:cs="Calibri"/>
          <w:szCs w:val="20"/>
          <w:lang w:val="en-AU"/>
        </w:rPr>
        <w:t>). This is equ</w:t>
      </w:r>
      <w:r w:rsidRPr="00A37634">
        <w:rPr>
          <w:rFonts w:ascii="Calibri" w:eastAsia="Calibri" w:hAnsi="Calibri" w:cs="Calibri"/>
          <w:szCs w:val="20"/>
          <w:lang w:val="en-AU"/>
        </w:rPr>
        <w:t>ivalent to 60% of the total projected growth in peak demand on the State and Territory networks to 203</w:t>
      </w:r>
      <w:r>
        <w:rPr>
          <w:rFonts w:ascii="Calibri" w:eastAsia="Calibri" w:hAnsi="Calibri" w:cs="Calibri"/>
          <w:szCs w:val="20"/>
          <w:lang w:val="en-AU"/>
        </w:rPr>
        <w:t>6</w:t>
      </w:r>
      <w:r w:rsidRPr="00A37634">
        <w:rPr>
          <w:rFonts w:ascii="Calibri" w:eastAsia="Calibri" w:hAnsi="Calibri" w:cs="Calibri"/>
          <w:szCs w:val="20"/>
          <w:lang w:val="en-AU"/>
        </w:rPr>
        <w:t xml:space="preserve">. In other words, if properly factored into network planning, use of the projected DR capability could more than halve network investment requirements over the next 15 years. The most likely load available for routine curtailment in New Zealand is </w:t>
      </w:r>
      <w:r w:rsidR="00092BA8">
        <w:rPr>
          <w:rFonts w:ascii="Calibri" w:eastAsia="Calibri" w:hAnsi="Calibri" w:cs="Calibri"/>
          <w:szCs w:val="20"/>
          <w:lang w:val="en-AU"/>
        </w:rPr>
        <w:t xml:space="preserve">around </w:t>
      </w:r>
      <w:r>
        <w:rPr>
          <w:rFonts w:ascii="Calibri" w:eastAsia="Calibri" w:hAnsi="Calibri" w:cs="Calibri"/>
          <w:szCs w:val="20"/>
          <w:lang w:val="en-AU"/>
        </w:rPr>
        <w:t>44</w:t>
      </w:r>
      <w:r w:rsidRPr="00A37634">
        <w:rPr>
          <w:rFonts w:ascii="Calibri" w:eastAsia="Calibri" w:hAnsi="Calibri" w:cs="Calibri"/>
          <w:szCs w:val="20"/>
          <w:lang w:val="en-AU"/>
        </w:rPr>
        <w:t>0 MW</w:t>
      </w:r>
      <w:r>
        <w:rPr>
          <w:rFonts w:ascii="Calibri" w:eastAsia="Calibri" w:hAnsi="Calibri" w:cs="Calibri"/>
          <w:szCs w:val="20"/>
          <w:lang w:val="en-AU"/>
        </w:rPr>
        <w:t xml:space="preserve"> (</w:t>
      </w:r>
      <w:r w:rsidR="00092BA8" w:rsidRPr="003D515A">
        <w:rPr>
          <w:rStyle w:val="FigreferenceChar"/>
        </w:rPr>
        <w:fldChar w:fldCharType="begin"/>
      </w:r>
      <w:r w:rsidR="00092BA8" w:rsidRPr="003D515A">
        <w:rPr>
          <w:rStyle w:val="FigreferenceChar"/>
        </w:rPr>
        <w:instrText xml:space="preserve"> REF _Ref22473624 \h </w:instrText>
      </w:r>
      <w:r w:rsidR="003D515A">
        <w:rPr>
          <w:rStyle w:val="FigreferenceChar"/>
        </w:rPr>
        <w:instrText xml:space="preserve"> \* MERGEFORMAT </w:instrText>
      </w:r>
      <w:r w:rsidR="00092BA8" w:rsidRPr="003D515A">
        <w:rPr>
          <w:rStyle w:val="FigreferenceChar"/>
        </w:rPr>
      </w:r>
      <w:r w:rsidR="00092BA8" w:rsidRPr="003D515A">
        <w:rPr>
          <w:rStyle w:val="FigreferenceChar"/>
        </w:rPr>
        <w:fldChar w:fldCharType="separate"/>
      </w:r>
      <w:r w:rsidR="006B22A7" w:rsidRPr="006B22A7">
        <w:rPr>
          <w:rStyle w:val="FigreferenceChar"/>
        </w:rPr>
        <w:t>Table 2</w:t>
      </w:r>
      <w:r w:rsidR="00092BA8" w:rsidRPr="003D515A">
        <w:rPr>
          <w:rStyle w:val="FigreferenceChar"/>
        </w:rPr>
        <w:fldChar w:fldCharType="end"/>
      </w:r>
      <w:r>
        <w:rPr>
          <w:rFonts w:ascii="Calibri" w:eastAsia="Calibri" w:hAnsi="Calibri" w:cs="Calibri"/>
          <w:szCs w:val="20"/>
          <w:lang w:val="en-AU"/>
        </w:rPr>
        <w:t>)</w:t>
      </w:r>
      <w:r w:rsidRPr="00A37634">
        <w:rPr>
          <w:rFonts w:ascii="Calibri" w:eastAsia="Calibri" w:hAnsi="Calibri" w:cs="Calibri"/>
          <w:szCs w:val="20"/>
          <w:lang w:val="en-AU"/>
        </w:rPr>
        <w:t>.</w:t>
      </w:r>
    </w:p>
    <w:p w14:paraId="4B79284E" w14:textId="033E8CF6" w:rsidR="005B1ACD" w:rsidRDefault="00092BA8" w:rsidP="006B22A7">
      <w:pPr>
        <w:pStyle w:val="Figreference"/>
      </w:pPr>
      <w:r w:rsidRPr="003D515A">
        <w:fldChar w:fldCharType="begin"/>
      </w:r>
      <w:r w:rsidRPr="003D515A">
        <w:instrText xml:space="preserve"> REF _Ref22473578 \h </w:instrText>
      </w:r>
      <w:r w:rsidR="003D515A">
        <w:instrText xml:space="preserve"> \* MERGEFORMAT </w:instrText>
      </w:r>
      <w:r w:rsidRPr="003D515A">
        <w:fldChar w:fldCharType="separate"/>
      </w:r>
      <w:r w:rsidR="006B22A7" w:rsidRPr="006B22A7">
        <w:t>Table 1</w:t>
      </w:r>
      <w:r w:rsidRPr="003D515A">
        <w:fldChar w:fldCharType="end"/>
      </w:r>
      <w:r w:rsidRPr="003D515A">
        <w:t xml:space="preserve"> </w:t>
      </w:r>
      <w:r>
        <w:t xml:space="preserve">and </w:t>
      </w:r>
      <w:r w:rsidRPr="003D515A">
        <w:fldChar w:fldCharType="begin"/>
      </w:r>
      <w:r w:rsidRPr="003D515A">
        <w:instrText xml:space="preserve"> REF _Ref22473624 \h </w:instrText>
      </w:r>
      <w:r w:rsidR="003D515A" w:rsidRPr="003D515A">
        <w:instrText xml:space="preserve"> \* MERGEFORMAT </w:instrText>
      </w:r>
      <w:r w:rsidRPr="003D515A">
        <w:fldChar w:fldCharType="separate"/>
      </w:r>
      <w:r w:rsidR="006B22A7" w:rsidRPr="006B22A7">
        <w:t>Table 2</w:t>
      </w:r>
      <w:r w:rsidRPr="003D515A">
        <w:fldChar w:fldCharType="end"/>
      </w:r>
      <w:r w:rsidR="00D06B4D" w:rsidRPr="00A11B21">
        <w:t xml:space="preserve"> </w:t>
      </w:r>
      <w:r w:rsidR="00D06B4D" w:rsidRPr="00A37634">
        <w:t>summarise the Benefit/Cost (B/C) ratios for each appliance type for Australia and New Zealand respectively.</w:t>
      </w:r>
      <w:r w:rsidR="00F11295" w:rsidRPr="00F11295">
        <w:t xml:space="preserve"> </w:t>
      </w:r>
      <w:r w:rsidR="00162A85">
        <w:t xml:space="preserve">ACs </w:t>
      </w:r>
      <w:r w:rsidR="00F11295" w:rsidRPr="00F11295">
        <w:t xml:space="preserve">account for </w:t>
      </w:r>
      <w:proofErr w:type="gramStart"/>
      <w:r w:rsidR="00F11295" w:rsidRPr="00F11295">
        <w:t>the majority of</w:t>
      </w:r>
      <w:proofErr w:type="gramEnd"/>
      <w:r w:rsidR="00F11295" w:rsidRPr="00F11295">
        <w:t xml:space="preserve"> the benefits. </w:t>
      </w:r>
      <w:r w:rsidR="003D515A" w:rsidRPr="003D515A">
        <w:fldChar w:fldCharType="begin"/>
      </w:r>
      <w:r w:rsidR="003D515A" w:rsidRPr="003D515A">
        <w:instrText xml:space="preserve"> REF _Ref22484047 \h </w:instrText>
      </w:r>
      <w:r w:rsidR="003D515A">
        <w:instrText xml:space="preserve"> \* MERGEFORMAT </w:instrText>
      </w:r>
      <w:r w:rsidR="003D515A" w:rsidRPr="003D515A">
        <w:fldChar w:fldCharType="separate"/>
      </w:r>
      <w:r w:rsidR="006B22A7" w:rsidRPr="006B22A7">
        <w:t>Table 3</w:t>
      </w:r>
      <w:r w:rsidR="003D515A" w:rsidRPr="003D515A">
        <w:fldChar w:fldCharType="end"/>
      </w:r>
      <w:r w:rsidR="003D515A">
        <w:t xml:space="preserve"> and </w:t>
      </w:r>
      <w:r w:rsidR="003D515A" w:rsidRPr="003D515A">
        <w:fldChar w:fldCharType="begin"/>
      </w:r>
      <w:r w:rsidR="003D515A" w:rsidRPr="003D515A">
        <w:instrText xml:space="preserve"> REF _Ref22484050 \h </w:instrText>
      </w:r>
      <w:r w:rsidR="003D515A">
        <w:instrText xml:space="preserve"> \* MERGEFORMAT </w:instrText>
      </w:r>
      <w:r w:rsidR="003D515A" w:rsidRPr="003D515A">
        <w:fldChar w:fldCharType="separate"/>
      </w:r>
      <w:r w:rsidR="006B22A7" w:rsidRPr="006B22A7">
        <w:t>Table 4</w:t>
      </w:r>
      <w:r w:rsidR="003D515A" w:rsidRPr="003D515A">
        <w:fldChar w:fldCharType="end"/>
      </w:r>
      <w:r w:rsidR="003D515A">
        <w:t xml:space="preserve"> show that c</w:t>
      </w:r>
      <w:r w:rsidR="003D515A" w:rsidRPr="00A37634">
        <w:t>hanging the discount rates has negligible effect on the B/C ratios</w:t>
      </w:r>
      <w:r w:rsidR="003D515A">
        <w:t>,</w:t>
      </w:r>
      <w:r w:rsidR="003D515A" w:rsidRPr="00A37634">
        <w:t xml:space="preserve"> </w:t>
      </w:r>
      <w:proofErr w:type="gramStart"/>
      <w:r w:rsidR="003D515A" w:rsidRPr="00A37634">
        <w:t>due to the fact that</w:t>
      </w:r>
      <w:proofErr w:type="gramEnd"/>
      <w:r w:rsidR="003D515A" w:rsidRPr="00A37634">
        <w:t xml:space="preserve"> both costs and benefits are dominated by capital costs incurred or avoided in specific years, and not by streams of energy expenditures or savings, as would be the case with energy efficiency measures. </w:t>
      </w:r>
    </w:p>
    <w:p w14:paraId="34DDBAE6" w14:textId="24C8EEAD" w:rsidR="006B22A7" w:rsidRPr="006B22A7" w:rsidRDefault="00092BA8" w:rsidP="006B22A7">
      <w:pPr>
        <w:pStyle w:val="Figreference"/>
        <w:rPr>
          <w:rFonts w:eastAsia="Calibri"/>
          <w:sz w:val="18"/>
          <w:szCs w:val="18"/>
        </w:rPr>
      </w:pPr>
      <w:r>
        <w:fldChar w:fldCharType="begin"/>
      </w:r>
      <w:r>
        <w:instrText xml:space="preserve"> REF _Ref22470045 \h </w:instrText>
      </w:r>
      <w:r w:rsidR="003D515A">
        <w:instrText xml:space="preserve"> \* MERGEFORMAT </w:instrText>
      </w:r>
      <w:r>
        <w:fldChar w:fldCharType="separate"/>
      </w:r>
    </w:p>
    <w:p w14:paraId="01F08F60" w14:textId="66239B8C" w:rsidR="00092BA8" w:rsidRDefault="006B22A7" w:rsidP="00D06B4D">
      <w:pPr>
        <w:pStyle w:val="Figreference"/>
      </w:pPr>
      <w:r w:rsidRPr="006B22A7">
        <w:t>Figure 1</w:t>
      </w:r>
      <w:r w:rsidR="00092BA8">
        <w:fldChar w:fldCharType="end"/>
      </w:r>
      <w:r w:rsidR="00092BA8">
        <w:t xml:space="preserve"> </w:t>
      </w:r>
      <w:r w:rsidR="00092BA8" w:rsidRPr="00A37634">
        <w:t xml:space="preserve">illustrates the </w:t>
      </w:r>
      <w:r w:rsidR="006E4282">
        <w:t>net present value (</w:t>
      </w:r>
      <w:r w:rsidR="00092BA8" w:rsidRPr="00A37634">
        <w:t>NPV</w:t>
      </w:r>
      <w:r w:rsidR="006E4282">
        <w:t>)</w:t>
      </w:r>
      <w:r w:rsidR="00092BA8" w:rsidRPr="00A37634">
        <w:t xml:space="preserve"> of cost and benefits for Australia (at 7% discount rate) under the Low, Medium and High activation scenarios</w:t>
      </w:r>
      <w:r w:rsidR="00092BA8" w:rsidRPr="00A11B21">
        <w:t>.</w:t>
      </w:r>
      <w:r w:rsidR="00092BA8">
        <w:t xml:space="preserve"> </w:t>
      </w:r>
      <w:r w:rsidR="00092BA8" w:rsidRPr="003D515A">
        <w:fldChar w:fldCharType="begin"/>
      </w:r>
      <w:r w:rsidR="00092BA8" w:rsidRPr="003D515A">
        <w:instrText xml:space="preserve"> REF _Ref22473902 \h </w:instrText>
      </w:r>
      <w:r w:rsidR="003D515A">
        <w:instrText xml:space="preserve"> \* MERGEFORMAT </w:instrText>
      </w:r>
      <w:r w:rsidR="00092BA8" w:rsidRPr="003D515A">
        <w:fldChar w:fldCharType="separate"/>
      </w:r>
      <w:r w:rsidRPr="006B22A7">
        <w:t>Figure 2</w:t>
      </w:r>
      <w:r w:rsidR="00092BA8" w:rsidRPr="003D515A">
        <w:fldChar w:fldCharType="end"/>
      </w:r>
      <w:r w:rsidR="00092BA8">
        <w:t xml:space="preserve"> illustrates the magnitude of projected costs </w:t>
      </w:r>
      <w:r w:rsidR="00092BA8">
        <w:lastRenderedPageBreak/>
        <w:t xml:space="preserve">and benefits in each State, Territory and New Zealand. </w:t>
      </w:r>
      <w:r w:rsidR="00F11295" w:rsidRPr="00A37634">
        <w:t xml:space="preserve">The proposal </w:t>
      </w:r>
      <w:r w:rsidR="00327359">
        <w:t xml:space="preserve">(Option 3) </w:t>
      </w:r>
      <w:r w:rsidR="00F11295">
        <w:t xml:space="preserve">appears </w:t>
      </w:r>
      <w:r w:rsidR="00F11295" w:rsidRPr="00A37634">
        <w:t xml:space="preserve">cost-effective in all jurisdictions apart from the </w:t>
      </w:r>
      <w:r w:rsidR="00F11295" w:rsidRPr="00E401CD">
        <w:t xml:space="preserve">NT </w:t>
      </w:r>
      <w:r w:rsidR="00F11295">
        <w:t>and the ACT, where no growth in peak demand is projected.</w:t>
      </w:r>
    </w:p>
    <w:p w14:paraId="21776309" w14:textId="05EC61CD" w:rsidR="00385928" w:rsidRDefault="00D06B4D" w:rsidP="00D06B4D">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proposal is estimated to yield accrued net benefits in the range $</w:t>
      </w:r>
      <w:r>
        <w:rPr>
          <w:rFonts w:ascii="Calibri" w:eastAsia="Calibri" w:hAnsi="Calibri" w:cs="Calibri"/>
          <w:szCs w:val="20"/>
          <w:lang w:val="en-AU"/>
        </w:rPr>
        <w:t>1</w:t>
      </w:r>
      <w:r w:rsidRPr="00A37634">
        <w:rPr>
          <w:rFonts w:ascii="Calibri" w:eastAsia="Calibri" w:hAnsi="Calibri" w:cs="Calibri"/>
          <w:szCs w:val="20"/>
          <w:lang w:val="en-AU"/>
        </w:rPr>
        <w:t>,</w:t>
      </w:r>
      <w:r>
        <w:rPr>
          <w:rFonts w:ascii="Calibri" w:eastAsia="Calibri" w:hAnsi="Calibri" w:cs="Calibri"/>
          <w:szCs w:val="20"/>
          <w:lang w:val="en-AU"/>
        </w:rPr>
        <w:t>430</w:t>
      </w:r>
      <w:r w:rsidRPr="00A37634">
        <w:rPr>
          <w:rFonts w:ascii="Calibri" w:eastAsia="Calibri" w:hAnsi="Calibri" w:cs="Calibri"/>
          <w:szCs w:val="20"/>
          <w:lang w:val="en-AU"/>
        </w:rPr>
        <w:t xml:space="preserve"> million to $</w:t>
      </w:r>
      <w:r>
        <w:rPr>
          <w:rFonts w:ascii="Calibri" w:eastAsia="Calibri" w:hAnsi="Calibri" w:cs="Calibri"/>
          <w:szCs w:val="20"/>
          <w:lang w:val="en-AU"/>
        </w:rPr>
        <w:t>2</w:t>
      </w:r>
      <w:r w:rsidRPr="00A37634">
        <w:rPr>
          <w:rFonts w:ascii="Calibri" w:eastAsia="Calibri" w:hAnsi="Calibri" w:cs="Calibri"/>
          <w:szCs w:val="20"/>
          <w:lang w:val="en-AU"/>
        </w:rPr>
        <w:t>,</w:t>
      </w:r>
      <w:r>
        <w:rPr>
          <w:rFonts w:ascii="Calibri" w:eastAsia="Calibri" w:hAnsi="Calibri" w:cs="Calibri"/>
          <w:szCs w:val="20"/>
          <w:lang w:val="en-AU"/>
        </w:rPr>
        <w:t>80</w:t>
      </w:r>
      <w:r w:rsidRPr="00A37634">
        <w:rPr>
          <w:rFonts w:ascii="Calibri" w:eastAsia="Calibri" w:hAnsi="Calibri" w:cs="Calibri"/>
          <w:szCs w:val="20"/>
          <w:lang w:val="en-AU"/>
        </w:rPr>
        <w:t>0 million NPV with the most likely value around $</w:t>
      </w:r>
      <w:r>
        <w:rPr>
          <w:rFonts w:ascii="Calibri" w:eastAsia="Calibri" w:hAnsi="Calibri" w:cs="Calibri"/>
          <w:szCs w:val="20"/>
          <w:lang w:val="en-AU"/>
        </w:rPr>
        <w:t>1</w:t>
      </w:r>
      <w:r w:rsidRPr="00A37634">
        <w:rPr>
          <w:rFonts w:ascii="Calibri" w:eastAsia="Calibri" w:hAnsi="Calibri" w:cs="Calibri"/>
          <w:szCs w:val="20"/>
          <w:lang w:val="en-AU"/>
        </w:rPr>
        <w:t>,</w:t>
      </w:r>
      <w:r>
        <w:rPr>
          <w:rFonts w:ascii="Calibri" w:eastAsia="Calibri" w:hAnsi="Calibri" w:cs="Calibri"/>
          <w:szCs w:val="20"/>
          <w:lang w:val="en-AU"/>
        </w:rPr>
        <w:t>8</w:t>
      </w:r>
      <w:r w:rsidRPr="00A37634">
        <w:rPr>
          <w:rFonts w:ascii="Calibri" w:eastAsia="Calibri" w:hAnsi="Calibri" w:cs="Calibri"/>
          <w:szCs w:val="20"/>
          <w:lang w:val="en-AU"/>
        </w:rPr>
        <w:t xml:space="preserve">70 million, at a benefit/cost ratio of </w:t>
      </w:r>
      <w:r>
        <w:rPr>
          <w:rFonts w:ascii="Calibri" w:eastAsia="Calibri" w:hAnsi="Calibri" w:cs="Calibri"/>
          <w:szCs w:val="20"/>
          <w:lang w:val="en-AU"/>
        </w:rPr>
        <w:t>2.9</w:t>
      </w:r>
      <w:r w:rsidRPr="00A37634">
        <w:rPr>
          <w:rFonts w:ascii="Calibri" w:eastAsia="Calibri" w:hAnsi="Calibri" w:cs="Calibri"/>
          <w:szCs w:val="20"/>
          <w:lang w:val="en-AU"/>
        </w:rPr>
        <w:t xml:space="preserve">. This is equivalent to a net benefit of </w:t>
      </w:r>
      <w:r>
        <w:rPr>
          <w:rFonts w:ascii="Calibri" w:eastAsia="Calibri" w:hAnsi="Calibri" w:cs="Calibri"/>
          <w:szCs w:val="20"/>
          <w:lang w:val="en-AU"/>
        </w:rPr>
        <w:t xml:space="preserve">nearly </w:t>
      </w:r>
      <w:r w:rsidRPr="00A37634">
        <w:rPr>
          <w:rFonts w:ascii="Calibri" w:eastAsia="Calibri" w:hAnsi="Calibri" w:cs="Calibri"/>
          <w:szCs w:val="20"/>
          <w:lang w:val="en-AU"/>
        </w:rPr>
        <w:t>$</w:t>
      </w:r>
      <w:r>
        <w:rPr>
          <w:rFonts w:ascii="Calibri" w:eastAsia="Calibri" w:hAnsi="Calibri" w:cs="Calibri"/>
          <w:szCs w:val="20"/>
          <w:lang w:val="en-AU"/>
        </w:rPr>
        <w:t>2</w:t>
      </w:r>
      <w:r w:rsidRPr="00A37634">
        <w:rPr>
          <w:rFonts w:ascii="Calibri" w:eastAsia="Calibri" w:hAnsi="Calibri" w:cs="Calibri"/>
          <w:szCs w:val="20"/>
          <w:lang w:val="en-AU"/>
        </w:rPr>
        <w:t>00 NPV for each Australian household, or nearly $</w:t>
      </w:r>
      <w:r>
        <w:rPr>
          <w:rFonts w:ascii="Calibri" w:eastAsia="Calibri" w:hAnsi="Calibri" w:cs="Calibri"/>
          <w:szCs w:val="20"/>
          <w:lang w:val="en-AU"/>
        </w:rPr>
        <w:t>25</w:t>
      </w:r>
      <w:r w:rsidRPr="00A37634">
        <w:rPr>
          <w:rFonts w:ascii="Calibri" w:eastAsia="Calibri" w:hAnsi="Calibri" w:cs="Calibri"/>
          <w:szCs w:val="20"/>
          <w:lang w:val="en-AU"/>
        </w:rPr>
        <w:t xml:space="preserve">0 </w:t>
      </w:r>
      <w:r>
        <w:rPr>
          <w:rFonts w:ascii="Calibri" w:eastAsia="Calibri" w:hAnsi="Calibri" w:cs="Calibri"/>
          <w:szCs w:val="20"/>
          <w:lang w:val="en-AU"/>
        </w:rPr>
        <w:t xml:space="preserve">NPV </w:t>
      </w:r>
      <w:r w:rsidRPr="00A37634">
        <w:rPr>
          <w:rFonts w:ascii="Calibri" w:eastAsia="Calibri" w:hAnsi="Calibri" w:cs="Calibri"/>
          <w:szCs w:val="20"/>
          <w:lang w:val="en-AU"/>
        </w:rPr>
        <w:t>for each of the 7.5 million appliances projected to be under DR control by 203</w:t>
      </w:r>
      <w:r>
        <w:rPr>
          <w:rFonts w:ascii="Calibri" w:eastAsia="Calibri" w:hAnsi="Calibri" w:cs="Calibri"/>
          <w:szCs w:val="20"/>
          <w:lang w:val="en-AU"/>
        </w:rPr>
        <w:t>6</w:t>
      </w:r>
      <w:r w:rsidRPr="00A37634">
        <w:rPr>
          <w:rFonts w:ascii="Calibri" w:eastAsia="Calibri" w:hAnsi="Calibri" w:cs="Calibri"/>
          <w:szCs w:val="20"/>
          <w:lang w:val="en-AU"/>
        </w:rPr>
        <w:t xml:space="preserve">. </w:t>
      </w:r>
    </w:p>
    <w:p w14:paraId="2652A0CE" w14:textId="5870A8B9" w:rsidR="005B1ACD" w:rsidRDefault="00D06B4D" w:rsidP="00D06B4D">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For New Zealand, the proposal is estimated to yield accrued net benefits in the range $NZ </w:t>
      </w:r>
      <w:r>
        <w:rPr>
          <w:rFonts w:ascii="Calibri" w:eastAsia="Calibri" w:hAnsi="Calibri" w:cs="Calibri"/>
          <w:szCs w:val="20"/>
          <w:lang w:val="en-AU"/>
        </w:rPr>
        <w:t>202</w:t>
      </w:r>
      <w:r w:rsidRPr="00A37634">
        <w:rPr>
          <w:rFonts w:ascii="Calibri" w:eastAsia="Calibri" w:hAnsi="Calibri" w:cs="Calibri"/>
          <w:szCs w:val="20"/>
          <w:lang w:val="en-AU"/>
        </w:rPr>
        <w:t xml:space="preserve"> million to $</w:t>
      </w:r>
      <w:r>
        <w:rPr>
          <w:rFonts w:ascii="Calibri" w:eastAsia="Calibri" w:hAnsi="Calibri" w:cs="Calibri"/>
          <w:szCs w:val="20"/>
          <w:lang w:val="en-AU"/>
        </w:rPr>
        <w:t>403</w:t>
      </w:r>
      <w:r w:rsidRPr="00A37634">
        <w:rPr>
          <w:rFonts w:ascii="Calibri" w:eastAsia="Calibri" w:hAnsi="Calibri" w:cs="Calibri"/>
          <w:szCs w:val="20"/>
          <w:lang w:val="en-AU"/>
        </w:rPr>
        <w:t xml:space="preserve"> million NPV with the most likely value around $2</w:t>
      </w:r>
      <w:r>
        <w:rPr>
          <w:rFonts w:ascii="Calibri" w:eastAsia="Calibri" w:hAnsi="Calibri" w:cs="Calibri"/>
          <w:szCs w:val="20"/>
          <w:lang w:val="en-AU"/>
        </w:rPr>
        <w:t>6</w:t>
      </w:r>
      <w:r w:rsidRPr="00A37634">
        <w:rPr>
          <w:rFonts w:ascii="Calibri" w:eastAsia="Calibri" w:hAnsi="Calibri" w:cs="Calibri"/>
          <w:szCs w:val="20"/>
          <w:lang w:val="en-AU"/>
        </w:rPr>
        <w:t>0 million, at a benefit/cost ratio of 2.</w:t>
      </w:r>
      <w:r>
        <w:rPr>
          <w:rFonts w:ascii="Calibri" w:eastAsia="Calibri" w:hAnsi="Calibri" w:cs="Calibri"/>
          <w:szCs w:val="20"/>
          <w:lang w:val="en-AU"/>
        </w:rPr>
        <w:t>8</w:t>
      </w:r>
      <w:r w:rsidRPr="00A37634">
        <w:rPr>
          <w:rFonts w:ascii="Calibri" w:eastAsia="Calibri" w:hAnsi="Calibri" w:cs="Calibri"/>
          <w:szCs w:val="20"/>
          <w:lang w:val="en-AU"/>
        </w:rPr>
        <w:t>. This is equivalent to a net benefit of about $1</w:t>
      </w:r>
      <w:r>
        <w:rPr>
          <w:rFonts w:ascii="Calibri" w:eastAsia="Calibri" w:hAnsi="Calibri" w:cs="Calibri"/>
          <w:szCs w:val="20"/>
          <w:lang w:val="en-AU"/>
        </w:rPr>
        <w:t>40</w:t>
      </w:r>
      <w:r w:rsidRPr="00A37634">
        <w:rPr>
          <w:rFonts w:ascii="Calibri" w:eastAsia="Calibri" w:hAnsi="Calibri" w:cs="Calibri"/>
          <w:szCs w:val="20"/>
          <w:lang w:val="en-AU"/>
        </w:rPr>
        <w:t xml:space="preserve"> NPV for each New Zealand household. </w:t>
      </w:r>
      <w:r>
        <w:rPr>
          <w:rFonts w:ascii="Calibri" w:eastAsia="Calibri" w:hAnsi="Calibri" w:cs="Calibri"/>
          <w:szCs w:val="20"/>
          <w:lang w:val="en-AU"/>
        </w:rPr>
        <w:t>Wholesale market price, load shifting and reliability benefits amount about 28% of the total benefits in Australia, and network benefits for 72%. In New Zealand, network benefits are 90% of the total.</w:t>
      </w:r>
    </w:p>
    <w:p w14:paraId="71C0D21C" w14:textId="52DEC5BD" w:rsidR="00D06B4D" w:rsidRPr="00A37634" w:rsidRDefault="00D06B4D" w:rsidP="00D06B4D">
      <w:pPr>
        <w:spacing w:before="240" w:after="120" w:line="240" w:lineRule="auto"/>
        <w:jc w:val="center"/>
        <w:rPr>
          <w:rFonts w:ascii="Calibri" w:eastAsia="Cambria" w:hAnsi="Calibri" w:cs="Calibri"/>
          <w:b/>
          <w:bCs/>
          <w:sz w:val="20"/>
          <w:szCs w:val="16"/>
          <w:lang w:val="en-AU"/>
        </w:rPr>
      </w:pPr>
      <w:bookmarkStart w:id="5" w:name="_Ref22473578"/>
      <w:bookmarkStart w:id="6" w:name="_Toc22486945"/>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B1ACD">
        <w:rPr>
          <w:rFonts w:ascii="Calibri" w:eastAsia="Cambria" w:hAnsi="Calibri" w:cs="Calibri"/>
          <w:b/>
          <w:bCs/>
          <w:noProof/>
          <w:sz w:val="20"/>
          <w:szCs w:val="16"/>
          <w:lang w:val="en-AU"/>
        </w:rPr>
        <w:t>1</w:t>
      </w:r>
      <w:r w:rsidRPr="00A37634">
        <w:rPr>
          <w:rFonts w:ascii="Calibri" w:eastAsia="Cambria" w:hAnsi="Calibri" w:cs="Calibri"/>
          <w:b/>
          <w:bCs/>
          <w:noProof/>
          <w:sz w:val="20"/>
          <w:szCs w:val="16"/>
          <w:lang w:val="en-AU"/>
        </w:rPr>
        <w:fldChar w:fldCharType="end"/>
      </w:r>
      <w:bookmarkEnd w:id="5"/>
      <w:r w:rsidRPr="00A37634">
        <w:rPr>
          <w:rFonts w:ascii="Calibri" w:eastAsia="Cambria" w:hAnsi="Calibri" w:cs="Calibri"/>
          <w:b/>
          <w:bCs/>
          <w:sz w:val="20"/>
          <w:szCs w:val="16"/>
          <w:lang w:val="en-AU"/>
        </w:rPr>
        <w:t>. Projected costs and benefits by appliance, Australia (medium activation)</w:t>
      </w:r>
      <w:bookmarkEnd w:id="6"/>
    </w:p>
    <w:tbl>
      <w:tblPr>
        <w:tblW w:w="8651" w:type="dxa"/>
        <w:jc w:val="center"/>
        <w:tblLayout w:type="fixed"/>
        <w:tblCellMar>
          <w:left w:w="0" w:type="dxa"/>
          <w:right w:w="0" w:type="dxa"/>
        </w:tblCellMar>
        <w:tblLook w:val="0000" w:firstRow="0" w:lastRow="0" w:firstColumn="0" w:lastColumn="0" w:noHBand="0" w:noVBand="0"/>
      </w:tblPr>
      <w:tblGrid>
        <w:gridCol w:w="1271"/>
        <w:gridCol w:w="1104"/>
        <w:gridCol w:w="1089"/>
        <w:gridCol w:w="1089"/>
        <w:gridCol w:w="1089"/>
        <w:gridCol w:w="874"/>
        <w:gridCol w:w="709"/>
        <w:gridCol w:w="786"/>
        <w:gridCol w:w="640"/>
      </w:tblGrid>
      <w:tr w:rsidR="00D06B4D" w:rsidRPr="007254CA" w14:paraId="4BE9DFF7" w14:textId="77777777" w:rsidTr="00B92C16">
        <w:trPr>
          <w:cantSplit/>
          <w:trHeight w:val="533"/>
          <w:tblHeader/>
          <w:jc w:val="center"/>
        </w:trPr>
        <w:tc>
          <w:tcPr>
            <w:tcW w:w="1271" w:type="dxa"/>
            <w:vMerge w:val="restart"/>
            <w:tcBorders>
              <w:top w:val="single" w:sz="4" w:space="0" w:color="auto"/>
              <w:left w:val="single" w:sz="4" w:space="0" w:color="auto"/>
              <w:bottom w:val="single" w:sz="4" w:space="0" w:color="auto"/>
              <w:right w:val="single" w:sz="4" w:space="0" w:color="auto"/>
            </w:tcBorders>
            <w:noWrap/>
          </w:tcPr>
          <w:p w14:paraId="0D4974E3"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p>
        </w:tc>
        <w:tc>
          <w:tcPr>
            <w:tcW w:w="1104" w:type="dxa"/>
            <w:vMerge w:val="restart"/>
            <w:tcBorders>
              <w:top w:val="single" w:sz="4" w:space="0" w:color="auto"/>
              <w:left w:val="single" w:sz="4" w:space="0" w:color="auto"/>
              <w:bottom w:val="single" w:sz="4" w:space="0" w:color="auto"/>
            </w:tcBorders>
            <w:noWrap/>
          </w:tcPr>
          <w:p w14:paraId="5615CD8E"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Routine DLC Reduction available SMD 2036, MWe (a)</w:t>
            </w:r>
          </w:p>
        </w:tc>
        <w:tc>
          <w:tcPr>
            <w:tcW w:w="1089" w:type="dxa"/>
            <w:vMerge w:val="restart"/>
            <w:tcBorders>
              <w:top w:val="single" w:sz="4" w:space="0" w:color="auto"/>
              <w:bottom w:val="single" w:sz="4" w:space="0" w:color="auto"/>
            </w:tcBorders>
            <w:noWrap/>
          </w:tcPr>
          <w:p w14:paraId="1D7B970E"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Costs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295EBF17"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32D5A861"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49A94E9B"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7F396114"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Net</w:t>
            </w:r>
            <w:r w:rsidRPr="007254CA">
              <w:rPr>
                <w:rFonts w:ascii="Calibri" w:eastAsia="Times New Roman" w:hAnsi="Calibri" w:cs="Calibri"/>
                <w:bCs/>
                <w:sz w:val="18"/>
                <w:szCs w:val="18"/>
                <w:lang w:val="en-AU"/>
              </w:rPr>
              <w:b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tc>
        <w:tc>
          <w:tcPr>
            <w:tcW w:w="874" w:type="dxa"/>
            <w:vMerge w:val="restart"/>
            <w:tcBorders>
              <w:top w:val="single" w:sz="4" w:space="0" w:color="auto"/>
              <w:bottom w:val="single" w:sz="4" w:space="0" w:color="auto"/>
            </w:tcBorders>
          </w:tcPr>
          <w:p w14:paraId="574E3520" w14:textId="77777777" w:rsidR="00D06B4D" w:rsidRPr="007254CA" w:rsidRDefault="00D06B4D" w:rsidP="00B92C16">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 net </w:t>
            </w:r>
            <w:r w:rsidRPr="007254CA">
              <w:rPr>
                <w:rFonts w:ascii="Calibri" w:eastAsia="Times New Roman" w:hAnsi="Calibri" w:cs="Calibri"/>
                <w:bCs/>
                <w:sz w:val="18"/>
                <w:szCs w:val="18"/>
                <w:lang w:val="en-AU"/>
              </w:rPr>
              <w:br/>
              <w:t>national</w:t>
            </w:r>
            <w:r w:rsidRPr="007254CA">
              <w:rPr>
                <w:rFonts w:ascii="Calibri" w:eastAsia="Times New Roman" w:hAnsi="Calibri" w:cs="Calibri"/>
                <w:bCs/>
                <w:sz w:val="18"/>
                <w:szCs w:val="18"/>
                <w:lang w:val="en-AU"/>
              </w:rPr>
              <w:br/>
              <w:t>benefits</w:t>
            </w:r>
          </w:p>
        </w:tc>
        <w:tc>
          <w:tcPr>
            <w:tcW w:w="709" w:type="dxa"/>
            <w:vMerge w:val="restart"/>
            <w:tcBorders>
              <w:top w:val="single" w:sz="4" w:space="0" w:color="auto"/>
              <w:bottom w:val="single" w:sz="4" w:space="0" w:color="auto"/>
              <w:right w:val="single" w:sz="4" w:space="0" w:color="auto"/>
            </w:tcBorders>
            <w:noWrap/>
          </w:tcPr>
          <w:p w14:paraId="6E58E603"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B/C ratio</w:t>
            </w:r>
          </w:p>
        </w:tc>
        <w:tc>
          <w:tcPr>
            <w:tcW w:w="1426" w:type="dxa"/>
            <w:gridSpan w:val="2"/>
            <w:tcBorders>
              <w:top w:val="single" w:sz="4" w:space="0" w:color="auto"/>
              <w:left w:val="single" w:sz="4" w:space="0" w:color="auto"/>
              <w:bottom w:val="single" w:sz="4" w:space="0" w:color="auto"/>
              <w:right w:val="single" w:sz="4" w:space="0" w:color="auto"/>
            </w:tcBorders>
          </w:tcPr>
          <w:p w14:paraId="637CF5AD" w14:textId="77777777" w:rsidR="00D06B4D" w:rsidRPr="007254CA" w:rsidRDefault="00D06B4D" w:rsidP="00B92C16">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Without whole-sale price benefit</w:t>
            </w:r>
          </w:p>
        </w:tc>
      </w:tr>
      <w:tr w:rsidR="00D06B4D" w:rsidRPr="00A37634" w14:paraId="2DF52AEC" w14:textId="77777777" w:rsidTr="00B92C16">
        <w:trPr>
          <w:cantSplit/>
          <w:trHeight w:val="532"/>
          <w:tblHeader/>
          <w:jc w:val="center"/>
        </w:trPr>
        <w:tc>
          <w:tcPr>
            <w:tcW w:w="1271" w:type="dxa"/>
            <w:vMerge/>
            <w:tcBorders>
              <w:left w:val="single" w:sz="4" w:space="0" w:color="auto"/>
              <w:bottom w:val="single" w:sz="4" w:space="0" w:color="auto"/>
              <w:right w:val="single" w:sz="4" w:space="0" w:color="auto"/>
            </w:tcBorders>
            <w:noWrap/>
          </w:tcPr>
          <w:p w14:paraId="6641D2B5" w14:textId="77777777" w:rsidR="00D06B4D" w:rsidRPr="00A37634" w:rsidRDefault="00D06B4D" w:rsidP="00B92C16">
            <w:pPr>
              <w:spacing w:before="60" w:after="60" w:line="240" w:lineRule="auto"/>
              <w:jc w:val="center"/>
              <w:rPr>
                <w:rFonts w:ascii="Calibri" w:eastAsia="Arial Unicode MS" w:hAnsi="Calibri" w:cs="Calibri"/>
                <w:b/>
                <w:sz w:val="18"/>
                <w:szCs w:val="18"/>
                <w:lang w:val="en-AU"/>
              </w:rPr>
            </w:pPr>
          </w:p>
        </w:tc>
        <w:tc>
          <w:tcPr>
            <w:tcW w:w="1104" w:type="dxa"/>
            <w:vMerge/>
            <w:tcBorders>
              <w:left w:val="single" w:sz="4" w:space="0" w:color="auto"/>
              <w:bottom w:val="single" w:sz="4" w:space="0" w:color="auto"/>
            </w:tcBorders>
            <w:noWrap/>
          </w:tcPr>
          <w:p w14:paraId="063D4AA4"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786523BB"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5B18B8F0"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5E7BC0B4"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874" w:type="dxa"/>
            <w:vMerge/>
            <w:tcBorders>
              <w:bottom w:val="single" w:sz="4" w:space="0" w:color="auto"/>
            </w:tcBorders>
          </w:tcPr>
          <w:p w14:paraId="4C9C9A59"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709" w:type="dxa"/>
            <w:vMerge/>
            <w:tcBorders>
              <w:bottom w:val="single" w:sz="4" w:space="0" w:color="auto"/>
              <w:right w:val="single" w:sz="4" w:space="0" w:color="auto"/>
            </w:tcBorders>
            <w:noWrap/>
          </w:tcPr>
          <w:p w14:paraId="2EDA23D2"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786" w:type="dxa"/>
            <w:tcBorders>
              <w:top w:val="single" w:sz="4" w:space="0" w:color="auto"/>
              <w:left w:val="single" w:sz="4" w:space="0" w:color="auto"/>
              <w:bottom w:val="single" w:sz="4" w:space="0" w:color="auto"/>
            </w:tcBorders>
          </w:tcPr>
          <w:p w14:paraId="019D00D1" w14:textId="77777777" w:rsidR="00D06B4D" w:rsidRPr="007254CA" w:rsidRDefault="00D06B4D" w:rsidP="00B92C16">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$M Net</w:t>
            </w:r>
            <w:r w:rsidRPr="007254CA">
              <w:rPr>
                <w:rFonts w:ascii="Calibri" w:eastAsia="Times New Roman" w:hAnsi="Calibri" w:cs="Calibri"/>
                <w:bCs/>
                <w:sz w:val="18"/>
                <w:szCs w:val="18"/>
                <w:lang w:val="en-AU"/>
              </w:rPr>
              <w:br/>
              <w:t>benefit</w:t>
            </w:r>
          </w:p>
        </w:tc>
        <w:tc>
          <w:tcPr>
            <w:tcW w:w="640" w:type="dxa"/>
            <w:tcBorders>
              <w:top w:val="single" w:sz="4" w:space="0" w:color="auto"/>
              <w:bottom w:val="single" w:sz="4" w:space="0" w:color="auto"/>
              <w:right w:val="single" w:sz="4" w:space="0" w:color="auto"/>
            </w:tcBorders>
          </w:tcPr>
          <w:p w14:paraId="7F34F703" w14:textId="77777777" w:rsidR="00D06B4D" w:rsidRPr="007254CA" w:rsidRDefault="00D06B4D" w:rsidP="00B92C16">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B/C ratio</w:t>
            </w:r>
          </w:p>
        </w:tc>
      </w:tr>
      <w:tr w:rsidR="00D06B4D" w:rsidRPr="002B3B3D" w14:paraId="38DED489" w14:textId="77777777" w:rsidTr="00B92C16">
        <w:trPr>
          <w:trHeight w:val="255"/>
          <w:jc w:val="center"/>
        </w:trPr>
        <w:tc>
          <w:tcPr>
            <w:tcW w:w="1271" w:type="dxa"/>
            <w:tcBorders>
              <w:top w:val="single" w:sz="4" w:space="0" w:color="auto"/>
              <w:left w:val="single" w:sz="4" w:space="0" w:color="auto"/>
              <w:bottom w:val="nil"/>
              <w:right w:val="nil"/>
            </w:tcBorders>
            <w:noWrap/>
          </w:tcPr>
          <w:p w14:paraId="317C7647"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Air Conds</w:t>
            </w:r>
          </w:p>
        </w:tc>
        <w:tc>
          <w:tcPr>
            <w:tcW w:w="1104" w:type="dxa"/>
            <w:tcBorders>
              <w:top w:val="single" w:sz="4" w:space="0" w:color="auto"/>
              <w:left w:val="single" w:sz="4" w:space="0" w:color="auto"/>
              <w:bottom w:val="nil"/>
              <w:right w:val="nil"/>
            </w:tcBorders>
            <w:shd w:val="clear" w:color="auto" w:fill="auto"/>
            <w:noWrap/>
            <w:vAlign w:val="bottom"/>
          </w:tcPr>
          <w:p w14:paraId="0ED253C5"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2164</w:t>
            </w:r>
          </w:p>
        </w:tc>
        <w:tc>
          <w:tcPr>
            <w:tcW w:w="1089" w:type="dxa"/>
            <w:tcBorders>
              <w:top w:val="single" w:sz="4" w:space="0" w:color="auto"/>
              <w:left w:val="nil"/>
              <w:bottom w:val="nil"/>
              <w:right w:val="nil"/>
            </w:tcBorders>
            <w:shd w:val="clear" w:color="auto" w:fill="auto"/>
            <w:noWrap/>
            <w:vAlign w:val="bottom"/>
          </w:tcPr>
          <w:p w14:paraId="35E4551B"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$405</w:t>
            </w:r>
          </w:p>
        </w:tc>
        <w:tc>
          <w:tcPr>
            <w:tcW w:w="1089" w:type="dxa"/>
            <w:tcBorders>
              <w:top w:val="single" w:sz="4" w:space="0" w:color="auto"/>
              <w:left w:val="nil"/>
              <w:bottom w:val="nil"/>
              <w:right w:val="nil"/>
            </w:tcBorders>
            <w:shd w:val="clear" w:color="auto" w:fill="auto"/>
            <w:noWrap/>
            <w:vAlign w:val="bottom"/>
          </w:tcPr>
          <w:p w14:paraId="13A1AA8D"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$1,420</w:t>
            </w:r>
          </w:p>
        </w:tc>
        <w:tc>
          <w:tcPr>
            <w:tcW w:w="1089" w:type="dxa"/>
            <w:tcBorders>
              <w:top w:val="single" w:sz="4" w:space="0" w:color="auto"/>
              <w:left w:val="nil"/>
              <w:bottom w:val="nil"/>
              <w:right w:val="nil"/>
            </w:tcBorders>
            <w:shd w:val="clear" w:color="auto" w:fill="auto"/>
            <w:noWrap/>
            <w:vAlign w:val="bottom"/>
          </w:tcPr>
          <w:p w14:paraId="3C18B079"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$1,014</w:t>
            </w:r>
          </w:p>
        </w:tc>
        <w:tc>
          <w:tcPr>
            <w:tcW w:w="874" w:type="dxa"/>
            <w:tcBorders>
              <w:top w:val="single" w:sz="4" w:space="0" w:color="auto"/>
              <w:left w:val="nil"/>
              <w:bottom w:val="nil"/>
              <w:right w:val="nil"/>
            </w:tcBorders>
            <w:shd w:val="clear" w:color="auto" w:fill="auto"/>
            <w:vAlign w:val="bottom"/>
          </w:tcPr>
          <w:p w14:paraId="1A36F637"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54.3%</w:t>
            </w:r>
          </w:p>
        </w:tc>
        <w:tc>
          <w:tcPr>
            <w:tcW w:w="709" w:type="dxa"/>
            <w:tcBorders>
              <w:top w:val="single" w:sz="4" w:space="0" w:color="auto"/>
              <w:left w:val="nil"/>
              <w:bottom w:val="nil"/>
              <w:right w:val="single" w:sz="4" w:space="0" w:color="auto"/>
            </w:tcBorders>
            <w:shd w:val="clear" w:color="auto" w:fill="auto"/>
            <w:noWrap/>
            <w:vAlign w:val="bottom"/>
          </w:tcPr>
          <w:p w14:paraId="499050CE"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3.5</w:t>
            </w:r>
          </w:p>
        </w:tc>
        <w:tc>
          <w:tcPr>
            <w:tcW w:w="786" w:type="dxa"/>
            <w:tcBorders>
              <w:top w:val="nil"/>
              <w:left w:val="nil"/>
              <w:bottom w:val="nil"/>
              <w:right w:val="nil"/>
            </w:tcBorders>
            <w:shd w:val="clear" w:color="auto" w:fill="auto"/>
            <w:vAlign w:val="bottom"/>
          </w:tcPr>
          <w:p w14:paraId="4078CAD9"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$757</w:t>
            </w:r>
          </w:p>
        </w:tc>
        <w:tc>
          <w:tcPr>
            <w:tcW w:w="640" w:type="dxa"/>
            <w:tcBorders>
              <w:top w:val="single" w:sz="4" w:space="0" w:color="auto"/>
              <w:left w:val="nil"/>
              <w:bottom w:val="nil"/>
              <w:right w:val="single" w:sz="4" w:space="0" w:color="auto"/>
            </w:tcBorders>
            <w:shd w:val="clear" w:color="auto" w:fill="auto"/>
            <w:vAlign w:val="bottom"/>
          </w:tcPr>
          <w:p w14:paraId="750AC2C4"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2.9</w:t>
            </w:r>
          </w:p>
        </w:tc>
      </w:tr>
      <w:tr w:rsidR="00D06B4D" w:rsidRPr="002B3B3D" w14:paraId="38472A7B" w14:textId="77777777" w:rsidTr="00B92C16">
        <w:trPr>
          <w:trHeight w:val="255"/>
          <w:jc w:val="center"/>
        </w:trPr>
        <w:tc>
          <w:tcPr>
            <w:tcW w:w="1271" w:type="dxa"/>
            <w:tcBorders>
              <w:top w:val="nil"/>
              <w:left w:val="single" w:sz="4" w:space="0" w:color="auto"/>
              <w:bottom w:val="nil"/>
              <w:right w:val="nil"/>
            </w:tcBorders>
            <w:noWrap/>
          </w:tcPr>
          <w:p w14:paraId="578C6502"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PP Controllers</w:t>
            </w:r>
          </w:p>
        </w:tc>
        <w:tc>
          <w:tcPr>
            <w:tcW w:w="1104" w:type="dxa"/>
            <w:tcBorders>
              <w:top w:val="nil"/>
              <w:left w:val="single" w:sz="4" w:space="0" w:color="auto"/>
              <w:bottom w:val="nil"/>
              <w:right w:val="nil"/>
            </w:tcBorders>
            <w:shd w:val="clear" w:color="auto" w:fill="auto"/>
            <w:noWrap/>
            <w:vAlign w:val="bottom"/>
          </w:tcPr>
          <w:p w14:paraId="400BE461"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318</w:t>
            </w:r>
          </w:p>
        </w:tc>
        <w:tc>
          <w:tcPr>
            <w:tcW w:w="1089" w:type="dxa"/>
            <w:tcBorders>
              <w:top w:val="nil"/>
              <w:left w:val="nil"/>
              <w:bottom w:val="nil"/>
              <w:right w:val="nil"/>
            </w:tcBorders>
            <w:shd w:val="clear" w:color="auto" w:fill="auto"/>
            <w:noWrap/>
            <w:vAlign w:val="bottom"/>
          </w:tcPr>
          <w:p w14:paraId="2345313C"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$102</w:t>
            </w:r>
          </w:p>
        </w:tc>
        <w:tc>
          <w:tcPr>
            <w:tcW w:w="1089" w:type="dxa"/>
            <w:tcBorders>
              <w:top w:val="nil"/>
              <w:left w:val="nil"/>
              <w:bottom w:val="nil"/>
              <w:right w:val="nil"/>
            </w:tcBorders>
            <w:shd w:val="clear" w:color="auto" w:fill="auto"/>
            <w:noWrap/>
            <w:vAlign w:val="bottom"/>
          </w:tcPr>
          <w:p w14:paraId="307E9607"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$192</w:t>
            </w:r>
          </w:p>
        </w:tc>
        <w:tc>
          <w:tcPr>
            <w:tcW w:w="1089" w:type="dxa"/>
            <w:tcBorders>
              <w:top w:val="nil"/>
              <w:left w:val="nil"/>
              <w:bottom w:val="nil"/>
              <w:right w:val="nil"/>
            </w:tcBorders>
            <w:shd w:val="clear" w:color="auto" w:fill="auto"/>
            <w:noWrap/>
            <w:vAlign w:val="bottom"/>
          </w:tcPr>
          <w:p w14:paraId="034E4C1C"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$90</w:t>
            </w:r>
          </w:p>
        </w:tc>
        <w:tc>
          <w:tcPr>
            <w:tcW w:w="874" w:type="dxa"/>
            <w:tcBorders>
              <w:top w:val="nil"/>
              <w:left w:val="nil"/>
              <w:bottom w:val="nil"/>
              <w:right w:val="nil"/>
            </w:tcBorders>
            <w:shd w:val="clear" w:color="auto" w:fill="auto"/>
            <w:vAlign w:val="bottom"/>
          </w:tcPr>
          <w:p w14:paraId="6DCA7F2C"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4.8%</w:t>
            </w:r>
          </w:p>
        </w:tc>
        <w:tc>
          <w:tcPr>
            <w:tcW w:w="709" w:type="dxa"/>
            <w:tcBorders>
              <w:top w:val="nil"/>
              <w:left w:val="nil"/>
              <w:bottom w:val="nil"/>
              <w:right w:val="single" w:sz="4" w:space="0" w:color="auto"/>
            </w:tcBorders>
            <w:shd w:val="clear" w:color="auto" w:fill="auto"/>
            <w:noWrap/>
            <w:vAlign w:val="bottom"/>
          </w:tcPr>
          <w:p w14:paraId="0C7DB340"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1.9</w:t>
            </w:r>
          </w:p>
        </w:tc>
        <w:tc>
          <w:tcPr>
            <w:tcW w:w="786" w:type="dxa"/>
            <w:tcBorders>
              <w:top w:val="nil"/>
              <w:left w:val="nil"/>
              <w:bottom w:val="nil"/>
              <w:right w:val="nil"/>
            </w:tcBorders>
            <w:shd w:val="clear" w:color="auto" w:fill="auto"/>
            <w:vAlign w:val="bottom"/>
          </w:tcPr>
          <w:p w14:paraId="4D5256D2"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$80</w:t>
            </w:r>
          </w:p>
        </w:tc>
        <w:tc>
          <w:tcPr>
            <w:tcW w:w="640" w:type="dxa"/>
            <w:tcBorders>
              <w:top w:val="nil"/>
              <w:left w:val="nil"/>
              <w:bottom w:val="nil"/>
              <w:right w:val="single" w:sz="4" w:space="0" w:color="auto"/>
            </w:tcBorders>
            <w:shd w:val="clear" w:color="auto" w:fill="auto"/>
            <w:vAlign w:val="bottom"/>
          </w:tcPr>
          <w:p w14:paraId="6AD99572"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1.8</w:t>
            </w:r>
          </w:p>
        </w:tc>
      </w:tr>
      <w:tr w:rsidR="00D06B4D" w:rsidRPr="002B3B3D" w14:paraId="467EFC7E" w14:textId="77777777" w:rsidTr="00B92C16">
        <w:trPr>
          <w:trHeight w:val="255"/>
          <w:jc w:val="center"/>
        </w:trPr>
        <w:tc>
          <w:tcPr>
            <w:tcW w:w="1271" w:type="dxa"/>
            <w:tcBorders>
              <w:top w:val="nil"/>
              <w:left w:val="single" w:sz="4" w:space="0" w:color="auto"/>
              <w:bottom w:val="nil"/>
              <w:right w:val="nil"/>
            </w:tcBorders>
            <w:noWrap/>
          </w:tcPr>
          <w:p w14:paraId="1D357219"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Water heaters</w:t>
            </w:r>
          </w:p>
        </w:tc>
        <w:tc>
          <w:tcPr>
            <w:tcW w:w="1104" w:type="dxa"/>
            <w:tcBorders>
              <w:top w:val="nil"/>
              <w:left w:val="single" w:sz="4" w:space="0" w:color="auto"/>
              <w:bottom w:val="nil"/>
              <w:right w:val="nil"/>
            </w:tcBorders>
            <w:shd w:val="clear" w:color="auto" w:fill="auto"/>
            <w:noWrap/>
            <w:vAlign w:val="bottom"/>
          </w:tcPr>
          <w:p w14:paraId="2666F283"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292</w:t>
            </w:r>
          </w:p>
        </w:tc>
        <w:tc>
          <w:tcPr>
            <w:tcW w:w="1089" w:type="dxa"/>
            <w:tcBorders>
              <w:top w:val="nil"/>
              <w:left w:val="nil"/>
              <w:bottom w:val="nil"/>
              <w:right w:val="nil"/>
            </w:tcBorders>
            <w:shd w:val="clear" w:color="auto" w:fill="auto"/>
            <w:noWrap/>
            <w:vAlign w:val="bottom"/>
          </w:tcPr>
          <w:p w14:paraId="567265BA"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$252</w:t>
            </w:r>
          </w:p>
        </w:tc>
        <w:tc>
          <w:tcPr>
            <w:tcW w:w="1089" w:type="dxa"/>
            <w:tcBorders>
              <w:top w:val="nil"/>
              <w:left w:val="nil"/>
              <w:bottom w:val="nil"/>
              <w:right w:val="nil"/>
            </w:tcBorders>
            <w:shd w:val="clear" w:color="auto" w:fill="auto"/>
            <w:noWrap/>
            <w:vAlign w:val="bottom"/>
          </w:tcPr>
          <w:p w14:paraId="7DB57E1D"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$381</w:t>
            </w:r>
          </w:p>
        </w:tc>
        <w:tc>
          <w:tcPr>
            <w:tcW w:w="1089" w:type="dxa"/>
            <w:tcBorders>
              <w:top w:val="nil"/>
              <w:left w:val="nil"/>
              <w:bottom w:val="nil"/>
              <w:right w:val="nil"/>
            </w:tcBorders>
            <w:shd w:val="clear" w:color="auto" w:fill="auto"/>
            <w:noWrap/>
            <w:vAlign w:val="bottom"/>
          </w:tcPr>
          <w:p w14:paraId="36B40DCE"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$129</w:t>
            </w:r>
          </w:p>
        </w:tc>
        <w:tc>
          <w:tcPr>
            <w:tcW w:w="874" w:type="dxa"/>
            <w:tcBorders>
              <w:top w:val="nil"/>
              <w:left w:val="nil"/>
              <w:bottom w:val="nil"/>
              <w:right w:val="nil"/>
            </w:tcBorders>
            <w:shd w:val="clear" w:color="auto" w:fill="auto"/>
            <w:vAlign w:val="bottom"/>
          </w:tcPr>
          <w:p w14:paraId="348267A3"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6.9%</w:t>
            </w:r>
          </w:p>
        </w:tc>
        <w:tc>
          <w:tcPr>
            <w:tcW w:w="709" w:type="dxa"/>
            <w:tcBorders>
              <w:top w:val="nil"/>
              <w:left w:val="nil"/>
              <w:bottom w:val="nil"/>
              <w:right w:val="single" w:sz="4" w:space="0" w:color="auto"/>
            </w:tcBorders>
            <w:shd w:val="clear" w:color="auto" w:fill="auto"/>
            <w:noWrap/>
            <w:vAlign w:val="bottom"/>
          </w:tcPr>
          <w:p w14:paraId="09CE9CDA"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1.5</w:t>
            </w:r>
          </w:p>
        </w:tc>
        <w:tc>
          <w:tcPr>
            <w:tcW w:w="786" w:type="dxa"/>
            <w:tcBorders>
              <w:top w:val="nil"/>
              <w:left w:val="nil"/>
              <w:bottom w:val="nil"/>
              <w:right w:val="nil"/>
            </w:tcBorders>
            <w:shd w:val="clear" w:color="auto" w:fill="auto"/>
            <w:vAlign w:val="bottom"/>
          </w:tcPr>
          <w:p w14:paraId="5664195B"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$121</w:t>
            </w:r>
          </w:p>
        </w:tc>
        <w:tc>
          <w:tcPr>
            <w:tcW w:w="640" w:type="dxa"/>
            <w:tcBorders>
              <w:top w:val="nil"/>
              <w:left w:val="nil"/>
              <w:bottom w:val="nil"/>
              <w:right w:val="single" w:sz="4" w:space="0" w:color="auto"/>
            </w:tcBorders>
            <w:shd w:val="clear" w:color="auto" w:fill="auto"/>
            <w:vAlign w:val="bottom"/>
          </w:tcPr>
          <w:p w14:paraId="592DA0CF"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1.5</w:t>
            </w:r>
          </w:p>
        </w:tc>
      </w:tr>
      <w:tr w:rsidR="00D06B4D" w:rsidRPr="002B3B3D" w14:paraId="31F1719A" w14:textId="77777777" w:rsidTr="00B92C16">
        <w:trPr>
          <w:trHeight w:val="255"/>
          <w:jc w:val="center"/>
        </w:trPr>
        <w:tc>
          <w:tcPr>
            <w:tcW w:w="1271" w:type="dxa"/>
            <w:tcBorders>
              <w:top w:val="nil"/>
              <w:left w:val="single" w:sz="4" w:space="0" w:color="auto"/>
              <w:bottom w:val="nil"/>
              <w:right w:val="nil"/>
            </w:tcBorders>
            <w:noWrap/>
          </w:tcPr>
          <w:p w14:paraId="10A938B4"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EV chargers</w:t>
            </w:r>
          </w:p>
        </w:tc>
        <w:tc>
          <w:tcPr>
            <w:tcW w:w="1104" w:type="dxa"/>
            <w:tcBorders>
              <w:top w:val="nil"/>
              <w:left w:val="single" w:sz="4" w:space="0" w:color="auto"/>
              <w:bottom w:val="nil"/>
              <w:right w:val="nil"/>
            </w:tcBorders>
            <w:shd w:val="clear" w:color="auto" w:fill="auto"/>
            <w:noWrap/>
            <w:vAlign w:val="bottom"/>
          </w:tcPr>
          <w:p w14:paraId="46F11D71"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626</w:t>
            </w:r>
          </w:p>
        </w:tc>
        <w:tc>
          <w:tcPr>
            <w:tcW w:w="1089" w:type="dxa"/>
            <w:tcBorders>
              <w:top w:val="nil"/>
              <w:left w:val="nil"/>
              <w:bottom w:val="nil"/>
              <w:right w:val="nil"/>
            </w:tcBorders>
            <w:shd w:val="clear" w:color="auto" w:fill="auto"/>
            <w:noWrap/>
            <w:vAlign w:val="bottom"/>
          </w:tcPr>
          <w:p w14:paraId="2B035FE7"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$201</w:t>
            </w:r>
          </w:p>
        </w:tc>
        <w:tc>
          <w:tcPr>
            <w:tcW w:w="1089" w:type="dxa"/>
            <w:tcBorders>
              <w:top w:val="nil"/>
              <w:left w:val="nil"/>
              <w:bottom w:val="nil"/>
              <w:right w:val="nil"/>
            </w:tcBorders>
            <w:shd w:val="clear" w:color="auto" w:fill="auto"/>
            <w:noWrap/>
            <w:vAlign w:val="bottom"/>
          </w:tcPr>
          <w:p w14:paraId="3B82F151"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$837</w:t>
            </w:r>
          </w:p>
        </w:tc>
        <w:tc>
          <w:tcPr>
            <w:tcW w:w="1089" w:type="dxa"/>
            <w:tcBorders>
              <w:top w:val="nil"/>
              <w:left w:val="nil"/>
              <w:bottom w:val="nil"/>
              <w:right w:val="nil"/>
            </w:tcBorders>
            <w:shd w:val="clear" w:color="auto" w:fill="auto"/>
            <w:noWrap/>
            <w:vAlign w:val="bottom"/>
          </w:tcPr>
          <w:p w14:paraId="29708672"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$636</w:t>
            </w:r>
          </w:p>
        </w:tc>
        <w:tc>
          <w:tcPr>
            <w:tcW w:w="874" w:type="dxa"/>
            <w:tcBorders>
              <w:top w:val="nil"/>
              <w:left w:val="nil"/>
              <w:bottom w:val="nil"/>
              <w:right w:val="nil"/>
            </w:tcBorders>
            <w:shd w:val="clear" w:color="auto" w:fill="auto"/>
            <w:vAlign w:val="bottom"/>
          </w:tcPr>
          <w:p w14:paraId="5CE28AF8"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34.0%</w:t>
            </w:r>
          </w:p>
        </w:tc>
        <w:tc>
          <w:tcPr>
            <w:tcW w:w="709" w:type="dxa"/>
            <w:tcBorders>
              <w:top w:val="nil"/>
              <w:left w:val="nil"/>
              <w:bottom w:val="nil"/>
              <w:right w:val="single" w:sz="4" w:space="0" w:color="auto"/>
            </w:tcBorders>
            <w:shd w:val="clear" w:color="auto" w:fill="auto"/>
            <w:noWrap/>
            <w:vAlign w:val="bottom"/>
          </w:tcPr>
          <w:p w14:paraId="79FA37D6"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4.2</w:t>
            </w:r>
          </w:p>
        </w:tc>
        <w:tc>
          <w:tcPr>
            <w:tcW w:w="786" w:type="dxa"/>
            <w:tcBorders>
              <w:top w:val="nil"/>
              <w:left w:val="nil"/>
              <w:bottom w:val="nil"/>
              <w:right w:val="nil"/>
            </w:tcBorders>
            <w:shd w:val="clear" w:color="auto" w:fill="auto"/>
            <w:vAlign w:val="bottom"/>
          </w:tcPr>
          <w:p w14:paraId="0F3D1497"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$430</w:t>
            </w:r>
          </w:p>
        </w:tc>
        <w:tc>
          <w:tcPr>
            <w:tcW w:w="640" w:type="dxa"/>
            <w:tcBorders>
              <w:top w:val="nil"/>
              <w:left w:val="nil"/>
              <w:bottom w:val="nil"/>
              <w:right w:val="single" w:sz="4" w:space="0" w:color="auto"/>
            </w:tcBorders>
            <w:shd w:val="clear" w:color="auto" w:fill="auto"/>
            <w:vAlign w:val="bottom"/>
          </w:tcPr>
          <w:p w14:paraId="354BA478"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3.1</w:t>
            </w:r>
          </w:p>
        </w:tc>
      </w:tr>
      <w:tr w:rsidR="00D06B4D" w:rsidRPr="002B3B3D" w14:paraId="2380CC1C" w14:textId="77777777" w:rsidTr="00B92C16">
        <w:trPr>
          <w:trHeight w:val="255"/>
          <w:jc w:val="center"/>
        </w:trPr>
        <w:tc>
          <w:tcPr>
            <w:tcW w:w="1271" w:type="dxa"/>
            <w:tcBorders>
              <w:top w:val="single" w:sz="4" w:space="0" w:color="auto"/>
              <w:left w:val="single" w:sz="4" w:space="0" w:color="auto"/>
              <w:bottom w:val="single" w:sz="4" w:space="0" w:color="auto"/>
              <w:right w:val="nil"/>
            </w:tcBorders>
            <w:noWrap/>
          </w:tcPr>
          <w:p w14:paraId="169FEAE7"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All products</w:t>
            </w:r>
          </w:p>
        </w:tc>
        <w:tc>
          <w:tcPr>
            <w:tcW w:w="1104" w:type="dxa"/>
            <w:tcBorders>
              <w:top w:val="single" w:sz="4" w:space="0" w:color="auto"/>
              <w:left w:val="single" w:sz="4" w:space="0" w:color="auto"/>
              <w:bottom w:val="single" w:sz="4" w:space="0" w:color="auto"/>
              <w:right w:val="nil"/>
            </w:tcBorders>
            <w:shd w:val="clear" w:color="auto" w:fill="auto"/>
            <w:noWrap/>
            <w:vAlign w:val="bottom"/>
          </w:tcPr>
          <w:p w14:paraId="10035E1D"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3400</w:t>
            </w:r>
          </w:p>
        </w:tc>
        <w:tc>
          <w:tcPr>
            <w:tcW w:w="1089" w:type="dxa"/>
            <w:tcBorders>
              <w:top w:val="single" w:sz="4" w:space="0" w:color="auto"/>
              <w:left w:val="nil"/>
              <w:bottom w:val="single" w:sz="4" w:space="0" w:color="auto"/>
              <w:right w:val="nil"/>
            </w:tcBorders>
            <w:shd w:val="clear" w:color="auto" w:fill="auto"/>
            <w:noWrap/>
            <w:vAlign w:val="bottom"/>
          </w:tcPr>
          <w:p w14:paraId="6C3E28DE"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$960</w:t>
            </w:r>
          </w:p>
        </w:tc>
        <w:tc>
          <w:tcPr>
            <w:tcW w:w="1089" w:type="dxa"/>
            <w:tcBorders>
              <w:top w:val="single" w:sz="4" w:space="0" w:color="auto"/>
              <w:left w:val="nil"/>
              <w:bottom w:val="single" w:sz="4" w:space="0" w:color="auto"/>
              <w:right w:val="nil"/>
            </w:tcBorders>
            <w:shd w:val="clear" w:color="auto" w:fill="auto"/>
            <w:noWrap/>
            <w:vAlign w:val="bottom"/>
          </w:tcPr>
          <w:p w14:paraId="27B2BE8B"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$2,829</w:t>
            </w:r>
          </w:p>
        </w:tc>
        <w:tc>
          <w:tcPr>
            <w:tcW w:w="1089" w:type="dxa"/>
            <w:tcBorders>
              <w:top w:val="single" w:sz="4" w:space="0" w:color="auto"/>
              <w:left w:val="nil"/>
              <w:bottom w:val="single" w:sz="4" w:space="0" w:color="auto"/>
              <w:right w:val="nil"/>
            </w:tcBorders>
            <w:shd w:val="clear" w:color="auto" w:fill="auto"/>
            <w:noWrap/>
            <w:vAlign w:val="bottom"/>
          </w:tcPr>
          <w:p w14:paraId="0F449192"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$1,869</w:t>
            </w:r>
          </w:p>
        </w:tc>
        <w:tc>
          <w:tcPr>
            <w:tcW w:w="874" w:type="dxa"/>
            <w:tcBorders>
              <w:top w:val="single" w:sz="4" w:space="0" w:color="auto"/>
              <w:left w:val="nil"/>
              <w:bottom w:val="single" w:sz="4" w:space="0" w:color="auto"/>
              <w:right w:val="nil"/>
            </w:tcBorders>
            <w:shd w:val="clear" w:color="auto" w:fill="auto"/>
            <w:vAlign w:val="bottom"/>
          </w:tcPr>
          <w:p w14:paraId="549154EC"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673B521"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2.9</w:t>
            </w:r>
          </w:p>
        </w:tc>
        <w:tc>
          <w:tcPr>
            <w:tcW w:w="786" w:type="dxa"/>
            <w:tcBorders>
              <w:top w:val="single" w:sz="4" w:space="0" w:color="auto"/>
              <w:left w:val="nil"/>
              <w:bottom w:val="single" w:sz="4" w:space="0" w:color="auto"/>
              <w:right w:val="nil"/>
            </w:tcBorders>
            <w:shd w:val="clear" w:color="auto" w:fill="auto"/>
            <w:vAlign w:val="bottom"/>
          </w:tcPr>
          <w:p w14:paraId="7FF89331"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$1,388</w:t>
            </w:r>
          </w:p>
        </w:tc>
        <w:tc>
          <w:tcPr>
            <w:tcW w:w="640" w:type="dxa"/>
            <w:tcBorders>
              <w:top w:val="single" w:sz="4" w:space="0" w:color="auto"/>
              <w:left w:val="nil"/>
              <w:bottom w:val="single" w:sz="4" w:space="0" w:color="auto"/>
              <w:right w:val="single" w:sz="4" w:space="0" w:color="auto"/>
            </w:tcBorders>
            <w:shd w:val="clear" w:color="auto" w:fill="auto"/>
            <w:vAlign w:val="bottom"/>
          </w:tcPr>
          <w:p w14:paraId="7E33C7B1"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2.4</w:t>
            </w:r>
          </w:p>
        </w:tc>
      </w:tr>
    </w:tbl>
    <w:p w14:paraId="1F231CED" w14:textId="152DD21D" w:rsidR="00D06B4D" w:rsidRDefault="00D06B4D" w:rsidP="00D06B4D">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7% discount rate for costs and benefits 202</w:t>
      </w:r>
      <w:r>
        <w:rPr>
          <w:rFonts w:ascii="Calibri" w:eastAsia="Cambria" w:hAnsi="Calibri" w:cs="Calibri"/>
          <w:sz w:val="16"/>
          <w:szCs w:val="24"/>
          <w:lang w:val="en-AU"/>
        </w:rPr>
        <w:t>0</w:t>
      </w:r>
      <w:r w:rsidRPr="00A37634">
        <w:rPr>
          <w:rFonts w:ascii="Calibri" w:eastAsia="Cambria" w:hAnsi="Calibri" w:cs="Calibri"/>
          <w:sz w:val="16"/>
          <w:szCs w:val="24"/>
          <w:lang w:val="en-AU"/>
        </w:rPr>
        <w:t>-203</w:t>
      </w:r>
      <w:r>
        <w:rPr>
          <w:rFonts w:ascii="Calibri" w:eastAsia="Cambria" w:hAnsi="Calibri" w:cs="Calibri"/>
          <w:sz w:val="16"/>
          <w:szCs w:val="24"/>
          <w:lang w:val="en-AU"/>
        </w:rPr>
        <w:t>6</w:t>
      </w:r>
      <w:r w:rsidRPr="00A37634">
        <w:rPr>
          <w:rFonts w:ascii="Calibri" w:eastAsia="Cambria" w:hAnsi="Calibri" w:cs="Calibri"/>
          <w:sz w:val="16"/>
          <w:szCs w:val="24"/>
          <w:lang w:val="en-AU"/>
        </w:rPr>
        <w:t xml:space="preserve"> </w:t>
      </w:r>
    </w:p>
    <w:p w14:paraId="19E25CD5" w14:textId="0B887F54" w:rsidR="00DA7345" w:rsidRDefault="00DA7345" w:rsidP="00DA7345">
      <w:pPr>
        <w:rPr>
          <w:lang w:val="en-AU"/>
        </w:rPr>
      </w:pPr>
    </w:p>
    <w:p w14:paraId="05A18CBA" w14:textId="1139050F" w:rsidR="00D06B4D" w:rsidRPr="00A37634" w:rsidRDefault="00D06B4D" w:rsidP="00D06B4D">
      <w:pPr>
        <w:spacing w:before="240" w:after="120" w:line="240" w:lineRule="auto"/>
        <w:jc w:val="center"/>
        <w:rPr>
          <w:rFonts w:ascii="Calibri" w:eastAsia="Cambria" w:hAnsi="Calibri" w:cs="Calibri"/>
          <w:b/>
          <w:bCs/>
          <w:sz w:val="20"/>
          <w:szCs w:val="16"/>
          <w:lang w:val="en-AU"/>
        </w:rPr>
      </w:pPr>
      <w:bookmarkStart w:id="7" w:name="_Ref22473624"/>
      <w:bookmarkStart w:id="8" w:name="_Toc22486946"/>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B1ACD">
        <w:rPr>
          <w:rFonts w:ascii="Calibri" w:eastAsia="Cambria" w:hAnsi="Calibri" w:cs="Calibri"/>
          <w:b/>
          <w:bCs/>
          <w:noProof/>
          <w:sz w:val="20"/>
          <w:szCs w:val="16"/>
          <w:lang w:val="en-AU"/>
        </w:rPr>
        <w:t>2</w:t>
      </w:r>
      <w:r w:rsidRPr="00A37634">
        <w:rPr>
          <w:rFonts w:ascii="Calibri" w:eastAsia="Cambria" w:hAnsi="Calibri" w:cs="Calibri"/>
          <w:b/>
          <w:bCs/>
          <w:noProof/>
          <w:sz w:val="20"/>
          <w:szCs w:val="16"/>
          <w:lang w:val="en-AU"/>
        </w:rPr>
        <w:fldChar w:fldCharType="end"/>
      </w:r>
      <w:bookmarkEnd w:id="7"/>
      <w:r w:rsidRPr="00A37634">
        <w:rPr>
          <w:rFonts w:ascii="Calibri" w:eastAsia="Cambria" w:hAnsi="Calibri" w:cs="Calibri"/>
          <w:b/>
          <w:bCs/>
          <w:sz w:val="20"/>
          <w:szCs w:val="16"/>
          <w:lang w:val="en-AU"/>
        </w:rPr>
        <w:t>. Projected costs and benefits by appliance, New Zealand (medium activation)</w:t>
      </w:r>
      <w:bookmarkEnd w:id="8"/>
    </w:p>
    <w:tbl>
      <w:tblPr>
        <w:tblW w:w="8651" w:type="dxa"/>
        <w:jc w:val="center"/>
        <w:tblLayout w:type="fixed"/>
        <w:tblCellMar>
          <w:left w:w="0" w:type="dxa"/>
          <w:right w:w="0" w:type="dxa"/>
        </w:tblCellMar>
        <w:tblLook w:val="0000" w:firstRow="0" w:lastRow="0" w:firstColumn="0" w:lastColumn="0" w:noHBand="0" w:noVBand="0"/>
      </w:tblPr>
      <w:tblGrid>
        <w:gridCol w:w="1271"/>
        <w:gridCol w:w="1276"/>
        <w:gridCol w:w="917"/>
        <w:gridCol w:w="1089"/>
        <w:gridCol w:w="1089"/>
        <w:gridCol w:w="874"/>
        <w:gridCol w:w="709"/>
        <w:gridCol w:w="786"/>
        <w:gridCol w:w="640"/>
      </w:tblGrid>
      <w:tr w:rsidR="00D06B4D" w:rsidRPr="007254CA" w14:paraId="791C9A4E" w14:textId="77777777" w:rsidTr="00B92C16">
        <w:trPr>
          <w:cantSplit/>
          <w:trHeight w:val="533"/>
          <w:tblHeader/>
          <w:jc w:val="center"/>
        </w:trPr>
        <w:tc>
          <w:tcPr>
            <w:tcW w:w="1271" w:type="dxa"/>
            <w:vMerge w:val="restart"/>
            <w:tcBorders>
              <w:top w:val="single" w:sz="4" w:space="0" w:color="auto"/>
              <w:left w:val="single" w:sz="4" w:space="0" w:color="auto"/>
              <w:bottom w:val="single" w:sz="4" w:space="0" w:color="auto"/>
              <w:right w:val="single" w:sz="4" w:space="0" w:color="auto"/>
            </w:tcBorders>
            <w:noWrap/>
          </w:tcPr>
          <w:p w14:paraId="21A06FDF"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p>
        </w:tc>
        <w:tc>
          <w:tcPr>
            <w:tcW w:w="1276" w:type="dxa"/>
            <w:vMerge w:val="restart"/>
            <w:tcBorders>
              <w:top w:val="single" w:sz="4" w:space="0" w:color="auto"/>
              <w:left w:val="single" w:sz="4" w:space="0" w:color="auto"/>
              <w:bottom w:val="single" w:sz="4" w:space="0" w:color="auto"/>
            </w:tcBorders>
            <w:noWrap/>
          </w:tcPr>
          <w:p w14:paraId="22F08F9C"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Routine DLC Reduction available SMD 2036, MWe (a)</w:t>
            </w:r>
          </w:p>
        </w:tc>
        <w:tc>
          <w:tcPr>
            <w:tcW w:w="917" w:type="dxa"/>
            <w:vMerge w:val="restart"/>
            <w:tcBorders>
              <w:top w:val="single" w:sz="4" w:space="0" w:color="auto"/>
              <w:bottom w:val="single" w:sz="4" w:space="0" w:color="auto"/>
            </w:tcBorders>
            <w:noWrap/>
          </w:tcPr>
          <w:p w14:paraId="01C22619"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Costs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103C3911"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71660C8E"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72FC8A16"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5D4A5A69"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Net</w:t>
            </w:r>
            <w:r w:rsidRPr="007254CA">
              <w:rPr>
                <w:rFonts w:ascii="Calibri" w:eastAsia="Times New Roman" w:hAnsi="Calibri" w:cs="Calibri"/>
                <w:bCs/>
                <w:sz w:val="18"/>
                <w:szCs w:val="18"/>
                <w:lang w:val="en-AU"/>
              </w:rPr>
              <w:b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tc>
        <w:tc>
          <w:tcPr>
            <w:tcW w:w="874" w:type="dxa"/>
            <w:vMerge w:val="restart"/>
            <w:tcBorders>
              <w:top w:val="single" w:sz="4" w:space="0" w:color="auto"/>
              <w:bottom w:val="single" w:sz="4" w:space="0" w:color="auto"/>
            </w:tcBorders>
          </w:tcPr>
          <w:p w14:paraId="087B680E" w14:textId="77777777" w:rsidR="00D06B4D" w:rsidRPr="007254CA" w:rsidRDefault="00D06B4D" w:rsidP="00B92C16">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 net </w:t>
            </w:r>
            <w:r w:rsidRPr="007254CA">
              <w:rPr>
                <w:rFonts w:ascii="Calibri" w:eastAsia="Times New Roman" w:hAnsi="Calibri" w:cs="Calibri"/>
                <w:bCs/>
                <w:sz w:val="18"/>
                <w:szCs w:val="18"/>
                <w:lang w:val="en-AU"/>
              </w:rPr>
              <w:br/>
              <w:t>national</w:t>
            </w:r>
            <w:r w:rsidRPr="007254CA">
              <w:rPr>
                <w:rFonts w:ascii="Calibri" w:eastAsia="Times New Roman" w:hAnsi="Calibri" w:cs="Calibri"/>
                <w:bCs/>
                <w:sz w:val="18"/>
                <w:szCs w:val="18"/>
                <w:lang w:val="en-AU"/>
              </w:rPr>
              <w:br/>
              <w:t>benefits</w:t>
            </w:r>
          </w:p>
        </w:tc>
        <w:tc>
          <w:tcPr>
            <w:tcW w:w="709" w:type="dxa"/>
            <w:vMerge w:val="restart"/>
            <w:tcBorders>
              <w:top w:val="single" w:sz="4" w:space="0" w:color="auto"/>
              <w:bottom w:val="single" w:sz="4" w:space="0" w:color="auto"/>
              <w:right w:val="single" w:sz="4" w:space="0" w:color="auto"/>
            </w:tcBorders>
            <w:noWrap/>
          </w:tcPr>
          <w:p w14:paraId="0153A8DF" w14:textId="77777777" w:rsidR="00D06B4D" w:rsidRPr="007254CA" w:rsidRDefault="00D06B4D" w:rsidP="00B92C16">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B/C ratio</w:t>
            </w:r>
          </w:p>
        </w:tc>
        <w:tc>
          <w:tcPr>
            <w:tcW w:w="1426" w:type="dxa"/>
            <w:gridSpan w:val="2"/>
            <w:tcBorders>
              <w:top w:val="single" w:sz="4" w:space="0" w:color="auto"/>
              <w:left w:val="single" w:sz="4" w:space="0" w:color="auto"/>
              <w:bottom w:val="single" w:sz="4" w:space="0" w:color="auto"/>
              <w:right w:val="single" w:sz="4" w:space="0" w:color="auto"/>
            </w:tcBorders>
          </w:tcPr>
          <w:p w14:paraId="018226F1" w14:textId="77777777" w:rsidR="00D06B4D" w:rsidRPr="007254CA" w:rsidRDefault="00D06B4D" w:rsidP="00B92C16">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Without whole-sale price benefit</w:t>
            </w:r>
          </w:p>
        </w:tc>
      </w:tr>
      <w:tr w:rsidR="00D06B4D" w:rsidRPr="00A37634" w14:paraId="10EB3C44" w14:textId="77777777" w:rsidTr="00B92C16">
        <w:trPr>
          <w:cantSplit/>
          <w:trHeight w:val="433"/>
          <w:tblHeader/>
          <w:jc w:val="center"/>
        </w:trPr>
        <w:tc>
          <w:tcPr>
            <w:tcW w:w="1271" w:type="dxa"/>
            <w:vMerge/>
            <w:tcBorders>
              <w:left w:val="single" w:sz="4" w:space="0" w:color="auto"/>
              <w:bottom w:val="single" w:sz="4" w:space="0" w:color="auto"/>
              <w:right w:val="single" w:sz="4" w:space="0" w:color="auto"/>
            </w:tcBorders>
            <w:noWrap/>
          </w:tcPr>
          <w:p w14:paraId="595894DC" w14:textId="77777777" w:rsidR="00D06B4D" w:rsidRPr="00A37634" w:rsidRDefault="00D06B4D" w:rsidP="00B92C16">
            <w:pPr>
              <w:spacing w:before="60" w:after="60" w:line="240" w:lineRule="auto"/>
              <w:jc w:val="center"/>
              <w:rPr>
                <w:rFonts w:ascii="Calibri" w:eastAsia="Arial Unicode MS" w:hAnsi="Calibri" w:cs="Calibri"/>
                <w:b/>
                <w:sz w:val="18"/>
                <w:szCs w:val="18"/>
                <w:lang w:val="en-AU"/>
              </w:rPr>
            </w:pPr>
          </w:p>
        </w:tc>
        <w:tc>
          <w:tcPr>
            <w:tcW w:w="1276" w:type="dxa"/>
            <w:vMerge/>
            <w:tcBorders>
              <w:left w:val="single" w:sz="4" w:space="0" w:color="auto"/>
              <w:bottom w:val="single" w:sz="4" w:space="0" w:color="auto"/>
            </w:tcBorders>
            <w:noWrap/>
          </w:tcPr>
          <w:p w14:paraId="3653AA71"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917" w:type="dxa"/>
            <w:vMerge/>
            <w:tcBorders>
              <w:bottom w:val="single" w:sz="4" w:space="0" w:color="auto"/>
            </w:tcBorders>
            <w:noWrap/>
          </w:tcPr>
          <w:p w14:paraId="42BE87D1"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226D43CE"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54CEF85F"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874" w:type="dxa"/>
            <w:vMerge/>
            <w:tcBorders>
              <w:bottom w:val="single" w:sz="4" w:space="0" w:color="auto"/>
            </w:tcBorders>
          </w:tcPr>
          <w:p w14:paraId="231B39BE"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709" w:type="dxa"/>
            <w:vMerge/>
            <w:tcBorders>
              <w:bottom w:val="single" w:sz="4" w:space="0" w:color="auto"/>
              <w:right w:val="single" w:sz="4" w:space="0" w:color="auto"/>
            </w:tcBorders>
            <w:noWrap/>
          </w:tcPr>
          <w:p w14:paraId="6682F0B5" w14:textId="77777777" w:rsidR="00D06B4D" w:rsidRPr="00A37634" w:rsidRDefault="00D06B4D" w:rsidP="00B92C16">
            <w:pPr>
              <w:spacing w:before="60" w:after="60" w:line="240" w:lineRule="auto"/>
              <w:jc w:val="center"/>
              <w:rPr>
                <w:rFonts w:ascii="Calibri" w:eastAsia="Times New Roman" w:hAnsi="Calibri" w:cs="Calibri"/>
                <w:b/>
                <w:sz w:val="18"/>
                <w:szCs w:val="18"/>
                <w:lang w:val="en-AU"/>
              </w:rPr>
            </w:pPr>
          </w:p>
        </w:tc>
        <w:tc>
          <w:tcPr>
            <w:tcW w:w="786" w:type="dxa"/>
            <w:tcBorders>
              <w:top w:val="single" w:sz="4" w:space="0" w:color="auto"/>
              <w:left w:val="single" w:sz="4" w:space="0" w:color="auto"/>
              <w:bottom w:val="single" w:sz="4" w:space="0" w:color="auto"/>
            </w:tcBorders>
          </w:tcPr>
          <w:p w14:paraId="485942EB" w14:textId="77777777" w:rsidR="00D06B4D" w:rsidRPr="007254CA" w:rsidRDefault="00D06B4D" w:rsidP="00B92C16">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$M Net</w:t>
            </w:r>
            <w:r w:rsidRPr="007254CA">
              <w:rPr>
                <w:rFonts w:ascii="Calibri" w:eastAsia="Times New Roman" w:hAnsi="Calibri" w:cs="Calibri"/>
                <w:bCs/>
                <w:sz w:val="18"/>
                <w:szCs w:val="18"/>
                <w:lang w:val="en-AU"/>
              </w:rPr>
              <w:br/>
              <w:t>benefit</w:t>
            </w:r>
          </w:p>
        </w:tc>
        <w:tc>
          <w:tcPr>
            <w:tcW w:w="640" w:type="dxa"/>
            <w:tcBorders>
              <w:top w:val="single" w:sz="4" w:space="0" w:color="auto"/>
              <w:bottom w:val="single" w:sz="4" w:space="0" w:color="auto"/>
              <w:right w:val="single" w:sz="4" w:space="0" w:color="auto"/>
            </w:tcBorders>
          </w:tcPr>
          <w:p w14:paraId="2369122E" w14:textId="77777777" w:rsidR="00D06B4D" w:rsidRPr="007254CA" w:rsidRDefault="00D06B4D" w:rsidP="00B92C16">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B/C ratio</w:t>
            </w:r>
          </w:p>
        </w:tc>
      </w:tr>
      <w:tr w:rsidR="00D06B4D" w:rsidRPr="002B3B3D" w14:paraId="72168D66" w14:textId="77777777" w:rsidTr="00B92C16">
        <w:trPr>
          <w:trHeight w:val="255"/>
          <w:jc w:val="center"/>
        </w:trPr>
        <w:tc>
          <w:tcPr>
            <w:tcW w:w="1271" w:type="dxa"/>
            <w:tcBorders>
              <w:top w:val="single" w:sz="4" w:space="0" w:color="auto"/>
              <w:left w:val="single" w:sz="4" w:space="0" w:color="auto"/>
              <w:bottom w:val="nil"/>
              <w:right w:val="single" w:sz="4" w:space="0" w:color="auto"/>
            </w:tcBorders>
            <w:noWrap/>
          </w:tcPr>
          <w:p w14:paraId="2B73B01B"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Air Conds</w:t>
            </w:r>
          </w:p>
        </w:tc>
        <w:tc>
          <w:tcPr>
            <w:tcW w:w="1276" w:type="dxa"/>
            <w:tcBorders>
              <w:top w:val="nil"/>
              <w:left w:val="single" w:sz="4" w:space="0" w:color="auto"/>
              <w:bottom w:val="nil"/>
              <w:right w:val="nil"/>
            </w:tcBorders>
            <w:shd w:val="clear" w:color="auto" w:fill="auto"/>
            <w:noWrap/>
            <w:vAlign w:val="bottom"/>
          </w:tcPr>
          <w:p w14:paraId="1037C684"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228</w:t>
            </w:r>
          </w:p>
        </w:tc>
        <w:tc>
          <w:tcPr>
            <w:tcW w:w="917" w:type="dxa"/>
            <w:tcBorders>
              <w:top w:val="nil"/>
              <w:left w:val="nil"/>
              <w:bottom w:val="nil"/>
              <w:right w:val="nil"/>
            </w:tcBorders>
            <w:shd w:val="clear" w:color="auto" w:fill="auto"/>
            <w:noWrap/>
            <w:vAlign w:val="bottom"/>
          </w:tcPr>
          <w:p w14:paraId="46C76D1A"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$56</w:t>
            </w:r>
          </w:p>
        </w:tc>
        <w:tc>
          <w:tcPr>
            <w:tcW w:w="1089" w:type="dxa"/>
            <w:tcBorders>
              <w:top w:val="nil"/>
              <w:left w:val="nil"/>
              <w:bottom w:val="nil"/>
              <w:right w:val="nil"/>
            </w:tcBorders>
            <w:shd w:val="clear" w:color="auto" w:fill="auto"/>
            <w:noWrap/>
            <w:vAlign w:val="bottom"/>
          </w:tcPr>
          <w:p w14:paraId="6BB14C4B"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$156</w:t>
            </w:r>
          </w:p>
        </w:tc>
        <w:tc>
          <w:tcPr>
            <w:tcW w:w="1089" w:type="dxa"/>
            <w:tcBorders>
              <w:top w:val="nil"/>
              <w:left w:val="nil"/>
              <w:bottom w:val="nil"/>
              <w:right w:val="nil"/>
            </w:tcBorders>
            <w:shd w:val="clear" w:color="auto" w:fill="auto"/>
            <w:noWrap/>
            <w:vAlign w:val="bottom"/>
          </w:tcPr>
          <w:p w14:paraId="0BC8CEE3"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$101</w:t>
            </w:r>
          </w:p>
        </w:tc>
        <w:tc>
          <w:tcPr>
            <w:tcW w:w="874" w:type="dxa"/>
            <w:tcBorders>
              <w:top w:val="nil"/>
              <w:left w:val="nil"/>
              <w:bottom w:val="nil"/>
              <w:right w:val="nil"/>
            </w:tcBorders>
            <w:shd w:val="clear" w:color="auto" w:fill="auto"/>
            <w:vAlign w:val="bottom"/>
          </w:tcPr>
          <w:p w14:paraId="31B594D6"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38.7%</w:t>
            </w:r>
          </w:p>
        </w:tc>
        <w:tc>
          <w:tcPr>
            <w:tcW w:w="709" w:type="dxa"/>
            <w:tcBorders>
              <w:top w:val="nil"/>
              <w:left w:val="nil"/>
              <w:bottom w:val="nil"/>
              <w:right w:val="single" w:sz="4" w:space="0" w:color="auto"/>
            </w:tcBorders>
            <w:shd w:val="clear" w:color="auto" w:fill="auto"/>
            <w:noWrap/>
            <w:vAlign w:val="bottom"/>
          </w:tcPr>
          <w:p w14:paraId="1E1B9C54"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2.8</w:t>
            </w:r>
          </w:p>
        </w:tc>
        <w:tc>
          <w:tcPr>
            <w:tcW w:w="786" w:type="dxa"/>
            <w:tcBorders>
              <w:top w:val="nil"/>
              <w:left w:val="nil"/>
              <w:bottom w:val="nil"/>
              <w:right w:val="nil"/>
            </w:tcBorders>
            <w:shd w:val="clear" w:color="auto" w:fill="auto"/>
            <w:vAlign w:val="bottom"/>
          </w:tcPr>
          <w:p w14:paraId="2448FA0A"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$101</w:t>
            </w:r>
          </w:p>
        </w:tc>
        <w:tc>
          <w:tcPr>
            <w:tcW w:w="640" w:type="dxa"/>
            <w:tcBorders>
              <w:top w:val="nil"/>
              <w:left w:val="nil"/>
              <w:bottom w:val="nil"/>
              <w:right w:val="single" w:sz="4" w:space="0" w:color="auto"/>
            </w:tcBorders>
            <w:shd w:val="clear" w:color="auto" w:fill="auto"/>
            <w:vAlign w:val="bottom"/>
          </w:tcPr>
          <w:p w14:paraId="1EAD1BF7"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2.8</w:t>
            </w:r>
          </w:p>
        </w:tc>
      </w:tr>
      <w:tr w:rsidR="00D06B4D" w:rsidRPr="002B3B3D" w14:paraId="481E14AB" w14:textId="77777777" w:rsidTr="00B92C16">
        <w:trPr>
          <w:trHeight w:val="255"/>
          <w:jc w:val="center"/>
        </w:trPr>
        <w:tc>
          <w:tcPr>
            <w:tcW w:w="1271" w:type="dxa"/>
            <w:tcBorders>
              <w:top w:val="nil"/>
              <w:left w:val="single" w:sz="4" w:space="0" w:color="auto"/>
              <w:bottom w:val="nil"/>
              <w:right w:val="single" w:sz="4" w:space="0" w:color="auto"/>
            </w:tcBorders>
            <w:noWrap/>
          </w:tcPr>
          <w:p w14:paraId="663B6482"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PP Controllers</w:t>
            </w:r>
          </w:p>
        </w:tc>
        <w:tc>
          <w:tcPr>
            <w:tcW w:w="1276" w:type="dxa"/>
            <w:tcBorders>
              <w:top w:val="nil"/>
              <w:left w:val="single" w:sz="4" w:space="0" w:color="auto"/>
              <w:bottom w:val="nil"/>
              <w:right w:val="nil"/>
            </w:tcBorders>
            <w:shd w:val="clear" w:color="auto" w:fill="auto"/>
            <w:noWrap/>
            <w:vAlign w:val="bottom"/>
          </w:tcPr>
          <w:p w14:paraId="0F8BC325"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Pr>
                <w:rFonts w:ascii="Calibri" w:hAnsi="Calibri" w:cs="Calibri"/>
                <w:color w:val="000000"/>
                <w:sz w:val="18"/>
                <w:szCs w:val="18"/>
              </w:rPr>
              <w:t>NA</w:t>
            </w:r>
          </w:p>
        </w:tc>
        <w:tc>
          <w:tcPr>
            <w:tcW w:w="917" w:type="dxa"/>
            <w:tcBorders>
              <w:top w:val="nil"/>
              <w:left w:val="nil"/>
              <w:bottom w:val="nil"/>
              <w:right w:val="nil"/>
            </w:tcBorders>
            <w:shd w:val="clear" w:color="auto" w:fill="auto"/>
            <w:noWrap/>
            <w:vAlign w:val="bottom"/>
          </w:tcPr>
          <w:p w14:paraId="7FCA15D7"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1089" w:type="dxa"/>
            <w:tcBorders>
              <w:top w:val="nil"/>
              <w:left w:val="nil"/>
              <w:bottom w:val="nil"/>
              <w:right w:val="nil"/>
            </w:tcBorders>
            <w:shd w:val="clear" w:color="auto" w:fill="auto"/>
            <w:noWrap/>
            <w:vAlign w:val="bottom"/>
          </w:tcPr>
          <w:p w14:paraId="06B4CA2D"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1089" w:type="dxa"/>
            <w:tcBorders>
              <w:top w:val="nil"/>
              <w:left w:val="nil"/>
              <w:bottom w:val="nil"/>
              <w:right w:val="nil"/>
            </w:tcBorders>
            <w:shd w:val="clear" w:color="auto" w:fill="auto"/>
            <w:noWrap/>
            <w:vAlign w:val="bottom"/>
          </w:tcPr>
          <w:p w14:paraId="60BCD791"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874" w:type="dxa"/>
            <w:tcBorders>
              <w:top w:val="nil"/>
              <w:left w:val="nil"/>
              <w:bottom w:val="nil"/>
              <w:right w:val="nil"/>
            </w:tcBorders>
            <w:shd w:val="clear" w:color="auto" w:fill="auto"/>
            <w:vAlign w:val="bottom"/>
          </w:tcPr>
          <w:p w14:paraId="47A6D0DC"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709" w:type="dxa"/>
            <w:tcBorders>
              <w:top w:val="nil"/>
              <w:left w:val="nil"/>
              <w:bottom w:val="nil"/>
              <w:right w:val="single" w:sz="4" w:space="0" w:color="auto"/>
            </w:tcBorders>
            <w:shd w:val="clear" w:color="auto" w:fill="auto"/>
            <w:noWrap/>
            <w:vAlign w:val="bottom"/>
          </w:tcPr>
          <w:p w14:paraId="65A75313"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c>
          <w:tcPr>
            <w:tcW w:w="786" w:type="dxa"/>
            <w:tcBorders>
              <w:top w:val="nil"/>
              <w:left w:val="nil"/>
              <w:bottom w:val="nil"/>
              <w:right w:val="nil"/>
            </w:tcBorders>
            <w:shd w:val="clear" w:color="auto" w:fill="auto"/>
            <w:vAlign w:val="bottom"/>
          </w:tcPr>
          <w:p w14:paraId="5F2AE0DC"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c>
          <w:tcPr>
            <w:tcW w:w="640" w:type="dxa"/>
            <w:tcBorders>
              <w:top w:val="nil"/>
              <w:left w:val="nil"/>
              <w:bottom w:val="nil"/>
              <w:right w:val="single" w:sz="4" w:space="0" w:color="auto"/>
            </w:tcBorders>
            <w:shd w:val="clear" w:color="auto" w:fill="auto"/>
            <w:vAlign w:val="bottom"/>
          </w:tcPr>
          <w:p w14:paraId="0B01336A"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r>
      <w:tr w:rsidR="00D06B4D" w:rsidRPr="002B3B3D" w14:paraId="5BF18AAB" w14:textId="77777777" w:rsidTr="00B92C16">
        <w:trPr>
          <w:trHeight w:val="255"/>
          <w:jc w:val="center"/>
        </w:trPr>
        <w:tc>
          <w:tcPr>
            <w:tcW w:w="1271" w:type="dxa"/>
            <w:tcBorders>
              <w:top w:val="nil"/>
              <w:left w:val="single" w:sz="4" w:space="0" w:color="auto"/>
              <w:bottom w:val="nil"/>
              <w:right w:val="single" w:sz="4" w:space="0" w:color="auto"/>
            </w:tcBorders>
            <w:noWrap/>
          </w:tcPr>
          <w:p w14:paraId="450BAF93"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Water heaters</w:t>
            </w:r>
          </w:p>
        </w:tc>
        <w:tc>
          <w:tcPr>
            <w:tcW w:w="1276" w:type="dxa"/>
            <w:tcBorders>
              <w:top w:val="nil"/>
              <w:left w:val="single" w:sz="4" w:space="0" w:color="auto"/>
              <w:bottom w:val="nil"/>
              <w:right w:val="nil"/>
            </w:tcBorders>
            <w:shd w:val="clear" w:color="auto" w:fill="auto"/>
            <w:noWrap/>
            <w:vAlign w:val="bottom"/>
          </w:tcPr>
          <w:p w14:paraId="6C5B70DE"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105</w:t>
            </w:r>
          </w:p>
        </w:tc>
        <w:tc>
          <w:tcPr>
            <w:tcW w:w="917" w:type="dxa"/>
            <w:tcBorders>
              <w:top w:val="nil"/>
              <w:left w:val="nil"/>
              <w:bottom w:val="nil"/>
              <w:right w:val="nil"/>
            </w:tcBorders>
            <w:shd w:val="clear" w:color="auto" w:fill="auto"/>
            <w:noWrap/>
            <w:vAlign w:val="bottom"/>
          </w:tcPr>
          <w:p w14:paraId="0B05E605"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$61</w:t>
            </w:r>
          </w:p>
        </w:tc>
        <w:tc>
          <w:tcPr>
            <w:tcW w:w="1089" w:type="dxa"/>
            <w:tcBorders>
              <w:top w:val="nil"/>
              <w:left w:val="nil"/>
              <w:bottom w:val="nil"/>
              <w:right w:val="nil"/>
            </w:tcBorders>
            <w:shd w:val="clear" w:color="auto" w:fill="auto"/>
            <w:noWrap/>
            <w:vAlign w:val="bottom"/>
          </w:tcPr>
          <w:p w14:paraId="7C55FA8C"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$112</w:t>
            </w:r>
          </w:p>
        </w:tc>
        <w:tc>
          <w:tcPr>
            <w:tcW w:w="1089" w:type="dxa"/>
            <w:tcBorders>
              <w:top w:val="nil"/>
              <w:left w:val="nil"/>
              <w:bottom w:val="nil"/>
              <w:right w:val="nil"/>
            </w:tcBorders>
            <w:shd w:val="clear" w:color="auto" w:fill="auto"/>
            <w:noWrap/>
            <w:vAlign w:val="bottom"/>
          </w:tcPr>
          <w:p w14:paraId="0979B790"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$51</w:t>
            </w:r>
          </w:p>
        </w:tc>
        <w:tc>
          <w:tcPr>
            <w:tcW w:w="874" w:type="dxa"/>
            <w:tcBorders>
              <w:top w:val="nil"/>
              <w:left w:val="nil"/>
              <w:bottom w:val="nil"/>
              <w:right w:val="nil"/>
            </w:tcBorders>
            <w:shd w:val="clear" w:color="auto" w:fill="auto"/>
            <w:vAlign w:val="bottom"/>
          </w:tcPr>
          <w:p w14:paraId="1D83B59A"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19.7%</w:t>
            </w:r>
          </w:p>
        </w:tc>
        <w:tc>
          <w:tcPr>
            <w:tcW w:w="709" w:type="dxa"/>
            <w:tcBorders>
              <w:top w:val="nil"/>
              <w:left w:val="nil"/>
              <w:bottom w:val="nil"/>
              <w:right w:val="single" w:sz="4" w:space="0" w:color="auto"/>
            </w:tcBorders>
            <w:shd w:val="clear" w:color="auto" w:fill="auto"/>
            <w:noWrap/>
            <w:vAlign w:val="bottom"/>
          </w:tcPr>
          <w:p w14:paraId="60DAA7D0"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1.8</w:t>
            </w:r>
          </w:p>
        </w:tc>
        <w:tc>
          <w:tcPr>
            <w:tcW w:w="786" w:type="dxa"/>
            <w:tcBorders>
              <w:top w:val="nil"/>
              <w:left w:val="nil"/>
              <w:bottom w:val="nil"/>
              <w:right w:val="nil"/>
            </w:tcBorders>
            <w:shd w:val="clear" w:color="auto" w:fill="auto"/>
            <w:vAlign w:val="bottom"/>
          </w:tcPr>
          <w:p w14:paraId="3F64D2B8"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$48</w:t>
            </w:r>
          </w:p>
        </w:tc>
        <w:tc>
          <w:tcPr>
            <w:tcW w:w="640" w:type="dxa"/>
            <w:tcBorders>
              <w:top w:val="nil"/>
              <w:left w:val="nil"/>
              <w:bottom w:val="nil"/>
              <w:right w:val="single" w:sz="4" w:space="0" w:color="auto"/>
            </w:tcBorders>
            <w:shd w:val="clear" w:color="auto" w:fill="auto"/>
            <w:vAlign w:val="bottom"/>
          </w:tcPr>
          <w:p w14:paraId="19F4B5DC"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1.8</w:t>
            </w:r>
          </w:p>
        </w:tc>
      </w:tr>
      <w:tr w:rsidR="00D06B4D" w:rsidRPr="002B3B3D" w14:paraId="6026094D" w14:textId="77777777" w:rsidTr="00B92C16">
        <w:trPr>
          <w:trHeight w:val="255"/>
          <w:jc w:val="center"/>
        </w:trPr>
        <w:tc>
          <w:tcPr>
            <w:tcW w:w="1271" w:type="dxa"/>
            <w:tcBorders>
              <w:top w:val="nil"/>
              <w:left w:val="single" w:sz="4" w:space="0" w:color="auto"/>
              <w:bottom w:val="nil"/>
              <w:right w:val="single" w:sz="4" w:space="0" w:color="auto"/>
            </w:tcBorders>
            <w:noWrap/>
          </w:tcPr>
          <w:p w14:paraId="5C61A27A"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EV chargers</w:t>
            </w:r>
          </w:p>
        </w:tc>
        <w:tc>
          <w:tcPr>
            <w:tcW w:w="1276" w:type="dxa"/>
            <w:tcBorders>
              <w:top w:val="nil"/>
              <w:left w:val="single" w:sz="4" w:space="0" w:color="auto"/>
              <w:bottom w:val="nil"/>
              <w:right w:val="nil"/>
            </w:tcBorders>
            <w:shd w:val="clear" w:color="auto" w:fill="auto"/>
            <w:noWrap/>
            <w:vAlign w:val="bottom"/>
          </w:tcPr>
          <w:p w14:paraId="28A312CA"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111</w:t>
            </w:r>
          </w:p>
        </w:tc>
        <w:tc>
          <w:tcPr>
            <w:tcW w:w="917" w:type="dxa"/>
            <w:tcBorders>
              <w:top w:val="nil"/>
              <w:left w:val="nil"/>
              <w:bottom w:val="nil"/>
              <w:right w:val="nil"/>
            </w:tcBorders>
            <w:shd w:val="clear" w:color="auto" w:fill="auto"/>
            <w:noWrap/>
            <w:vAlign w:val="bottom"/>
          </w:tcPr>
          <w:p w14:paraId="13149B83"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$30</w:t>
            </w:r>
          </w:p>
        </w:tc>
        <w:tc>
          <w:tcPr>
            <w:tcW w:w="1089" w:type="dxa"/>
            <w:tcBorders>
              <w:top w:val="nil"/>
              <w:left w:val="nil"/>
              <w:bottom w:val="nil"/>
              <w:right w:val="nil"/>
            </w:tcBorders>
            <w:shd w:val="clear" w:color="auto" w:fill="auto"/>
            <w:noWrap/>
            <w:vAlign w:val="bottom"/>
          </w:tcPr>
          <w:p w14:paraId="189EB90C"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$139</w:t>
            </w:r>
          </w:p>
        </w:tc>
        <w:tc>
          <w:tcPr>
            <w:tcW w:w="1089" w:type="dxa"/>
            <w:tcBorders>
              <w:top w:val="nil"/>
              <w:left w:val="nil"/>
              <w:bottom w:val="nil"/>
              <w:right w:val="nil"/>
            </w:tcBorders>
            <w:shd w:val="clear" w:color="auto" w:fill="auto"/>
            <w:noWrap/>
            <w:vAlign w:val="bottom"/>
          </w:tcPr>
          <w:p w14:paraId="1C2DCDA4"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$108</w:t>
            </w:r>
          </w:p>
        </w:tc>
        <w:tc>
          <w:tcPr>
            <w:tcW w:w="874" w:type="dxa"/>
            <w:tcBorders>
              <w:top w:val="nil"/>
              <w:left w:val="nil"/>
              <w:bottom w:val="nil"/>
              <w:right w:val="nil"/>
            </w:tcBorders>
            <w:shd w:val="clear" w:color="auto" w:fill="auto"/>
            <w:vAlign w:val="bottom"/>
          </w:tcPr>
          <w:p w14:paraId="2436BC9C"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41.7%</w:t>
            </w:r>
          </w:p>
        </w:tc>
        <w:tc>
          <w:tcPr>
            <w:tcW w:w="709" w:type="dxa"/>
            <w:tcBorders>
              <w:top w:val="nil"/>
              <w:left w:val="nil"/>
              <w:bottom w:val="nil"/>
              <w:right w:val="single" w:sz="4" w:space="0" w:color="auto"/>
            </w:tcBorders>
            <w:shd w:val="clear" w:color="auto" w:fill="auto"/>
            <w:noWrap/>
            <w:vAlign w:val="bottom"/>
          </w:tcPr>
          <w:p w14:paraId="62EE70B4"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4.6</w:t>
            </w:r>
          </w:p>
        </w:tc>
        <w:tc>
          <w:tcPr>
            <w:tcW w:w="786" w:type="dxa"/>
            <w:tcBorders>
              <w:top w:val="nil"/>
              <w:left w:val="nil"/>
              <w:bottom w:val="nil"/>
              <w:right w:val="nil"/>
            </w:tcBorders>
            <w:shd w:val="clear" w:color="auto" w:fill="auto"/>
            <w:vAlign w:val="bottom"/>
          </w:tcPr>
          <w:p w14:paraId="7066A6E5"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$71</w:t>
            </w:r>
          </w:p>
        </w:tc>
        <w:tc>
          <w:tcPr>
            <w:tcW w:w="640" w:type="dxa"/>
            <w:tcBorders>
              <w:top w:val="nil"/>
              <w:left w:val="nil"/>
              <w:bottom w:val="nil"/>
              <w:right w:val="single" w:sz="4" w:space="0" w:color="auto"/>
            </w:tcBorders>
            <w:shd w:val="clear" w:color="auto" w:fill="auto"/>
            <w:vAlign w:val="bottom"/>
          </w:tcPr>
          <w:p w14:paraId="2D1D828C"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3.3</w:t>
            </w:r>
          </w:p>
        </w:tc>
      </w:tr>
      <w:tr w:rsidR="00D06B4D" w:rsidRPr="002B3B3D" w14:paraId="150A32F7" w14:textId="77777777" w:rsidTr="00B92C16">
        <w:trPr>
          <w:trHeight w:val="255"/>
          <w:jc w:val="center"/>
        </w:trPr>
        <w:tc>
          <w:tcPr>
            <w:tcW w:w="1271" w:type="dxa"/>
            <w:tcBorders>
              <w:top w:val="single" w:sz="4" w:space="0" w:color="auto"/>
              <w:left w:val="single" w:sz="4" w:space="0" w:color="auto"/>
              <w:bottom w:val="single" w:sz="4" w:space="0" w:color="auto"/>
              <w:right w:val="single" w:sz="4" w:space="0" w:color="auto"/>
            </w:tcBorders>
            <w:noWrap/>
          </w:tcPr>
          <w:p w14:paraId="2E3FC403" w14:textId="77777777" w:rsidR="00D06B4D" w:rsidRPr="002B3B3D" w:rsidRDefault="00D06B4D" w:rsidP="00B92C16">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All products</w:t>
            </w:r>
          </w:p>
        </w:tc>
        <w:tc>
          <w:tcPr>
            <w:tcW w:w="1276" w:type="dxa"/>
            <w:tcBorders>
              <w:top w:val="single" w:sz="4" w:space="0" w:color="auto"/>
              <w:left w:val="single" w:sz="4" w:space="0" w:color="auto"/>
              <w:bottom w:val="single" w:sz="4" w:space="0" w:color="auto"/>
              <w:right w:val="nil"/>
            </w:tcBorders>
            <w:shd w:val="clear" w:color="auto" w:fill="auto"/>
            <w:noWrap/>
            <w:vAlign w:val="bottom"/>
          </w:tcPr>
          <w:p w14:paraId="5F4F764A"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444</w:t>
            </w:r>
          </w:p>
        </w:tc>
        <w:tc>
          <w:tcPr>
            <w:tcW w:w="917" w:type="dxa"/>
            <w:tcBorders>
              <w:top w:val="single" w:sz="4" w:space="0" w:color="auto"/>
              <w:left w:val="nil"/>
              <w:bottom w:val="single" w:sz="4" w:space="0" w:color="auto"/>
              <w:right w:val="nil"/>
            </w:tcBorders>
            <w:shd w:val="clear" w:color="auto" w:fill="auto"/>
            <w:noWrap/>
            <w:vAlign w:val="bottom"/>
          </w:tcPr>
          <w:p w14:paraId="0679CE80"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$147</w:t>
            </w:r>
          </w:p>
        </w:tc>
        <w:tc>
          <w:tcPr>
            <w:tcW w:w="1089" w:type="dxa"/>
            <w:tcBorders>
              <w:top w:val="single" w:sz="4" w:space="0" w:color="auto"/>
              <w:left w:val="nil"/>
              <w:bottom w:val="single" w:sz="4" w:space="0" w:color="auto"/>
              <w:right w:val="nil"/>
            </w:tcBorders>
            <w:shd w:val="clear" w:color="auto" w:fill="auto"/>
            <w:noWrap/>
            <w:vAlign w:val="bottom"/>
          </w:tcPr>
          <w:p w14:paraId="09F3C145"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$407</w:t>
            </w:r>
          </w:p>
        </w:tc>
        <w:tc>
          <w:tcPr>
            <w:tcW w:w="1089" w:type="dxa"/>
            <w:tcBorders>
              <w:top w:val="single" w:sz="4" w:space="0" w:color="auto"/>
              <w:left w:val="nil"/>
              <w:bottom w:val="single" w:sz="4" w:space="0" w:color="auto"/>
              <w:right w:val="nil"/>
            </w:tcBorders>
            <w:shd w:val="clear" w:color="auto" w:fill="auto"/>
            <w:noWrap/>
            <w:vAlign w:val="bottom"/>
          </w:tcPr>
          <w:p w14:paraId="674A3374"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$260</w:t>
            </w:r>
          </w:p>
        </w:tc>
        <w:tc>
          <w:tcPr>
            <w:tcW w:w="874" w:type="dxa"/>
            <w:tcBorders>
              <w:top w:val="single" w:sz="4" w:space="0" w:color="auto"/>
              <w:left w:val="nil"/>
              <w:bottom w:val="single" w:sz="4" w:space="0" w:color="auto"/>
              <w:right w:val="nil"/>
            </w:tcBorders>
            <w:shd w:val="clear" w:color="auto" w:fill="auto"/>
            <w:vAlign w:val="bottom"/>
          </w:tcPr>
          <w:p w14:paraId="24A4DC9B" w14:textId="77777777" w:rsidR="00D06B4D" w:rsidRPr="002B3B3D" w:rsidRDefault="00D06B4D" w:rsidP="00B92C16">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3AFFCA0"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2.8</w:t>
            </w:r>
          </w:p>
        </w:tc>
        <w:tc>
          <w:tcPr>
            <w:tcW w:w="786" w:type="dxa"/>
            <w:tcBorders>
              <w:top w:val="single" w:sz="4" w:space="0" w:color="auto"/>
              <w:left w:val="nil"/>
              <w:bottom w:val="single" w:sz="4" w:space="0" w:color="auto"/>
              <w:right w:val="nil"/>
            </w:tcBorders>
            <w:shd w:val="clear" w:color="auto" w:fill="auto"/>
            <w:vAlign w:val="bottom"/>
          </w:tcPr>
          <w:p w14:paraId="717B698D"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$220</w:t>
            </w:r>
          </w:p>
        </w:tc>
        <w:tc>
          <w:tcPr>
            <w:tcW w:w="640" w:type="dxa"/>
            <w:tcBorders>
              <w:top w:val="single" w:sz="4" w:space="0" w:color="auto"/>
              <w:left w:val="nil"/>
              <w:bottom w:val="single" w:sz="4" w:space="0" w:color="auto"/>
              <w:right w:val="single" w:sz="4" w:space="0" w:color="auto"/>
            </w:tcBorders>
            <w:shd w:val="clear" w:color="auto" w:fill="auto"/>
            <w:vAlign w:val="bottom"/>
          </w:tcPr>
          <w:p w14:paraId="268D47DA" w14:textId="77777777" w:rsidR="00D06B4D" w:rsidRPr="002B3B3D" w:rsidRDefault="00D06B4D" w:rsidP="00B92C16">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2.5</w:t>
            </w:r>
          </w:p>
        </w:tc>
      </w:tr>
    </w:tbl>
    <w:p w14:paraId="4351ED1F" w14:textId="77777777" w:rsidR="00D06B4D" w:rsidRPr="00A37634" w:rsidRDefault="00D06B4D" w:rsidP="00D06B4D">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6% discount rate for costs and benefits 202</w:t>
      </w:r>
      <w:r>
        <w:rPr>
          <w:rFonts w:ascii="Calibri" w:eastAsia="Cambria" w:hAnsi="Calibri" w:cs="Calibri"/>
          <w:sz w:val="16"/>
          <w:szCs w:val="24"/>
          <w:lang w:val="en-AU"/>
        </w:rPr>
        <w:t>0</w:t>
      </w:r>
      <w:r w:rsidRPr="00A37634">
        <w:rPr>
          <w:rFonts w:ascii="Calibri" w:eastAsia="Cambria" w:hAnsi="Calibri" w:cs="Calibri"/>
          <w:sz w:val="16"/>
          <w:szCs w:val="24"/>
          <w:lang w:val="en-AU"/>
        </w:rPr>
        <w:t>-203</w:t>
      </w:r>
      <w:r>
        <w:rPr>
          <w:rFonts w:ascii="Calibri" w:eastAsia="Cambria" w:hAnsi="Calibri" w:cs="Calibri"/>
          <w:sz w:val="16"/>
          <w:szCs w:val="24"/>
          <w:lang w:val="en-AU"/>
        </w:rPr>
        <w:t>6</w:t>
      </w:r>
      <w:r w:rsidRPr="00A37634">
        <w:rPr>
          <w:rFonts w:ascii="Calibri" w:eastAsia="Cambria" w:hAnsi="Calibri" w:cs="Calibri"/>
          <w:sz w:val="16"/>
          <w:szCs w:val="24"/>
          <w:lang w:val="en-AU"/>
        </w:rPr>
        <w:t xml:space="preserve"> </w:t>
      </w:r>
    </w:p>
    <w:p w14:paraId="2A3C2C58" w14:textId="61E197A1" w:rsidR="00DA7345" w:rsidRDefault="00DA7345" w:rsidP="00DA7345">
      <w:pPr>
        <w:rPr>
          <w:lang w:val="en-AU"/>
        </w:rPr>
      </w:pPr>
      <w:bookmarkStart w:id="9" w:name="_Ref22470045"/>
    </w:p>
    <w:p w14:paraId="2682F0E7" w14:textId="4F5450DC" w:rsidR="00162A85" w:rsidRDefault="00162A85" w:rsidP="00DA7345">
      <w:pPr>
        <w:rPr>
          <w:lang w:val="en-AU"/>
        </w:rPr>
      </w:pPr>
    </w:p>
    <w:p w14:paraId="70AEDC10" w14:textId="2AF6C253" w:rsidR="00162A85" w:rsidRDefault="00162A85" w:rsidP="00DA7345">
      <w:pPr>
        <w:rPr>
          <w:lang w:val="en-AU"/>
        </w:rPr>
      </w:pPr>
    </w:p>
    <w:p w14:paraId="5789AC50" w14:textId="77777777" w:rsidR="006E4282" w:rsidRDefault="006E4282" w:rsidP="00DA7345">
      <w:pPr>
        <w:rPr>
          <w:lang w:val="en-AU"/>
        </w:rPr>
      </w:pPr>
    </w:p>
    <w:p w14:paraId="507E834B" w14:textId="0133C2F0" w:rsidR="00287F62" w:rsidRPr="000B2AF8" w:rsidRDefault="00287F62" w:rsidP="00287F62">
      <w:pPr>
        <w:spacing w:before="240" w:after="120" w:line="240" w:lineRule="auto"/>
        <w:jc w:val="center"/>
        <w:rPr>
          <w:rFonts w:ascii="Calibri" w:eastAsia="Cambria" w:hAnsi="Calibri" w:cs="Calibri"/>
          <w:b/>
          <w:bCs/>
          <w:sz w:val="20"/>
          <w:szCs w:val="16"/>
          <w:lang w:val="en-AU"/>
        </w:rPr>
      </w:pPr>
      <w:bookmarkStart w:id="10" w:name="_Toc22488514"/>
      <w:r w:rsidRPr="000B2AF8">
        <w:rPr>
          <w:rFonts w:ascii="Calibri" w:eastAsia="Cambria" w:hAnsi="Calibri" w:cs="Calibri"/>
          <w:b/>
          <w:bCs/>
          <w:sz w:val="20"/>
          <w:szCs w:val="16"/>
          <w:lang w:val="en-AU"/>
        </w:rPr>
        <w:t xml:space="preserve">Figure </w:t>
      </w:r>
      <w:r w:rsidRPr="000B2AF8">
        <w:rPr>
          <w:rFonts w:ascii="Calibri" w:eastAsia="Cambria" w:hAnsi="Calibri" w:cs="Calibri"/>
          <w:b/>
          <w:bCs/>
          <w:sz w:val="20"/>
          <w:szCs w:val="16"/>
          <w:lang w:val="en-AU"/>
        </w:rPr>
        <w:fldChar w:fldCharType="begin"/>
      </w:r>
      <w:r w:rsidRPr="000B2AF8">
        <w:rPr>
          <w:rFonts w:ascii="Calibri" w:eastAsia="Cambria" w:hAnsi="Calibri" w:cs="Calibri"/>
          <w:b/>
          <w:bCs/>
          <w:sz w:val="20"/>
          <w:szCs w:val="16"/>
          <w:lang w:val="en-AU"/>
        </w:rPr>
        <w:instrText xml:space="preserve"> SEQ Figure \* ARABIC </w:instrText>
      </w:r>
      <w:r w:rsidRPr="000B2AF8">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1</w:t>
      </w:r>
      <w:r w:rsidRPr="000B2AF8">
        <w:rPr>
          <w:rFonts w:ascii="Calibri" w:eastAsia="Cambria" w:hAnsi="Calibri" w:cs="Calibri"/>
          <w:b/>
          <w:bCs/>
          <w:sz w:val="20"/>
          <w:szCs w:val="16"/>
          <w:lang w:val="en-AU"/>
        </w:rPr>
        <w:fldChar w:fldCharType="end"/>
      </w:r>
      <w:bookmarkEnd w:id="9"/>
      <w:r w:rsidRPr="000B2AF8">
        <w:rPr>
          <w:rFonts w:ascii="Calibri" w:eastAsia="Cambria" w:hAnsi="Calibri" w:cs="Calibri"/>
          <w:b/>
          <w:bCs/>
          <w:sz w:val="20"/>
          <w:szCs w:val="16"/>
          <w:lang w:val="en-AU"/>
        </w:rPr>
        <w:t>. Projected costs and benefits of the measure at various activation rates, Australia</w:t>
      </w:r>
      <w:bookmarkEnd w:id="10"/>
    </w:p>
    <w:p w14:paraId="7D200576" w14:textId="0CB08979" w:rsidR="00287F62" w:rsidRDefault="00287F62" w:rsidP="00287F62">
      <w:pPr>
        <w:spacing w:after="120" w:line="276" w:lineRule="auto"/>
        <w:jc w:val="center"/>
        <w:rPr>
          <w:rFonts w:ascii="Calibri" w:eastAsia="Calibri" w:hAnsi="Calibri" w:cs="Calibri"/>
          <w:szCs w:val="20"/>
          <w:lang w:val="en-AU"/>
        </w:rPr>
      </w:pPr>
      <w:r>
        <w:rPr>
          <w:rFonts w:ascii="Calibri" w:eastAsia="Calibri" w:hAnsi="Calibri" w:cs="Calibri"/>
          <w:noProof/>
          <w:szCs w:val="20"/>
          <w:lang w:val="en-AU" w:eastAsia="en-AU"/>
        </w:rPr>
        <w:lastRenderedPageBreak/>
        <w:drawing>
          <wp:inline distT="0" distB="0" distL="0" distR="0" wp14:anchorId="6B96B03C" wp14:editId="067896C2">
            <wp:extent cx="4612323" cy="3352303"/>
            <wp:effectExtent l="19050" t="19050" r="1714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5259" cy="3398046"/>
                    </a:xfrm>
                    <a:prstGeom prst="rect">
                      <a:avLst/>
                    </a:prstGeom>
                    <a:noFill/>
                    <a:ln>
                      <a:solidFill>
                        <a:sysClr val="windowText" lastClr="000000"/>
                      </a:solidFill>
                    </a:ln>
                  </pic:spPr>
                </pic:pic>
              </a:graphicData>
            </a:graphic>
          </wp:inline>
        </w:drawing>
      </w:r>
    </w:p>
    <w:p w14:paraId="4F91F130" w14:textId="6C2624F9" w:rsidR="00D06B4D" w:rsidRPr="00AB0694" w:rsidRDefault="00D06B4D" w:rsidP="005B1ACD">
      <w:pPr>
        <w:spacing w:before="240" w:after="120" w:line="240" w:lineRule="auto"/>
        <w:jc w:val="center"/>
        <w:rPr>
          <w:rFonts w:ascii="Calibri" w:eastAsia="Cambria" w:hAnsi="Calibri" w:cs="Calibri"/>
          <w:b/>
          <w:bCs/>
          <w:sz w:val="20"/>
          <w:szCs w:val="16"/>
          <w:lang w:val="en-AU"/>
        </w:rPr>
      </w:pPr>
      <w:bookmarkStart w:id="11" w:name="_Ref22473902"/>
      <w:bookmarkStart w:id="12" w:name="_Toc22488515"/>
      <w:r w:rsidRPr="00AB0694">
        <w:rPr>
          <w:rFonts w:ascii="Calibri" w:eastAsia="Cambria" w:hAnsi="Calibri" w:cs="Calibri"/>
          <w:b/>
          <w:bCs/>
          <w:sz w:val="20"/>
          <w:szCs w:val="16"/>
          <w:lang w:val="en-AU"/>
        </w:rPr>
        <w:t xml:space="preserve">Figure </w:t>
      </w:r>
      <w:r w:rsidRPr="00AB0694">
        <w:rPr>
          <w:rFonts w:ascii="Calibri" w:eastAsia="Cambria" w:hAnsi="Calibri" w:cs="Calibri"/>
          <w:b/>
          <w:bCs/>
          <w:sz w:val="20"/>
          <w:szCs w:val="16"/>
          <w:lang w:val="en-AU"/>
        </w:rPr>
        <w:fldChar w:fldCharType="begin"/>
      </w:r>
      <w:r w:rsidRPr="00AB0694">
        <w:rPr>
          <w:rFonts w:ascii="Calibri" w:eastAsia="Cambria" w:hAnsi="Calibri" w:cs="Calibri"/>
          <w:b/>
          <w:bCs/>
          <w:sz w:val="20"/>
          <w:szCs w:val="16"/>
          <w:lang w:val="en-AU"/>
        </w:rPr>
        <w:instrText xml:space="preserve"> SEQ Figure \* ARABIC </w:instrText>
      </w:r>
      <w:r w:rsidRPr="00AB0694">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2</w:t>
      </w:r>
      <w:r w:rsidRPr="00AB0694">
        <w:rPr>
          <w:rFonts w:ascii="Calibri" w:eastAsia="Cambria" w:hAnsi="Calibri" w:cs="Calibri"/>
          <w:b/>
          <w:bCs/>
          <w:sz w:val="20"/>
          <w:szCs w:val="16"/>
          <w:lang w:val="en-AU"/>
        </w:rPr>
        <w:fldChar w:fldCharType="end"/>
      </w:r>
      <w:bookmarkEnd w:id="11"/>
      <w:r w:rsidRPr="00AB0694">
        <w:rPr>
          <w:rFonts w:ascii="Calibri" w:eastAsia="Cambria" w:hAnsi="Calibri" w:cs="Calibri"/>
          <w:b/>
          <w:bCs/>
          <w:sz w:val="20"/>
          <w:szCs w:val="16"/>
          <w:lang w:val="en-AU"/>
        </w:rPr>
        <w:t xml:space="preserve"> Costs and Benefits by Jurisdiction</w:t>
      </w:r>
      <w:bookmarkEnd w:id="12"/>
    </w:p>
    <w:p w14:paraId="6DB2EBC4" w14:textId="15B790AA" w:rsidR="00C85FB0" w:rsidRDefault="00D06B4D" w:rsidP="00092BA8">
      <w:pPr>
        <w:spacing w:before="120" w:after="120" w:line="276" w:lineRule="auto"/>
        <w:jc w:val="center"/>
        <w:rPr>
          <w:rFonts w:ascii="Calibri" w:eastAsia="Calibri" w:hAnsi="Calibri" w:cs="Calibri"/>
          <w:szCs w:val="20"/>
          <w:lang w:val="en-AU"/>
        </w:rPr>
      </w:pPr>
      <w:r>
        <w:rPr>
          <w:noProof/>
          <w:lang w:val="en-AU" w:eastAsia="en-AU"/>
        </w:rPr>
        <w:drawing>
          <wp:inline distT="0" distB="0" distL="0" distR="0" wp14:anchorId="3E35748B" wp14:editId="539C4032">
            <wp:extent cx="4568853" cy="3320703"/>
            <wp:effectExtent l="19050" t="19050" r="2222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2415" cy="3374169"/>
                    </a:xfrm>
                    <a:prstGeom prst="rect">
                      <a:avLst/>
                    </a:prstGeom>
                    <a:noFill/>
                    <a:ln>
                      <a:solidFill>
                        <a:sysClr val="windowText" lastClr="000000"/>
                      </a:solidFill>
                    </a:ln>
                  </pic:spPr>
                </pic:pic>
              </a:graphicData>
            </a:graphic>
          </wp:inline>
        </w:drawing>
      </w:r>
    </w:p>
    <w:p w14:paraId="4ED14D57" w14:textId="282F8A2D" w:rsidR="00C85FB0" w:rsidRPr="00F11295" w:rsidRDefault="00C85FB0" w:rsidP="00F11295">
      <w:pPr>
        <w:keepNext/>
        <w:keepLines/>
        <w:spacing w:before="240" w:after="240" w:line="278" w:lineRule="auto"/>
        <w:outlineLvl w:val="4"/>
        <w:rPr>
          <w:rFonts w:ascii="Calibri" w:eastAsia="Times New Roman" w:hAnsi="Calibri" w:cs="Calibri"/>
          <w:b/>
          <w:color w:val="FF0000"/>
          <w:sz w:val="32"/>
          <w:szCs w:val="24"/>
          <w:lang w:val="en-AU"/>
        </w:rPr>
      </w:pPr>
      <w:r w:rsidRPr="00F11295">
        <w:rPr>
          <w:rFonts w:ascii="Calibri" w:eastAsia="Times New Roman" w:hAnsi="Calibri" w:cs="Calibri"/>
          <w:b/>
          <w:color w:val="FF0000"/>
          <w:sz w:val="32"/>
          <w:szCs w:val="24"/>
          <w:lang w:val="en-AU"/>
        </w:rPr>
        <w:t xml:space="preserve">Public Consultations </w:t>
      </w:r>
    </w:p>
    <w:p w14:paraId="22CF9BC1" w14:textId="7505A456" w:rsidR="00F11295" w:rsidRDefault="003D515A" w:rsidP="00F11295">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w:t>
      </w:r>
      <w:r w:rsidR="00F11295">
        <w:rPr>
          <w:rFonts w:ascii="Calibri" w:eastAsia="Calibri" w:hAnsi="Calibri" w:cs="Calibri"/>
          <w:szCs w:val="20"/>
          <w:lang w:val="en-AU"/>
        </w:rPr>
        <w:t>C</w:t>
      </w:r>
      <w:r w:rsidR="00F11295" w:rsidRPr="00E0625E">
        <w:rPr>
          <w:rFonts w:ascii="Calibri" w:eastAsia="Calibri" w:hAnsi="Calibri" w:cs="Calibri"/>
          <w:szCs w:val="20"/>
          <w:lang w:val="en-AU"/>
        </w:rPr>
        <w:t xml:space="preserve">onsultation </w:t>
      </w:r>
      <w:r w:rsidR="00F11295">
        <w:rPr>
          <w:rFonts w:ascii="Calibri" w:eastAsia="Calibri" w:hAnsi="Calibri" w:cs="Calibri"/>
          <w:szCs w:val="20"/>
          <w:lang w:val="en-AU"/>
        </w:rPr>
        <w:t>P</w:t>
      </w:r>
      <w:r w:rsidR="00F11295" w:rsidRPr="00E0625E">
        <w:rPr>
          <w:rFonts w:ascii="Calibri" w:eastAsia="Calibri" w:hAnsi="Calibri" w:cs="Calibri"/>
          <w:szCs w:val="20"/>
          <w:lang w:val="en-AU"/>
        </w:rPr>
        <w:t>aper</w:t>
      </w:r>
      <w:r w:rsidR="00F11295">
        <w:rPr>
          <w:rFonts w:ascii="Calibri" w:eastAsia="Calibri" w:hAnsi="Calibri" w:cs="Calibri"/>
          <w:szCs w:val="20"/>
          <w:lang w:val="en-AU"/>
        </w:rPr>
        <w:t xml:space="preserve"> </w:t>
      </w:r>
      <w:r w:rsidR="00F11295" w:rsidRPr="00E0625E">
        <w:rPr>
          <w:rFonts w:ascii="Calibri" w:eastAsia="Calibri" w:hAnsi="Calibri" w:cs="Calibri"/>
          <w:szCs w:val="20"/>
          <w:lang w:val="en-AU"/>
        </w:rPr>
        <w:t xml:space="preserve">released </w:t>
      </w:r>
      <w:r w:rsidR="00F11295">
        <w:rPr>
          <w:rFonts w:ascii="Calibri" w:eastAsia="Calibri" w:hAnsi="Calibri" w:cs="Calibri"/>
          <w:szCs w:val="20"/>
          <w:lang w:val="en-AU"/>
        </w:rPr>
        <w:t xml:space="preserve">on </w:t>
      </w:r>
      <w:r w:rsidR="006E4282">
        <w:rPr>
          <w:rFonts w:ascii="Calibri" w:eastAsia="Calibri" w:hAnsi="Calibri" w:cs="Calibri"/>
          <w:szCs w:val="20"/>
          <w:lang w:val="en-AU"/>
        </w:rPr>
        <w:t>14</w:t>
      </w:r>
      <w:r w:rsidR="00F11295">
        <w:rPr>
          <w:rFonts w:ascii="Calibri" w:eastAsia="Calibri" w:hAnsi="Calibri" w:cs="Calibri"/>
          <w:szCs w:val="20"/>
          <w:lang w:val="en-AU"/>
        </w:rPr>
        <w:t xml:space="preserve"> August 2019 was emailed to all companies and industry associations on the E3 mail</w:t>
      </w:r>
      <w:r>
        <w:rPr>
          <w:rFonts w:ascii="Calibri" w:eastAsia="Calibri" w:hAnsi="Calibri" w:cs="Calibri"/>
          <w:szCs w:val="20"/>
          <w:lang w:val="en-AU"/>
        </w:rPr>
        <w:t>ing</w:t>
      </w:r>
      <w:r w:rsidR="00F11295">
        <w:rPr>
          <w:rFonts w:ascii="Calibri" w:eastAsia="Calibri" w:hAnsi="Calibri" w:cs="Calibri"/>
          <w:szCs w:val="20"/>
          <w:lang w:val="en-AU"/>
        </w:rPr>
        <w:t xml:space="preserve"> list. Submissions were invited up to 16 September 2019 (later extended to 23 September</w:t>
      </w:r>
      <w:r w:rsidR="006E4282">
        <w:rPr>
          <w:rFonts w:ascii="Calibri" w:eastAsia="Calibri" w:hAnsi="Calibri" w:cs="Calibri"/>
          <w:szCs w:val="20"/>
          <w:lang w:val="en-AU"/>
        </w:rPr>
        <w:t xml:space="preserve"> 2019</w:t>
      </w:r>
      <w:r w:rsidR="00F11295">
        <w:rPr>
          <w:rFonts w:ascii="Calibri" w:eastAsia="Calibri" w:hAnsi="Calibri" w:cs="Calibri"/>
          <w:szCs w:val="20"/>
          <w:lang w:val="en-AU"/>
        </w:rPr>
        <w:t xml:space="preserve">). </w:t>
      </w:r>
      <w:r w:rsidR="00B92C16">
        <w:rPr>
          <w:rFonts w:ascii="Calibri" w:eastAsia="Calibri" w:hAnsi="Calibri" w:cs="Calibri"/>
          <w:szCs w:val="20"/>
          <w:lang w:val="en-AU"/>
        </w:rPr>
        <w:t>P</w:t>
      </w:r>
      <w:r w:rsidR="00F11295" w:rsidRPr="00E0625E">
        <w:rPr>
          <w:rFonts w:ascii="Calibri" w:eastAsia="Calibri" w:hAnsi="Calibri" w:cs="Calibri"/>
          <w:szCs w:val="20"/>
          <w:lang w:val="en-AU"/>
        </w:rPr>
        <w:t xml:space="preserve">ublic consultation sessions </w:t>
      </w:r>
      <w:r w:rsidR="00F11295">
        <w:rPr>
          <w:rFonts w:ascii="Calibri" w:eastAsia="Calibri" w:hAnsi="Calibri" w:cs="Calibri"/>
          <w:szCs w:val="20"/>
          <w:lang w:val="en-AU"/>
        </w:rPr>
        <w:t xml:space="preserve">were </w:t>
      </w:r>
      <w:r w:rsidR="00F11295" w:rsidRPr="00E0625E">
        <w:rPr>
          <w:rFonts w:ascii="Calibri" w:eastAsia="Calibri" w:hAnsi="Calibri" w:cs="Calibri"/>
          <w:szCs w:val="20"/>
          <w:lang w:val="en-AU"/>
        </w:rPr>
        <w:t>held</w:t>
      </w:r>
      <w:r w:rsidR="00B92C16">
        <w:rPr>
          <w:rFonts w:ascii="Calibri" w:eastAsia="Calibri" w:hAnsi="Calibri" w:cs="Calibri"/>
          <w:szCs w:val="20"/>
          <w:lang w:val="en-AU"/>
        </w:rPr>
        <w:t xml:space="preserve"> in </w:t>
      </w:r>
      <w:r w:rsidR="00F11295" w:rsidRPr="00DE5103">
        <w:rPr>
          <w:rFonts w:eastAsia="Calibri" w:cs="Calibri"/>
        </w:rPr>
        <w:t xml:space="preserve">Sydney </w:t>
      </w:r>
      <w:r w:rsidR="00B92C16">
        <w:rPr>
          <w:rFonts w:eastAsia="Calibri" w:cs="Calibri"/>
        </w:rPr>
        <w:t>(2</w:t>
      </w:r>
      <w:r w:rsidR="00F11295" w:rsidRPr="00DE5103">
        <w:rPr>
          <w:rFonts w:eastAsia="Calibri" w:cs="Calibri"/>
        </w:rPr>
        <w:t>6 August</w:t>
      </w:r>
      <w:r w:rsidR="006E4282">
        <w:rPr>
          <w:rFonts w:eastAsia="Calibri" w:cs="Calibri"/>
        </w:rPr>
        <w:t xml:space="preserve"> 2019</w:t>
      </w:r>
      <w:r w:rsidR="00B92C16">
        <w:rPr>
          <w:rFonts w:eastAsia="Calibri" w:cs="Calibri"/>
        </w:rPr>
        <w:t>), Melbourne (</w:t>
      </w:r>
      <w:r w:rsidR="00F11295" w:rsidRPr="00DE5103">
        <w:rPr>
          <w:rFonts w:eastAsia="Calibri" w:cs="Calibri"/>
        </w:rPr>
        <w:t>27 August</w:t>
      </w:r>
      <w:r w:rsidR="006E4282">
        <w:rPr>
          <w:rFonts w:eastAsia="Calibri" w:cs="Calibri"/>
        </w:rPr>
        <w:t xml:space="preserve"> 2019</w:t>
      </w:r>
      <w:r w:rsidR="00B92C16">
        <w:rPr>
          <w:rFonts w:eastAsia="Calibri" w:cs="Calibri"/>
        </w:rPr>
        <w:t xml:space="preserve">) and </w:t>
      </w:r>
      <w:r w:rsidR="00F11295" w:rsidRPr="00DE5103">
        <w:rPr>
          <w:rFonts w:eastAsia="Calibri" w:cs="Calibri"/>
        </w:rPr>
        <w:t xml:space="preserve">Wellington </w:t>
      </w:r>
      <w:r w:rsidR="00B92C16">
        <w:rPr>
          <w:rFonts w:eastAsia="Calibri" w:cs="Calibri"/>
        </w:rPr>
        <w:t>(</w:t>
      </w:r>
      <w:r w:rsidR="00F11295" w:rsidRPr="00DE5103">
        <w:rPr>
          <w:rFonts w:eastAsia="Calibri" w:cs="Calibri"/>
        </w:rPr>
        <w:t>29 August</w:t>
      </w:r>
      <w:r w:rsidR="006E4282">
        <w:rPr>
          <w:rFonts w:eastAsia="Calibri" w:cs="Calibri"/>
        </w:rPr>
        <w:t xml:space="preserve"> 2019</w:t>
      </w:r>
      <w:r w:rsidR="00B92C16">
        <w:rPr>
          <w:rFonts w:eastAsia="Calibri" w:cs="Calibri"/>
        </w:rPr>
        <w:t xml:space="preserve">). </w:t>
      </w:r>
      <w:r w:rsidR="00F11295">
        <w:rPr>
          <w:rFonts w:ascii="Calibri" w:eastAsia="Calibri" w:hAnsi="Calibri" w:cs="Calibri"/>
          <w:szCs w:val="20"/>
          <w:lang w:val="en-AU"/>
        </w:rPr>
        <w:t xml:space="preserve">Additional sessions were held for invited consumer and public interest advocacy groups, in Sydney and Melbourne. </w:t>
      </w:r>
      <w:r>
        <w:rPr>
          <w:rFonts w:ascii="Calibri" w:eastAsia="Calibri" w:hAnsi="Calibri" w:cs="Calibri"/>
          <w:szCs w:val="20"/>
          <w:lang w:val="en-AU"/>
        </w:rPr>
        <w:t>In all, m</w:t>
      </w:r>
      <w:r w:rsidR="00F11295">
        <w:rPr>
          <w:rFonts w:ascii="Calibri" w:eastAsia="Calibri" w:hAnsi="Calibri" w:cs="Calibri"/>
          <w:szCs w:val="20"/>
          <w:lang w:val="en-AU"/>
        </w:rPr>
        <w:t xml:space="preserve">ore than 80 individuals attended the sessions.  </w:t>
      </w:r>
    </w:p>
    <w:p w14:paraId="1196FCAE" w14:textId="2EC26FE4" w:rsidR="00B92C16" w:rsidRDefault="00F11295" w:rsidP="00B92C16">
      <w:pPr>
        <w:spacing w:before="120" w:after="120" w:line="276" w:lineRule="auto"/>
        <w:rPr>
          <w:rFonts w:eastAsia="Calibri"/>
        </w:rPr>
      </w:pPr>
      <w:r w:rsidRPr="00E0625E">
        <w:rPr>
          <w:rFonts w:ascii="Calibri" w:eastAsia="Calibri" w:hAnsi="Calibri" w:cs="Calibri"/>
          <w:szCs w:val="20"/>
          <w:lang w:val="en-AU"/>
        </w:rPr>
        <w:lastRenderedPageBreak/>
        <w:t xml:space="preserve">Over 40 </w:t>
      </w:r>
      <w:r w:rsidR="00B92C16">
        <w:rPr>
          <w:rFonts w:ascii="Calibri" w:eastAsia="Calibri" w:hAnsi="Calibri" w:cs="Calibri"/>
          <w:szCs w:val="20"/>
          <w:lang w:val="en-AU"/>
        </w:rPr>
        <w:t xml:space="preserve">written </w:t>
      </w:r>
      <w:r w:rsidRPr="00E0625E">
        <w:rPr>
          <w:rFonts w:ascii="Calibri" w:eastAsia="Calibri" w:hAnsi="Calibri" w:cs="Calibri"/>
          <w:szCs w:val="20"/>
          <w:lang w:val="en-AU"/>
        </w:rPr>
        <w:t>submissions were received from electricity networks</w:t>
      </w:r>
      <w:r w:rsidR="003D515A">
        <w:rPr>
          <w:rFonts w:ascii="Calibri" w:eastAsia="Calibri" w:hAnsi="Calibri" w:cs="Calibri"/>
          <w:szCs w:val="20"/>
          <w:lang w:val="en-AU"/>
        </w:rPr>
        <w:t>, electricity</w:t>
      </w:r>
      <w:r w:rsidRPr="00E0625E">
        <w:rPr>
          <w:rFonts w:ascii="Calibri" w:eastAsia="Calibri" w:hAnsi="Calibri" w:cs="Calibri"/>
          <w:szCs w:val="20"/>
          <w:lang w:val="en-AU"/>
        </w:rPr>
        <w:t xml:space="preserve"> retailers, </w:t>
      </w:r>
      <w:r w:rsidR="006E4282">
        <w:rPr>
          <w:rFonts w:ascii="Calibri" w:eastAsia="Calibri" w:hAnsi="Calibri" w:cs="Calibri"/>
          <w:szCs w:val="20"/>
          <w:lang w:val="en-AU"/>
        </w:rPr>
        <w:t xml:space="preserve">AC </w:t>
      </w:r>
      <w:r w:rsidRPr="00E0625E">
        <w:rPr>
          <w:rFonts w:ascii="Calibri" w:eastAsia="Calibri" w:hAnsi="Calibri" w:cs="Calibri"/>
          <w:szCs w:val="20"/>
          <w:lang w:val="en-AU"/>
        </w:rPr>
        <w:t xml:space="preserve">suppliers, water heater suppliers, demand response product suppliers, the </w:t>
      </w:r>
      <w:r w:rsidR="006E4282">
        <w:rPr>
          <w:rFonts w:ascii="Calibri" w:eastAsia="Calibri" w:hAnsi="Calibri" w:cs="Calibri"/>
          <w:szCs w:val="20"/>
          <w:lang w:val="en-AU"/>
        </w:rPr>
        <w:t>EV</w:t>
      </w:r>
      <w:r w:rsidRPr="00E0625E">
        <w:rPr>
          <w:rFonts w:ascii="Calibri" w:eastAsia="Calibri" w:hAnsi="Calibri" w:cs="Calibri"/>
          <w:szCs w:val="20"/>
          <w:lang w:val="en-AU"/>
        </w:rPr>
        <w:t xml:space="preserve"> industry, individuals and public interest groups in Australia, and a further 10 from New Zealand.</w:t>
      </w:r>
      <w:r>
        <w:rPr>
          <w:rFonts w:ascii="Calibri" w:eastAsia="Calibri" w:hAnsi="Calibri" w:cs="Calibri"/>
          <w:szCs w:val="20"/>
          <w:lang w:val="en-AU"/>
        </w:rPr>
        <w:t xml:space="preserve"> </w:t>
      </w:r>
    </w:p>
    <w:p w14:paraId="3F05C2AB" w14:textId="45512FC2" w:rsidR="00F11295" w:rsidRDefault="00F11295" w:rsidP="00F11295">
      <w:pPr>
        <w:spacing w:before="120" w:after="120" w:line="276" w:lineRule="auto"/>
        <w:rPr>
          <w:rFonts w:ascii="Calibri" w:eastAsia="Calibri" w:hAnsi="Calibri" w:cs="Calibri"/>
          <w:szCs w:val="20"/>
          <w:lang w:val="en-AU"/>
        </w:rPr>
      </w:pPr>
      <w:r w:rsidRPr="002C51D2">
        <w:rPr>
          <w:rFonts w:ascii="Calibri" w:eastAsia="Calibri" w:hAnsi="Calibri" w:cs="Calibri"/>
          <w:szCs w:val="20"/>
          <w:lang w:val="en-AU"/>
        </w:rPr>
        <w:t>Most submissions (even those opposed to mandating</w:t>
      </w:r>
      <w:r>
        <w:rPr>
          <w:rFonts w:ascii="Calibri" w:eastAsia="Calibri" w:hAnsi="Calibri" w:cs="Calibri"/>
          <w:szCs w:val="20"/>
          <w:lang w:val="en-AU"/>
        </w:rPr>
        <w:t xml:space="preserve"> AS/NZS 4755 compliance</w:t>
      </w:r>
      <w:r w:rsidRPr="002C51D2">
        <w:rPr>
          <w:rFonts w:ascii="Calibri" w:eastAsia="Calibri" w:hAnsi="Calibri" w:cs="Calibri"/>
          <w:szCs w:val="20"/>
          <w:lang w:val="en-AU"/>
        </w:rPr>
        <w:t>) support the premise that a common, open technical standards framework for DR capability would enable the continued development of DR in Australia’s energy markets, particularly with respect to residential and small business consumers.</w:t>
      </w:r>
      <w:r>
        <w:rPr>
          <w:rFonts w:ascii="Calibri" w:eastAsia="Calibri" w:hAnsi="Calibri" w:cs="Calibri"/>
          <w:szCs w:val="20"/>
          <w:lang w:val="en-AU"/>
        </w:rPr>
        <w:t xml:space="preserve"> </w:t>
      </w:r>
    </w:p>
    <w:p w14:paraId="1EDC92DC" w14:textId="32855EB5" w:rsidR="003D515A" w:rsidRDefault="003D515A" w:rsidP="003D515A">
      <w:pPr>
        <w:spacing w:before="120" w:after="120" w:line="276" w:lineRule="auto"/>
        <w:rPr>
          <w:rFonts w:ascii="Calibri" w:eastAsia="Calibri" w:hAnsi="Calibri" w:cs="Calibri"/>
          <w:szCs w:val="20"/>
          <w:lang w:val="en-AU"/>
        </w:rPr>
      </w:pPr>
      <w:r w:rsidRPr="003D515A">
        <w:rPr>
          <w:rStyle w:val="FigreferenceChar"/>
        </w:rPr>
        <w:fldChar w:fldCharType="begin"/>
      </w:r>
      <w:r w:rsidRPr="003D515A">
        <w:rPr>
          <w:rStyle w:val="FigreferenceChar"/>
        </w:rPr>
        <w:instrText xml:space="preserve"> REF _Ref22474976 \h </w:instrText>
      </w:r>
      <w:r>
        <w:rPr>
          <w:rStyle w:val="FigreferenceChar"/>
        </w:rPr>
        <w:instrText xml:space="preserve"> \* MERGEFORMAT </w:instrText>
      </w:r>
      <w:r w:rsidRPr="003D515A">
        <w:rPr>
          <w:rStyle w:val="FigreferenceChar"/>
        </w:rPr>
      </w:r>
      <w:r w:rsidRPr="003D515A">
        <w:rPr>
          <w:rStyle w:val="FigreferenceChar"/>
        </w:rPr>
        <w:fldChar w:fldCharType="separate"/>
      </w:r>
      <w:r w:rsidR="006B22A7" w:rsidRPr="006B22A7">
        <w:rPr>
          <w:rStyle w:val="FigreferenceChar"/>
        </w:rPr>
        <w:t xml:space="preserve">Table </w:t>
      </w:r>
      <w:r w:rsidR="00D30720">
        <w:rPr>
          <w:rStyle w:val="FigreferenceChar"/>
        </w:rPr>
        <w:t>3</w:t>
      </w:r>
      <w:r w:rsidRPr="003D515A">
        <w:rPr>
          <w:rStyle w:val="FigreferenceChar"/>
        </w:rPr>
        <w:fldChar w:fldCharType="end"/>
      </w:r>
      <w:r>
        <w:rPr>
          <w:rFonts w:ascii="Calibri" w:eastAsia="Calibri" w:hAnsi="Calibri" w:cs="Calibri"/>
          <w:szCs w:val="20"/>
          <w:lang w:val="en-AU"/>
        </w:rPr>
        <w:t xml:space="preserve"> indicates the number of responses supporting and opposing the proposal to mandate compliance with AS/NZS 4755. In general, electricity industry stakeholders supported the proposal, more product manufacturers opposed it than supported it, and other respondents, including public interest groups, were strongly in favour. The balance of New Zealand submissions was also in favour, although New Zealand companies reiterated the view of their Australian counterparts. The Consultation Paper put 28 specific questions to stakeholders, eliciting a wide range of responses (reported in this </w:t>
      </w:r>
      <w:r w:rsidR="00B61FAC">
        <w:rPr>
          <w:rFonts w:ascii="Calibri" w:eastAsia="Calibri" w:hAnsi="Calibri" w:cs="Calibri"/>
          <w:szCs w:val="20"/>
          <w:lang w:val="en-AU"/>
        </w:rPr>
        <w:t xml:space="preserve">Decision </w:t>
      </w:r>
      <w:r>
        <w:rPr>
          <w:rFonts w:ascii="Calibri" w:eastAsia="Calibri" w:hAnsi="Calibri" w:cs="Calibri"/>
          <w:szCs w:val="20"/>
          <w:lang w:val="en-AU"/>
        </w:rPr>
        <w:t xml:space="preserve">RIS).  </w:t>
      </w:r>
    </w:p>
    <w:p w14:paraId="0EFAD6AB" w14:textId="437163EB" w:rsidR="003D515A" w:rsidRDefault="003D515A" w:rsidP="003D515A">
      <w:pPr>
        <w:spacing w:before="120" w:after="120" w:line="276" w:lineRule="auto"/>
        <w:rPr>
          <w:rFonts w:ascii="Calibri" w:eastAsia="Calibri" w:hAnsi="Calibri" w:cs="Calibri"/>
          <w:szCs w:val="20"/>
          <w:lang w:val="en-AU"/>
        </w:rPr>
      </w:pPr>
      <w:r>
        <w:rPr>
          <w:rFonts w:ascii="Calibri" w:eastAsia="Calibri" w:hAnsi="Calibri" w:cs="Calibri"/>
          <w:szCs w:val="20"/>
          <w:lang w:val="en-AU"/>
        </w:rPr>
        <w:t>There was widespread agreement that consumers should not be enrolled in AS/NZS 4755-based DR programs without a range of safeguards.</w:t>
      </w:r>
      <w:r w:rsidRPr="00877821">
        <w:rPr>
          <w:rFonts w:ascii="Calibri" w:eastAsia="Calibri" w:hAnsi="Calibri" w:cs="Calibri"/>
          <w:szCs w:val="20"/>
          <w:lang w:val="en-AU"/>
        </w:rPr>
        <w:t xml:space="preserve"> </w:t>
      </w:r>
      <w:r>
        <w:rPr>
          <w:rFonts w:ascii="Calibri" w:eastAsia="Calibri" w:hAnsi="Calibri" w:cs="Calibri"/>
          <w:szCs w:val="20"/>
          <w:lang w:val="en-AU"/>
        </w:rPr>
        <w:t xml:space="preserve">Consumers should have a free choice about whether to have their appliances activated and take part in a DR program, and will need to be fully informed of both advantages (usually monetary) and disadvantages of doing so, and the ways to opt out if they change their minds.   </w:t>
      </w:r>
    </w:p>
    <w:p w14:paraId="2A08DD36" w14:textId="427E4361" w:rsidR="00F11295" w:rsidRPr="00BA4D56" w:rsidRDefault="00F11295" w:rsidP="00F11295">
      <w:pPr>
        <w:spacing w:before="240" w:after="120" w:line="240" w:lineRule="auto"/>
        <w:jc w:val="center"/>
        <w:rPr>
          <w:rFonts w:ascii="Calibri" w:eastAsia="Cambria" w:hAnsi="Calibri" w:cs="Calibri"/>
          <w:b/>
          <w:bCs/>
          <w:sz w:val="20"/>
          <w:szCs w:val="16"/>
          <w:lang w:val="en-AU"/>
        </w:rPr>
      </w:pPr>
      <w:bookmarkStart w:id="13" w:name="_Ref22474976"/>
      <w:bookmarkStart w:id="14" w:name="_Toc22486947"/>
      <w:r w:rsidRPr="00BA4D56">
        <w:rPr>
          <w:rFonts w:ascii="Calibri" w:eastAsia="Cambria" w:hAnsi="Calibri" w:cs="Calibri"/>
          <w:b/>
          <w:bCs/>
          <w:sz w:val="20"/>
          <w:szCs w:val="16"/>
          <w:lang w:val="en-AU"/>
        </w:rPr>
        <w:t xml:space="preserve">Table </w:t>
      </w:r>
      <w:r w:rsidRPr="00BA4D56">
        <w:rPr>
          <w:rFonts w:ascii="Calibri" w:eastAsia="Cambria" w:hAnsi="Calibri" w:cs="Calibri"/>
          <w:b/>
          <w:bCs/>
          <w:sz w:val="20"/>
          <w:szCs w:val="16"/>
          <w:lang w:val="en-AU"/>
        </w:rPr>
        <w:fldChar w:fldCharType="begin"/>
      </w:r>
      <w:r w:rsidRPr="00BA4D56">
        <w:rPr>
          <w:rFonts w:ascii="Calibri" w:eastAsia="Cambria" w:hAnsi="Calibri" w:cs="Calibri"/>
          <w:b/>
          <w:bCs/>
          <w:sz w:val="20"/>
          <w:szCs w:val="16"/>
          <w:lang w:val="en-AU"/>
        </w:rPr>
        <w:instrText xml:space="preserve"> SEQ Table \* ARABIC </w:instrText>
      </w:r>
      <w:r w:rsidRPr="00BA4D5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w:t>
      </w:r>
      <w:r w:rsidRPr="00BA4D56">
        <w:rPr>
          <w:rFonts w:ascii="Calibri" w:eastAsia="Cambria" w:hAnsi="Calibri" w:cs="Calibri"/>
          <w:b/>
          <w:bCs/>
          <w:sz w:val="20"/>
          <w:szCs w:val="16"/>
          <w:lang w:val="en-AU"/>
        </w:rPr>
        <w:fldChar w:fldCharType="end"/>
      </w:r>
      <w:bookmarkEnd w:id="13"/>
      <w:r w:rsidRPr="00BA4D56">
        <w:rPr>
          <w:rFonts w:ascii="Calibri" w:eastAsia="Cambria" w:hAnsi="Calibri" w:cs="Calibri"/>
          <w:b/>
          <w:bCs/>
          <w:sz w:val="20"/>
          <w:szCs w:val="16"/>
          <w:lang w:val="en-AU"/>
        </w:rPr>
        <w:t xml:space="preserve"> Number of respondents supporting and opposing mandating AS/NZS 4755 compliance</w:t>
      </w:r>
      <w:bookmarkEnd w:id="14"/>
      <w:r w:rsidRPr="00BA4D56">
        <w:rPr>
          <w:rFonts w:ascii="Calibri" w:eastAsia="Cambria" w:hAnsi="Calibri" w:cs="Calibri"/>
          <w:b/>
          <w:bCs/>
          <w:sz w:val="20"/>
          <w:szCs w:val="16"/>
          <w:lang w:val="en-AU"/>
        </w:rPr>
        <w:t xml:space="preserve">  </w:t>
      </w:r>
    </w:p>
    <w:tbl>
      <w:tblPr>
        <w:tblStyle w:val="TableGrid"/>
        <w:tblW w:w="0" w:type="auto"/>
        <w:tblLayout w:type="fixed"/>
        <w:tblLook w:val="04A0" w:firstRow="1" w:lastRow="0" w:firstColumn="1" w:lastColumn="0" w:noHBand="0" w:noVBand="1"/>
      </w:tblPr>
      <w:tblGrid>
        <w:gridCol w:w="1271"/>
        <w:gridCol w:w="834"/>
        <w:gridCol w:w="835"/>
        <w:gridCol w:w="835"/>
        <w:gridCol w:w="835"/>
        <w:gridCol w:w="835"/>
        <w:gridCol w:w="835"/>
        <w:gridCol w:w="835"/>
        <w:gridCol w:w="835"/>
        <w:gridCol w:w="835"/>
        <w:gridCol w:w="835"/>
      </w:tblGrid>
      <w:tr w:rsidR="00F11295" w:rsidRPr="00ED0812" w14:paraId="66E9D569" w14:textId="77777777" w:rsidTr="00ED0812">
        <w:trPr>
          <w:trHeight w:val="300"/>
        </w:trPr>
        <w:tc>
          <w:tcPr>
            <w:tcW w:w="1271" w:type="dxa"/>
            <w:tcBorders>
              <w:top w:val="single" w:sz="4" w:space="0" w:color="auto"/>
              <w:left w:val="single" w:sz="4" w:space="0" w:color="auto"/>
              <w:bottom w:val="nil"/>
              <w:right w:val="single" w:sz="4" w:space="0" w:color="auto"/>
            </w:tcBorders>
            <w:noWrap/>
            <w:hideMark/>
          </w:tcPr>
          <w:p w14:paraId="311B2208" w14:textId="77777777" w:rsidR="00F11295" w:rsidRPr="00ED0812" w:rsidRDefault="00F11295" w:rsidP="00ED0812">
            <w:pPr>
              <w:rPr>
                <w:rFonts w:asciiTheme="minorHAnsi" w:hAnsiTheme="minorHAnsi" w:cstheme="minorHAnsi"/>
                <w:sz w:val="18"/>
                <w:szCs w:val="18"/>
                <w:lang w:val="en-AU"/>
              </w:rPr>
            </w:pPr>
            <w:r w:rsidRPr="00ED0812">
              <w:rPr>
                <w:rFonts w:asciiTheme="minorHAnsi" w:hAnsiTheme="minorHAnsi" w:cstheme="minorHAnsi"/>
                <w:sz w:val="18"/>
                <w:szCs w:val="18"/>
              </w:rPr>
              <w:t> </w:t>
            </w:r>
          </w:p>
        </w:tc>
        <w:tc>
          <w:tcPr>
            <w:tcW w:w="1669" w:type="dxa"/>
            <w:gridSpan w:val="2"/>
            <w:tcBorders>
              <w:left w:val="single" w:sz="4" w:space="0" w:color="auto"/>
            </w:tcBorders>
            <w:noWrap/>
            <w:hideMark/>
          </w:tcPr>
          <w:p w14:paraId="78F55655"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4755 for ACs</w:t>
            </w:r>
          </w:p>
        </w:tc>
        <w:tc>
          <w:tcPr>
            <w:tcW w:w="1670" w:type="dxa"/>
            <w:gridSpan w:val="2"/>
            <w:noWrap/>
            <w:hideMark/>
          </w:tcPr>
          <w:p w14:paraId="76FDFB61" w14:textId="4EC85D90"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4755 for PP</w:t>
            </w:r>
            <w:r w:rsidR="00ED0812">
              <w:rPr>
                <w:rFonts w:asciiTheme="minorHAnsi" w:hAnsiTheme="minorHAnsi" w:cstheme="minorHAnsi"/>
                <w:sz w:val="18"/>
                <w:szCs w:val="18"/>
              </w:rPr>
              <w:t>C</w:t>
            </w:r>
            <w:r w:rsidRPr="00ED0812">
              <w:rPr>
                <w:rFonts w:asciiTheme="minorHAnsi" w:hAnsiTheme="minorHAnsi" w:cstheme="minorHAnsi"/>
                <w:sz w:val="18"/>
                <w:szCs w:val="18"/>
              </w:rPr>
              <w:t>s</w:t>
            </w:r>
          </w:p>
        </w:tc>
        <w:tc>
          <w:tcPr>
            <w:tcW w:w="1670" w:type="dxa"/>
            <w:gridSpan w:val="2"/>
            <w:noWrap/>
            <w:hideMark/>
          </w:tcPr>
          <w:p w14:paraId="08A1A5DD" w14:textId="3C1F5925"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 xml:space="preserve">4755 for </w:t>
            </w:r>
            <w:r w:rsidR="00ED0812">
              <w:rPr>
                <w:rFonts w:asciiTheme="minorHAnsi" w:hAnsiTheme="minorHAnsi" w:cstheme="minorHAnsi"/>
                <w:sz w:val="18"/>
                <w:szCs w:val="18"/>
              </w:rPr>
              <w:t>ES</w:t>
            </w:r>
            <w:r w:rsidRPr="00ED0812">
              <w:rPr>
                <w:rFonts w:asciiTheme="minorHAnsi" w:hAnsiTheme="minorHAnsi" w:cstheme="minorHAnsi"/>
                <w:sz w:val="18"/>
                <w:szCs w:val="18"/>
              </w:rPr>
              <w:t>WHs</w:t>
            </w:r>
          </w:p>
        </w:tc>
        <w:tc>
          <w:tcPr>
            <w:tcW w:w="1670" w:type="dxa"/>
            <w:gridSpan w:val="2"/>
            <w:noWrap/>
            <w:hideMark/>
          </w:tcPr>
          <w:p w14:paraId="3C64B8DF" w14:textId="7098DEB3"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4755 for EV</w:t>
            </w:r>
            <w:r w:rsidR="00ED0812">
              <w:rPr>
                <w:rFonts w:asciiTheme="minorHAnsi" w:hAnsiTheme="minorHAnsi" w:cstheme="minorHAnsi"/>
                <w:sz w:val="18"/>
                <w:szCs w:val="18"/>
              </w:rPr>
              <w:t xml:space="preserve"> charger</w:t>
            </w:r>
          </w:p>
        </w:tc>
        <w:tc>
          <w:tcPr>
            <w:tcW w:w="1670" w:type="dxa"/>
            <w:gridSpan w:val="2"/>
            <w:noWrap/>
            <w:hideMark/>
          </w:tcPr>
          <w:p w14:paraId="7F151594"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DR standards</w:t>
            </w:r>
          </w:p>
        </w:tc>
      </w:tr>
      <w:tr w:rsidR="00F11295" w:rsidRPr="00ED0812" w14:paraId="55F985C4" w14:textId="77777777" w:rsidTr="00ED0812">
        <w:trPr>
          <w:trHeight w:val="300"/>
        </w:trPr>
        <w:tc>
          <w:tcPr>
            <w:tcW w:w="1271" w:type="dxa"/>
            <w:tcBorders>
              <w:top w:val="nil"/>
              <w:left w:val="single" w:sz="4" w:space="0" w:color="auto"/>
              <w:bottom w:val="single" w:sz="4" w:space="0" w:color="auto"/>
              <w:right w:val="single" w:sz="4" w:space="0" w:color="auto"/>
            </w:tcBorders>
            <w:noWrap/>
            <w:hideMark/>
          </w:tcPr>
          <w:p w14:paraId="33AD06B8" w14:textId="77777777" w:rsidR="00F11295" w:rsidRPr="00ED0812" w:rsidRDefault="00F11295" w:rsidP="00ED0812">
            <w:pPr>
              <w:rPr>
                <w:rFonts w:asciiTheme="minorHAnsi" w:hAnsiTheme="minorHAnsi" w:cstheme="minorHAnsi"/>
                <w:sz w:val="18"/>
                <w:szCs w:val="18"/>
              </w:rPr>
            </w:pPr>
            <w:r w:rsidRPr="00ED0812">
              <w:rPr>
                <w:rFonts w:asciiTheme="minorHAnsi" w:hAnsiTheme="minorHAnsi" w:cstheme="minorHAnsi"/>
                <w:sz w:val="18"/>
                <w:szCs w:val="18"/>
              </w:rPr>
              <w:t> </w:t>
            </w:r>
          </w:p>
        </w:tc>
        <w:tc>
          <w:tcPr>
            <w:tcW w:w="834" w:type="dxa"/>
            <w:tcBorders>
              <w:left w:val="single" w:sz="4" w:space="0" w:color="auto"/>
            </w:tcBorders>
            <w:noWrap/>
            <w:hideMark/>
          </w:tcPr>
          <w:p w14:paraId="0FE79810"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Yes</w:t>
            </w:r>
          </w:p>
        </w:tc>
        <w:tc>
          <w:tcPr>
            <w:tcW w:w="835" w:type="dxa"/>
            <w:noWrap/>
            <w:hideMark/>
          </w:tcPr>
          <w:p w14:paraId="42C161C6"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No</w:t>
            </w:r>
          </w:p>
        </w:tc>
        <w:tc>
          <w:tcPr>
            <w:tcW w:w="835" w:type="dxa"/>
            <w:noWrap/>
            <w:hideMark/>
          </w:tcPr>
          <w:p w14:paraId="0FD0B91B"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Yes</w:t>
            </w:r>
          </w:p>
        </w:tc>
        <w:tc>
          <w:tcPr>
            <w:tcW w:w="835" w:type="dxa"/>
            <w:noWrap/>
            <w:hideMark/>
          </w:tcPr>
          <w:p w14:paraId="555A01EC"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No</w:t>
            </w:r>
          </w:p>
        </w:tc>
        <w:tc>
          <w:tcPr>
            <w:tcW w:w="835" w:type="dxa"/>
            <w:noWrap/>
            <w:hideMark/>
          </w:tcPr>
          <w:p w14:paraId="79088EA7"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Yes</w:t>
            </w:r>
          </w:p>
        </w:tc>
        <w:tc>
          <w:tcPr>
            <w:tcW w:w="835" w:type="dxa"/>
            <w:noWrap/>
            <w:hideMark/>
          </w:tcPr>
          <w:p w14:paraId="5855874A"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No</w:t>
            </w:r>
          </w:p>
        </w:tc>
        <w:tc>
          <w:tcPr>
            <w:tcW w:w="835" w:type="dxa"/>
            <w:noWrap/>
            <w:hideMark/>
          </w:tcPr>
          <w:p w14:paraId="64340E01"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Yes</w:t>
            </w:r>
          </w:p>
        </w:tc>
        <w:tc>
          <w:tcPr>
            <w:tcW w:w="835" w:type="dxa"/>
            <w:noWrap/>
            <w:hideMark/>
          </w:tcPr>
          <w:p w14:paraId="3C0A1A53"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No</w:t>
            </w:r>
          </w:p>
        </w:tc>
        <w:tc>
          <w:tcPr>
            <w:tcW w:w="835" w:type="dxa"/>
            <w:noWrap/>
            <w:hideMark/>
          </w:tcPr>
          <w:p w14:paraId="6AA0B372"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Yes</w:t>
            </w:r>
          </w:p>
        </w:tc>
        <w:tc>
          <w:tcPr>
            <w:tcW w:w="835" w:type="dxa"/>
            <w:noWrap/>
            <w:hideMark/>
          </w:tcPr>
          <w:p w14:paraId="32111FB1"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No</w:t>
            </w:r>
          </w:p>
        </w:tc>
      </w:tr>
      <w:tr w:rsidR="00F11295" w:rsidRPr="00ED0812" w14:paraId="2F8C6505" w14:textId="77777777" w:rsidTr="00ED0812">
        <w:trPr>
          <w:trHeight w:val="300"/>
        </w:trPr>
        <w:tc>
          <w:tcPr>
            <w:tcW w:w="1271" w:type="dxa"/>
            <w:tcBorders>
              <w:top w:val="single" w:sz="4" w:space="0" w:color="auto"/>
            </w:tcBorders>
            <w:noWrap/>
            <w:hideMark/>
          </w:tcPr>
          <w:p w14:paraId="608DA072" w14:textId="7810062F" w:rsidR="00F11295" w:rsidRPr="00ED0812" w:rsidRDefault="00B92C16" w:rsidP="00ED0812">
            <w:pPr>
              <w:rPr>
                <w:rFonts w:asciiTheme="minorHAnsi" w:hAnsiTheme="minorHAnsi" w:cstheme="minorHAnsi"/>
                <w:sz w:val="18"/>
                <w:szCs w:val="18"/>
              </w:rPr>
            </w:pPr>
            <w:r w:rsidRPr="00ED0812">
              <w:rPr>
                <w:rFonts w:asciiTheme="minorHAnsi" w:hAnsiTheme="minorHAnsi" w:cstheme="minorHAnsi"/>
                <w:sz w:val="18"/>
                <w:szCs w:val="18"/>
              </w:rPr>
              <w:t>Australia</w:t>
            </w:r>
          </w:p>
        </w:tc>
        <w:tc>
          <w:tcPr>
            <w:tcW w:w="834" w:type="dxa"/>
            <w:noWrap/>
            <w:hideMark/>
          </w:tcPr>
          <w:p w14:paraId="34511300" w14:textId="7B13A3F5"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20</w:t>
            </w:r>
          </w:p>
        </w:tc>
        <w:tc>
          <w:tcPr>
            <w:tcW w:w="835" w:type="dxa"/>
            <w:noWrap/>
            <w:hideMark/>
          </w:tcPr>
          <w:p w14:paraId="2552BBD2"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11</w:t>
            </w:r>
          </w:p>
        </w:tc>
        <w:tc>
          <w:tcPr>
            <w:tcW w:w="835" w:type="dxa"/>
            <w:noWrap/>
            <w:hideMark/>
          </w:tcPr>
          <w:p w14:paraId="71FC3270" w14:textId="2F5871B8"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15</w:t>
            </w:r>
          </w:p>
        </w:tc>
        <w:tc>
          <w:tcPr>
            <w:tcW w:w="835" w:type="dxa"/>
            <w:noWrap/>
            <w:hideMark/>
          </w:tcPr>
          <w:p w14:paraId="7327FA01"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7</w:t>
            </w:r>
          </w:p>
        </w:tc>
        <w:tc>
          <w:tcPr>
            <w:tcW w:w="835" w:type="dxa"/>
            <w:noWrap/>
            <w:hideMark/>
          </w:tcPr>
          <w:p w14:paraId="5FAEFA5D" w14:textId="5850D3AB"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17</w:t>
            </w:r>
          </w:p>
        </w:tc>
        <w:tc>
          <w:tcPr>
            <w:tcW w:w="835" w:type="dxa"/>
            <w:noWrap/>
            <w:hideMark/>
          </w:tcPr>
          <w:p w14:paraId="56C7A151" w14:textId="7760BE03"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13</w:t>
            </w:r>
          </w:p>
        </w:tc>
        <w:tc>
          <w:tcPr>
            <w:tcW w:w="835" w:type="dxa"/>
            <w:noWrap/>
            <w:hideMark/>
          </w:tcPr>
          <w:p w14:paraId="438490F8" w14:textId="4830D47F"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19</w:t>
            </w:r>
          </w:p>
        </w:tc>
        <w:tc>
          <w:tcPr>
            <w:tcW w:w="835" w:type="dxa"/>
            <w:noWrap/>
            <w:hideMark/>
          </w:tcPr>
          <w:p w14:paraId="4FBA4D30"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7</w:t>
            </w:r>
          </w:p>
        </w:tc>
        <w:tc>
          <w:tcPr>
            <w:tcW w:w="835" w:type="dxa"/>
            <w:noWrap/>
            <w:hideMark/>
          </w:tcPr>
          <w:p w14:paraId="39301523"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17</w:t>
            </w:r>
          </w:p>
        </w:tc>
        <w:tc>
          <w:tcPr>
            <w:tcW w:w="835" w:type="dxa"/>
            <w:noWrap/>
            <w:hideMark/>
          </w:tcPr>
          <w:p w14:paraId="04A7AC5F" w14:textId="77777777" w:rsidR="00F11295" w:rsidRPr="00ED0812" w:rsidRDefault="00F11295" w:rsidP="00ED0812">
            <w:pPr>
              <w:jc w:val="center"/>
              <w:rPr>
                <w:rFonts w:asciiTheme="minorHAnsi" w:hAnsiTheme="minorHAnsi" w:cstheme="minorHAnsi"/>
                <w:sz w:val="18"/>
                <w:szCs w:val="18"/>
              </w:rPr>
            </w:pPr>
            <w:r w:rsidRPr="00ED0812">
              <w:rPr>
                <w:rFonts w:asciiTheme="minorHAnsi" w:hAnsiTheme="minorHAnsi" w:cstheme="minorHAnsi"/>
                <w:sz w:val="18"/>
                <w:szCs w:val="18"/>
              </w:rPr>
              <w:t>2</w:t>
            </w:r>
          </w:p>
        </w:tc>
      </w:tr>
      <w:tr w:rsidR="00F11295" w:rsidRPr="00ED0812" w14:paraId="0034EE81" w14:textId="77777777" w:rsidTr="00ED0812">
        <w:trPr>
          <w:trHeight w:val="300"/>
        </w:trPr>
        <w:tc>
          <w:tcPr>
            <w:tcW w:w="1271" w:type="dxa"/>
            <w:noWrap/>
            <w:hideMark/>
          </w:tcPr>
          <w:p w14:paraId="380C469C" w14:textId="19C1A80E" w:rsidR="00F11295" w:rsidRPr="00ED0812" w:rsidRDefault="00B92C16" w:rsidP="00ED0812">
            <w:pPr>
              <w:rPr>
                <w:rFonts w:asciiTheme="minorHAnsi" w:hAnsiTheme="minorHAnsi" w:cstheme="minorHAnsi"/>
                <w:sz w:val="18"/>
                <w:szCs w:val="18"/>
              </w:rPr>
            </w:pPr>
            <w:r w:rsidRPr="00ED0812">
              <w:rPr>
                <w:rFonts w:asciiTheme="minorHAnsi" w:hAnsiTheme="minorHAnsi" w:cstheme="minorHAnsi"/>
                <w:sz w:val="18"/>
                <w:szCs w:val="18"/>
              </w:rPr>
              <w:t xml:space="preserve">New Zealand </w:t>
            </w:r>
          </w:p>
        </w:tc>
        <w:tc>
          <w:tcPr>
            <w:tcW w:w="834" w:type="dxa"/>
            <w:noWrap/>
            <w:hideMark/>
          </w:tcPr>
          <w:p w14:paraId="49FDA7B0" w14:textId="2F0FC542"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6</w:t>
            </w:r>
          </w:p>
        </w:tc>
        <w:tc>
          <w:tcPr>
            <w:tcW w:w="835" w:type="dxa"/>
            <w:noWrap/>
            <w:hideMark/>
          </w:tcPr>
          <w:p w14:paraId="2316DCB0" w14:textId="0B0F3AE3"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2</w:t>
            </w:r>
          </w:p>
        </w:tc>
        <w:tc>
          <w:tcPr>
            <w:tcW w:w="835" w:type="dxa"/>
            <w:noWrap/>
            <w:hideMark/>
          </w:tcPr>
          <w:p w14:paraId="3F1D05EF" w14:textId="1FCEB50F"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1</w:t>
            </w:r>
          </w:p>
        </w:tc>
        <w:tc>
          <w:tcPr>
            <w:tcW w:w="835" w:type="dxa"/>
            <w:noWrap/>
            <w:hideMark/>
          </w:tcPr>
          <w:p w14:paraId="57796BED" w14:textId="77777777" w:rsidR="00F11295" w:rsidRPr="00ED0812" w:rsidRDefault="00F11295" w:rsidP="00ED0812">
            <w:pPr>
              <w:jc w:val="center"/>
              <w:rPr>
                <w:rFonts w:asciiTheme="minorHAnsi" w:hAnsiTheme="minorHAnsi" w:cstheme="minorHAnsi"/>
                <w:sz w:val="18"/>
                <w:szCs w:val="18"/>
              </w:rPr>
            </w:pPr>
          </w:p>
        </w:tc>
        <w:tc>
          <w:tcPr>
            <w:tcW w:w="835" w:type="dxa"/>
            <w:noWrap/>
            <w:hideMark/>
          </w:tcPr>
          <w:p w14:paraId="682E5596" w14:textId="4809F62C"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5</w:t>
            </w:r>
          </w:p>
        </w:tc>
        <w:tc>
          <w:tcPr>
            <w:tcW w:w="835" w:type="dxa"/>
            <w:noWrap/>
            <w:hideMark/>
          </w:tcPr>
          <w:p w14:paraId="54964A4F" w14:textId="4B60E192"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2</w:t>
            </w:r>
          </w:p>
        </w:tc>
        <w:tc>
          <w:tcPr>
            <w:tcW w:w="835" w:type="dxa"/>
            <w:noWrap/>
            <w:hideMark/>
          </w:tcPr>
          <w:p w14:paraId="24ADAB57" w14:textId="324DE7A5"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5</w:t>
            </w:r>
          </w:p>
        </w:tc>
        <w:tc>
          <w:tcPr>
            <w:tcW w:w="835" w:type="dxa"/>
            <w:noWrap/>
            <w:hideMark/>
          </w:tcPr>
          <w:p w14:paraId="3592FF00" w14:textId="77777777" w:rsidR="00F11295" w:rsidRPr="00ED0812" w:rsidRDefault="00F11295" w:rsidP="00ED0812">
            <w:pPr>
              <w:jc w:val="center"/>
              <w:rPr>
                <w:rFonts w:asciiTheme="minorHAnsi" w:hAnsiTheme="minorHAnsi" w:cstheme="minorHAnsi"/>
                <w:sz w:val="18"/>
                <w:szCs w:val="18"/>
              </w:rPr>
            </w:pPr>
          </w:p>
        </w:tc>
        <w:tc>
          <w:tcPr>
            <w:tcW w:w="835" w:type="dxa"/>
            <w:noWrap/>
            <w:hideMark/>
          </w:tcPr>
          <w:p w14:paraId="634D6708" w14:textId="71BC7244" w:rsidR="00F11295" w:rsidRPr="00ED0812" w:rsidRDefault="00B92C16" w:rsidP="00ED0812">
            <w:pPr>
              <w:jc w:val="center"/>
              <w:rPr>
                <w:rFonts w:asciiTheme="minorHAnsi" w:hAnsiTheme="minorHAnsi" w:cstheme="minorHAnsi"/>
                <w:sz w:val="18"/>
                <w:szCs w:val="18"/>
              </w:rPr>
            </w:pPr>
            <w:r w:rsidRPr="00ED0812">
              <w:rPr>
                <w:rFonts w:asciiTheme="minorHAnsi" w:hAnsiTheme="minorHAnsi" w:cstheme="minorHAnsi"/>
                <w:sz w:val="18"/>
                <w:szCs w:val="18"/>
              </w:rPr>
              <w:t>6</w:t>
            </w:r>
          </w:p>
        </w:tc>
        <w:tc>
          <w:tcPr>
            <w:tcW w:w="835" w:type="dxa"/>
            <w:noWrap/>
            <w:hideMark/>
          </w:tcPr>
          <w:p w14:paraId="2B769B6A" w14:textId="77777777" w:rsidR="00F11295" w:rsidRPr="00ED0812" w:rsidRDefault="00F11295" w:rsidP="00ED0812">
            <w:pPr>
              <w:jc w:val="center"/>
              <w:rPr>
                <w:rFonts w:asciiTheme="minorHAnsi" w:hAnsiTheme="minorHAnsi" w:cstheme="minorHAnsi"/>
                <w:sz w:val="18"/>
                <w:szCs w:val="18"/>
              </w:rPr>
            </w:pPr>
          </w:p>
        </w:tc>
      </w:tr>
    </w:tbl>
    <w:p w14:paraId="09AE78CC" w14:textId="2EFA4171" w:rsidR="00F11295" w:rsidRDefault="00F11295" w:rsidP="00F11295">
      <w:pPr>
        <w:spacing w:before="120" w:after="120" w:line="276" w:lineRule="auto"/>
        <w:jc w:val="center"/>
        <w:rPr>
          <w:rFonts w:ascii="Calibri" w:eastAsia="Calibri" w:hAnsi="Calibri" w:cs="Calibri"/>
          <w:sz w:val="18"/>
          <w:szCs w:val="18"/>
          <w:lang w:val="en-AU"/>
        </w:rPr>
      </w:pPr>
      <w:r w:rsidRPr="00BA4D56">
        <w:rPr>
          <w:rFonts w:ascii="Calibri" w:eastAsia="Calibri" w:hAnsi="Calibri" w:cs="Calibri"/>
          <w:sz w:val="18"/>
          <w:szCs w:val="18"/>
          <w:lang w:val="en-AU"/>
        </w:rPr>
        <w:t>Source: See Appendix 1</w:t>
      </w:r>
      <w:r>
        <w:rPr>
          <w:rFonts w:ascii="Calibri" w:eastAsia="Calibri" w:hAnsi="Calibri" w:cs="Calibri"/>
          <w:sz w:val="18"/>
          <w:szCs w:val="18"/>
          <w:lang w:val="en-AU"/>
        </w:rPr>
        <w:t xml:space="preserve"> for expanded summary. Excludes submissions which not express a view</w:t>
      </w:r>
      <w:r w:rsidR="009503CD">
        <w:rPr>
          <w:rFonts w:ascii="Calibri" w:eastAsia="Calibri" w:hAnsi="Calibri" w:cs="Calibri"/>
          <w:sz w:val="18"/>
          <w:szCs w:val="18"/>
          <w:lang w:val="en-AU"/>
        </w:rPr>
        <w:t xml:space="preserve">. Includes conditional responses, where stakeholders reported that they could change their views (either way) depending on the final text of the standards. </w:t>
      </w:r>
    </w:p>
    <w:p w14:paraId="00220FA2" w14:textId="11B4E97B" w:rsidR="00F11295" w:rsidRPr="009503CD" w:rsidRDefault="009503CD" w:rsidP="009503CD">
      <w:pPr>
        <w:keepNext/>
        <w:keepLines/>
        <w:spacing w:before="240" w:after="240" w:line="278" w:lineRule="auto"/>
        <w:outlineLvl w:val="4"/>
        <w:rPr>
          <w:rFonts w:ascii="Calibri" w:eastAsia="Times New Roman" w:hAnsi="Calibri" w:cs="Calibri"/>
          <w:b/>
          <w:color w:val="FF0000"/>
          <w:sz w:val="32"/>
          <w:szCs w:val="24"/>
          <w:lang w:val="en-AU"/>
        </w:rPr>
      </w:pPr>
      <w:r w:rsidRPr="009503CD">
        <w:rPr>
          <w:rFonts w:ascii="Calibri" w:eastAsia="Times New Roman" w:hAnsi="Calibri" w:cs="Calibri"/>
          <w:b/>
          <w:color w:val="FF0000"/>
          <w:sz w:val="32"/>
          <w:szCs w:val="24"/>
          <w:lang w:val="en-AU"/>
        </w:rPr>
        <w:t>Implementation</w:t>
      </w:r>
    </w:p>
    <w:p w14:paraId="60976AB7" w14:textId="0541BCE8" w:rsidR="009503CD" w:rsidRPr="00A37634" w:rsidRDefault="009503CD" w:rsidP="009503CD">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For </w:t>
      </w:r>
      <w:r w:rsidR="00B61FAC">
        <w:rPr>
          <w:rFonts w:ascii="Calibri" w:eastAsia="Calibri" w:hAnsi="Calibri" w:cs="Calibri"/>
          <w:szCs w:val="20"/>
          <w:lang w:val="en-AU"/>
        </w:rPr>
        <w:t xml:space="preserve">ACs </w:t>
      </w:r>
      <w:r w:rsidRPr="00A37634">
        <w:rPr>
          <w:rFonts w:ascii="Calibri" w:eastAsia="Calibri" w:hAnsi="Calibri" w:cs="Calibri"/>
          <w:szCs w:val="20"/>
          <w:lang w:val="en-AU"/>
        </w:rPr>
        <w:t xml:space="preserve">and electric storage water heaters, which are covered by existing GEMS Determinations for energy efficiency, the measure </w:t>
      </w:r>
      <w:r>
        <w:rPr>
          <w:rFonts w:ascii="Calibri" w:eastAsia="Calibri" w:hAnsi="Calibri" w:cs="Calibri"/>
          <w:szCs w:val="20"/>
          <w:lang w:val="en-AU"/>
        </w:rPr>
        <w:t xml:space="preserve">can </w:t>
      </w:r>
      <w:r w:rsidRPr="00A37634">
        <w:rPr>
          <w:rFonts w:ascii="Calibri" w:eastAsia="Calibri" w:hAnsi="Calibri" w:cs="Calibri"/>
          <w:szCs w:val="20"/>
          <w:lang w:val="en-AU"/>
        </w:rPr>
        <w:t>be implemented by revised Determinations under the GEMS Act 2012</w:t>
      </w:r>
      <w:r>
        <w:rPr>
          <w:rFonts w:ascii="Calibri" w:eastAsia="Calibri" w:hAnsi="Calibri" w:cs="Calibri"/>
          <w:szCs w:val="20"/>
          <w:lang w:val="en-AU"/>
        </w:rPr>
        <w:t>. Product registration systems are also in place for th</w:t>
      </w:r>
      <w:r w:rsidR="00ED0812">
        <w:rPr>
          <w:rFonts w:ascii="Calibri" w:eastAsia="Calibri" w:hAnsi="Calibri" w:cs="Calibri"/>
          <w:szCs w:val="20"/>
          <w:lang w:val="en-AU"/>
        </w:rPr>
        <w:t>o</w:t>
      </w:r>
      <w:r>
        <w:rPr>
          <w:rFonts w:ascii="Calibri" w:eastAsia="Calibri" w:hAnsi="Calibri" w:cs="Calibri"/>
          <w:szCs w:val="20"/>
          <w:lang w:val="en-AU"/>
        </w:rPr>
        <w:t xml:space="preserve">se products. </w:t>
      </w:r>
    </w:p>
    <w:p w14:paraId="2DEE8DAA" w14:textId="178FFA2E" w:rsidR="009503CD" w:rsidRDefault="009503CD" w:rsidP="009503CD">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For pool pump controllers and EV chargers, implementation is less straightforward. There are no existing GEMS Determinations for these products, and the GEMS Act would need to be amended to allow a stand-alone GEMS Determination covering this type of requirement to be made.</w:t>
      </w:r>
      <w:r>
        <w:rPr>
          <w:rFonts w:ascii="Calibri" w:eastAsia="Calibri" w:hAnsi="Calibri" w:cs="Calibri"/>
          <w:szCs w:val="20"/>
          <w:lang w:val="en-AU"/>
        </w:rPr>
        <w:t xml:space="preserve"> </w:t>
      </w:r>
      <w:r w:rsidR="00ED0812">
        <w:rPr>
          <w:rFonts w:ascii="Calibri" w:eastAsia="Calibri" w:hAnsi="Calibri" w:cs="Calibri"/>
          <w:szCs w:val="20"/>
          <w:lang w:val="en-AU"/>
        </w:rPr>
        <w:t xml:space="preserve">One of the </w:t>
      </w:r>
      <w:r>
        <w:rPr>
          <w:rFonts w:ascii="Calibri" w:eastAsia="Calibri" w:hAnsi="Calibri" w:cs="Calibri"/>
          <w:szCs w:val="20"/>
          <w:lang w:val="en-AU"/>
        </w:rPr>
        <w:t xml:space="preserve">recommendations of the Final Report of the Independent Review of the GEMS Act </w:t>
      </w:r>
      <w:r w:rsidR="00ED0812">
        <w:rPr>
          <w:rFonts w:ascii="Calibri" w:eastAsia="Calibri" w:hAnsi="Calibri" w:cs="Calibri"/>
          <w:szCs w:val="20"/>
          <w:lang w:val="en-AU"/>
        </w:rPr>
        <w:t>is that</w:t>
      </w:r>
      <w:r>
        <w:rPr>
          <w:rFonts w:ascii="Calibri" w:eastAsia="Calibri" w:hAnsi="Calibri" w:cs="Calibri"/>
          <w:szCs w:val="20"/>
          <w:lang w:val="en-AU"/>
        </w:rPr>
        <w:t xml:space="preserve">: </w:t>
      </w:r>
    </w:p>
    <w:p w14:paraId="33BD71C6" w14:textId="77777777" w:rsidR="009503CD" w:rsidRPr="008F045D" w:rsidRDefault="009503CD" w:rsidP="009503CD">
      <w:pPr>
        <w:spacing w:before="120" w:after="120" w:line="276" w:lineRule="auto"/>
        <w:ind w:left="720"/>
        <w:rPr>
          <w:rFonts w:ascii="Calibri" w:eastAsia="Calibri" w:hAnsi="Calibri" w:cs="Calibri"/>
          <w:szCs w:val="20"/>
          <w:lang w:val="en-AU"/>
        </w:rPr>
      </w:pPr>
      <w:r>
        <w:rPr>
          <w:rFonts w:ascii="Calibri" w:eastAsia="Calibri" w:hAnsi="Calibri" w:cs="Calibri"/>
          <w:szCs w:val="20"/>
          <w:lang w:val="en-AU"/>
        </w:rPr>
        <w:t xml:space="preserve">“38. </w:t>
      </w:r>
      <w:r w:rsidRPr="008F045D">
        <w:rPr>
          <w:rFonts w:ascii="Calibri" w:eastAsia="Calibri" w:hAnsi="Calibri" w:cs="Calibri"/>
          <w:szCs w:val="20"/>
          <w:lang w:val="en-AU"/>
        </w:rPr>
        <w:t>The Commonwealth Government update the GEMS Act to allow for mandatory demand response capability.</w:t>
      </w:r>
      <w:r>
        <w:rPr>
          <w:rFonts w:ascii="Calibri" w:eastAsia="Calibri" w:hAnsi="Calibri" w:cs="Calibri"/>
          <w:szCs w:val="20"/>
          <w:lang w:val="en-AU"/>
        </w:rPr>
        <w:t>”</w:t>
      </w:r>
      <w:r>
        <w:rPr>
          <w:rStyle w:val="FootnoteReference"/>
          <w:rFonts w:ascii="Calibri" w:eastAsia="Calibri" w:hAnsi="Calibri" w:cs="Calibri"/>
          <w:szCs w:val="20"/>
          <w:lang w:val="en-AU"/>
        </w:rPr>
        <w:footnoteReference w:id="8"/>
      </w:r>
    </w:p>
    <w:p w14:paraId="05C2898E" w14:textId="3FBFA211" w:rsidR="009503CD" w:rsidRPr="00A37634" w:rsidRDefault="009503CD" w:rsidP="009503CD">
      <w:pPr>
        <w:spacing w:before="120" w:after="120" w:line="276" w:lineRule="auto"/>
        <w:rPr>
          <w:rFonts w:ascii="Calibri" w:eastAsia="Calibri" w:hAnsi="Calibri" w:cs="Calibri"/>
          <w:szCs w:val="20"/>
          <w:lang w:val="en-AU"/>
        </w:rPr>
      </w:pPr>
      <w:r>
        <w:rPr>
          <w:rFonts w:ascii="Calibri" w:eastAsia="Calibri" w:hAnsi="Calibri" w:cs="Calibri"/>
          <w:szCs w:val="20"/>
          <w:lang w:val="en-AU"/>
        </w:rPr>
        <w:t>T</w:t>
      </w:r>
      <w:r w:rsidRPr="00A37634">
        <w:rPr>
          <w:rFonts w:ascii="Calibri" w:eastAsia="Calibri" w:hAnsi="Calibri" w:cs="Calibri"/>
          <w:szCs w:val="20"/>
          <w:lang w:val="en-AU"/>
        </w:rPr>
        <w:t xml:space="preserve">he Commonwealth Government response to </w:t>
      </w:r>
      <w:r w:rsidR="00ED0812">
        <w:rPr>
          <w:rFonts w:ascii="Calibri" w:eastAsia="Calibri" w:hAnsi="Calibri" w:cs="Calibri"/>
          <w:szCs w:val="20"/>
          <w:lang w:val="en-AU"/>
        </w:rPr>
        <w:t xml:space="preserve">this </w:t>
      </w:r>
      <w:r w:rsidRPr="00A37634">
        <w:rPr>
          <w:rFonts w:ascii="Calibri" w:eastAsia="Calibri" w:hAnsi="Calibri" w:cs="Calibri"/>
          <w:szCs w:val="20"/>
          <w:lang w:val="en-AU"/>
        </w:rPr>
        <w:t xml:space="preserve">recommendation will largely determine </w:t>
      </w:r>
      <w:r>
        <w:rPr>
          <w:rFonts w:ascii="Calibri" w:eastAsia="Calibri" w:hAnsi="Calibri" w:cs="Calibri"/>
          <w:szCs w:val="20"/>
          <w:lang w:val="en-AU"/>
        </w:rPr>
        <w:t xml:space="preserve">how quickly DR requirements for pool pump controllers and EV chargers might be implemented via the GEMS Act. </w:t>
      </w:r>
      <w:r w:rsidRPr="00A37634">
        <w:rPr>
          <w:rFonts w:ascii="Calibri" w:eastAsia="Calibri" w:hAnsi="Calibri" w:cs="Calibri"/>
          <w:szCs w:val="20"/>
          <w:lang w:val="en-AU"/>
        </w:rPr>
        <w:t>Some jurisdictions with imminent network issues requiring more controllable devices in the system may consider an earlier implementation using local regulation.</w:t>
      </w:r>
    </w:p>
    <w:p w14:paraId="1323D126" w14:textId="45F8C1F5" w:rsidR="009503CD" w:rsidRPr="00A37634" w:rsidRDefault="009503CD" w:rsidP="009503CD">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lastRenderedPageBreak/>
        <w:t xml:space="preserve">It is envisaged that </w:t>
      </w:r>
      <w:r w:rsidR="00B61FAC">
        <w:rPr>
          <w:rFonts w:ascii="Calibri" w:eastAsia="Calibri" w:hAnsi="Calibri" w:cs="Calibri"/>
          <w:szCs w:val="20"/>
          <w:lang w:val="en-AU"/>
        </w:rPr>
        <w:t>i</w:t>
      </w:r>
      <w:r w:rsidRPr="00A37634">
        <w:rPr>
          <w:rFonts w:ascii="Calibri" w:eastAsia="Calibri" w:hAnsi="Calibri" w:cs="Calibri"/>
          <w:szCs w:val="20"/>
          <w:lang w:val="en-AU"/>
        </w:rPr>
        <w:t>n New Zealand, any policy proposals would be approved by Cabinet before being adopted under the Energy Efficiency (Energy Using Products) Regulations 2002.</w:t>
      </w:r>
    </w:p>
    <w:p w14:paraId="026ECBE0" w14:textId="40679434" w:rsidR="009503CD" w:rsidRPr="00A37634" w:rsidRDefault="00A37634" w:rsidP="009503CD">
      <w:pPr>
        <w:spacing w:before="120" w:after="120" w:line="276" w:lineRule="auto"/>
        <w:rPr>
          <w:rFonts w:ascii="Calibri" w:eastAsia="Calibri" w:hAnsi="Calibri" w:cs="Calibri"/>
          <w:szCs w:val="20"/>
          <w:lang w:val="en-AU"/>
        </w:rPr>
      </w:pPr>
      <w:bookmarkStart w:id="15" w:name="_Hlk16163917"/>
      <w:r w:rsidRPr="00A37634">
        <w:rPr>
          <w:rFonts w:ascii="Calibri" w:eastAsia="Calibri" w:hAnsi="Calibri" w:cs="Calibri"/>
          <w:szCs w:val="20"/>
          <w:lang w:val="en-AU"/>
        </w:rPr>
        <w:t xml:space="preserve">Since the proposal was last considered in 2013, two additional product categories have become significant for peak demand and for the management of an increasingly renewables-intensive network: home storage batteries and PV inverters. </w:t>
      </w:r>
      <w:r w:rsidR="009503CD" w:rsidRPr="00A37634">
        <w:rPr>
          <w:rFonts w:ascii="Calibri" w:eastAsia="Calibri" w:hAnsi="Calibri" w:cs="Calibri"/>
          <w:szCs w:val="20"/>
          <w:lang w:val="en-AU"/>
        </w:rPr>
        <w:t xml:space="preserve">While compliance for battery charge controllers or PV inverters is not part of this proposal, there would be a longer-term opportunity to incorporate all major elements of distributed energy (generation, load and storage) into a unified, open-standard demand response platform.  </w:t>
      </w:r>
      <w:r w:rsidR="00ED0812">
        <w:rPr>
          <w:rFonts w:ascii="Calibri" w:eastAsia="Calibri" w:hAnsi="Calibri" w:cs="Calibri"/>
          <w:szCs w:val="20"/>
          <w:lang w:val="en-AU"/>
        </w:rPr>
        <w:t>Several submissions also proposed that the DR capability of home energy management systems be considered.</w:t>
      </w:r>
    </w:p>
    <w:bookmarkEnd w:id="1"/>
    <w:bookmarkEnd w:id="15"/>
    <w:p w14:paraId="0651E512" w14:textId="77777777" w:rsidR="009503CD" w:rsidRPr="00F11295" w:rsidRDefault="009503CD" w:rsidP="009503CD">
      <w:pPr>
        <w:keepNext/>
        <w:keepLines/>
        <w:spacing w:before="240" w:after="240" w:line="278" w:lineRule="auto"/>
        <w:outlineLvl w:val="4"/>
        <w:rPr>
          <w:rFonts w:ascii="Calibri" w:eastAsia="Times New Roman" w:hAnsi="Calibri" w:cs="Calibri"/>
          <w:b/>
          <w:color w:val="FF0000"/>
          <w:sz w:val="32"/>
          <w:szCs w:val="24"/>
          <w:lang w:val="en-AU"/>
        </w:rPr>
      </w:pPr>
      <w:r w:rsidRPr="00F11295">
        <w:rPr>
          <w:rFonts w:ascii="Calibri" w:eastAsia="Times New Roman" w:hAnsi="Calibri" w:cs="Calibri"/>
          <w:b/>
          <w:color w:val="FF0000"/>
          <w:sz w:val="32"/>
          <w:szCs w:val="24"/>
          <w:lang w:val="en-AU"/>
        </w:rPr>
        <w:t xml:space="preserve">Conclusions and Recommendations  </w:t>
      </w:r>
    </w:p>
    <w:p w14:paraId="1B69D24C" w14:textId="3B56FE1E" w:rsidR="009503CD" w:rsidRDefault="009503CD" w:rsidP="007148EE">
      <w:pPr>
        <w:spacing w:before="120" w:after="120" w:line="276" w:lineRule="auto"/>
        <w:rPr>
          <w:rFonts w:ascii="Calibri" w:eastAsia="Calibri" w:hAnsi="Calibri" w:cs="Calibri"/>
          <w:szCs w:val="20"/>
          <w:lang w:val="en-AU"/>
        </w:rPr>
      </w:pPr>
      <w:r w:rsidRPr="009503CD">
        <w:rPr>
          <w:rFonts w:ascii="Calibri" w:eastAsia="Calibri" w:hAnsi="Calibri" w:cs="Calibri"/>
          <w:szCs w:val="20"/>
          <w:lang w:val="en-AU"/>
        </w:rPr>
        <w:t>Following consideration of the submissions</w:t>
      </w:r>
      <w:r w:rsidR="00B61FAC">
        <w:rPr>
          <w:rFonts w:ascii="Calibri" w:eastAsia="Calibri" w:hAnsi="Calibri" w:cs="Calibri"/>
          <w:szCs w:val="20"/>
          <w:lang w:val="en-AU"/>
        </w:rPr>
        <w:t>,</w:t>
      </w:r>
      <w:r w:rsidRPr="009503CD">
        <w:rPr>
          <w:rFonts w:ascii="Calibri" w:eastAsia="Calibri" w:hAnsi="Calibri" w:cs="Calibri"/>
          <w:szCs w:val="20"/>
          <w:lang w:val="en-AU"/>
        </w:rPr>
        <w:t xml:space="preserve"> it is concluded that Option 3 remains the </w:t>
      </w:r>
      <w:r>
        <w:rPr>
          <w:rFonts w:ascii="Calibri" w:eastAsia="Calibri" w:hAnsi="Calibri" w:cs="Calibri"/>
          <w:szCs w:val="20"/>
          <w:lang w:val="en-AU"/>
        </w:rPr>
        <w:t xml:space="preserve">only </w:t>
      </w:r>
      <w:r w:rsidRPr="009503CD">
        <w:rPr>
          <w:rFonts w:ascii="Calibri" w:eastAsia="Calibri" w:hAnsi="Calibri" w:cs="Calibri"/>
          <w:szCs w:val="20"/>
          <w:lang w:val="en-AU"/>
        </w:rPr>
        <w:t>option</w:t>
      </w:r>
      <w:r>
        <w:rPr>
          <w:rFonts w:ascii="Calibri" w:eastAsia="Calibri" w:hAnsi="Calibri" w:cs="Calibri"/>
          <w:szCs w:val="20"/>
          <w:lang w:val="en-AU"/>
        </w:rPr>
        <w:t xml:space="preserve"> likely to meet the objective: </w:t>
      </w:r>
      <w:r w:rsidR="00B61FAC">
        <w:rPr>
          <w:rFonts w:ascii="Calibri" w:eastAsia="Calibri" w:hAnsi="Calibri" w:cs="Calibri"/>
          <w:szCs w:val="20"/>
          <w:lang w:val="en-AU"/>
        </w:rPr>
        <w:t>“</w:t>
      </w:r>
      <w:r w:rsidR="007148EE" w:rsidRPr="007148EE">
        <w:rPr>
          <w:rFonts w:ascii="Calibri" w:eastAsia="Calibri" w:hAnsi="Calibri" w:cs="Calibri"/>
          <w:szCs w:val="20"/>
          <w:lang w:val="en-AU"/>
        </w:rPr>
        <w:t>to contribute to reducing the future investment requirements for electricity network, generation and transmission infrastructure due to growth in peak electricity demand, and to address network costs arising from the rapid growth in customer-side renewable generation, by facilitating development of the demand response market.”</w:t>
      </w:r>
    </w:p>
    <w:p w14:paraId="7D106A74" w14:textId="2BFCC365" w:rsidR="007148EE" w:rsidRDefault="007148EE" w:rsidP="00C85846">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Option 1 </w:t>
      </w:r>
      <w:r w:rsidR="00C85846">
        <w:rPr>
          <w:rFonts w:ascii="Calibri" w:eastAsia="Calibri" w:hAnsi="Calibri" w:cs="Calibri"/>
          <w:szCs w:val="20"/>
          <w:lang w:val="en-AU"/>
        </w:rPr>
        <w:t xml:space="preserve">would continue the trend that began when </w:t>
      </w:r>
      <w:r>
        <w:rPr>
          <w:rFonts w:ascii="Calibri" w:eastAsia="Calibri" w:hAnsi="Calibri" w:cs="Calibri"/>
          <w:szCs w:val="20"/>
          <w:lang w:val="en-AU"/>
        </w:rPr>
        <w:t xml:space="preserve">the DR standards were first published in 2012. It has produced localised, limited DR programs for conditioners, </w:t>
      </w:r>
      <w:r w:rsidR="00C85846">
        <w:rPr>
          <w:rFonts w:ascii="Calibri" w:eastAsia="Calibri" w:hAnsi="Calibri" w:cs="Calibri"/>
          <w:szCs w:val="20"/>
          <w:lang w:val="en-AU"/>
        </w:rPr>
        <w:t xml:space="preserve">and this is expected to continue. However, there has been no </w:t>
      </w:r>
      <w:r>
        <w:rPr>
          <w:rFonts w:ascii="Calibri" w:eastAsia="Calibri" w:hAnsi="Calibri" w:cs="Calibri"/>
          <w:szCs w:val="20"/>
          <w:lang w:val="en-AU"/>
        </w:rPr>
        <w:t>impact on the DR capability of water heaters, pool pump controllers or EV chargers.</w:t>
      </w:r>
      <w:r w:rsidR="00C85846">
        <w:rPr>
          <w:rFonts w:ascii="Calibri" w:eastAsia="Calibri" w:hAnsi="Calibri" w:cs="Calibri"/>
          <w:szCs w:val="20"/>
          <w:lang w:val="en-AU"/>
        </w:rPr>
        <w:t xml:space="preserve"> </w:t>
      </w:r>
    </w:p>
    <w:p w14:paraId="46B2B198" w14:textId="29A83074" w:rsidR="00C85846" w:rsidRDefault="00C85846" w:rsidP="00C85846">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Option 2 would require a national incentive scheme, to be developed outside the scope of the GEMS Act, that would offer incentives for the purchase of compliant products. Only those products purchased under the scheme would need to comply and others would not. In effect, Option 2 would involve Governments </w:t>
      </w:r>
      <w:r>
        <w:t>funding and running a demand response program, rather than setting a technical product standard</w:t>
      </w:r>
      <w:r w:rsidR="00B61FAC">
        <w:t>.</w:t>
      </w:r>
      <w:r>
        <w:t xml:space="preserve"> Modelling shows that the reduction in costs from such an arrangement would be minimal.  </w:t>
      </w:r>
    </w:p>
    <w:p w14:paraId="7045532A" w14:textId="651F61AC" w:rsidR="00385928" w:rsidRDefault="007148EE" w:rsidP="00385928">
      <w:pPr>
        <w:spacing w:after="120" w:line="276" w:lineRule="auto"/>
        <w:rPr>
          <w:rFonts w:ascii="Calibri" w:eastAsia="Calibri" w:hAnsi="Calibri" w:cs="Calibri"/>
          <w:szCs w:val="20"/>
          <w:lang w:val="en-AU"/>
        </w:rPr>
      </w:pPr>
      <w:r>
        <w:rPr>
          <w:rFonts w:ascii="Calibri" w:eastAsia="Calibri" w:hAnsi="Calibri" w:cs="Calibri"/>
          <w:szCs w:val="20"/>
          <w:lang w:val="en-AU"/>
        </w:rPr>
        <w:t xml:space="preserve">Option </w:t>
      </w:r>
      <w:r w:rsidR="00C85846">
        <w:rPr>
          <w:rFonts w:ascii="Calibri" w:eastAsia="Calibri" w:hAnsi="Calibri" w:cs="Calibri"/>
          <w:szCs w:val="20"/>
          <w:lang w:val="en-AU"/>
        </w:rPr>
        <w:t>3</w:t>
      </w:r>
      <w:r>
        <w:rPr>
          <w:rFonts w:ascii="Calibri" w:eastAsia="Calibri" w:hAnsi="Calibri" w:cs="Calibri"/>
          <w:szCs w:val="20"/>
          <w:lang w:val="en-AU"/>
        </w:rPr>
        <w:t xml:space="preserve"> </w:t>
      </w:r>
      <w:r w:rsidR="00385928">
        <w:rPr>
          <w:rFonts w:ascii="Calibri" w:eastAsia="Calibri" w:hAnsi="Calibri" w:cs="Calibri"/>
          <w:szCs w:val="20"/>
          <w:lang w:val="en-AU"/>
        </w:rPr>
        <w:t xml:space="preserve">is the only option likely to meet the objectives and remains the preferred option, subject to some modification to accommodate the responses and interests of stakeholders. </w:t>
      </w:r>
    </w:p>
    <w:p w14:paraId="2E94754F" w14:textId="77777777" w:rsidR="00385928" w:rsidRDefault="00385928" w:rsidP="00385928">
      <w:pPr>
        <w:spacing w:after="120" w:line="276" w:lineRule="auto"/>
        <w:rPr>
          <w:rFonts w:ascii="Calibri" w:eastAsia="Calibri" w:hAnsi="Calibri" w:cs="Calibri"/>
          <w:szCs w:val="20"/>
          <w:lang w:val="en-AU"/>
        </w:rPr>
      </w:pPr>
      <w:r>
        <w:rPr>
          <w:rFonts w:ascii="Calibri" w:eastAsia="Calibri" w:hAnsi="Calibri" w:cs="Calibri"/>
          <w:szCs w:val="20"/>
          <w:lang w:val="en-AU"/>
        </w:rPr>
        <w:t xml:space="preserve">Therefore, it is </w:t>
      </w:r>
      <w:r w:rsidRPr="00385928">
        <w:rPr>
          <w:rFonts w:ascii="Calibri" w:eastAsia="Calibri" w:hAnsi="Calibri" w:cs="Calibri"/>
          <w:b/>
          <w:bCs/>
          <w:szCs w:val="20"/>
          <w:lang w:val="en-AU"/>
        </w:rPr>
        <w:t xml:space="preserve">recommended </w:t>
      </w:r>
      <w:r>
        <w:rPr>
          <w:rFonts w:ascii="Calibri" w:eastAsia="Calibri" w:hAnsi="Calibri" w:cs="Calibri"/>
          <w:szCs w:val="20"/>
          <w:lang w:val="en-AU"/>
        </w:rPr>
        <w:t xml:space="preserve">that COAG Energy Council approve the following compliance requirements and target dates: </w:t>
      </w:r>
    </w:p>
    <w:p w14:paraId="106525B4" w14:textId="42F97E9A" w:rsidR="00385928" w:rsidRPr="00E046B3" w:rsidRDefault="00385928" w:rsidP="00385928">
      <w:pPr>
        <w:rPr>
          <w:lang w:val="en-AU"/>
        </w:rPr>
      </w:pPr>
      <w:r w:rsidRPr="00E046B3">
        <w:rPr>
          <w:lang w:val="en-AU"/>
        </w:rPr>
        <w:t>1. Ministers endorse the adoption of nationally applicable, public, non-proprietary standards for demand response for air conditioners</w:t>
      </w:r>
      <w:r w:rsidR="00B61FAC">
        <w:rPr>
          <w:lang w:val="en-AU"/>
        </w:rPr>
        <w:t xml:space="preserve"> (ACs)</w:t>
      </w:r>
      <w:r w:rsidRPr="00E046B3">
        <w:rPr>
          <w:lang w:val="en-AU"/>
        </w:rPr>
        <w:t xml:space="preserve">, electric storage water heaters, pool pump controllers and electric vehicle (EV) chargers intended </w:t>
      </w:r>
      <w:r>
        <w:rPr>
          <w:lang w:val="en-AU"/>
        </w:rPr>
        <w:t xml:space="preserve">for </w:t>
      </w:r>
      <w:r w:rsidRPr="00E046B3">
        <w:rPr>
          <w:lang w:val="en-AU"/>
        </w:rPr>
        <w:t xml:space="preserve">residential use. </w:t>
      </w:r>
    </w:p>
    <w:p w14:paraId="1364213E" w14:textId="77777777" w:rsidR="00385928" w:rsidRPr="00E046B3" w:rsidRDefault="00385928" w:rsidP="00385928">
      <w:pPr>
        <w:rPr>
          <w:b/>
          <w:bCs/>
          <w:lang w:val="en-AU"/>
        </w:rPr>
      </w:pPr>
      <w:r w:rsidRPr="00E046B3">
        <w:rPr>
          <w:b/>
          <w:bCs/>
          <w:lang w:val="en-AU"/>
        </w:rPr>
        <w:t xml:space="preserve">Air conditioners </w:t>
      </w:r>
    </w:p>
    <w:p w14:paraId="035BF981" w14:textId="77777777" w:rsidR="00385928" w:rsidRPr="00E046B3" w:rsidRDefault="00385928" w:rsidP="00385928">
      <w:pPr>
        <w:rPr>
          <w:lang w:val="en-AU"/>
        </w:rPr>
      </w:pPr>
      <w:r w:rsidRPr="00E046B3">
        <w:rPr>
          <w:lang w:val="en-AU"/>
        </w:rPr>
        <w:t xml:space="preserve">2. </w:t>
      </w:r>
      <w:r>
        <w:rPr>
          <w:lang w:val="en-AU"/>
        </w:rPr>
        <w:t xml:space="preserve">Air conditioners to comply with </w:t>
      </w:r>
      <w:r w:rsidRPr="00E046B3">
        <w:rPr>
          <w:u w:val="single"/>
          <w:lang w:val="en-AU"/>
        </w:rPr>
        <w:t>any</w:t>
      </w:r>
      <w:r w:rsidRPr="008E7146">
        <w:rPr>
          <w:lang w:val="en-AU"/>
        </w:rPr>
        <w:t xml:space="preserve"> </w:t>
      </w:r>
      <w:r w:rsidRPr="00E046B3">
        <w:rPr>
          <w:lang w:val="en-AU"/>
        </w:rPr>
        <w:t xml:space="preserve">of the following </w:t>
      </w:r>
      <w:r>
        <w:rPr>
          <w:lang w:val="en-AU"/>
        </w:rPr>
        <w:t>standards:</w:t>
      </w:r>
    </w:p>
    <w:p w14:paraId="7A7F8341" w14:textId="77777777" w:rsidR="00385928" w:rsidRPr="00E046B3" w:rsidRDefault="00385928" w:rsidP="00385928">
      <w:pPr>
        <w:pStyle w:val="ListParagraph"/>
        <w:numPr>
          <w:ilvl w:val="0"/>
          <w:numId w:val="32"/>
        </w:numPr>
      </w:pPr>
      <w:r w:rsidRPr="00E046B3">
        <w:t>AS/NZS 4755.3.1:2014; or</w:t>
      </w:r>
    </w:p>
    <w:p w14:paraId="08DB5A10" w14:textId="77777777" w:rsidR="00385928" w:rsidRDefault="00385928" w:rsidP="00385928">
      <w:pPr>
        <w:pStyle w:val="ListParagraph"/>
        <w:numPr>
          <w:ilvl w:val="0"/>
          <w:numId w:val="32"/>
        </w:numPr>
      </w:pPr>
      <w:r w:rsidRPr="00E046B3">
        <w:t>AS/NZS 4755.2</w:t>
      </w:r>
      <w:r>
        <w:t xml:space="preserve"> (when published); or </w:t>
      </w:r>
    </w:p>
    <w:p w14:paraId="621ADE9E" w14:textId="77777777" w:rsidR="00385928" w:rsidRPr="00E046B3" w:rsidRDefault="00385928" w:rsidP="00385928">
      <w:pPr>
        <w:pStyle w:val="ListParagraph"/>
        <w:numPr>
          <w:ilvl w:val="0"/>
          <w:numId w:val="32"/>
        </w:numPr>
      </w:pPr>
      <w:r w:rsidRPr="00E046B3">
        <w:t>The equivalent of the superseded AS/NZS 4755.3.1:2012 (for a limited period of 2 years</w:t>
      </w:r>
      <w:r>
        <w:t xml:space="preserve"> from the Determination</w:t>
      </w:r>
      <w:r w:rsidRPr="00E046B3">
        <w:t>).</w:t>
      </w:r>
    </w:p>
    <w:p w14:paraId="3BDB4630" w14:textId="3457895D" w:rsidR="00385928" w:rsidRDefault="00385928" w:rsidP="00385928">
      <w:pPr>
        <w:rPr>
          <w:lang w:val="en-AU"/>
        </w:rPr>
      </w:pPr>
      <w:r w:rsidRPr="00E046B3">
        <w:rPr>
          <w:lang w:val="en-AU"/>
        </w:rPr>
        <w:t xml:space="preserve">3. Compliance with three demand response modes (DRM1, DRM2, DRM3) to be required, for all </w:t>
      </w:r>
      <w:r w:rsidR="00B61FAC">
        <w:rPr>
          <w:lang w:val="en-AU"/>
        </w:rPr>
        <w:t xml:space="preserve">AC </w:t>
      </w:r>
      <w:r w:rsidRPr="00E046B3">
        <w:rPr>
          <w:lang w:val="en-AU"/>
        </w:rPr>
        <w:t>types subject to MEPS (excluding portable</w:t>
      </w:r>
      <w:r>
        <w:rPr>
          <w:lang w:val="en-AU"/>
        </w:rPr>
        <w:t xml:space="preserve"> air conditioners</w:t>
      </w:r>
      <w:r w:rsidRPr="00E046B3">
        <w:rPr>
          <w:lang w:val="en-AU"/>
        </w:rPr>
        <w:t>)</w:t>
      </w:r>
      <w:r>
        <w:rPr>
          <w:lang w:val="en-AU"/>
        </w:rPr>
        <w:t>,</w:t>
      </w:r>
      <w:r w:rsidRPr="00E046B3">
        <w:rPr>
          <w:lang w:val="en-AU"/>
        </w:rPr>
        <w:t xml:space="preserve"> up to a cooling capacity of 19kW inclusive</w:t>
      </w:r>
      <w:r>
        <w:rPr>
          <w:lang w:val="en-AU"/>
        </w:rPr>
        <w:t xml:space="preserve">, </w:t>
      </w:r>
      <w:r w:rsidRPr="00E046B3">
        <w:rPr>
          <w:lang w:val="en-AU"/>
        </w:rPr>
        <w:t xml:space="preserve">registered after </w:t>
      </w:r>
      <w:r>
        <w:rPr>
          <w:lang w:val="en-AU"/>
        </w:rPr>
        <w:t xml:space="preserve">30 June </w:t>
      </w:r>
      <w:r w:rsidRPr="00E046B3">
        <w:rPr>
          <w:lang w:val="en-AU"/>
        </w:rPr>
        <w:t>2023</w:t>
      </w:r>
      <w:r>
        <w:rPr>
          <w:lang w:val="en-AU"/>
        </w:rPr>
        <w:t>.</w:t>
      </w:r>
    </w:p>
    <w:p w14:paraId="662083C4" w14:textId="5CD4CA76" w:rsidR="00385928" w:rsidRDefault="00B61FAC" w:rsidP="00385928">
      <w:pPr>
        <w:rPr>
          <w:lang w:val="en-AU"/>
        </w:rPr>
      </w:pPr>
      <w:r>
        <w:rPr>
          <w:lang w:val="en-AU"/>
        </w:rPr>
        <w:lastRenderedPageBreak/>
        <w:t>4</w:t>
      </w:r>
      <w:r w:rsidR="00385928">
        <w:rPr>
          <w:lang w:val="en-AU"/>
        </w:rPr>
        <w:t>. This option of complying with t</w:t>
      </w:r>
      <w:r w:rsidR="00385928" w:rsidRPr="00E046B3">
        <w:rPr>
          <w:lang w:val="en-AU"/>
        </w:rPr>
        <w:t>he equivalent of the superseded AS/NZS 4755.3.1:2012</w:t>
      </w:r>
      <w:r w:rsidR="00385928">
        <w:rPr>
          <w:lang w:val="en-AU"/>
        </w:rPr>
        <w:t xml:space="preserve"> to be no longer available for products registered after 30 June 2025</w:t>
      </w:r>
      <w:r>
        <w:rPr>
          <w:lang w:val="en-AU"/>
        </w:rPr>
        <w:t>.</w:t>
      </w:r>
      <w:r w:rsidR="00385928">
        <w:rPr>
          <w:lang w:val="en-AU"/>
        </w:rPr>
        <w:t xml:space="preserve"> </w:t>
      </w:r>
      <w:r w:rsidR="00385928" w:rsidRPr="00E046B3">
        <w:rPr>
          <w:lang w:val="en-AU"/>
        </w:rPr>
        <w:t xml:space="preserve"> </w:t>
      </w:r>
      <w:r w:rsidR="00385928">
        <w:rPr>
          <w:lang w:val="en-AU"/>
        </w:rPr>
        <w:t xml:space="preserve"> </w:t>
      </w:r>
    </w:p>
    <w:p w14:paraId="086BD85D" w14:textId="2730887C" w:rsidR="00385928" w:rsidRPr="00E046B3" w:rsidRDefault="00B61FAC" w:rsidP="00385928">
      <w:pPr>
        <w:rPr>
          <w:lang w:val="en-AU"/>
        </w:rPr>
      </w:pPr>
      <w:r>
        <w:rPr>
          <w:lang w:val="en-AU"/>
        </w:rPr>
        <w:t>5</w:t>
      </w:r>
      <w:r w:rsidR="00385928">
        <w:rPr>
          <w:lang w:val="en-AU"/>
        </w:rPr>
        <w:t xml:space="preserve">. A </w:t>
      </w:r>
      <w:r w:rsidR="00B803C1">
        <w:rPr>
          <w:lang w:val="en-AU"/>
        </w:rPr>
        <w:t>D</w:t>
      </w:r>
      <w:r w:rsidR="00385928" w:rsidRPr="00E046B3">
        <w:rPr>
          <w:lang w:val="en-AU"/>
        </w:rPr>
        <w:t xml:space="preserve">etermination </w:t>
      </w:r>
      <w:r w:rsidR="00385928">
        <w:rPr>
          <w:lang w:val="en-AU"/>
        </w:rPr>
        <w:t xml:space="preserve">to give effect to the above to be made by </w:t>
      </w:r>
      <w:r w:rsidR="00385928" w:rsidRPr="00E046B3">
        <w:rPr>
          <w:lang w:val="en-AU"/>
        </w:rPr>
        <w:t xml:space="preserve">1 July 2021. </w:t>
      </w:r>
    </w:p>
    <w:p w14:paraId="2C581950" w14:textId="77777777" w:rsidR="00385928" w:rsidRPr="00E046B3" w:rsidRDefault="00385928" w:rsidP="00385928">
      <w:pPr>
        <w:rPr>
          <w:b/>
          <w:bCs/>
          <w:lang w:val="en-AU"/>
        </w:rPr>
      </w:pPr>
      <w:r w:rsidRPr="00E046B3">
        <w:rPr>
          <w:b/>
          <w:bCs/>
          <w:lang w:val="en-AU"/>
        </w:rPr>
        <w:t>Electric Storage Water Heaters (Resistive Heating)</w:t>
      </w:r>
    </w:p>
    <w:p w14:paraId="4ACFEE60" w14:textId="30B50724" w:rsidR="00385928" w:rsidRPr="00E046B3" w:rsidRDefault="00B61FAC" w:rsidP="00385928">
      <w:pPr>
        <w:rPr>
          <w:lang w:val="en-AU"/>
        </w:rPr>
      </w:pPr>
      <w:r>
        <w:rPr>
          <w:lang w:val="en-AU"/>
        </w:rPr>
        <w:t>6</w:t>
      </w:r>
      <w:r w:rsidR="00385928">
        <w:rPr>
          <w:lang w:val="en-AU"/>
        </w:rPr>
        <w:t>. Electric Storage Water Heaters</w:t>
      </w:r>
      <w:r w:rsidR="00385928" w:rsidRPr="00E046B3">
        <w:rPr>
          <w:lang w:val="en-AU"/>
        </w:rPr>
        <w:t xml:space="preserve"> </w:t>
      </w:r>
      <w:r w:rsidR="00385928">
        <w:rPr>
          <w:lang w:val="en-AU"/>
        </w:rPr>
        <w:t>to comply with either of the following standards</w:t>
      </w:r>
      <w:r w:rsidR="00385928" w:rsidRPr="00E046B3">
        <w:rPr>
          <w:lang w:val="en-AU"/>
        </w:rPr>
        <w:t>:</w:t>
      </w:r>
    </w:p>
    <w:p w14:paraId="25F8AA53" w14:textId="77777777" w:rsidR="00385928" w:rsidRPr="00E046B3" w:rsidRDefault="00385928" w:rsidP="00385928">
      <w:pPr>
        <w:pStyle w:val="ListParagraph"/>
        <w:numPr>
          <w:ilvl w:val="0"/>
          <w:numId w:val="32"/>
        </w:numPr>
      </w:pPr>
      <w:r w:rsidRPr="00E046B3">
        <w:t>AS/NZS 4755.3.3:2014; or</w:t>
      </w:r>
    </w:p>
    <w:p w14:paraId="4FAAF6A3" w14:textId="77777777" w:rsidR="00385928" w:rsidRPr="00E046B3" w:rsidRDefault="00385928" w:rsidP="00385928">
      <w:pPr>
        <w:pStyle w:val="ListParagraph"/>
        <w:numPr>
          <w:ilvl w:val="0"/>
          <w:numId w:val="32"/>
        </w:numPr>
      </w:pPr>
      <w:r w:rsidRPr="00E046B3">
        <w:t>AS/NZS 4755.2</w:t>
      </w:r>
      <w:r>
        <w:t xml:space="preserve"> (when published)</w:t>
      </w:r>
      <w:r w:rsidRPr="00E046B3">
        <w:t xml:space="preserve">.  </w:t>
      </w:r>
    </w:p>
    <w:p w14:paraId="4F199A77" w14:textId="2BDFC19A" w:rsidR="00385928" w:rsidRPr="00E046B3" w:rsidRDefault="00B61FAC" w:rsidP="00385928">
      <w:pPr>
        <w:rPr>
          <w:lang w:val="en-AU"/>
        </w:rPr>
      </w:pPr>
      <w:r>
        <w:rPr>
          <w:lang w:val="en-AU"/>
        </w:rPr>
        <w:t>7</w:t>
      </w:r>
      <w:r w:rsidR="00385928" w:rsidRPr="00E046B3">
        <w:rPr>
          <w:lang w:val="en-AU"/>
        </w:rPr>
        <w:t xml:space="preserve">. Compliance with demand response mode </w:t>
      </w:r>
      <w:r w:rsidR="00385928">
        <w:rPr>
          <w:lang w:val="en-AU"/>
        </w:rPr>
        <w:t xml:space="preserve">1 </w:t>
      </w:r>
      <w:r w:rsidR="00385928" w:rsidRPr="00E046B3">
        <w:rPr>
          <w:lang w:val="en-AU"/>
        </w:rPr>
        <w:t>(DRM1) to be required, for electric storage water heaters of 50 to 710 litres (inclusive) nominal capacity</w:t>
      </w:r>
      <w:r w:rsidR="00385928">
        <w:rPr>
          <w:lang w:val="en-AU"/>
        </w:rPr>
        <w:t xml:space="preserve"> subject to MEPS</w:t>
      </w:r>
      <w:r w:rsidR="00385928" w:rsidRPr="00E046B3">
        <w:rPr>
          <w:lang w:val="en-AU"/>
        </w:rPr>
        <w:t xml:space="preserve"> (excluding heat exchange water heaters)</w:t>
      </w:r>
      <w:r w:rsidR="00385928">
        <w:rPr>
          <w:lang w:val="en-AU"/>
        </w:rPr>
        <w:t>, registered after 1 July 2023.</w:t>
      </w:r>
      <w:r w:rsidR="00385928" w:rsidRPr="00E046B3">
        <w:rPr>
          <w:lang w:val="en-AU"/>
        </w:rPr>
        <w:t xml:space="preserve"> </w:t>
      </w:r>
      <w:r w:rsidR="00385928">
        <w:rPr>
          <w:lang w:val="en-AU"/>
        </w:rPr>
        <w:t>(Other DRMs are optional).</w:t>
      </w:r>
      <w:r w:rsidR="00385928" w:rsidRPr="00E046B3">
        <w:rPr>
          <w:lang w:val="en-AU"/>
        </w:rPr>
        <w:t xml:space="preserve"> </w:t>
      </w:r>
    </w:p>
    <w:p w14:paraId="24479DC6" w14:textId="47A54106" w:rsidR="00385928" w:rsidRPr="00E046B3" w:rsidRDefault="00B61FAC" w:rsidP="00385928">
      <w:pPr>
        <w:rPr>
          <w:lang w:val="en-AU"/>
        </w:rPr>
      </w:pPr>
      <w:r>
        <w:rPr>
          <w:lang w:val="en-AU"/>
        </w:rPr>
        <w:t>8</w:t>
      </w:r>
      <w:r w:rsidR="00385928" w:rsidRPr="00E046B3">
        <w:rPr>
          <w:lang w:val="en-AU"/>
        </w:rPr>
        <w:t xml:space="preserve">. </w:t>
      </w:r>
      <w:r w:rsidR="00385928" w:rsidRPr="001F3E44">
        <w:rPr>
          <w:lang w:val="en-AU"/>
        </w:rPr>
        <w:t xml:space="preserve">A </w:t>
      </w:r>
      <w:r w:rsidR="00023910">
        <w:rPr>
          <w:lang w:val="en-AU"/>
        </w:rPr>
        <w:t>D</w:t>
      </w:r>
      <w:r w:rsidR="00385928" w:rsidRPr="001F3E44">
        <w:rPr>
          <w:lang w:val="en-AU"/>
        </w:rPr>
        <w:t>etermination to give effect to the above to be made by 1 July 2021</w:t>
      </w:r>
      <w:r w:rsidR="00385928">
        <w:rPr>
          <w:lang w:val="en-AU"/>
        </w:rPr>
        <w:t>.</w:t>
      </w:r>
    </w:p>
    <w:p w14:paraId="6A7C86E6" w14:textId="77777777" w:rsidR="00385928" w:rsidRPr="00E046B3" w:rsidRDefault="00385928" w:rsidP="00385928">
      <w:pPr>
        <w:rPr>
          <w:b/>
          <w:bCs/>
          <w:lang w:val="en-AU"/>
        </w:rPr>
      </w:pPr>
      <w:r w:rsidRPr="00E046B3">
        <w:rPr>
          <w:b/>
          <w:bCs/>
          <w:lang w:val="en-AU"/>
        </w:rPr>
        <w:t>Devices controlling swimming pool pump-units</w:t>
      </w:r>
    </w:p>
    <w:p w14:paraId="46501AD1" w14:textId="6D69AB85" w:rsidR="00385928" w:rsidRPr="00E046B3" w:rsidRDefault="00B61FAC" w:rsidP="00385928">
      <w:pPr>
        <w:rPr>
          <w:lang w:val="en-AU"/>
        </w:rPr>
      </w:pPr>
      <w:r>
        <w:rPr>
          <w:lang w:val="en-AU"/>
        </w:rPr>
        <w:t>9</w:t>
      </w:r>
      <w:r w:rsidR="00385928" w:rsidRPr="00E046B3">
        <w:rPr>
          <w:lang w:val="en-AU"/>
        </w:rPr>
        <w:t xml:space="preserve">. </w:t>
      </w:r>
      <w:r w:rsidR="00385928">
        <w:rPr>
          <w:lang w:val="en-AU"/>
        </w:rPr>
        <w:t>D</w:t>
      </w:r>
      <w:r w:rsidR="00385928" w:rsidRPr="00A41C48">
        <w:rPr>
          <w:rFonts w:ascii="Calibri" w:eastAsia="Calibri" w:hAnsi="Calibri" w:cs="Calibri"/>
          <w:szCs w:val="20"/>
          <w:lang w:val="en-AU"/>
        </w:rPr>
        <w:t>evices controlling swimming pool pump-unit</w:t>
      </w:r>
      <w:r w:rsidR="00385928">
        <w:rPr>
          <w:rFonts w:ascii="Calibri" w:eastAsia="Calibri" w:hAnsi="Calibri" w:cs="Calibri"/>
          <w:szCs w:val="20"/>
          <w:lang w:val="en-AU"/>
        </w:rPr>
        <w:t>s</w:t>
      </w:r>
      <w:r w:rsidR="00385928" w:rsidRPr="001F3E44">
        <w:rPr>
          <w:lang w:val="en-AU"/>
        </w:rPr>
        <w:t xml:space="preserve"> </w:t>
      </w:r>
      <w:r w:rsidR="00385928">
        <w:rPr>
          <w:lang w:val="en-AU"/>
        </w:rPr>
        <w:t>(as defined in AS/NZS 4755.3.3:2014) to comply with either of the following standards</w:t>
      </w:r>
      <w:r w:rsidR="00385928" w:rsidRPr="00E046B3">
        <w:rPr>
          <w:lang w:val="en-AU"/>
        </w:rPr>
        <w:t>:</w:t>
      </w:r>
    </w:p>
    <w:p w14:paraId="0A21A809" w14:textId="77777777" w:rsidR="00385928" w:rsidRPr="00E046B3" w:rsidRDefault="00385928" w:rsidP="00385928">
      <w:pPr>
        <w:pStyle w:val="ListParagraph"/>
        <w:numPr>
          <w:ilvl w:val="0"/>
          <w:numId w:val="32"/>
        </w:numPr>
      </w:pPr>
      <w:r w:rsidRPr="00E046B3">
        <w:t>AS/NZS 4755.3.2:2014; or</w:t>
      </w:r>
    </w:p>
    <w:p w14:paraId="48380828" w14:textId="77777777" w:rsidR="00385928" w:rsidRPr="00E046B3" w:rsidRDefault="00385928" w:rsidP="00385928">
      <w:pPr>
        <w:pStyle w:val="ListParagraph"/>
        <w:numPr>
          <w:ilvl w:val="0"/>
          <w:numId w:val="32"/>
        </w:numPr>
      </w:pPr>
      <w:r w:rsidRPr="00E046B3">
        <w:t>AS/NZS 4755.2</w:t>
      </w:r>
      <w:r>
        <w:t xml:space="preserve"> (when published)</w:t>
      </w:r>
      <w:r w:rsidRPr="00E046B3">
        <w:t xml:space="preserve">.  </w:t>
      </w:r>
    </w:p>
    <w:p w14:paraId="48795C35" w14:textId="09E5FEB0" w:rsidR="00385928" w:rsidRDefault="00385928" w:rsidP="00385928">
      <w:pPr>
        <w:rPr>
          <w:lang w:val="en-AU"/>
        </w:rPr>
      </w:pPr>
      <w:r>
        <w:rPr>
          <w:lang w:val="en-AU"/>
        </w:rPr>
        <w:t>1</w:t>
      </w:r>
      <w:r w:rsidR="00B61FAC">
        <w:rPr>
          <w:lang w:val="en-AU"/>
        </w:rPr>
        <w:t>0</w:t>
      </w:r>
      <w:r w:rsidRPr="00E046B3">
        <w:rPr>
          <w:lang w:val="en-AU"/>
        </w:rPr>
        <w:t xml:space="preserve">. Compliance with demand response mode </w:t>
      </w:r>
      <w:r>
        <w:rPr>
          <w:lang w:val="en-AU"/>
        </w:rPr>
        <w:t xml:space="preserve">1 </w:t>
      </w:r>
      <w:r w:rsidRPr="00E046B3">
        <w:rPr>
          <w:lang w:val="en-AU"/>
        </w:rPr>
        <w:t>(DRM1) to be required</w:t>
      </w:r>
      <w:r>
        <w:rPr>
          <w:lang w:val="en-AU"/>
        </w:rPr>
        <w:t>,</w:t>
      </w:r>
      <w:r w:rsidRPr="00E046B3">
        <w:rPr>
          <w:lang w:val="en-AU"/>
        </w:rPr>
        <w:t xml:space="preserve"> for pool pump controllers </w:t>
      </w:r>
      <w:r>
        <w:rPr>
          <w:lang w:val="en-AU"/>
        </w:rPr>
        <w:t>supplied or offered for supply from 1 July 2024. (Other DRMs are optional).</w:t>
      </w:r>
    </w:p>
    <w:p w14:paraId="72D33943" w14:textId="576852AB" w:rsidR="00385928" w:rsidRPr="00E046B3" w:rsidRDefault="00385928" w:rsidP="00385928">
      <w:pPr>
        <w:rPr>
          <w:lang w:val="en-AU"/>
        </w:rPr>
      </w:pPr>
      <w:r>
        <w:rPr>
          <w:lang w:val="en-AU"/>
        </w:rPr>
        <w:t>1</w:t>
      </w:r>
      <w:r w:rsidR="00B61FAC">
        <w:rPr>
          <w:lang w:val="en-AU"/>
        </w:rPr>
        <w:t>1</w:t>
      </w:r>
      <w:r>
        <w:rPr>
          <w:lang w:val="en-AU"/>
        </w:rPr>
        <w:t xml:space="preserve">. Compliance with DRM1, DRM2 and DRM3 to be required for </w:t>
      </w:r>
      <w:r w:rsidRPr="00F94AFB">
        <w:rPr>
          <w:lang w:val="en-AU"/>
        </w:rPr>
        <w:t xml:space="preserve">pool pump controllers supplied or offered for supply </w:t>
      </w:r>
      <w:r>
        <w:rPr>
          <w:lang w:val="en-AU"/>
        </w:rPr>
        <w:t xml:space="preserve">from </w:t>
      </w:r>
      <w:r w:rsidRPr="00F94AFB">
        <w:rPr>
          <w:lang w:val="en-AU"/>
        </w:rPr>
        <w:t>1 July 202</w:t>
      </w:r>
      <w:r>
        <w:rPr>
          <w:lang w:val="en-AU"/>
        </w:rPr>
        <w:t>6</w:t>
      </w:r>
      <w:r w:rsidRPr="00F94AFB">
        <w:rPr>
          <w:lang w:val="en-AU"/>
        </w:rPr>
        <w:t>.</w:t>
      </w:r>
      <w:r w:rsidRPr="00E046B3">
        <w:rPr>
          <w:lang w:val="en-AU"/>
        </w:rPr>
        <w:t xml:space="preserve">  </w:t>
      </w:r>
    </w:p>
    <w:p w14:paraId="2C48C1A4" w14:textId="0280AB2C" w:rsidR="00385928" w:rsidRPr="00E046B3" w:rsidRDefault="00385928" w:rsidP="00385928">
      <w:pPr>
        <w:rPr>
          <w:lang w:val="en-AU"/>
        </w:rPr>
      </w:pPr>
      <w:r>
        <w:rPr>
          <w:lang w:val="en-AU"/>
        </w:rPr>
        <w:t>1</w:t>
      </w:r>
      <w:r w:rsidR="00B61FAC">
        <w:rPr>
          <w:lang w:val="en-AU"/>
        </w:rPr>
        <w:t>2</w:t>
      </w:r>
      <w:r w:rsidRPr="00E046B3">
        <w:rPr>
          <w:lang w:val="en-AU"/>
        </w:rPr>
        <w:t xml:space="preserve">. </w:t>
      </w:r>
      <w:r w:rsidRPr="00F94AFB">
        <w:rPr>
          <w:lang w:val="en-AU"/>
        </w:rPr>
        <w:t xml:space="preserve">A </w:t>
      </w:r>
      <w:r w:rsidR="00023910">
        <w:rPr>
          <w:lang w:val="en-AU"/>
        </w:rPr>
        <w:t>D</w:t>
      </w:r>
      <w:r w:rsidRPr="00F94AFB">
        <w:rPr>
          <w:lang w:val="en-AU"/>
        </w:rPr>
        <w:t>etermination to give effect to the above to be made by 1 July 202</w:t>
      </w:r>
      <w:r>
        <w:rPr>
          <w:lang w:val="en-AU"/>
        </w:rPr>
        <w:t>2</w:t>
      </w:r>
      <w:r w:rsidRPr="00F94AFB">
        <w:rPr>
          <w:lang w:val="en-AU"/>
        </w:rPr>
        <w:t xml:space="preserve">. </w:t>
      </w:r>
      <w:r w:rsidRPr="00E046B3">
        <w:rPr>
          <w:lang w:val="en-AU"/>
        </w:rPr>
        <w:t xml:space="preserve"> </w:t>
      </w:r>
    </w:p>
    <w:p w14:paraId="7E39859E" w14:textId="77777777" w:rsidR="00385928" w:rsidRPr="00E046B3" w:rsidRDefault="00385928" w:rsidP="00385928">
      <w:pPr>
        <w:rPr>
          <w:b/>
          <w:bCs/>
          <w:lang w:val="en-AU"/>
        </w:rPr>
      </w:pPr>
      <w:r w:rsidRPr="00E046B3">
        <w:rPr>
          <w:b/>
          <w:bCs/>
          <w:lang w:val="en-AU"/>
        </w:rPr>
        <w:t>Electric Vehicle Charge/Discharge Controllers</w:t>
      </w:r>
    </w:p>
    <w:p w14:paraId="7FC804D1" w14:textId="76333D06" w:rsidR="00385928" w:rsidRDefault="00385928" w:rsidP="00385928">
      <w:pPr>
        <w:rPr>
          <w:lang w:val="en-AU"/>
        </w:rPr>
      </w:pPr>
      <w:r w:rsidRPr="00E046B3">
        <w:rPr>
          <w:lang w:val="en-AU"/>
        </w:rPr>
        <w:t>1</w:t>
      </w:r>
      <w:r w:rsidR="00B61FAC">
        <w:rPr>
          <w:lang w:val="en-AU"/>
        </w:rPr>
        <w:t>3</w:t>
      </w:r>
      <w:r w:rsidRPr="00E046B3">
        <w:rPr>
          <w:lang w:val="en-AU"/>
        </w:rPr>
        <w:t xml:space="preserve">. </w:t>
      </w:r>
      <w:r>
        <w:rPr>
          <w:lang w:val="en-AU"/>
        </w:rPr>
        <w:t>C</w:t>
      </w:r>
      <w:r w:rsidRPr="00E046B3">
        <w:rPr>
          <w:lang w:val="en-AU"/>
        </w:rPr>
        <w:t>ontrollers capable of managing the charging and/or discharging to the grid of EVs, that are intended for residential applications and capable of charging at SAE Level 2 or IEC Mode 3</w:t>
      </w:r>
      <w:r>
        <w:rPr>
          <w:lang w:val="en-AU"/>
        </w:rPr>
        <w:t>, to comply with any of the following standards:</w:t>
      </w:r>
    </w:p>
    <w:p w14:paraId="376DC109" w14:textId="77777777" w:rsidR="00385928" w:rsidRPr="00E046B3" w:rsidRDefault="00385928" w:rsidP="00385928">
      <w:pPr>
        <w:pStyle w:val="ListParagraph"/>
        <w:numPr>
          <w:ilvl w:val="0"/>
          <w:numId w:val="32"/>
        </w:numPr>
      </w:pPr>
      <w:r w:rsidRPr="00E046B3">
        <w:t>AS/NZS 4755.3.</w:t>
      </w:r>
      <w:r>
        <w:t>4 (when published)</w:t>
      </w:r>
      <w:r w:rsidRPr="00E046B3">
        <w:t>; or</w:t>
      </w:r>
    </w:p>
    <w:p w14:paraId="08933A88" w14:textId="77777777" w:rsidR="00385928" w:rsidRPr="00F94AFB" w:rsidRDefault="00385928" w:rsidP="00385928">
      <w:pPr>
        <w:pStyle w:val="ListParagraph"/>
        <w:numPr>
          <w:ilvl w:val="0"/>
          <w:numId w:val="32"/>
        </w:numPr>
      </w:pPr>
      <w:r w:rsidRPr="00E046B3">
        <w:t>AS/NZS 4755.2</w:t>
      </w:r>
      <w:r>
        <w:t xml:space="preserve"> (when published); or</w:t>
      </w:r>
    </w:p>
    <w:p w14:paraId="13393918" w14:textId="77777777" w:rsidR="00385928" w:rsidRPr="00F94AFB" w:rsidRDefault="00385928" w:rsidP="00385928">
      <w:pPr>
        <w:pStyle w:val="ListParagraph"/>
        <w:numPr>
          <w:ilvl w:val="0"/>
          <w:numId w:val="32"/>
        </w:numPr>
      </w:pPr>
      <w:r w:rsidRPr="00F94AFB">
        <w:t>an equivalent international standard</w:t>
      </w:r>
      <w:r>
        <w:t xml:space="preserve">, </w:t>
      </w:r>
      <w:r w:rsidRPr="00F94AFB">
        <w:t>if an E3 technical working group determines by mid</w:t>
      </w:r>
      <w:r>
        <w:t>-</w:t>
      </w:r>
      <w:r w:rsidRPr="00F94AFB">
        <w:t>2022 that there is one that provides equivalent capabilities to AS/NZS 4755.</w:t>
      </w:r>
    </w:p>
    <w:p w14:paraId="38DD71C0" w14:textId="26B90E8F" w:rsidR="00385928" w:rsidRDefault="00385928" w:rsidP="00385928">
      <w:pPr>
        <w:rPr>
          <w:lang w:val="en-AU"/>
        </w:rPr>
      </w:pPr>
      <w:r w:rsidRPr="00E046B3">
        <w:rPr>
          <w:lang w:val="en-AU"/>
        </w:rPr>
        <w:t>1</w:t>
      </w:r>
      <w:r w:rsidR="00B61FAC">
        <w:rPr>
          <w:lang w:val="en-AU"/>
        </w:rPr>
        <w:t>4</w:t>
      </w:r>
      <w:r w:rsidRPr="00E046B3">
        <w:rPr>
          <w:lang w:val="en-AU"/>
        </w:rPr>
        <w:t xml:space="preserve">. </w:t>
      </w:r>
      <w:r w:rsidRPr="00F94AFB">
        <w:rPr>
          <w:lang w:val="en-AU"/>
        </w:rPr>
        <w:t xml:space="preserve">Compliance with </w:t>
      </w:r>
      <w:r>
        <w:rPr>
          <w:lang w:val="en-AU"/>
        </w:rPr>
        <w:t>AS/NZS 4755 DRMs 0, 1,2,3,4,5 and 8</w:t>
      </w:r>
      <w:r w:rsidRPr="00F94AFB">
        <w:rPr>
          <w:lang w:val="en-AU"/>
        </w:rPr>
        <w:t xml:space="preserve"> to be required</w:t>
      </w:r>
      <w:r>
        <w:rPr>
          <w:lang w:val="en-AU"/>
        </w:rPr>
        <w:t xml:space="preserve"> (6 and 7 optional), or the equivalents in the other approved standard, </w:t>
      </w:r>
      <w:r w:rsidRPr="00F94AFB">
        <w:rPr>
          <w:lang w:val="en-AU"/>
        </w:rPr>
        <w:t xml:space="preserve">for </w:t>
      </w:r>
      <w:r>
        <w:rPr>
          <w:lang w:val="en-AU"/>
        </w:rPr>
        <w:t xml:space="preserve">EV chargers </w:t>
      </w:r>
      <w:r w:rsidRPr="00F94AFB">
        <w:rPr>
          <w:lang w:val="en-AU"/>
        </w:rPr>
        <w:t>supplied or offered for supply from 1 July 202</w:t>
      </w:r>
      <w:r>
        <w:rPr>
          <w:lang w:val="en-AU"/>
        </w:rPr>
        <w:t>6</w:t>
      </w:r>
      <w:r w:rsidRPr="00F94AFB">
        <w:rPr>
          <w:lang w:val="en-AU"/>
        </w:rPr>
        <w:t>.</w:t>
      </w:r>
    </w:p>
    <w:p w14:paraId="2261AF4A" w14:textId="233A344F" w:rsidR="00385928" w:rsidRDefault="00385928" w:rsidP="00385928">
      <w:pPr>
        <w:rPr>
          <w:lang w:val="en-AU"/>
        </w:rPr>
      </w:pPr>
      <w:r>
        <w:rPr>
          <w:lang w:val="en-AU"/>
        </w:rPr>
        <w:t>1</w:t>
      </w:r>
      <w:r w:rsidR="00B61FAC">
        <w:rPr>
          <w:lang w:val="en-AU"/>
        </w:rPr>
        <w:t>5</w:t>
      </w:r>
      <w:r>
        <w:rPr>
          <w:lang w:val="en-AU"/>
        </w:rPr>
        <w:t xml:space="preserve">. </w:t>
      </w:r>
      <w:r w:rsidRPr="00B80745">
        <w:rPr>
          <w:lang w:val="en-AU"/>
        </w:rPr>
        <w:t xml:space="preserve">A </w:t>
      </w:r>
      <w:r w:rsidR="00023910">
        <w:rPr>
          <w:lang w:val="en-AU"/>
        </w:rPr>
        <w:t>D</w:t>
      </w:r>
      <w:r w:rsidRPr="00B80745">
        <w:rPr>
          <w:lang w:val="en-AU"/>
        </w:rPr>
        <w:t>etermination to give effect to the above to be made by 1 July 202</w:t>
      </w:r>
      <w:r>
        <w:rPr>
          <w:lang w:val="en-AU"/>
        </w:rPr>
        <w:t>4</w:t>
      </w:r>
      <w:r w:rsidRPr="00B80745">
        <w:rPr>
          <w:lang w:val="en-AU"/>
        </w:rPr>
        <w:t xml:space="preserve">.  </w:t>
      </w:r>
    </w:p>
    <w:p w14:paraId="188E69E0" w14:textId="77777777" w:rsidR="00385928" w:rsidRPr="00E046B3" w:rsidRDefault="00385928" w:rsidP="00385928">
      <w:pPr>
        <w:rPr>
          <w:b/>
          <w:bCs/>
          <w:lang w:val="en-AU"/>
        </w:rPr>
      </w:pPr>
      <w:r>
        <w:rPr>
          <w:b/>
          <w:bCs/>
          <w:lang w:val="en-AU"/>
        </w:rPr>
        <w:t xml:space="preserve">Additional </w:t>
      </w:r>
      <w:r w:rsidRPr="00B80745">
        <w:rPr>
          <w:b/>
          <w:bCs/>
          <w:lang w:val="en-AU"/>
        </w:rPr>
        <w:t>recomm</w:t>
      </w:r>
      <w:r>
        <w:rPr>
          <w:b/>
          <w:bCs/>
          <w:lang w:val="en-AU"/>
        </w:rPr>
        <w:t>e</w:t>
      </w:r>
      <w:r w:rsidRPr="00B80745">
        <w:rPr>
          <w:b/>
          <w:bCs/>
          <w:lang w:val="en-AU"/>
        </w:rPr>
        <w:t>ndations</w:t>
      </w:r>
    </w:p>
    <w:p w14:paraId="2A806E7F" w14:textId="4A9F1155" w:rsidR="00385928" w:rsidRPr="00E046B3" w:rsidRDefault="00385928" w:rsidP="00385928">
      <w:pPr>
        <w:rPr>
          <w:lang w:val="en-AU"/>
        </w:rPr>
      </w:pPr>
      <w:r w:rsidRPr="00E046B3">
        <w:rPr>
          <w:lang w:val="en-AU"/>
        </w:rPr>
        <w:t>1</w:t>
      </w:r>
      <w:r w:rsidR="00B61FAC">
        <w:rPr>
          <w:lang w:val="en-AU"/>
        </w:rPr>
        <w:t>6</w:t>
      </w:r>
      <w:r w:rsidRPr="00E046B3">
        <w:rPr>
          <w:lang w:val="en-AU"/>
        </w:rPr>
        <w:t xml:space="preserve">. </w:t>
      </w:r>
      <w:r w:rsidR="00023910">
        <w:rPr>
          <w:lang w:val="en-AU"/>
        </w:rPr>
        <w:t xml:space="preserve">COAG Energy Council </w:t>
      </w:r>
      <w:r>
        <w:rPr>
          <w:lang w:val="en-AU"/>
        </w:rPr>
        <w:t>agree</w:t>
      </w:r>
      <w:r w:rsidR="00023910">
        <w:rPr>
          <w:lang w:val="en-AU"/>
        </w:rPr>
        <w:t>s</w:t>
      </w:r>
      <w:r>
        <w:rPr>
          <w:lang w:val="en-AU"/>
        </w:rPr>
        <w:t xml:space="preserve"> to </w:t>
      </w:r>
      <w:r w:rsidRPr="00E046B3">
        <w:rPr>
          <w:lang w:val="en-AU"/>
        </w:rPr>
        <w:t>the establishment of a</w:t>
      </w:r>
      <w:r>
        <w:rPr>
          <w:lang w:val="en-AU"/>
        </w:rPr>
        <w:t xml:space="preserve">n E3 </w:t>
      </w:r>
      <w:r w:rsidRPr="00E046B3">
        <w:rPr>
          <w:lang w:val="en-AU"/>
        </w:rPr>
        <w:t xml:space="preserve">Technical </w:t>
      </w:r>
      <w:r>
        <w:rPr>
          <w:lang w:val="en-AU"/>
        </w:rPr>
        <w:t>Working Group, with membership to be determined by</w:t>
      </w:r>
      <w:r w:rsidR="00B61FAC">
        <w:rPr>
          <w:lang w:val="en-AU"/>
        </w:rPr>
        <w:t xml:space="preserve"> the Senior Committee of Officials</w:t>
      </w:r>
      <w:r>
        <w:rPr>
          <w:lang w:val="en-AU"/>
        </w:rPr>
        <w:t xml:space="preserve"> </w:t>
      </w:r>
      <w:r w:rsidR="00B61FAC">
        <w:rPr>
          <w:lang w:val="en-AU"/>
        </w:rPr>
        <w:t>(</w:t>
      </w:r>
      <w:r>
        <w:rPr>
          <w:lang w:val="en-AU"/>
        </w:rPr>
        <w:t>SCO</w:t>
      </w:r>
      <w:r w:rsidR="00B61FAC">
        <w:rPr>
          <w:lang w:val="en-AU"/>
        </w:rPr>
        <w:t>)</w:t>
      </w:r>
      <w:r>
        <w:rPr>
          <w:lang w:val="en-AU"/>
        </w:rPr>
        <w:t xml:space="preserve">, to consider the matter of an </w:t>
      </w:r>
      <w:r w:rsidRPr="00B80745">
        <w:rPr>
          <w:lang w:val="en-AU"/>
        </w:rPr>
        <w:t>equivalent international standard</w:t>
      </w:r>
      <w:r>
        <w:rPr>
          <w:lang w:val="en-AU"/>
        </w:rPr>
        <w:t xml:space="preserve"> for EV charge/discharge controllers (in recommendation 1</w:t>
      </w:r>
      <w:r w:rsidR="00635EFF">
        <w:rPr>
          <w:lang w:val="en-AU"/>
        </w:rPr>
        <w:t>3</w:t>
      </w:r>
      <w:r w:rsidR="004761A1">
        <w:rPr>
          <w:lang w:val="en-AU"/>
        </w:rPr>
        <w:t>).</w:t>
      </w:r>
    </w:p>
    <w:p w14:paraId="1C1BD9DA" w14:textId="3FD2956C" w:rsidR="00385928" w:rsidRDefault="00385928" w:rsidP="00385928">
      <w:pPr>
        <w:rPr>
          <w:lang w:val="en-AU"/>
        </w:rPr>
      </w:pPr>
      <w:r w:rsidRPr="00E046B3">
        <w:rPr>
          <w:lang w:val="en-AU"/>
        </w:rPr>
        <w:lastRenderedPageBreak/>
        <w:t>1</w:t>
      </w:r>
      <w:r w:rsidR="00B61FAC">
        <w:rPr>
          <w:lang w:val="en-AU"/>
        </w:rPr>
        <w:t>7</w:t>
      </w:r>
      <w:r w:rsidRPr="00E046B3">
        <w:rPr>
          <w:lang w:val="en-AU"/>
        </w:rPr>
        <w:t xml:space="preserve">. </w:t>
      </w:r>
      <w:r w:rsidR="004761A1">
        <w:rPr>
          <w:lang w:val="en-AU"/>
        </w:rPr>
        <w:t>COAG Energy Council</w:t>
      </w:r>
      <w:r w:rsidRPr="00E046B3">
        <w:rPr>
          <w:lang w:val="en-AU"/>
        </w:rPr>
        <w:t xml:space="preserve"> </w:t>
      </w:r>
      <w:r w:rsidRPr="00B80745">
        <w:rPr>
          <w:lang w:val="en-AU"/>
        </w:rPr>
        <w:t>request</w:t>
      </w:r>
      <w:r w:rsidR="004761A1">
        <w:rPr>
          <w:lang w:val="en-AU"/>
        </w:rPr>
        <w:t>s</w:t>
      </w:r>
      <w:r w:rsidRPr="00B80745">
        <w:rPr>
          <w:lang w:val="en-AU"/>
        </w:rPr>
        <w:t xml:space="preserve"> Standards Australia to</w:t>
      </w:r>
      <w:r>
        <w:rPr>
          <w:lang w:val="en-AU"/>
        </w:rPr>
        <w:t>:</w:t>
      </w:r>
    </w:p>
    <w:p w14:paraId="73814042" w14:textId="77777777" w:rsidR="00385928" w:rsidRDefault="00385928" w:rsidP="00385928">
      <w:pPr>
        <w:pStyle w:val="ListParagraph"/>
        <w:numPr>
          <w:ilvl w:val="0"/>
          <w:numId w:val="32"/>
        </w:numPr>
      </w:pPr>
      <w:r w:rsidRPr="00B80745">
        <w:t>Include an additional appendix in AS 4755.2 to cover EV chargers (based on draft AS/NZS 4755.3.4);</w:t>
      </w:r>
    </w:p>
    <w:p w14:paraId="408B096E" w14:textId="77777777" w:rsidR="00385928" w:rsidRDefault="00385928" w:rsidP="00385928">
      <w:pPr>
        <w:pStyle w:val="ListParagraph"/>
        <w:numPr>
          <w:ilvl w:val="0"/>
          <w:numId w:val="32"/>
        </w:numPr>
      </w:pPr>
      <w:r>
        <w:t xml:space="preserve">Expedite completion and publication of AS 4755.2; and </w:t>
      </w:r>
    </w:p>
    <w:p w14:paraId="30F598B4" w14:textId="77777777" w:rsidR="00385928" w:rsidRDefault="00385928" w:rsidP="00385928">
      <w:pPr>
        <w:pStyle w:val="ListParagraph"/>
        <w:numPr>
          <w:ilvl w:val="0"/>
          <w:numId w:val="32"/>
        </w:numPr>
      </w:pPr>
      <w:r>
        <w:t xml:space="preserve">Expedite completion and publication of </w:t>
      </w:r>
      <w:r w:rsidRPr="00B80745">
        <w:t>AS/NZS 4755.3.4</w:t>
      </w:r>
      <w:r>
        <w:t xml:space="preserve">; and </w:t>
      </w:r>
    </w:p>
    <w:p w14:paraId="58EFFFC4" w14:textId="77777777" w:rsidR="00385928" w:rsidRPr="00B80745" w:rsidRDefault="00385928" w:rsidP="00385928">
      <w:pPr>
        <w:pStyle w:val="ListParagraph"/>
        <w:numPr>
          <w:ilvl w:val="0"/>
          <w:numId w:val="32"/>
        </w:numPr>
      </w:pPr>
      <w:r>
        <w:t xml:space="preserve">Prepare </w:t>
      </w:r>
      <w:r w:rsidRPr="00B80745">
        <w:t xml:space="preserve">a new part of AS/NZS 4755 covering Home Energy Management Systems (HEMS) that </w:t>
      </w:r>
      <w:proofErr w:type="gramStart"/>
      <w:r w:rsidRPr="00B80745">
        <w:t>are capable of providing</w:t>
      </w:r>
      <w:proofErr w:type="gramEnd"/>
      <w:r w:rsidRPr="00B80745">
        <w:t xml:space="preserve"> demand response.  </w:t>
      </w:r>
    </w:p>
    <w:p w14:paraId="0A33DBE5" w14:textId="05452C44" w:rsidR="00385928" w:rsidRPr="00E046B3" w:rsidRDefault="00385928" w:rsidP="00385928">
      <w:pPr>
        <w:rPr>
          <w:lang w:val="en-AU"/>
        </w:rPr>
      </w:pPr>
      <w:r w:rsidRPr="00E046B3">
        <w:rPr>
          <w:lang w:val="en-AU"/>
        </w:rPr>
        <w:t>1</w:t>
      </w:r>
      <w:r w:rsidR="00B61FAC">
        <w:rPr>
          <w:lang w:val="en-AU"/>
        </w:rPr>
        <w:t>8</w:t>
      </w:r>
      <w:r w:rsidRPr="00E046B3">
        <w:rPr>
          <w:lang w:val="en-AU"/>
        </w:rPr>
        <w:t xml:space="preserve">. </w:t>
      </w:r>
      <w:r w:rsidR="004761A1">
        <w:rPr>
          <w:lang w:val="en-AU"/>
        </w:rPr>
        <w:t>COAG Energy Council</w:t>
      </w:r>
      <w:r w:rsidRPr="00E046B3">
        <w:rPr>
          <w:lang w:val="en-AU"/>
        </w:rPr>
        <w:t xml:space="preserve"> </w:t>
      </w:r>
      <w:r>
        <w:rPr>
          <w:lang w:val="en-AU"/>
        </w:rPr>
        <w:t>agree</w:t>
      </w:r>
      <w:r w:rsidR="004761A1">
        <w:rPr>
          <w:lang w:val="en-AU"/>
        </w:rPr>
        <w:t>s</w:t>
      </w:r>
      <w:r>
        <w:rPr>
          <w:lang w:val="en-AU"/>
        </w:rPr>
        <w:t xml:space="preserve"> to </w:t>
      </w:r>
      <w:r w:rsidRPr="00E046B3">
        <w:rPr>
          <w:lang w:val="en-AU"/>
        </w:rPr>
        <w:t xml:space="preserve">the investigation </w:t>
      </w:r>
      <w:r>
        <w:rPr>
          <w:lang w:val="en-AU"/>
        </w:rPr>
        <w:t xml:space="preserve">by E3 </w:t>
      </w:r>
      <w:r w:rsidRPr="00E046B3">
        <w:rPr>
          <w:lang w:val="en-AU"/>
        </w:rPr>
        <w:t>of the options, cost, benefits, advantages and disadvantages of requiring demand response capabilities meeting public, non-proprietary standards for:</w:t>
      </w:r>
    </w:p>
    <w:p w14:paraId="0287A3EE" w14:textId="77777777" w:rsidR="00385928" w:rsidRPr="00E046B3" w:rsidRDefault="00385928" w:rsidP="00385928">
      <w:pPr>
        <w:pStyle w:val="ListParagraph"/>
        <w:numPr>
          <w:ilvl w:val="0"/>
          <w:numId w:val="32"/>
        </w:numPr>
      </w:pPr>
      <w:r w:rsidRPr="00E046B3">
        <w:t xml:space="preserve">Photovoltaic (PV) inverters within the scope of AS/NZS 4777.2; and </w:t>
      </w:r>
    </w:p>
    <w:p w14:paraId="28A89CBB" w14:textId="77777777" w:rsidR="00385928" w:rsidRPr="00E046B3" w:rsidRDefault="00385928" w:rsidP="00385928">
      <w:pPr>
        <w:pStyle w:val="ListParagraph"/>
        <w:numPr>
          <w:ilvl w:val="0"/>
          <w:numId w:val="32"/>
        </w:numPr>
      </w:pPr>
      <w:r w:rsidRPr="00E046B3">
        <w:t xml:space="preserve">Controllers for grid-connected electrical energy storage systems (including residential scale batteries) within the scope of AS/NZS 4755.3.5. </w:t>
      </w:r>
    </w:p>
    <w:sdt>
      <w:sdtPr>
        <w:rPr>
          <w:rFonts w:ascii="Calibri" w:eastAsia="Calibri" w:hAnsi="Calibri" w:cs="Calibri"/>
          <w:sz w:val="50"/>
          <w:szCs w:val="50"/>
          <w:lang w:val="en-AU"/>
        </w:rPr>
        <w:id w:val="-1725984885"/>
        <w:docPartObj>
          <w:docPartGallery w:val="Table of Contents"/>
          <w:docPartUnique/>
        </w:docPartObj>
      </w:sdtPr>
      <w:sdtEndPr>
        <w:rPr>
          <w:noProof/>
          <w:sz w:val="22"/>
          <w:szCs w:val="20"/>
        </w:rPr>
      </w:sdtEndPr>
      <w:sdtContent>
        <w:p w14:paraId="4FF3AB1B" w14:textId="77777777" w:rsidR="00A37634" w:rsidRPr="00A37634" w:rsidRDefault="00A37634" w:rsidP="00A37634">
          <w:pPr>
            <w:keepNext/>
            <w:keepLines/>
            <w:pageBreakBefore/>
            <w:spacing w:after="0" w:line="276" w:lineRule="auto"/>
            <w:rPr>
              <w:rFonts w:ascii="Calibri" w:eastAsia="Times New Roman" w:hAnsi="Calibri" w:cs="Calibri"/>
              <w:b/>
              <w:bCs/>
              <w:color w:val="FF0000"/>
              <w:sz w:val="50"/>
              <w:szCs w:val="50"/>
              <w:lang w:val="en-US" w:eastAsia="ja-JP"/>
            </w:rPr>
          </w:pPr>
          <w:r w:rsidRPr="00A37634">
            <w:rPr>
              <w:rFonts w:ascii="Calibri" w:eastAsia="Times New Roman" w:hAnsi="Calibri" w:cs="Calibri"/>
              <w:b/>
              <w:bCs/>
              <w:color w:val="FF0000"/>
              <w:sz w:val="50"/>
              <w:szCs w:val="50"/>
              <w:lang w:val="en-US" w:eastAsia="ja-JP"/>
            </w:rPr>
            <w:t>Contents</w:t>
          </w:r>
        </w:p>
        <w:p w14:paraId="51F81B80" w14:textId="77777777" w:rsidR="00A37634" w:rsidRPr="00A37634" w:rsidRDefault="00A37634" w:rsidP="00A37634">
          <w:pPr>
            <w:tabs>
              <w:tab w:val="right" w:leader="dot" w:pos="9620"/>
            </w:tabs>
            <w:spacing w:after="100" w:line="276" w:lineRule="auto"/>
            <w:rPr>
              <w:rFonts w:ascii="Calibri" w:eastAsia="Times New Roman" w:hAnsi="Calibri" w:cs="Calibri"/>
              <w:b/>
              <w:lang w:val="en-US" w:eastAsia="ja-JP"/>
            </w:rPr>
          </w:pPr>
        </w:p>
        <w:p w14:paraId="677CBE99" w14:textId="13D4896F" w:rsidR="006B22A7" w:rsidRDefault="00A37634">
          <w:pPr>
            <w:pStyle w:val="TOC1"/>
            <w:tabs>
              <w:tab w:val="right" w:leader="dot" w:pos="9620"/>
            </w:tabs>
            <w:rPr>
              <w:rFonts w:eastAsiaTheme="minorEastAsia"/>
              <w:noProof/>
              <w:lang w:val="en-AU" w:eastAsia="en-AU"/>
            </w:rPr>
          </w:pPr>
          <w:r w:rsidRPr="00A37634">
            <w:rPr>
              <w:rFonts w:ascii="Calibri" w:eastAsia="Times New Roman" w:hAnsi="Calibri" w:cs="Calibri"/>
              <w:b/>
              <w:lang w:val="en-US" w:eastAsia="ja-JP"/>
            </w:rPr>
            <w:fldChar w:fldCharType="begin"/>
          </w:r>
          <w:r w:rsidRPr="00A37634">
            <w:rPr>
              <w:rFonts w:ascii="Calibri" w:eastAsia="Times New Roman" w:hAnsi="Calibri" w:cs="Calibri"/>
              <w:b/>
              <w:lang w:val="en-US" w:eastAsia="ja-JP"/>
            </w:rPr>
            <w:instrText xml:space="preserve"> TOC \o "1-3" \h \z \u </w:instrText>
          </w:r>
          <w:r w:rsidRPr="00A37634">
            <w:rPr>
              <w:rFonts w:ascii="Calibri" w:eastAsia="Times New Roman" w:hAnsi="Calibri" w:cs="Calibri"/>
              <w:b/>
              <w:lang w:val="en-US" w:eastAsia="ja-JP"/>
            </w:rPr>
            <w:fldChar w:fldCharType="separate"/>
          </w:r>
          <w:hyperlink w:anchor="_Toc22485210" w:history="1">
            <w:r w:rsidR="006B22A7" w:rsidRPr="007D2FF8">
              <w:rPr>
                <w:rStyle w:val="Hyperlink"/>
                <w:rFonts w:ascii="Calibri" w:eastAsia="Times New Roman" w:hAnsi="Calibri" w:cs="Calibri"/>
                <w:b/>
                <w:bCs/>
                <w:noProof/>
                <w:lang w:val="en-AU"/>
              </w:rPr>
              <w:t>Executive Summary</w:t>
            </w:r>
            <w:r w:rsidR="006B22A7">
              <w:rPr>
                <w:noProof/>
                <w:webHidden/>
              </w:rPr>
              <w:tab/>
            </w:r>
            <w:r w:rsidR="006B22A7">
              <w:rPr>
                <w:noProof/>
                <w:webHidden/>
              </w:rPr>
              <w:fldChar w:fldCharType="begin"/>
            </w:r>
            <w:r w:rsidR="006B22A7">
              <w:rPr>
                <w:noProof/>
                <w:webHidden/>
              </w:rPr>
              <w:instrText xml:space="preserve"> PAGEREF _Toc22485210 \h </w:instrText>
            </w:r>
            <w:r w:rsidR="006B22A7">
              <w:rPr>
                <w:noProof/>
                <w:webHidden/>
              </w:rPr>
            </w:r>
            <w:r w:rsidR="006B22A7">
              <w:rPr>
                <w:noProof/>
                <w:webHidden/>
              </w:rPr>
              <w:fldChar w:fldCharType="separate"/>
            </w:r>
            <w:r w:rsidR="00AE6023">
              <w:rPr>
                <w:noProof/>
                <w:webHidden/>
              </w:rPr>
              <w:t>1</w:t>
            </w:r>
            <w:r w:rsidR="006B22A7">
              <w:rPr>
                <w:noProof/>
                <w:webHidden/>
              </w:rPr>
              <w:fldChar w:fldCharType="end"/>
            </w:r>
          </w:hyperlink>
        </w:p>
        <w:p w14:paraId="37A8EB78" w14:textId="710B1165" w:rsidR="006B22A7" w:rsidRDefault="00765E31">
          <w:pPr>
            <w:pStyle w:val="TOC2"/>
            <w:tabs>
              <w:tab w:val="right" w:leader="dot" w:pos="9620"/>
            </w:tabs>
            <w:rPr>
              <w:rFonts w:eastAsiaTheme="minorEastAsia"/>
              <w:noProof/>
              <w:lang w:val="en-AU" w:eastAsia="en-AU"/>
            </w:rPr>
          </w:pPr>
          <w:hyperlink w:anchor="_Toc22485211" w:history="1">
            <w:r w:rsidR="006B22A7" w:rsidRPr="007D2FF8">
              <w:rPr>
                <w:rStyle w:val="Hyperlink"/>
                <w:rFonts w:ascii="Calibri" w:eastAsia="Times New Roman" w:hAnsi="Calibri" w:cs="Calibri"/>
                <w:b/>
                <w:bCs/>
                <w:noProof/>
                <w:lang w:val="en-AU"/>
              </w:rPr>
              <w:t>Glossary</w:t>
            </w:r>
            <w:r w:rsidR="006B22A7">
              <w:rPr>
                <w:noProof/>
                <w:webHidden/>
              </w:rPr>
              <w:tab/>
            </w:r>
            <w:r w:rsidR="006B22A7">
              <w:rPr>
                <w:noProof/>
                <w:webHidden/>
              </w:rPr>
              <w:fldChar w:fldCharType="begin"/>
            </w:r>
            <w:r w:rsidR="006B22A7">
              <w:rPr>
                <w:noProof/>
                <w:webHidden/>
              </w:rPr>
              <w:instrText xml:space="preserve"> PAGEREF _Toc22485211 \h </w:instrText>
            </w:r>
            <w:r w:rsidR="006B22A7">
              <w:rPr>
                <w:noProof/>
                <w:webHidden/>
              </w:rPr>
            </w:r>
            <w:r w:rsidR="006B22A7">
              <w:rPr>
                <w:noProof/>
                <w:webHidden/>
              </w:rPr>
              <w:fldChar w:fldCharType="separate"/>
            </w:r>
            <w:r w:rsidR="00AE6023">
              <w:rPr>
                <w:noProof/>
                <w:webHidden/>
              </w:rPr>
              <w:t>14</w:t>
            </w:r>
            <w:r w:rsidR="006B22A7">
              <w:rPr>
                <w:noProof/>
                <w:webHidden/>
              </w:rPr>
              <w:fldChar w:fldCharType="end"/>
            </w:r>
          </w:hyperlink>
        </w:p>
        <w:p w14:paraId="665E260B" w14:textId="6B8D6E98" w:rsidR="006B22A7" w:rsidRDefault="00765E31">
          <w:pPr>
            <w:pStyle w:val="TOC1"/>
            <w:tabs>
              <w:tab w:val="left" w:pos="440"/>
              <w:tab w:val="right" w:leader="dot" w:pos="9620"/>
            </w:tabs>
            <w:rPr>
              <w:rFonts w:eastAsiaTheme="minorEastAsia"/>
              <w:noProof/>
              <w:lang w:val="en-AU" w:eastAsia="en-AU"/>
            </w:rPr>
          </w:pPr>
          <w:hyperlink w:anchor="_Toc22485212" w:history="1">
            <w:r w:rsidR="006B22A7" w:rsidRPr="007D2FF8">
              <w:rPr>
                <w:rStyle w:val="Hyperlink"/>
                <w:rFonts w:eastAsia="Times New Roman" w:cs="Calibri"/>
                <w:b/>
                <w:bCs/>
                <w:noProof/>
              </w:rPr>
              <w:t>1.</w:t>
            </w:r>
            <w:r w:rsidR="006B22A7">
              <w:rPr>
                <w:rFonts w:eastAsiaTheme="minorEastAsia"/>
                <w:noProof/>
                <w:lang w:val="en-AU" w:eastAsia="en-AU"/>
              </w:rPr>
              <w:tab/>
            </w:r>
            <w:r w:rsidR="006B22A7" w:rsidRPr="007D2FF8">
              <w:rPr>
                <w:rStyle w:val="Hyperlink"/>
                <w:rFonts w:eastAsia="Times New Roman" w:cs="Calibri"/>
                <w:b/>
                <w:bCs/>
                <w:noProof/>
              </w:rPr>
              <w:t>The Problem: Growing variability in electricity demand and supply</w:t>
            </w:r>
            <w:r w:rsidR="006B22A7">
              <w:rPr>
                <w:noProof/>
                <w:webHidden/>
              </w:rPr>
              <w:tab/>
            </w:r>
            <w:r w:rsidR="006B22A7">
              <w:rPr>
                <w:noProof/>
                <w:webHidden/>
              </w:rPr>
              <w:fldChar w:fldCharType="begin"/>
            </w:r>
            <w:r w:rsidR="006B22A7">
              <w:rPr>
                <w:noProof/>
                <w:webHidden/>
              </w:rPr>
              <w:instrText xml:space="preserve"> PAGEREF _Toc22485212 \h </w:instrText>
            </w:r>
            <w:r w:rsidR="006B22A7">
              <w:rPr>
                <w:noProof/>
                <w:webHidden/>
              </w:rPr>
            </w:r>
            <w:r w:rsidR="006B22A7">
              <w:rPr>
                <w:noProof/>
                <w:webHidden/>
              </w:rPr>
              <w:fldChar w:fldCharType="separate"/>
            </w:r>
            <w:r w:rsidR="00AE6023">
              <w:rPr>
                <w:noProof/>
                <w:webHidden/>
              </w:rPr>
              <w:t>16</w:t>
            </w:r>
            <w:r w:rsidR="006B22A7">
              <w:rPr>
                <w:noProof/>
                <w:webHidden/>
              </w:rPr>
              <w:fldChar w:fldCharType="end"/>
            </w:r>
          </w:hyperlink>
        </w:p>
        <w:p w14:paraId="44E670D4" w14:textId="58799F1F" w:rsidR="006B22A7" w:rsidRDefault="00765E31">
          <w:pPr>
            <w:pStyle w:val="TOC1"/>
            <w:tabs>
              <w:tab w:val="left" w:pos="440"/>
              <w:tab w:val="right" w:leader="dot" w:pos="9620"/>
            </w:tabs>
            <w:rPr>
              <w:rFonts w:eastAsiaTheme="minorEastAsia"/>
              <w:noProof/>
              <w:lang w:val="en-AU" w:eastAsia="en-AU"/>
            </w:rPr>
          </w:pPr>
          <w:hyperlink w:anchor="_Toc22485213" w:history="1">
            <w:r w:rsidR="006B22A7" w:rsidRPr="007D2FF8">
              <w:rPr>
                <w:rStyle w:val="Hyperlink"/>
                <w:rFonts w:eastAsia="Times New Roman" w:cs="Calibri"/>
                <w:b/>
                <w:bCs/>
                <w:noProof/>
              </w:rPr>
              <w:t>2.</w:t>
            </w:r>
            <w:r w:rsidR="006B22A7">
              <w:rPr>
                <w:rFonts w:eastAsiaTheme="minorEastAsia"/>
                <w:noProof/>
                <w:lang w:val="en-AU" w:eastAsia="en-AU"/>
              </w:rPr>
              <w:tab/>
            </w:r>
            <w:r w:rsidR="006B22A7" w:rsidRPr="007D2FF8">
              <w:rPr>
                <w:rStyle w:val="Hyperlink"/>
                <w:rFonts w:eastAsia="Times New Roman" w:cs="Calibri"/>
                <w:b/>
                <w:bCs/>
                <w:noProof/>
              </w:rPr>
              <w:t>The Objectives of Government Action</w:t>
            </w:r>
            <w:r w:rsidR="006B22A7">
              <w:rPr>
                <w:noProof/>
                <w:webHidden/>
              </w:rPr>
              <w:tab/>
            </w:r>
            <w:r w:rsidR="006B22A7">
              <w:rPr>
                <w:noProof/>
                <w:webHidden/>
              </w:rPr>
              <w:fldChar w:fldCharType="begin"/>
            </w:r>
            <w:r w:rsidR="006B22A7">
              <w:rPr>
                <w:noProof/>
                <w:webHidden/>
              </w:rPr>
              <w:instrText xml:space="preserve"> PAGEREF _Toc22485213 \h </w:instrText>
            </w:r>
            <w:r w:rsidR="006B22A7">
              <w:rPr>
                <w:noProof/>
                <w:webHidden/>
              </w:rPr>
            </w:r>
            <w:r w:rsidR="006B22A7">
              <w:rPr>
                <w:noProof/>
                <w:webHidden/>
              </w:rPr>
              <w:fldChar w:fldCharType="separate"/>
            </w:r>
            <w:r w:rsidR="00AE6023">
              <w:rPr>
                <w:noProof/>
                <w:webHidden/>
              </w:rPr>
              <w:t>24</w:t>
            </w:r>
            <w:r w:rsidR="006B22A7">
              <w:rPr>
                <w:noProof/>
                <w:webHidden/>
              </w:rPr>
              <w:fldChar w:fldCharType="end"/>
            </w:r>
          </w:hyperlink>
        </w:p>
        <w:p w14:paraId="57834005" w14:textId="0B1D973E" w:rsidR="006B22A7" w:rsidRDefault="00765E31">
          <w:pPr>
            <w:pStyle w:val="TOC1"/>
            <w:tabs>
              <w:tab w:val="left" w:pos="440"/>
              <w:tab w:val="right" w:leader="dot" w:pos="9620"/>
            </w:tabs>
            <w:rPr>
              <w:rFonts w:eastAsiaTheme="minorEastAsia"/>
              <w:noProof/>
              <w:lang w:val="en-AU" w:eastAsia="en-AU"/>
            </w:rPr>
          </w:pPr>
          <w:hyperlink w:anchor="_Toc22485214" w:history="1">
            <w:r w:rsidR="006B22A7" w:rsidRPr="007D2FF8">
              <w:rPr>
                <w:rStyle w:val="Hyperlink"/>
                <w:rFonts w:eastAsia="Times New Roman" w:cs="Calibri"/>
                <w:b/>
                <w:bCs/>
                <w:noProof/>
              </w:rPr>
              <w:t>3.</w:t>
            </w:r>
            <w:r w:rsidR="006B22A7">
              <w:rPr>
                <w:rFonts w:eastAsiaTheme="minorEastAsia"/>
                <w:noProof/>
                <w:lang w:val="en-AU" w:eastAsia="en-AU"/>
              </w:rPr>
              <w:tab/>
            </w:r>
            <w:r w:rsidR="006B22A7" w:rsidRPr="007D2FF8">
              <w:rPr>
                <w:rStyle w:val="Hyperlink"/>
                <w:rFonts w:eastAsia="Times New Roman" w:cs="Calibri"/>
                <w:b/>
                <w:bCs/>
                <w:noProof/>
              </w:rPr>
              <w:t>Options and Regulatory Drivers</w:t>
            </w:r>
            <w:r w:rsidR="006B22A7">
              <w:rPr>
                <w:noProof/>
                <w:webHidden/>
              </w:rPr>
              <w:tab/>
            </w:r>
            <w:r w:rsidR="006B22A7">
              <w:rPr>
                <w:noProof/>
                <w:webHidden/>
              </w:rPr>
              <w:fldChar w:fldCharType="begin"/>
            </w:r>
            <w:r w:rsidR="006B22A7">
              <w:rPr>
                <w:noProof/>
                <w:webHidden/>
              </w:rPr>
              <w:instrText xml:space="preserve"> PAGEREF _Toc22485214 \h </w:instrText>
            </w:r>
            <w:r w:rsidR="006B22A7">
              <w:rPr>
                <w:noProof/>
                <w:webHidden/>
              </w:rPr>
            </w:r>
            <w:r w:rsidR="006B22A7">
              <w:rPr>
                <w:noProof/>
                <w:webHidden/>
              </w:rPr>
              <w:fldChar w:fldCharType="separate"/>
            </w:r>
            <w:r w:rsidR="00AE6023">
              <w:rPr>
                <w:noProof/>
                <w:webHidden/>
              </w:rPr>
              <w:t>25</w:t>
            </w:r>
            <w:r w:rsidR="006B22A7">
              <w:rPr>
                <w:noProof/>
                <w:webHidden/>
              </w:rPr>
              <w:fldChar w:fldCharType="end"/>
            </w:r>
          </w:hyperlink>
        </w:p>
        <w:p w14:paraId="613BD2D6" w14:textId="2CEB9C69" w:rsidR="006B22A7" w:rsidRDefault="00765E31">
          <w:pPr>
            <w:pStyle w:val="TOC1"/>
            <w:tabs>
              <w:tab w:val="left" w:pos="440"/>
              <w:tab w:val="right" w:leader="dot" w:pos="9620"/>
            </w:tabs>
            <w:rPr>
              <w:rFonts w:eastAsiaTheme="minorEastAsia"/>
              <w:noProof/>
              <w:lang w:val="en-AU" w:eastAsia="en-AU"/>
            </w:rPr>
          </w:pPr>
          <w:hyperlink w:anchor="_Toc22485215" w:history="1">
            <w:r w:rsidR="006B22A7" w:rsidRPr="007D2FF8">
              <w:rPr>
                <w:rStyle w:val="Hyperlink"/>
                <w:rFonts w:eastAsia="Times New Roman" w:cs="Calibri"/>
                <w:b/>
                <w:bCs/>
                <w:noProof/>
              </w:rPr>
              <w:t>4.</w:t>
            </w:r>
            <w:r w:rsidR="006B22A7">
              <w:rPr>
                <w:rFonts w:eastAsiaTheme="minorEastAsia"/>
                <w:noProof/>
                <w:lang w:val="en-AU" w:eastAsia="en-AU"/>
              </w:rPr>
              <w:tab/>
            </w:r>
            <w:r w:rsidR="006B22A7" w:rsidRPr="007D2FF8">
              <w:rPr>
                <w:rStyle w:val="Hyperlink"/>
                <w:rFonts w:eastAsia="Times New Roman" w:cs="Calibri"/>
                <w:b/>
                <w:bCs/>
                <w:noProof/>
              </w:rPr>
              <w:t>Preferred Option</w:t>
            </w:r>
            <w:r w:rsidR="006B22A7">
              <w:rPr>
                <w:noProof/>
                <w:webHidden/>
              </w:rPr>
              <w:tab/>
            </w:r>
            <w:r w:rsidR="006B22A7">
              <w:rPr>
                <w:noProof/>
                <w:webHidden/>
              </w:rPr>
              <w:fldChar w:fldCharType="begin"/>
            </w:r>
            <w:r w:rsidR="006B22A7">
              <w:rPr>
                <w:noProof/>
                <w:webHidden/>
              </w:rPr>
              <w:instrText xml:space="preserve"> PAGEREF _Toc22485215 \h </w:instrText>
            </w:r>
            <w:r w:rsidR="006B22A7">
              <w:rPr>
                <w:noProof/>
                <w:webHidden/>
              </w:rPr>
            </w:r>
            <w:r w:rsidR="006B22A7">
              <w:rPr>
                <w:noProof/>
                <w:webHidden/>
              </w:rPr>
              <w:fldChar w:fldCharType="separate"/>
            </w:r>
            <w:r w:rsidR="00AE6023">
              <w:rPr>
                <w:noProof/>
                <w:webHidden/>
              </w:rPr>
              <w:t>35</w:t>
            </w:r>
            <w:r w:rsidR="006B22A7">
              <w:rPr>
                <w:noProof/>
                <w:webHidden/>
              </w:rPr>
              <w:fldChar w:fldCharType="end"/>
            </w:r>
          </w:hyperlink>
        </w:p>
        <w:p w14:paraId="4F143F79" w14:textId="61135537" w:rsidR="006B22A7" w:rsidRDefault="00765E31">
          <w:pPr>
            <w:pStyle w:val="TOC1"/>
            <w:tabs>
              <w:tab w:val="left" w:pos="440"/>
              <w:tab w:val="right" w:leader="dot" w:pos="9620"/>
            </w:tabs>
            <w:rPr>
              <w:rFonts w:eastAsiaTheme="minorEastAsia"/>
              <w:noProof/>
              <w:lang w:val="en-AU" w:eastAsia="en-AU"/>
            </w:rPr>
          </w:pPr>
          <w:hyperlink w:anchor="_Toc22485216" w:history="1">
            <w:r w:rsidR="006B22A7" w:rsidRPr="007D2FF8">
              <w:rPr>
                <w:rStyle w:val="Hyperlink"/>
                <w:rFonts w:eastAsia="Times New Roman" w:cs="Calibri"/>
                <w:b/>
                <w:bCs/>
                <w:noProof/>
              </w:rPr>
              <w:t>5.</w:t>
            </w:r>
            <w:r w:rsidR="006B22A7">
              <w:rPr>
                <w:rFonts w:eastAsiaTheme="minorEastAsia"/>
                <w:noProof/>
                <w:lang w:val="en-AU" w:eastAsia="en-AU"/>
              </w:rPr>
              <w:tab/>
            </w:r>
            <w:r w:rsidR="006B22A7" w:rsidRPr="007D2FF8">
              <w:rPr>
                <w:rStyle w:val="Hyperlink"/>
                <w:rFonts w:eastAsia="Times New Roman" w:cs="Calibri"/>
                <w:b/>
                <w:bCs/>
                <w:noProof/>
              </w:rPr>
              <w:t>Summary of Costs and Benefits</w:t>
            </w:r>
            <w:r w:rsidR="006B22A7">
              <w:rPr>
                <w:noProof/>
                <w:webHidden/>
              </w:rPr>
              <w:tab/>
            </w:r>
            <w:r w:rsidR="006B22A7">
              <w:rPr>
                <w:noProof/>
                <w:webHidden/>
              </w:rPr>
              <w:fldChar w:fldCharType="begin"/>
            </w:r>
            <w:r w:rsidR="006B22A7">
              <w:rPr>
                <w:noProof/>
                <w:webHidden/>
              </w:rPr>
              <w:instrText xml:space="preserve"> PAGEREF _Toc22485216 \h </w:instrText>
            </w:r>
            <w:r w:rsidR="006B22A7">
              <w:rPr>
                <w:noProof/>
                <w:webHidden/>
              </w:rPr>
            </w:r>
            <w:r w:rsidR="006B22A7">
              <w:rPr>
                <w:noProof/>
                <w:webHidden/>
              </w:rPr>
              <w:fldChar w:fldCharType="separate"/>
            </w:r>
            <w:r w:rsidR="00AE6023">
              <w:rPr>
                <w:noProof/>
                <w:webHidden/>
              </w:rPr>
              <w:t>44</w:t>
            </w:r>
            <w:r w:rsidR="006B22A7">
              <w:rPr>
                <w:noProof/>
                <w:webHidden/>
              </w:rPr>
              <w:fldChar w:fldCharType="end"/>
            </w:r>
          </w:hyperlink>
        </w:p>
        <w:p w14:paraId="56D3D5BB" w14:textId="19D5623A" w:rsidR="006B22A7" w:rsidRDefault="00765E31">
          <w:pPr>
            <w:pStyle w:val="TOC1"/>
            <w:tabs>
              <w:tab w:val="left" w:pos="440"/>
              <w:tab w:val="right" w:leader="dot" w:pos="9620"/>
            </w:tabs>
            <w:rPr>
              <w:rFonts w:eastAsiaTheme="minorEastAsia"/>
              <w:noProof/>
              <w:lang w:val="en-AU" w:eastAsia="en-AU"/>
            </w:rPr>
          </w:pPr>
          <w:hyperlink w:anchor="_Toc22485217" w:history="1">
            <w:r w:rsidR="006B22A7" w:rsidRPr="007D2FF8">
              <w:rPr>
                <w:rStyle w:val="Hyperlink"/>
                <w:rFonts w:eastAsia="Times New Roman" w:cs="Calibri"/>
                <w:b/>
                <w:bCs/>
                <w:noProof/>
              </w:rPr>
              <w:t>6.</w:t>
            </w:r>
            <w:r w:rsidR="006B22A7">
              <w:rPr>
                <w:rFonts w:eastAsiaTheme="minorEastAsia"/>
                <w:noProof/>
                <w:lang w:val="en-AU" w:eastAsia="en-AU"/>
              </w:rPr>
              <w:tab/>
            </w:r>
            <w:r w:rsidR="006B22A7" w:rsidRPr="007D2FF8">
              <w:rPr>
                <w:rStyle w:val="Hyperlink"/>
                <w:rFonts w:eastAsia="Times New Roman" w:cs="Calibri"/>
                <w:b/>
                <w:bCs/>
                <w:noProof/>
              </w:rPr>
              <w:t>Consultations and Submissions</w:t>
            </w:r>
            <w:r w:rsidR="006B22A7">
              <w:rPr>
                <w:noProof/>
                <w:webHidden/>
              </w:rPr>
              <w:tab/>
            </w:r>
            <w:r w:rsidR="006B22A7">
              <w:rPr>
                <w:noProof/>
                <w:webHidden/>
              </w:rPr>
              <w:fldChar w:fldCharType="begin"/>
            </w:r>
            <w:r w:rsidR="006B22A7">
              <w:rPr>
                <w:noProof/>
                <w:webHidden/>
              </w:rPr>
              <w:instrText xml:space="preserve"> PAGEREF _Toc22485217 \h </w:instrText>
            </w:r>
            <w:r w:rsidR="006B22A7">
              <w:rPr>
                <w:noProof/>
                <w:webHidden/>
              </w:rPr>
            </w:r>
            <w:r w:rsidR="006B22A7">
              <w:rPr>
                <w:noProof/>
                <w:webHidden/>
              </w:rPr>
              <w:fldChar w:fldCharType="separate"/>
            </w:r>
            <w:r w:rsidR="00AE6023">
              <w:rPr>
                <w:noProof/>
                <w:webHidden/>
              </w:rPr>
              <w:t>55</w:t>
            </w:r>
            <w:r w:rsidR="006B22A7">
              <w:rPr>
                <w:noProof/>
                <w:webHidden/>
              </w:rPr>
              <w:fldChar w:fldCharType="end"/>
            </w:r>
          </w:hyperlink>
        </w:p>
        <w:p w14:paraId="17BB396F" w14:textId="0F704BCC" w:rsidR="006B22A7" w:rsidRDefault="00765E31">
          <w:pPr>
            <w:pStyle w:val="TOC1"/>
            <w:tabs>
              <w:tab w:val="left" w:pos="440"/>
              <w:tab w:val="right" w:leader="dot" w:pos="9620"/>
            </w:tabs>
            <w:rPr>
              <w:rFonts w:eastAsiaTheme="minorEastAsia"/>
              <w:noProof/>
              <w:lang w:val="en-AU" w:eastAsia="en-AU"/>
            </w:rPr>
          </w:pPr>
          <w:hyperlink w:anchor="_Toc22485218" w:history="1">
            <w:r w:rsidR="006B22A7" w:rsidRPr="007D2FF8">
              <w:rPr>
                <w:rStyle w:val="Hyperlink"/>
                <w:rFonts w:eastAsia="Times New Roman" w:cs="Calibri"/>
                <w:b/>
                <w:bCs/>
                <w:noProof/>
              </w:rPr>
              <w:t>7.</w:t>
            </w:r>
            <w:r w:rsidR="006B22A7">
              <w:rPr>
                <w:rFonts w:eastAsiaTheme="minorEastAsia"/>
                <w:noProof/>
                <w:lang w:val="en-AU" w:eastAsia="en-AU"/>
              </w:rPr>
              <w:tab/>
            </w:r>
            <w:r w:rsidR="006B22A7" w:rsidRPr="007D2FF8">
              <w:rPr>
                <w:rStyle w:val="Hyperlink"/>
                <w:rFonts w:eastAsia="Times New Roman" w:cs="Calibri"/>
                <w:b/>
                <w:bCs/>
                <w:noProof/>
              </w:rPr>
              <w:t>Implementation and Timing</w:t>
            </w:r>
            <w:r w:rsidR="006B22A7">
              <w:rPr>
                <w:noProof/>
                <w:webHidden/>
              </w:rPr>
              <w:tab/>
            </w:r>
            <w:r w:rsidR="006B22A7">
              <w:rPr>
                <w:noProof/>
                <w:webHidden/>
              </w:rPr>
              <w:fldChar w:fldCharType="begin"/>
            </w:r>
            <w:r w:rsidR="006B22A7">
              <w:rPr>
                <w:noProof/>
                <w:webHidden/>
              </w:rPr>
              <w:instrText xml:space="preserve"> PAGEREF _Toc22485218 \h </w:instrText>
            </w:r>
            <w:r w:rsidR="006B22A7">
              <w:rPr>
                <w:noProof/>
                <w:webHidden/>
              </w:rPr>
            </w:r>
            <w:r w:rsidR="006B22A7">
              <w:rPr>
                <w:noProof/>
                <w:webHidden/>
              </w:rPr>
              <w:fldChar w:fldCharType="separate"/>
            </w:r>
            <w:r w:rsidR="00AE6023">
              <w:rPr>
                <w:noProof/>
                <w:webHidden/>
              </w:rPr>
              <w:t>63</w:t>
            </w:r>
            <w:r w:rsidR="006B22A7">
              <w:rPr>
                <w:noProof/>
                <w:webHidden/>
              </w:rPr>
              <w:fldChar w:fldCharType="end"/>
            </w:r>
          </w:hyperlink>
        </w:p>
        <w:p w14:paraId="04970A48" w14:textId="3F0EB29A" w:rsidR="006B22A7" w:rsidRDefault="00765E31">
          <w:pPr>
            <w:pStyle w:val="TOC1"/>
            <w:tabs>
              <w:tab w:val="left" w:pos="440"/>
              <w:tab w:val="right" w:leader="dot" w:pos="9620"/>
            </w:tabs>
            <w:rPr>
              <w:rFonts w:eastAsiaTheme="minorEastAsia"/>
              <w:noProof/>
              <w:lang w:val="en-AU" w:eastAsia="en-AU"/>
            </w:rPr>
          </w:pPr>
          <w:hyperlink w:anchor="_Toc22485219" w:history="1">
            <w:r w:rsidR="006B22A7" w:rsidRPr="007D2FF8">
              <w:rPr>
                <w:rStyle w:val="Hyperlink"/>
                <w:rFonts w:eastAsia="Times New Roman" w:cs="Calibri"/>
                <w:b/>
                <w:bCs/>
                <w:noProof/>
              </w:rPr>
              <w:t>8.</w:t>
            </w:r>
            <w:r w:rsidR="006B22A7">
              <w:rPr>
                <w:rFonts w:eastAsiaTheme="minorEastAsia"/>
                <w:noProof/>
                <w:lang w:val="en-AU" w:eastAsia="en-AU"/>
              </w:rPr>
              <w:tab/>
            </w:r>
            <w:r w:rsidR="006B22A7" w:rsidRPr="007D2FF8">
              <w:rPr>
                <w:rStyle w:val="Hyperlink"/>
                <w:rFonts w:eastAsia="Times New Roman" w:cs="Calibri"/>
                <w:b/>
                <w:bCs/>
                <w:noProof/>
              </w:rPr>
              <w:t>Conclusions and Recommendations</w:t>
            </w:r>
            <w:r w:rsidR="006B22A7">
              <w:rPr>
                <w:noProof/>
                <w:webHidden/>
              </w:rPr>
              <w:tab/>
            </w:r>
            <w:r w:rsidR="006B22A7">
              <w:rPr>
                <w:noProof/>
                <w:webHidden/>
              </w:rPr>
              <w:fldChar w:fldCharType="begin"/>
            </w:r>
            <w:r w:rsidR="006B22A7">
              <w:rPr>
                <w:noProof/>
                <w:webHidden/>
              </w:rPr>
              <w:instrText xml:space="preserve"> PAGEREF _Toc22485219 \h </w:instrText>
            </w:r>
            <w:r w:rsidR="006B22A7">
              <w:rPr>
                <w:noProof/>
                <w:webHidden/>
              </w:rPr>
            </w:r>
            <w:r w:rsidR="006B22A7">
              <w:rPr>
                <w:noProof/>
                <w:webHidden/>
              </w:rPr>
              <w:fldChar w:fldCharType="separate"/>
            </w:r>
            <w:r w:rsidR="00AE6023">
              <w:rPr>
                <w:noProof/>
                <w:webHidden/>
              </w:rPr>
              <w:t>65</w:t>
            </w:r>
            <w:r w:rsidR="006B22A7">
              <w:rPr>
                <w:noProof/>
                <w:webHidden/>
              </w:rPr>
              <w:fldChar w:fldCharType="end"/>
            </w:r>
          </w:hyperlink>
        </w:p>
        <w:p w14:paraId="31720D0D" w14:textId="5A288769" w:rsidR="006B22A7" w:rsidRDefault="00765E31">
          <w:pPr>
            <w:pStyle w:val="TOC2"/>
            <w:tabs>
              <w:tab w:val="right" w:leader="dot" w:pos="9620"/>
            </w:tabs>
            <w:rPr>
              <w:rFonts w:eastAsiaTheme="minorEastAsia"/>
              <w:noProof/>
              <w:lang w:val="en-AU" w:eastAsia="en-AU"/>
            </w:rPr>
          </w:pPr>
          <w:hyperlink w:anchor="_Toc22485220" w:history="1">
            <w:r w:rsidR="006B22A7" w:rsidRPr="007D2FF8">
              <w:rPr>
                <w:rStyle w:val="Hyperlink"/>
                <w:rFonts w:ascii="Calibri" w:eastAsia="Times New Roman" w:hAnsi="Calibri" w:cs="Calibri"/>
                <w:b/>
                <w:bCs/>
                <w:noProof/>
                <w:lang w:val="en-AU"/>
              </w:rPr>
              <w:t>References</w:t>
            </w:r>
            <w:r w:rsidR="006B22A7">
              <w:rPr>
                <w:noProof/>
                <w:webHidden/>
              </w:rPr>
              <w:tab/>
            </w:r>
            <w:r w:rsidR="006B22A7">
              <w:rPr>
                <w:noProof/>
                <w:webHidden/>
              </w:rPr>
              <w:fldChar w:fldCharType="begin"/>
            </w:r>
            <w:r w:rsidR="006B22A7">
              <w:rPr>
                <w:noProof/>
                <w:webHidden/>
              </w:rPr>
              <w:instrText xml:space="preserve"> PAGEREF _Toc22485220 \h </w:instrText>
            </w:r>
            <w:r w:rsidR="006B22A7">
              <w:rPr>
                <w:noProof/>
                <w:webHidden/>
              </w:rPr>
            </w:r>
            <w:r w:rsidR="006B22A7">
              <w:rPr>
                <w:noProof/>
                <w:webHidden/>
              </w:rPr>
              <w:fldChar w:fldCharType="separate"/>
            </w:r>
            <w:r w:rsidR="00AE6023">
              <w:rPr>
                <w:noProof/>
                <w:webHidden/>
              </w:rPr>
              <w:t>68</w:t>
            </w:r>
            <w:r w:rsidR="006B22A7">
              <w:rPr>
                <w:noProof/>
                <w:webHidden/>
              </w:rPr>
              <w:fldChar w:fldCharType="end"/>
            </w:r>
          </w:hyperlink>
        </w:p>
        <w:p w14:paraId="7F6B7B98" w14:textId="052E572D" w:rsidR="006B22A7" w:rsidRDefault="00765E31">
          <w:pPr>
            <w:pStyle w:val="TOC2"/>
            <w:tabs>
              <w:tab w:val="right" w:leader="dot" w:pos="9620"/>
            </w:tabs>
            <w:rPr>
              <w:rFonts w:eastAsiaTheme="minorEastAsia"/>
              <w:noProof/>
              <w:lang w:val="en-AU" w:eastAsia="en-AU"/>
            </w:rPr>
          </w:pPr>
          <w:hyperlink w:anchor="_Toc22485221" w:history="1">
            <w:r w:rsidR="006B22A7" w:rsidRPr="007D2FF8">
              <w:rPr>
                <w:rStyle w:val="Hyperlink"/>
                <w:rFonts w:ascii="Calibri" w:eastAsia="Times New Roman" w:hAnsi="Calibri" w:cs="Calibri"/>
                <w:b/>
                <w:bCs/>
                <w:noProof/>
                <w:lang w:val="en-AU"/>
              </w:rPr>
              <w:t>Appendix 1 Consultations and Submissions</w:t>
            </w:r>
            <w:r w:rsidR="006B22A7">
              <w:rPr>
                <w:noProof/>
                <w:webHidden/>
              </w:rPr>
              <w:tab/>
            </w:r>
            <w:r w:rsidR="006B22A7">
              <w:rPr>
                <w:noProof/>
                <w:webHidden/>
              </w:rPr>
              <w:fldChar w:fldCharType="begin"/>
            </w:r>
            <w:r w:rsidR="006B22A7">
              <w:rPr>
                <w:noProof/>
                <w:webHidden/>
              </w:rPr>
              <w:instrText xml:space="preserve"> PAGEREF _Toc22485221 \h </w:instrText>
            </w:r>
            <w:r w:rsidR="006B22A7">
              <w:rPr>
                <w:noProof/>
                <w:webHidden/>
              </w:rPr>
            </w:r>
            <w:r w:rsidR="006B22A7">
              <w:rPr>
                <w:noProof/>
                <w:webHidden/>
              </w:rPr>
              <w:fldChar w:fldCharType="separate"/>
            </w:r>
            <w:r w:rsidR="00AE6023">
              <w:rPr>
                <w:noProof/>
                <w:webHidden/>
              </w:rPr>
              <w:t>70</w:t>
            </w:r>
            <w:r w:rsidR="006B22A7">
              <w:rPr>
                <w:noProof/>
                <w:webHidden/>
              </w:rPr>
              <w:fldChar w:fldCharType="end"/>
            </w:r>
          </w:hyperlink>
        </w:p>
        <w:p w14:paraId="5971682F" w14:textId="1F4C02AE" w:rsidR="006B22A7" w:rsidRDefault="00765E31">
          <w:pPr>
            <w:pStyle w:val="TOC2"/>
            <w:tabs>
              <w:tab w:val="right" w:leader="dot" w:pos="9620"/>
            </w:tabs>
            <w:rPr>
              <w:rFonts w:eastAsiaTheme="minorEastAsia"/>
              <w:noProof/>
              <w:lang w:val="en-AU" w:eastAsia="en-AU"/>
            </w:rPr>
          </w:pPr>
          <w:hyperlink w:anchor="_Toc22485222" w:history="1">
            <w:r w:rsidR="006B22A7" w:rsidRPr="007D2FF8">
              <w:rPr>
                <w:rStyle w:val="Hyperlink"/>
                <w:rFonts w:ascii="Calibri" w:eastAsia="Times New Roman" w:hAnsi="Calibri" w:cs="Calibri"/>
                <w:b/>
                <w:bCs/>
                <w:noProof/>
                <w:lang w:val="en-AU"/>
              </w:rPr>
              <w:t>Appendix 2 Costs and Benefits</w:t>
            </w:r>
            <w:r w:rsidR="006B22A7">
              <w:rPr>
                <w:noProof/>
                <w:webHidden/>
              </w:rPr>
              <w:tab/>
            </w:r>
            <w:r w:rsidR="006B22A7">
              <w:rPr>
                <w:noProof/>
                <w:webHidden/>
              </w:rPr>
              <w:fldChar w:fldCharType="begin"/>
            </w:r>
            <w:r w:rsidR="006B22A7">
              <w:rPr>
                <w:noProof/>
                <w:webHidden/>
              </w:rPr>
              <w:instrText xml:space="preserve"> PAGEREF _Toc22485222 \h </w:instrText>
            </w:r>
            <w:r w:rsidR="006B22A7">
              <w:rPr>
                <w:noProof/>
                <w:webHidden/>
              </w:rPr>
            </w:r>
            <w:r w:rsidR="006B22A7">
              <w:rPr>
                <w:noProof/>
                <w:webHidden/>
              </w:rPr>
              <w:fldChar w:fldCharType="separate"/>
            </w:r>
            <w:r w:rsidR="00AE6023">
              <w:rPr>
                <w:noProof/>
                <w:webHidden/>
              </w:rPr>
              <w:t>76</w:t>
            </w:r>
            <w:r w:rsidR="006B22A7">
              <w:rPr>
                <w:noProof/>
                <w:webHidden/>
              </w:rPr>
              <w:fldChar w:fldCharType="end"/>
            </w:r>
          </w:hyperlink>
        </w:p>
        <w:p w14:paraId="6EB6B78D" w14:textId="071E8405" w:rsidR="006B22A7" w:rsidRDefault="00765E31">
          <w:pPr>
            <w:pStyle w:val="TOC2"/>
            <w:tabs>
              <w:tab w:val="right" w:leader="dot" w:pos="9620"/>
            </w:tabs>
            <w:rPr>
              <w:rFonts w:eastAsiaTheme="minorEastAsia"/>
              <w:noProof/>
              <w:lang w:val="en-AU" w:eastAsia="en-AU"/>
            </w:rPr>
          </w:pPr>
          <w:hyperlink w:anchor="_Toc22485223" w:history="1">
            <w:r w:rsidR="006B22A7" w:rsidRPr="007D2FF8">
              <w:rPr>
                <w:rStyle w:val="Hyperlink"/>
                <w:rFonts w:ascii="Calibri" w:eastAsia="Times New Roman" w:hAnsi="Calibri" w:cs="Calibri"/>
                <w:b/>
                <w:bCs/>
                <w:noProof/>
                <w:lang w:val="en-AU"/>
              </w:rPr>
              <w:t>Appendix 3 Demand Response Standards</w:t>
            </w:r>
            <w:r w:rsidR="006B22A7">
              <w:rPr>
                <w:noProof/>
                <w:webHidden/>
              </w:rPr>
              <w:tab/>
            </w:r>
            <w:r w:rsidR="006B22A7">
              <w:rPr>
                <w:noProof/>
                <w:webHidden/>
              </w:rPr>
              <w:fldChar w:fldCharType="begin"/>
            </w:r>
            <w:r w:rsidR="006B22A7">
              <w:rPr>
                <w:noProof/>
                <w:webHidden/>
              </w:rPr>
              <w:instrText xml:space="preserve"> PAGEREF _Toc22485223 \h </w:instrText>
            </w:r>
            <w:r w:rsidR="006B22A7">
              <w:rPr>
                <w:noProof/>
                <w:webHidden/>
              </w:rPr>
            </w:r>
            <w:r w:rsidR="006B22A7">
              <w:rPr>
                <w:noProof/>
                <w:webHidden/>
              </w:rPr>
              <w:fldChar w:fldCharType="separate"/>
            </w:r>
            <w:r w:rsidR="00AE6023">
              <w:rPr>
                <w:noProof/>
                <w:webHidden/>
              </w:rPr>
              <w:t>98</w:t>
            </w:r>
            <w:r w:rsidR="006B22A7">
              <w:rPr>
                <w:noProof/>
                <w:webHidden/>
              </w:rPr>
              <w:fldChar w:fldCharType="end"/>
            </w:r>
          </w:hyperlink>
        </w:p>
        <w:p w14:paraId="3B78E531" w14:textId="41A163C1" w:rsidR="00A37634" w:rsidRPr="00A37634" w:rsidRDefault="00A37634" w:rsidP="00A37634">
          <w:pPr>
            <w:spacing w:after="120" w:line="276" w:lineRule="auto"/>
            <w:rPr>
              <w:rFonts w:ascii="Calibri" w:eastAsia="Calibri" w:hAnsi="Calibri" w:cs="Calibri"/>
              <w:szCs w:val="20"/>
              <w:lang w:val="en-AU"/>
            </w:rPr>
          </w:pPr>
          <w:r w:rsidRPr="00A37634">
            <w:rPr>
              <w:rFonts w:ascii="Calibri" w:eastAsia="Calibri" w:hAnsi="Calibri" w:cs="Calibri"/>
              <w:b/>
              <w:bCs/>
              <w:noProof/>
              <w:szCs w:val="20"/>
              <w:lang w:val="en-AU"/>
            </w:rPr>
            <w:fldChar w:fldCharType="end"/>
          </w:r>
        </w:p>
      </w:sdtContent>
    </w:sdt>
    <w:p w14:paraId="27FD6557"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3F257A98"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1BDCF7B5"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0717901B"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2E001BE0"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553A1F77"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31D5EFD3"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775E3216"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73B47E49"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6E5D9FF1"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18CDD046"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2ABBBA50"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7EE76155"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0D8DE4A8"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1789AE5E"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17F2FB82"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5FA755E8"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3197A183"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211BFE93"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4A021B07"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4DD3BC46"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4EEAB660" w14:textId="77777777" w:rsidR="00A37634" w:rsidRPr="00A37634" w:rsidRDefault="00A37634" w:rsidP="00A37634">
      <w:pPr>
        <w:tabs>
          <w:tab w:val="right" w:leader="dot" w:pos="9620"/>
        </w:tabs>
        <w:spacing w:after="0" w:line="276" w:lineRule="auto"/>
        <w:rPr>
          <w:rFonts w:ascii="Calibri" w:eastAsia="Calibri" w:hAnsi="Calibri" w:cs="Calibri"/>
          <w:szCs w:val="20"/>
          <w:lang w:val="en-AU"/>
        </w:rPr>
      </w:pPr>
    </w:p>
    <w:p w14:paraId="0837292C" w14:textId="77777777" w:rsidR="00A37634" w:rsidRPr="00A37634" w:rsidRDefault="00A37634" w:rsidP="00A37634">
      <w:pPr>
        <w:tabs>
          <w:tab w:val="right" w:leader="dot" w:pos="9620"/>
        </w:tabs>
        <w:spacing w:after="0" w:line="276" w:lineRule="auto"/>
        <w:rPr>
          <w:rFonts w:ascii="Calibri" w:eastAsia="Times New Roman" w:hAnsi="Calibri" w:cs="Calibri"/>
          <w:b/>
          <w:bCs/>
          <w:color w:val="FF0000"/>
          <w:sz w:val="50"/>
          <w:szCs w:val="50"/>
          <w:lang w:val="en-US" w:eastAsia="ja-JP"/>
        </w:rPr>
      </w:pPr>
      <w:r w:rsidRPr="00A37634">
        <w:rPr>
          <w:rFonts w:ascii="Calibri" w:eastAsia="Times New Roman" w:hAnsi="Calibri" w:cs="Calibri"/>
          <w:b/>
          <w:bCs/>
          <w:color w:val="FF0000"/>
          <w:sz w:val="50"/>
          <w:szCs w:val="50"/>
          <w:lang w:val="en-US" w:eastAsia="ja-JP"/>
        </w:rPr>
        <w:lastRenderedPageBreak/>
        <w:t>Illustrations</w:t>
      </w:r>
    </w:p>
    <w:p w14:paraId="4DDAC310" w14:textId="7984B1C1" w:rsidR="0025272C" w:rsidRPr="0025272C" w:rsidRDefault="00A37634">
      <w:pPr>
        <w:pStyle w:val="TableofFigures"/>
        <w:tabs>
          <w:tab w:val="right" w:leader="dot" w:pos="9620"/>
        </w:tabs>
        <w:rPr>
          <w:rFonts w:asciiTheme="minorHAnsi" w:eastAsiaTheme="minorEastAsia" w:hAnsiTheme="minorHAnsi" w:cstheme="minorBidi"/>
          <w:noProof/>
          <w:szCs w:val="22"/>
          <w:lang w:eastAsia="en-AU"/>
        </w:rPr>
      </w:pPr>
      <w:r w:rsidRPr="0025272C">
        <w:rPr>
          <w:rFonts w:eastAsia="Calibri" w:cs="Calibri"/>
        </w:rPr>
        <w:fldChar w:fldCharType="begin"/>
      </w:r>
      <w:r w:rsidRPr="0025272C">
        <w:rPr>
          <w:rFonts w:eastAsia="Calibri" w:cs="Calibri"/>
        </w:rPr>
        <w:instrText xml:space="preserve"> TOC \h \z \c "Figure" </w:instrText>
      </w:r>
      <w:r w:rsidRPr="0025272C">
        <w:rPr>
          <w:rFonts w:eastAsia="Calibri" w:cs="Calibri"/>
        </w:rPr>
        <w:fldChar w:fldCharType="separate"/>
      </w:r>
      <w:hyperlink w:anchor="_Toc22488514" w:history="1">
        <w:r w:rsidR="0025272C" w:rsidRPr="0025272C">
          <w:rPr>
            <w:rStyle w:val="Hyperlink"/>
            <w:rFonts w:eastAsia="Cambria" w:cs="Calibri"/>
            <w:noProof/>
          </w:rPr>
          <w:t>Figure 1. Projected costs and benefits of the measure at various activation rates, Australia</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_Toc22488514 \h </w:instrText>
        </w:r>
        <w:r w:rsidR="0025272C" w:rsidRPr="0025272C">
          <w:rPr>
            <w:noProof/>
            <w:webHidden/>
          </w:rPr>
        </w:r>
        <w:r w:rsidR="0025272C" w:rsidRPr="0025272C">
          <w:rPr>
            <w:noProof/>
            <w:webHidden/>
          </w:rPr>
          <w:fldChar w:fldCharType="separate"/>
        </w:r>
        <w:r w:rsidR="0025272C" w:rsidRPr="0025272C">
          <w:rPr>
            <w:noProof/>
            <w:webHidden/>
          </w:rPr>
          <w:t>6</w:t>
        </w:r>
        <w:r w:rsidR="0025272C" w:rsidRPr="0025272C">
          <w:rPr>
            <w:noProof/>
            <w:webHidden/>
          </w:rPr>
          <w:fldChar w:fldCharType="end"/>
        </w:r>
      </w:hyperlink>
    </w:p>
    <w:p w14:paraId="5C7A0C29" w14:textId="5D0ADB48"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15" w:history="1">
        <w:r w:rsidR="0025272C" w:rsidRPr="0025272C">
          <w:rPr>
            <w:rStyle w:val="Hyperlink"/>
            <w:rFonts w:eastAsia="Cambria" w:cs="Calibri"/>
            <w:noProof/>
          </w:rPr>
          <w:t>Figure 2 Costs and Benefits by Jurisdiction</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_Toc22488515 \h </w:instrText>
        </w:r>
        <w:r w:rsidR="0025272C" w:rsidRPr="0025272C">
          <w:rPr>
            <w:noProof/>
            <w:webHidden/>
          </w:rPr>
        </w:r>
        <w:r w:rsidR="0025272C" w:rsidRPr="0025272C">
          <w:rPr>
            <w:noProof/>
            <w:webHidden/>
          </w:rPr>
          <w:fldChar w:fldCharType="separate"/>
        </w:r>
        <w:r w:rsidR="0025272C" w:rsidRPr="0025272C">
          <w:rPr>
            <w:noProof/>
            <w:webHidden/>
          </w:rPr>
          <w:t>6</w:t>
        </w:r>
        <w:r w:rsidR="0025272C" w:rsidRPr="0025272C">
          <w:rPr>
            <w:noProof/>
            <w:webHidden/>
          </w:rPr>
          <w:fldChar w:fldCharType="end"/>
        </w:r>
      </w:hyperlink>
    </w:p>
    <w:p w14:paraId="51316872" w14:textId="2AF68B2D"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16" w:history="1">
        <w:r w:rsidR="0025272C" w:rsidRPr="0025272C">
          <w:rPr>
            <w:rStyle w:val="Hyperlink"/>
            <w:rFonts w:eastAsia="Cambria" w:cs="Calibri"/>
            <w:noProof/>
          </w:rPr>
          <w:t>Figure 3. Electricity networks must be built for the ‘peakiest’ events</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_Toc22488516 \h </w:instrText>
        </w:r>
        <w:r w:rsidR="0025272C" w:rsidRPr="0025272C">
          <w:rPr>
            <w:noProof/>
            <w:webHidden/>
          </w:rPr>
        </w:r>
        <w:r w:rsidR="0025272C" w:rsidRPr="0025272C">
          <w:rPr>
            <w:noProof/>
            <w:webHidden/>
          </w:rPr>
          <w:fldChar w:fldCharType="separate"/>
        </w:r>
        <w:r w:rsidR="0025272C" w:rsidRPr="0025272C">
          <w:rPr>
            <w:noProof/>
            <w:webHidden/>
          </w:rPr>
          <w:t>17</w:t>
        </w:r>
        <w:r w:rsidR="0025272C" w:rsidRPr="0025272C">
          <w:rPr>
            <w:noProof/>
            <w:webHidden/>
          </w:rPr>
          <w:fldChar w:fldCharType="end"/>
        </w:r>
      </w:hyperlink>
    </w:p>
    <w:p w14:paraId="6F80B84D" w14:textId="779E3F5D"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17" w:history="1">
        <w:r w:rsidR="0025272C" w:rsidRPr="0025272C">
          <w:rPr>
            <w:rStyle w:val="Hyperlink"/>
            <w:rFonts w:eastAsia="Cambria" w:cs="Calibri"/>
            <w:noProof/>
          </w:rPr>
          <w:t>Figure 4. The growth of solar PV brings new challenges</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_Toc22488517 \h </w:instrText>
        </w:r>
        <w:r w:rsidR="0025272C" w:rsidRPr="0025272C">
          <w:rPr>
            <w:noProof/>
            <w:webHidden/>
          </w:rPr>
        </w:r>
        <w:r w:rsidR="0025272C" w:rsidRPr="0025272C">
          <w:rPr>
            <w:noProof/>
            <w:webHidden/>
          </w:rPr>
          <w:fldChar w:fldCharType="separate"/>
        </w:r>
        <w:r w:rsidR="0025272C" w:rsidRPr="0025272C">
          <w:rPr>
            <w:noProof/>
            <w:webHidden/>
          </w:rPr>
          <w:t>18</w:t>
        </w:r>
        <w:r w:rsidR="0025272C" w:rsidRPr="0025272C">
          <w:rPr>
            <w:noProof/>
            <w:webHidden/>
          </w:rPr>
          <w:fldChar w:fldCharType="end"/>
        </w:r>
      </w:hyperlink>
    </w:p>
    <w:p w14:paraId="382B487A" w14:textId="696968A6"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18" w:history="1">
        <w:r w:rsidR="0025272C" w:rsidRPr="0025272C">
          <w:rPr>
            <w:rStyle w:val="Hyperlink"/>
            <w:rFonts w:eastAsia="Cambria" w:cs="Calibri"/>
            <w:noProof/>
          </w:rPr>
          <w:t>Figure 5 Multiple DR pathways can coexist (air conditioner example)</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_Toc22488518 \h </w:instrText>
        </w:r>
        <w:r w:rsidR="0025272C" w:rsidRPr="0025272C">
          <w:rPr>
            <w:noProof/>
            <w:webHidden/>
          </w:rPr>
        </w:r>
        <w:r w:rsidR="0025272C" w:rsidRPr="0025272C">
          <w:rPr>
            <w:noProof/>
            <w:webHidden/>
          </w:rPr>
          <w:fldChar w:fldCharType="separate"/>
        </w:r>
        <w:r w:rsidR="0025272C" w:rsidRPr="0025272C">
          <w:rPr>
            <w:noProof/>
            <w:webHidden/>
          </w:rPr>
          <w:t>21</w:t>
        </w:r>
        <w:r w:rsidR="0025272C" w:rsidRPr="0025272C">
          <w:rPr>
            <w:noProof/>
            <w:webHidden/>
          </w:rPr>
          <w:fldChar w:fldCharType="end"/>
        </w:r>
      </w:hyperlink>
    </w:p>
    <w:p w14:paraId="6F883660" w14:textId="4DBCB8ED"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19" w:history="1">
        <w:r w:rsidR="0025272C" w:rsidRPr="0025272C">
          <w:rPr>
            <w:rStyle w:val="Hyperlink"/>
            <w:rFonts w:eastAsia="Cambria" w:cs="Calibri"/>
            <w:noProof/>
          </w:rPr>
          <w:t>Figure 6. Relationship of Remote Agent and DRED to Air Conditioner</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_Toc22488519 \h </w:instrText>
        </w:r>
        <w:r w:rsidR="0025272C" w:rsidRPr="0025272C">
          <w:rPr>
            <w:noProof/>
            <w:webHidden/>
          </w:rPr>
        </w:r>
        <w:r w:rsidR="0025272C" w:rsidRPr="0025272C">
          <w:rPr>
            <w:noProof/>
            <w:webHidden/>
          </w:rPr>
          <w:fldChar w:fldCharType="separate"/>
        </w:r>
        <w:r w:rsidR="0025272C" w:rsidRPr="0025272C">
          <w:rPr>
            <w:noProof/>
            <w:webHidden/>
          </w:rPr>
          <w:t>41</w:t>
        </w:r>
        <w:r w:rsidR="0025272C" w:rsidRPr="0025272C">
          <w:rPr>
            <w:noProof/>
            <w:webHidden/>
          </w:rPr>
          <w:fldChar w:fldCharType="end"/>
        </w:r>
      </w:hyperlink>
    </w:p>
    <w:p w14:paraId="579AFAB5" w14:textId="3237048C"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0" w:history="1">
        <w:r w:rsidR="0025272C" w:rsidRPr="0025272C">
          <w:rPr>
            <w:rStyle w:val="Hyperlink"/>
            <w:rFonts w:eastAsia="Cambria" w:cs="Calibri"/>
            <w:noProof/>
          </w:rPr>
          <w:t>Figure 7. New AS/NZS 4755 Framework</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_Toc22488520 \h </w:instrText>
        </w:r>
        <w:r w:rsidR="0025272C" w:rsidRPr="0025272C">
          <w:rPr>
            <w:noProof/>
            <w:webHidden/>
          </w:rPr>
        </w:r>
        <w:r w:rsidR="0025272C" w:rsidRPr="0025272C">
          <w:rPr>
            <w:noProof/>
            <w:webHidden/>
          </w:rPr>
          <w:fldChar w:fldCharType="separate"/>
        </w:r>
        <w:r w:rsidR="0025272C" w:rsidRPr="0025272C">
          <w:rPr>
            <w:noProof/>
            <w:webHidden/>
          </w:rPr>
          <w:t>41</w:t>
        </w:r>
        <w:r w:rsidR="0025272C" w:rsidRPr="0025272C">
          <w:rPr>
            <w:noProof/>
            <w:webHidden/>
          </w:rPr>
          <w:fldChar w:fldCharType="end"/>
        </w:r>
      </w:hyperlink>
    </w:p>
    <w:p w14:paraId="6F90D914" w14:textId="0A0E42E8"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1" w:history="1">
        <w:r w:rsidR="0025272C" w:rsidRPr="0025272C">
          <w:rPr>
            <w:rStyle w:val="Hyperlink"/>
            <w:rFonts w:eastAsia="Cambria" w:cs="Calibri"/>
            <w:noProof/>
          </w:rPr>
          <w:t>Figure 8. Projected increase in appliance costs</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_Toc22488521 \h </w:instrText>
        </w:r>
        <w:r w:rsidR="0025272C" w:rsidRPr="0025272C">
          <w:rPr>
            <w:noProof/>
            <w:webHidden/>
          </w:rPr>
        </w:r>
        <w:r w:rsidR="0025272C" w:rsidRPr="0025272C">
          <w:rPr>
            <w:noProof/>
            <w:webHidden/>
          </w:rPr>
          <w:fldChar w:fldCharType="separate"/>
        </w:r>
        <w:r w:rsidR="0025272C" w:rsidRPr="0025272C">
          <w:rPr>
            <w:noProof/>
            <w:webHidden/>
          </w:rPr>
          <w:t>45</w:t>
        </w:r>
        <w:r w:rsidR="0025272C" w:rsidRPr="0025272C">
          <w:rPr>
            <w:noProof/>
            <w:webHidden/>
          </w:rPr>
          <w:fldChar w:fldCharType="end"/>
        </w:r>
      </w:hyperlink>
    </w:p>
    <w:p w14:paraId="22E4C09D" w14:textId="1B6DAD42"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2" w:history="1">
        <w:r w:rsidR="0025272C" w:rsidRPr="0025272C">
          <w:rPr>
            <w:rStyle w:val="Hyperlink"/>
            <w:rFonts w:eastAsia="Cambria" w:cs="Calibri"/>
            <w:noProof/>
          </w:rPr>
          <w:t>Figure 9. Projected activation costs</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_Toc22488522 \h </w:instrText>
        </w:r>
        <w:r w:rsidR="0025272C" w:rsidRPr="0025272C">
          <w:rPr>
            <w:noProof/>
            <w:webHidden/>
          </w:rPr>
        </w:r>
        <w:r w:rsidR="0025272C" w:rsidRPr="0025272C">
          <w:rPr>
            <w:noProof/>
            <w:webHidden/>
          </w:rPr>
          <w:fldChar w:fldCharType="separate"/>
        </w:r>
        <w:r w:rsidR="0025272C" w:rsidRPr="0025272C">
          <w:rPr>
            <w:noProof/>
            <w:webHidden/>
          </w:rPr>
          <w:t>46</w:t>
        </w:r>
        <w:r w:rsidR="0025272C" w:rsidRPr="0025272C">
          <w:rPr>
            <w:noProof/>
            <w:webHidden/>
          </w:rPr>
          <w:fldChar w:fldCharType="end"/>
        </w:r>
      </w:hyperlink>
    </w:p>
    <w:p w14:paraId="3CBE13B0" w14:textId="1923E690"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3" w:history="1">
        <w:r w:rsidR="0025272C" w:rsidRPr="0025272C">
          <w:rPr>
            <w:rStyle w:val="Hyperlink"/>
            <w:rFonts w:eastAsia="Cambria" w:cs="Calibri"/>
            <w:noProof/>
          </w:rPr>
          <w:t>Figure 10. Projected activation rates (Medium and Minimum)</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_Toc22488523 \h </w:instrText>
        </w:r>
        <w:r w:rsidR="0025272C" w:rsidRPr="0025272C">
          <w:rPr>
            <w:noProof/>
            <w:webHidden/>
          </w:rPr>
        </w:r>
        <w:r w:rsidR="0025272C" w:rsidRPr="0025272C">
          <w:rPr>
            <w:noProof/>
            <w:webHidden/>
          </w:rPr>
          <w:fldChar w:fldCharType="separate"/>
        </w:r>
        <w:r w:rsidR="0025272C" w:rsidRPr="0025272C">
          <w:rPr>
            <w:noProof/>
            <w:webHidden/>
          </w:rPr>
          <w:t>47</w:t>
        </w:r>
        <w:r w:rsidR="0025272C" w:rsidRPr="0025272C">
          <w:rPr>
            <w:noProof/>
            <w:webHidden/>
          </w:rPr>
          <w:fldChar w:fldCharType="end"/>
        </w:r>
      </w:hyperlink>
    </w:p>
    <w:p w14:paraId="630619CE" w14:textId="50857BD7"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4" w:history="1">
        <w:r w:rsidR="0025272C" w:rsidRPr="0025272C">
          <w:rPr>
            <w:rStyle w:val="Hyperlink"/>
            <w:rFonts w:eastAsia="Cambria" w:cs="Calibri"/>
            <w:noProof/>
          </w:rPr>
          <w:t>Figure 11. Projected peak demand and impact on peak demand (Medium activation) rates</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_Toc22488524 \h </w:instrText>
        </w:r>
        <w:r w:rsidR="0025272C" w:rsidRPr="0025272C">
          <w:rPr>
            <w:noProof/>
            <w:webHidden/>
          </w:rPr>
        </w:r>
        <w:r w:rsidR="0025272C" w:rsidRPr="0025272C">
          <w:rPr>
            <w:noProof/>
            <w:webHidden/>
          </w:rPr>
          <w:fldChar w:fldCharType="separate"/>
        </w:r>
        <w:r w:rsidR="0025272C" w:rsidRPr="0025272C">
          <w:rPr>
            <w:noProof/>
            <w:webHidden/>
          </w:rPr>
          <w:t>47</w:t>
        </w:r>
        <w:r w:rsidR="0025272C" w:rsidRPr="0025272C">
          <w:rPr>
            <w:noProof/>
            <w:webHidden/>
          </w:rPr>
          <w:fldChar w:fldCharType="end"/>
        </w:r>
      </w:hyperlink>
    </w:p>
    <w:p w14:paraId="7C18EFFD" w14:textId="5F0C8842"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5" w:history="1">
        <w:r w:rsidR="0025272C" w:rsidRPr="0025272C">
          <w:rPr>
            <w:rStyle w:val="Hyperlink"/>
            <w:rFonts w:eastAsia="Cambria" w:cs="Calibri"/>
            <w:noProof/>
          </w:rPr>
          <w:t>Figure 12. Projected costs and benefits of the measure at various activation rates, Australia</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_Toc22488525 \h </w:instrText>
        </w:r>
        <w:r w:rsidR="0025272C" w:rsidRPr="0025272C">
          <w:rPr>
            <w:noProof/>
            <w:webHidden/>
          </w:rPr>
        </w:r>
        <w:r w:rsidR="0025272C" w:rsidRPr="0025272C">
          <w:rPr>
            <w:noProof/>
            <w:webHidden/>
          </w:rPr>
          <w:fldChar w:fldCharType="separate"/>
        </w:r>
        <w:r w:rsidR="0025272C" w:rsidRPr="0025272C">
          <w:rPr>
            <w:noProof/>
            <w:webHidden/>
          </w:rPr>
          <w:t>48</w:t>
        </w:r>
        <w:r w:rsidR="0025272C" w:rsidRPr="0025272C">
          <w:rPr>
            <w:noProof/>
            <w:webHidden/>
          </w:rPr>
          <w:fldChar w:fldCharType="end"/>
        </w:r>
      </w:hyperlink>
    </w:p>
    <w:p w14:paraId="63BBBC49" w14:textId="0BB2D49B"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6" w:history="1">
        <w:r w:rsidR="0025272C" w:rsidRPr="0025272C">
          <w:rPr>
            <w:rStyle w:val="Hyperlink"/>
            <w:rFonts w:eastAsia="Cambria" w:cs="Calibri"/>
            <w:noProof/>
          </w:rPr>
          <w:t>Figure 13 Projected Rates of Compliance with AS/NZS 4755, Air Conditioners (BAU and WM)</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_Toc22488526 \h </w:instrText>
        </w:r>
        <w:r w:rsidR="0025272C" w:rsidRPr="0025272C">
          <w:rPr>
            <w:noProof/>
            <w:webHidden/>
          </w:rPr>
        </w:r>
        <w:r w:rsidR="0025272C" w:rsidRPr="0025272C">
          <w:rPr>
            <w:noProof/>
            <w:webHidden/>
          </w:rPr>
          <w:fldChar w:fldCharType="separate"/>
        </w:r>
        <w:r w:rsidR="0025272C" w:rsidRPr="0025272C">
          <w:rPr>
            <w:noProof/>
            <w:webHidden/>
          </w:rPr>
          <w:t>76</w:t>
        </w:r>
        <w:r w:rsidR="0025272C" w:rsidRPr="0025272C">
          <w:rPr>
            <w:noProof/>
            <w:webHidden/>
          </w:rPr>
          <w:fldChar w:fldCharType="end"/>
        </w:r>
      </w:hyperlink>
    </w:p>
    <w:p w14:paraId="343334A1" w14:textId="12423F26"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7" w:history="1">
        <w:r w:rsidR="0025272C" w:rsidRPr="0025272C">
          <w:rPr>
            <w:rStyle w:val="Hyperlink"/>
            <w:rFonts w:eastAsia="Cambria" w:cs="Calibri"/>
            <w:noProof/>
          </w:rPr>
          <w:t>Figure 14 Projected air conditioner sales, Australia</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_Toc22488527 \h </w:instrText>
        </w:r>
        <w:r w:rsidR="0025272C" w:rsidRPr="0025272C">
          <w:rPr>
            <w:noProof/>
            <w:webHidden/>
          </w:rPr>
        </w:r>
        <w:r w:rsidR="0025272C" w:rsidRPr="0025272C">
          <w:rPr>
            <w:noProof/>
            <w:webHidden/>
          </w:rPr>
          <w:fldChar w:fldCharType="separate"/>
        </w:r>
        <w:r w:rsidR="0025272C" w:rsidRPr="0025272C">
          <w:rPr>
            <w:noProof/>
            <w:webHidden/>
          </w:rPr>
          <w:t>83</w:t>
        </w:r>
        <w:r w:rsidR="0025272C" w:rsidRPr="0025272C">
          <w:rPr>
            <w:noProof/>
            <w:webHidden/>
          </w:rPr>
          <w:fldChar w:fldCharType="end"/>
        </w:r>
      </w:hyperlink>
    </w:p>
    <w:p w14:paraId="2B76E4D9" w14:textId="67417F57"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8" w:history="1">
        <w:r w:rsidR="0025272C" w:rsidRPr="0025272C">
          <w:rPr>
            <w:rStyle w:val="Hyperlink"/>
            <w:rFonts w:eastAsia="Cambria" w:cs="Calibri"/>
            <w:noProof/>
          </w:rPr>
          <w:t>Figure 15 Projected electrical load of new air conditioners, Australia</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_Toc22488528 \h </w:instrText>
        </w:r>
        <w:r w:rsidR="0025272C" w:rsidRPr="0025272C">
          <w:rPr>
            <w:noProof/>
            <w:webHidden/>
          </w:rPr>
        </w:r>
        <w:r w:rsidR="0025272C" w:rsidRPr="0025272C">
          <w:rPr>
            <w:noProof/>
            <w:webHidden/>
          </w:rPr>
          <w:fldChar w:fldCharType="separate"/>
        </w:r>
        <w:r w:rsidR="0025272C" w:rsidRPr="0025272C">
          <w:rPr>
            <w:noProof/>
            <w:webHidden/>
          </w:rPr>
          <w:t>83</w:t>
        </w:r>
        <w:r w:rsidR="0025272C" w:rsidRPr="0025272C">
          <w:rPr>
            <w:noProof/>
            <w:webHidden/>
          </w:rPr>
          <w:fldChar w:fldCharType="end"/>
        </w:r>
      </w:hyperlink>
    </w:p>
    <w:p w14:paraId="0B3622F1" w14:textId="74A32FCC"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29" w:history="1">
        <w:r w:rsidR="0025272C" w:rsidRPr="0025272C">
          <w:rPr>
            <w:rStyle w:val="Hyperlink"/>
            <w:rFonts w:eastAsia="Cambria" w:cs="Calibri"/>
            <w:noProof/>
          </w:rPr>
          <w:t>Figure 16 Projected Electric Storage Water Heater Sales, Australia and New Zealand</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_Toc22488529 \h </w:instrText>
        </w:r>
        <w:r w:rsidR="0025272C" w:rsidRPr="0025272C">
          <w:rPr>
            <w:noProof/>
            <w:webHidden/>
          </w:rPr>
        </w:r>
        <w:r w:rsidR="0025272C" w:rsidRPr="0025272C">
          <w:rPr>
            <w:noProof/>
            <w:webHidden/>
          </w:rPr>
          <w:fldChar w:fldCharType="separate"/>
        </w:r>
        <w:r w:rsidR="0025272C" w:rsidRPr="0025272C">
          <w:rPr>
            <w:noProof/>
            <w:webHidden/>
          </w:rPr>
          <w:t>84</w:t>
        </w:r>
        <w:r w:rsidR="0025272C" w:rsidRPr="0025272C">
          <w:rPr>
            <w:noProof/>
            <w:webHidden/>
          </w:rPr>
          <w:fldChar w:fldCharType="end"/>
        </w:r>
      </w:hyperlink>
    </w:p>
    <w:p w14:paraId="36E71D51" w14:textId="019A95AB"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30" w:history="1">
        <w:r w:rsidR="0025272C" w:rsidRPr="0025272C">
          <w:rPr>
            <w:rStyle w:val="Hyperlink"/>
            <w:rFonts w:eastAsia="Cambria" w:cs="Calibri"/>
            <w:noProof/>
          </w:rPr>
          <w:t>Figure 17 Projected Pool Pump Controller Sales, Australia</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_Toc22488530 \h </w:instrText>
        </w:r>
        <w:r w:rsidR="0025272C" w:rsidRPr="0025272C">
          <w:rPr>
            <w:noProof/>
            <w:webHidden/>
          </w:rPr>
        </w:r>
        <w:r w:rsidR="0025272C" w:rsidRPr="0025272C">
          <w:rPr>
            <w:noProof/>
            <w:webHidden/>
          </w:rPr>
          <w:fldChar w:fldCharType="separate"/>
        </w:r>
        <w:r w:rsidR="0025272C" w:rsidRPr="0025272C">
          <w:rPr>
            <w:noProof/>
            <w:webHidden/>
          </w:rPr>
          <w:t>84</w:t>
        </w:r>
        <w:r w:rsidR="0025272C" w:rsidRPr="0025272C">
          <w:rPr>
            <w:noProof/>
            <w:webHidden/>
          </w:rPr>
          <w:fldChar w:fldCharType="end"/>
        </w:r>
      </w:hyperlink>
    </w:p>
    <w:p w14:paraId="5B5C74E1" w14:textId="15FF974F"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31" w:history="1">
        <w:r w:rsidR="0025272C" w:rsidRPr="0025272C">
          <w:rPr>
            <w:rStyle w:val="Hyperlink"/>
            <w:rFonts w:eastAsia="Cambria" w:cs="Calibri"/>
            <w:noProof/>
          </w:rPr>
          <w:t>Figure 18 Projected Electric Vehicle Ownership per Household</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_Toc22488531 \h </w:instrText>
        </w:r>
        <w:r w:rsidR="0025272C" w:rsidRPr="0025272C">
          <w:rPr>
            <w:noProof/>
            <w:webHidden/>
          </w:rPr>
        </w:r>
        <w:r w:rsidR="0025272C" w:rsidRPr="0025272C">
          <w:rPr>
            <w:noProof/>
            <w:webHidden/>
          </w:rPr>
          <w:fldChar w:fldCharType="separate"/>
        </w:r>
        <w:r w:rsidR="0025272C" w:rsidRPr="0025272C">
          <w:rPr>
            <w:noProof/>
            <w:webHidden/>
          </w:rPr>
          <w:t>85</w:t>
        </w:r>
        <w:r w:rsidR="0025272C" w:rsidRPr="0025272C">
          <w:rPr>
            <w:noProof/>
            <w:webHidden/>
          </w:rPr>
          <w:fldChar w:fldCharType="end"/>
        </w:r>
      </w:hyperlink>
    </w:p>
    <w:p w14:paraId="04FCCE62" w14:textId="31E3AAB1"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32" w:history="1">
        <w:r w:rsidR="0025272C" w:rsidRPr="0025272C">
          <w:rPr>
            <w:rStyle w:val="Hyperlink"/>
            <w:rFonts w:eastAsia="Cambria" w:cs="Calibri"/>
            <w:noProof/>
          </w:rPr>
          <w:t>Figure 19 Projected Contribution of each light EV to Maximum Demand</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_Toc22488532 \h </w:instrText>
        </w:r>
        <w:r w:rsidR="0025272C" w:rsidRPr="0025272C">
          <w:rPr>
            <w:noProof/>
            <w:webHidden/>
          </w:rPr>
        </w:r>
        <w:r w:rsidR="0025272C" w:rsidRPr="0025272C">
          <w:rPr>
            <w:noProof/>
            <w:webHidden/>
          </w:rPr>
          <w:fldChar w:fldCharType="separate"/>
        </w:r>
        <w:r w:rsidR="0025272C" w:rsidRPr="0025272C">
          <w:rPr>
            <w:noProof/>
            <w:webHidden/>
          </w:rPr>
          <w:t>85</w:t>
        </w:r>
        <w:r w:rsidR="0025272C" w:rsidRPr="0025272C">
          <w:rPr>
            <w:noProof/>
            <w:webHidden/>
          </w:rPr>
          <w:fldChar w:fldCharType="end"/>
        </w:r>
      </w:hyperlink>
    </w:p>
    <w:p w14:paraId="718635A1" w14:textId="1C840A92"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33" w:history="1">
        <w:r w:rsidR="0025272C" w:rsidRPr="0025272C">
          <w:rPr>
            <w:rStyle w:val="Hyperlink"/>
            <w:rFonts w:eastAsia="Cambria" w:cs="Calibri"/>
            <w:noProof/>
          </w:rPr>
          <w:t>Figure 20 Projected activation rates (High, Medium. Low and Minimum)</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_Toc22488533 \h </w:instrText>
        </w:r>
        <w:r w:rsidR="0025272C" w:rsidRPr="0025272C">
          <w:rPr>
            <w:noProof/>
            <w:webHidden/>
          </w:rPr>
        </w:r>
        <w:r w:rsidR="0025272C" w:rsidRPr="0025272C">
          <w:rPr>
            <w:noProof/>
            <w:webHidden/>
          </w:rPr>
          <w:fldChar w:fldCharType="separate"/>
        </w:r>
        <w:r w:rsidR="0025272C" w:rsidRPr="0025272C">
          <w:rPr>
            <w:noProof/>
            <w:webHidden/>
          </w:rPr>
          <w:t>87</w:t>
        </w:r>
        <w:r w:rsidR="0025272C" w:rsidRPr="0025272C">
          <w:rPr>
            <w:noProof/>
            <w:webHidden/>
          </w:rPr>
          <w:fldChar w:fldCharType="end"/>
        </w:r>
      </w:hyperlink>
    </w:p>
    <w:p w14:paraId="44C44BE3" w14:textId="2C7CFD31"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34" w:history="1">
        <w:r w:rsidR="0025272C" w:rsidRPr="0025272C">
          <w:rPr>
            <w:rStyle w:val="Hyperlink"/>
            <w:rFonts w:eastAsia="Cambria" w:cs="Calibri"/>
            <w:noProof/>
          </w:rPr>
          <w:t>Figure 21. High install-activation rate projections vs actual PeakSmart activation rates</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_Toc22488534 \h </w:instrText>
        </w:r>
        <w:r w:rsidR="0025272C" w:rsidRPr="0025272C">
          <w:rPr>
            <w:noProof/>
            <w:webHidden/>
          </w:rPr>
        </w:r>
        <w:r w:rsidR="0025272C" w:rsidRPr="0025272C">
          <w:rPr>
            <w:noProof/>
            <w:webHidden/>
          </w:rPr>
          <w:fldChar w:fldCharType="separate"/>
        </w:r>
        <w:r w:rsidR="0025272C" w:rsidRPr="0025272C">
          <w:rPr>
            <w:noProof/>
            <w:webHidden/>
          </w:rPr>
          <w:t>88</w:t>
        </w:r>
        <w:r w:rsidR="0025272C" w:rsidRPr="0025272C">
          <w:rPr>
            <w:noProof/>
            <w:webHidden/>
          </w:rPr>
          <w:fldChar w:fldCharType="end"/>
        </w:r>
      </w:hyperlink>
    </w:p>
    <w:p w14:paraId="39A01A9B" w14:textId="6E313EB1"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35" w:history="1">
        <w:r w:rsidR="0025272C" w:rsidRPr="0025272C">
          <w:rPr>
            <w:rStyle w:val="Hyperlink"/>
            <w:rFonts w:eastAsia="Cambria" w:cs="Calibri"/>
            <w:noProof/>
          </w:rPr>
          <w:t>Figure 22. Number of installation and post-installation air conditioner activations, medium activation rates</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_Toc22488535 \h </w:instrText>
        </w:r>
        <w:r w:rsidR="0025272C" w:rsidRPr="0025272C">
          <w:rPr>
            <w:noProof/>
            <w:webHidden/>
          </w:rPr>
        </w:r>
        <w:r w:rsidR="0025272C" w:rsidRPr="0025272C">
          <w:rPr>
            <w:noProof/>
            <w:webHidden/>
          </w:rPr>
          <w:fldChar w:fldCharType="separate"/>
        </w:r>
        <w:r w:rsidR="0025272C" w:rsidRPr="0025272C">
          <w:rPr>
            <w:noProof/>
            <w:webHidden/>
          </w:rPr>
          <w:t>88</w:t>
        </w:r>
        <w:r w:rsidR="0025272C" w:rsidRPr="0025272C">
          <w:rPr>
            <w:noProof/>
            <w:webHidden/>
          </w:rPr>
          <w:fldChar w:fldCharType="end"/>
        </w:r>
      </w:hyperlink>
    </w:p>
    <w:p w14:paraId="4E298FAA" w14:textId="0FD1A973"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36" w:history="1">
        <w:r w:rsidR="0025272C" w:rsidRPr="0025272C">
          <w:rPr>
            <w:rStyle w:val="Hyperlink"/>
            <w:rFonts w:eastAsia="Cambria" w:cs="Calibri"/>
            <w:noProof/>
          </w:rPr>
          <w:t>Figure 23. Projected emergency DR air conditioner load available as % of maximum demand, Medium activation rates</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_Toc22488536 \h </w:instrText>
        </w:r>
        <w:r w:rsidR="0025272C" w:rsidRPr="0025272C">
          <w:rPr>
            <w:noProof/>
            <w:webHidden/>
          </w:rPr>
        </w:r>
        <w:r w:rsidR="0025272C" w:rsidRPr="0025272C">
          <w:rPr>
            <w:noProof/>
            <w:webHidden/>
          </w:rPr>
          <w:fldChar w:fldCharType="separate"/>
        </w:r>
        <w:r w:rsidR="0025272C" w:rsidRPr="0025272C">
          <w:rPr>
            <w:noProof/>
            <w:webHidden/>
          </w:rPr>
          <w:t>91</w:t>
        </w:r>
        <w:r w:rsidR="0025272C" w:rsidRPr="0025272C">
          <w:rPr>
            <w:noProof/>
            <w:webHidden/>
          </w:rPr>
          <w:fldChar w:fldCharType="end"/>
        </w:r>
      </w:hyperlink>
    </w:p>
    <w:p w14:paraId="2B79410E" w14:textId="4318328D"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37" w:history="1">
        <w:r w:rsidR="0025272C" w:rsidRPr="0025272C">
          <w:rPr>
            <w:rStyle w:val="Hyperlink"/>
            <w:rFonts w:eastAsia="Cambria" w:cs="Calibri"/>
            <w:noProof/>
          </w:rPr>
          <w:t>Figure 24 Costs and Benefits by Jurisdiction</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_Toc22488537 \h </w:instrText>
        </w:r>
        <w:r w:rsidR="0025272C" w:rsidRPr="0025272C">
          <w:rPr>
            <w:noProof/>
            <w:webHidden/>
          </w:rPr>
        </w:r>
        <w:r w:rsidR="0025272C" w:rsidRPr="0025272C">
          <w:rPr>
            <w:noProof/>
            <w:webHidden/>
          </w:rPr>
          <w:fldChar w:fldCharType="separate"/>
        </w:r>
        <w:r w:rsidR="0025272C" w:rsidRPr="0025272C">
          <w:rPr>
            <w:noProof/>
            <w:webHidden/>
          </w:rPr>
          <w:t>91</w:t>
        </w:r>
        <w:r w:rsidR="0025272C" w:rsidRPr="0025272C">
          <w:rPr>
            <w:noProof/>
            <w:webHidden/>
          </w:rPr>
          <w:fldChar w:fldCharType="end"/>
        </w:r>
      </w:hyperlink>
    </w:p>
    <w:p w14:paraId="65C176D2" w14:textId="6498458F" w:rsidR="0025272C" w:rsidRPr="0025272C" w:rsidRDefault="00765E31">
      <w:pPr>
        <w:pStyle w:val="TableofFigures"/>
        <w:tabs>
          <w:tab w:val="right" w:leader="dot" w:pos="9620"/>
        </w:tabs>
        <w:rPr>
          <w:rFonts w:asciiTheme="minorHAnsi" w:eastAsiaTheme="minorEastAsia" w:hAnsiTheme="minorHAnsi" w:cstheme="minorBidi"/>
          <w:noProof/>
          <w:szCs w:val="22"/>
          <w:lang w:eastAsia="en-AU"/>
        </w:rPr>
      </w:pPr>
      <w:hyperlink w:anchor="_Toc22488538" w:history="1">
        <w:r w:rsidR="0025272C" w:rsidRPr="0025272C">
          <w:rPr>
            <w:rStyle w:val="Hyperlink"/>
            <w:rFonts w:eastAsia="Cambria" w:cs="Calibri"/>
            <w:noProof/>
          </w:rPr>
          <w:t>Figure 25 Diagrammatic representation of AS/NZS 4755, Echonet and OpenADR</w:t>
        </w:r>
        <w:r w:rsidR="0025272C" w:rsidRPr="0025272C">
          <w:rPr>
            <w:noProof/>
            <w:webHidden/>
          </w:rPr>
          <w:tab/>
        </w:r>
        <w:r w:rsidR="0025272C" w:rsidRPr="0025272C">
          <w:rPr>
            <w:noProof/>
            <w:webHidden/>
          </w:rPr>
          <w:fldChar w:fldCharType="begin"/>
        </w:r>
        <w:r w:rsidR="0025272C" w:rsidRPr="0025272C">
          <w:rPr>
            <w:noProof/>
            <w:webHidden/>
          </w:rPr>
          <w:instrText xml:space="preserve"> PAGEREF _Toc22488538 \h </w:instrText>
        </w:r>
        <w:r w:rsidR="0025272C" w:rsidRPr="0025272C">
          <w:rPr>
            <w:noProof/>
            <w:webHidden/>
          </w:rPr>
        </w:r>
        <w:r w:rsidR="0025272C" w:rsidRPr="0025272C">
          <w:rPr>
            <w:noProof/>
            <w:webHidden/>
          </w:rPr>
          <w:fldChar w:fldCharType="separate"/>
        </w:r>
        <w:r w:rsidR="0025272C" w:rsidRPr="0025272C">
          <w:rPr>
            <w:noProof/>
            <w:webHidden/>
          </w:rPr>
          <w:t>105</w:t>
        </w:r>
        <w:r w:rsidR="0025272C" w:rsidRPr="0025272C">
          <w:rPr>
            <w:noProof/>
            <w:webHidden/>
          </w:rPr>
          <w:fldChar w:fldCharType="end"/>
        </w:r>
      </w:hyperlink>
    </w:p>
    <w:p w14:paraId="2EE2D926" w14:textId="31137B3C" w:rsidR="00541269" w:rsidRPr="00541269" w:rsidRDefault="00A37634" w:rsidP="003F2508">
      <w:pPr>
        <w:spacing w:after="0" w:line="240" w:lineRule="auto"/>
        <w:rPr>
          <w:rFonts w:eastAsiaTheme="minorEastAsia"/>
          <w:noProof/>
          <w:lang w:eastAsia="en-AU"/>
        </w:rPr>
      </w:pPr>
      <w:r w:rsidRPr="0025272C">
        <w:rPr>
          <w:rFonts w:ascii="Calibri" w:eastAsia="Calibri" w:hAnsi="Calibri" w:cs="Calibri"/>
          <w:szCs w:val="20"/>
          <w:lang w:val="en-AU"/>
        </w:rPr>
        <w:fldChar w:fldCharType="end"/>
      </w:r>
      <w:r w:rsidRPr="00541269">
        <w:rPr>
          <w:rFonts w:eastAsia="Calibri" w:cs="Calibri"/>
        </w:rPr>
        <w:fldChar w:fldCharType="begin"/>
      </w:r>
      <w:r w:rsidRPr="00541269">
        <w:rPr>
          <w:rFonts w:eastAsia="Calibri" w:cs="Calibri"/>
        </w:rPr>
        <w:instrText xml:space="preserve"> TOC \h \z \c "Table" </w:instrText>
      </w:r>
      <w:r w:rsidRPr="00541269">
        <w:rPr>
          <w:rFonts w:eastAsia="Calibri" w:cs="Calibri"/>
        </w:rPr>
        <w:fldChar w:fldCharType="separate"/>
      </w:r>
      <w:hyperlink w:anchor="_Toc22486945" w:history="1">
        <w:r w:rsidR="00541269" w:rsidRPr="00541269">
          <w:rPr>
            <w:rStyle w:val="Hyperlink"/>
            <w:rFonts w:eastAsia="Cambria" w:cs="Calibri"/>
            <w:noProof/>
          </w:rPr>
          <w:t>Table 1. Projected costs and benefits by appliance, Australia (medium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_Toc22486945 \h </w:instrText>
        </w:r>
        <w:r w:rsidR="00541269" w:rsidRPr="00541269">
          <w:rPr>
            <w:noProof/>
            <w:webHidden/>
          </w:rPr>
        </w:r>
        <w:r w:rsidR="00541269" w:rsidRPr="00541269">
          <w:rPr>
            <w:noProof/>
            <w:webHidden/>
          </w:rPr>
          <w:fldChar w:fldCharType="separate"/>
        </w:r>
        <w:r w:rsidR="00541269" w:rsidRPr="00541269">
          <w:rPr>
            <w:noProof/>
            <w:webHidden/>
          </w:rPr>
          <w:t>5</w:t>
        </w:r>
        <w:r w:rsidR="00541269" w:rsidRPr="00541269">
          <w:rPr>
            <w:noProof/>
            <w:webHidden/>
          </w:rPr>
          <w:fldChar w:fldCharType="end"/>
        </w:r>
      </w:hyperlink>
    </w:p>
    <w:p w14:paraId="4FB158DA" w14:textId="553F8686"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46" w:history="1">
        <w:r w:rsidR="00541269" w:rsidRPr="00541269">
          <w:rPr>
            <w:rStyle w:val="Hyperlink"/>
            <w:rFonts w:eastAsia="Cambria" w:cs="Calibri"/>
            <w:noProof/>
          </w:rPr>
          <w:t>Table 2. Projected costs and benefits by appliance, New Zealand (medium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_Toc22486946 \h </w:instrText>
        </w:r>
        <w:r w:rsidR="00541269" w:rsidRPr="00541269">
          <w:rPr>
            <w:noProof/>
            <w:webHidden/>
          </w:rPr>
        </w:r>
        <w:r w:rsidR="00541269" w:rsidRPr="00541269">
          <w:rPr>
            <w:noProof/>
            <w:webHidden/>
          </w:rPr>
          <w:fldChar w:fldCharType="separate"/>
        </w:r>
        <w:r w:rsidR="00541269" w:rsidRPr="00541269">
          <w:rPr>
            <w:noProof/>
            <w:webHidden/>
          </w:rPr>
          <w:t>5</w:t>
        </w:r>
        <w:r w:rsidR="00541269" w:rsidRPr="00541269">
          <w:rPr>
            <w:noProof/>
            <w:webHidden/>
          </w:rPr>
          <w:fldChar w:fldCharType="end"/>
        </w:r>
      </w:hyperlink>
    </w:p>
    <w:p w14:paraId="61AA7910" w14:textId="1EDF6DF9"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47" w:history="1">
        <w:r w:rsidR="00541269" w:rsidRPr="00541269">
          <w:rPr>
            <w:rStyle w:val="Hyperlink"/>
            <w:rFonts w:eastAsia="Cambria" w:cs="Calibri"/>
            <w:noProof/>
          </w:rPr>
          <w:t>Table 3 Number of respondents supporting and opposing mandating AS/NZS 4755 compliance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_Toc22486947 \h </w:instrText>
        </w:r>
        <w:r w:rsidR="00541269" w:rsidRPr="00541269">
          <w:rPr>
            <w:noProof/>
            <w:webHidden/>
          </w:rPr>
        </w:r>
        <w:r w:rsidR="00541269" w:rsidRPr="00541269">
          <w:rPr>
            <w:noProof/>
            <w:webHidden/>
          </w:rPr>
          <w:fldChar w:fldCharType="separate"/>
        </w:r>
        <w:r w:rsidR="00541269" w:rsidRPr="00541269">
          <w:rPr>
            <w:noProof/>
            <w:webHidden/>
          </w:rPr>
          <w:t>7</w:t>
        </w:r>
        <w:r w:rsidR="00541269" w:rsidRPr="00541269">
          <w:rPr>
            <w:noProof/>
            <w:webHidden/>
          </w:rPr>
          <w:fldChar w:fldCharType="end"/>
        </w:r>
      </w:hyperlink>
    </w:p>
    <w:p w14:paraId="63F33ACB" w14:textId="7F516C66"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48" w:history="1">
        <w:r w:rsidR="00541269" w:rsidRPr="00541269">
          <w:rPr>
            <w:rStyle w:val="Hyperlink"/>
            <w:rFonts w:eastAsia="Cambria" w:cs="Calibri"/>
            <w:noProof/>
          </w:rPr>
          <w:t>Table 4 Difference between projected maximum and minimum demands, NSW and SA</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_Toc22486948 \h </w:instrText>
        </w:r>
        <w:r w:rsidR="00541269" w:rsidRPr="00541269">
          <w:rPr>
            <w:noProof/>
            <w:webHidden/>
          </w:rPr>
        </w:r>
        <w:r w:rsidR="00541269" w:rsidRPr="00541269">
          <w:rPr>
            <w:noProof/>
            <w:webHidden/>
          </w:rPr>
          <w:fldChar w:fldCharType="separate"/>
        </w:r>
        <w:r w:rsidR="00541269" w:rsidRPr="00541269">
          <w:rPr>
            <w:noProof/>
            <w:webHidden/>
          </w:rPr>
          <w:t>19</w:t>
        </w:r>
        <w:r w:rsidR="00541269" w:rsidRPr="00541269">
          <w:rPr>
            <w:noProof/>
            <w:webHidden/>
          </w:rPr>
          <w:fldChar w:fldCharType="end"/>
        </w:r>
      </w:hyperlink>
    </w:p>
    <w:p w14:paraId="052371BD" w14:textId="331D7A99"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49" w:history="1">
        <w:r w:rsidR="00541269" w:rsidRPr="00541269">
          <w:rPr>
            <w:rStyle w:val="Hyperlink"/>
            <w:rFonts w:eastAsia="Cambria" w:cs="Calibri"/>
            <w:noProof/>
          </w:rPr>
          <w:t>Table 5 Residential Electricity Consumer Demand Response Trials in Australia, 2005-2019</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_Toc22486949 \h </w:instrText>
        </w:r>
        <w:r w:rsidR="00541269" w:rsidRPr="00541269">
          <w:rPr>
            <w:noProof/>
            <w:webHidden/>
          </w:rPr>
        </w:r>
        <w:r w:rsidR="00541269" w:rsidRPr="00541269">
          <w:rPr>
            <w:noProof/>
            <w:webHidden/>
          </w:rPr>
          <w:fldChar w:fldCharType="separate"/>
        </w:r>
        <w:r w:rsidR="00541269" w:rsidRPr="00541269">
          <w:rPr>
            <w:noProof/>
            <w:webHidden/>
          </w:rPr>
          <w:t>21</w:t>
        </w:r>
        <w:r w:rsidR="00541269" w:rsidRPr="00541269">
          <w:rPr>
            <w:noProof/>
            <w:webHidden/>
          </w:rPr>
          <w:fldChar w:fldCharType="end"/>
        </w:r>
      </w:hyperlink>
    </w:p>
    <w:p w14:paraId="3BCF1A08" w14:textId="4C77A883"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0" w:history="1">
        <w:r w:rsidR="00541269" w:rsidRPr="00541269">
          <w:rPr>
            <w:rStyle w:val="Hyperlink"/>
            <w:rFonts w:eastAsia="Cambria" w:cs="Calibri"/>
            <w:noProof/>
          </w:rPr>
          <w:t>Table 6. Types of Demand Response in the NEM</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_Toc22486950 \h </w:instrText>
        </w:r>
        <w:r w:rsidR="00541269" w:rsidRPr="00541269">
          <w:rPr>
            <w:noProof/>
            <w:webHidden/>
          </w:rPr>
        </w:r>
        <w:r w:rsidR="00541269" w:rsidRPr="00541269">
          <w:rPr>
            <w:noProof/>
            <w:webHidden/>
          </w:rPr>
          <w:fldChar w:fldCharType="separate"/>
        </w:r>
        <w:r w:rsidR="00541269" w:rsidRPr="00541269">
          <w:rPr>
            <w:noProof/>
            <w:webHidden/>
          </w:rPr>
          <w:t>34</w:t>
        </w:r>
        <w:r w:rsidR="00541269" w:rsidRPr="00541269">
          <w:rPr>
            <w:noProof/>
            <w:webHidden/>
          </w:rPr>
          <w:fldChar w:fldCharType="end"/>
        </w:r>
      </w:hyperlink>
    </w:p>
    <w:p w14:paraId="13266B7E" w14:textId="42FC4A6F"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1" w:history="1">
        <w:r w:rsidR="00541269" w:rsidRPr="00541269">
          <w:rPr>
            <w:rStyle w:val="Hyperlink"/>
            <w:rFonts w:eastAsia="Cambria" w:cs="Calibri"/>
            <w:noProof/>
          </w:rPr>
          <w:t>Table 7. Proposed mandatory Demand Response Modes in AS/NZS 4755</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_Toc22486951 \h </w:instrText>
        </w:r>
        <w:r w:rsidR="00541269" w:rsidRPr="00541269">
          <w:rPr>
            <w:noProof/>
            <w:webHidden/>
          </w:rPr>
        </w:r>
        <w:r w:rsidR="00541269" w:rsidRPr="00541269">
          <w:rPr>
            <w:noProof/>
            <w:webHidden/>
          </w:rPr>
          <w:fldChar w:fldCharType="separate"/>
        </w:r>
        <w:r w:rsidR="00541269" w:rsidRPr="00541269">
          <w:rPr>
            <w:noProof/>
            <w:webHidden/>
          </w:rPr>
          <w:t>43</w:t>
        </w:r>
        <w:r w:rsidR="00541269" w:rsidRPr="00541269">
          <w:rPr>
            <w:noProof/>
            <w:webHidden/>
          </w:rPr>
          <w:fldChar w:fldCharType="end"/>
        </w:r>
      </w:hyperlink>
    </w:p>
    <w:p w14:paraId="43F6784C" w14:textId="65CB0130"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2" w:history="1">
        <w:r w:rsidR="00541269" w:rsidRPr="00541269">
          <w:rPr>
            <w:rStyle w:val="Hyperlink"/>
            <w:rFonts w:eastAsia="Cambria" w:cs="Calibri"/>
            <w:noProof/>
          </w:rPr>
          <w:t>Table 8. Benefit/Cost ratio variations by discount rate and appliance type, Australia</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_Toc22486952 \h </w:instrText>
        </w:r>
        <w:r w:rsidR="00541269" w:rsidRPr="00541269">
          <w:rPr>
            <w:noProof/>
            <w:webHidden/>
          </w:rPr>
        </w:r>
        <w:r w:rsidR="00541269" w:rsidRPr="00541269">
          <w:rPr>
            <w:noProof/>
            <w:webHidden/>
          </w:rPr>
          <w:fldChar w:fldCharType="separate"/>
        </w:r>
        <w:r w:rsidR="00541269" w:rsidRPr="00541269">
          <w:rPr>
            <w:noProof/>
            <w:webHidden/>
          </w:rPr>
          <w:t>50</w:t>
        </w:r>
        <w:r w:rsidR="00541269" w:rsidRPr="00541269">
          <w:rPr>
            <w:noProof/>
            <w:webHidden/>
          </w:rPr>
          <w:fldChar w:fldCharType="end"/>
        </w:r>
      </w:hyperlink>
    </w:p>
    <w:p w14:paraId="6171C5F0" w14:textId="7562D033"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3" w:history="1">
        <w:r w:rsidR="00541269" w:rsidRPr="00541269">
          <w:rPr>
            <w:rStyle w:val="Hyperlink"/>
            <w:rFonts w:eastAsia="Cambria" w:cs="Calibri"/>
            <w:noProof/>
          </w:rPr>
          <w:t>Table 9. Benefit/Cost ratio variations by discount rate and appliance type, New Zealand</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_Toc22486953 \h </w:instrText>
        </w:r>
        <w:r w:rsidR="00541269" w:rsidRPr="00541269">
          <w:rPr>
            <w:noProof/>
            <w:webHidden/>
          </w:rPr>
        </w:r>
        <w:r w:rsidR="00541269" w:rsidRPr="00541269">
          <w:rPr>
            <w:noProof/>
            <w:webHidden/>
          </w:rPr>
          <w:fldChar w:fldCharType="separate"/>
        </w:r>
        <w:r w:rsidR="00541269" w:rsidRPr="00541269">
          <w:rPr>
            <w:noProof/>
            <w:webHidden/>
          </w:rPr>
          <w:t>50</w:t>
        </w:r>
        <w:r w:rsidR="00541269" w:rsidRPr="00541269">
          <w:rPr>
            <w:noProof/>
            <w:webHidden/>
          </w:rPr>
          <w:fldChar w:fldCharType="end"/>
        </w:r>
      </w:hyperlink>
    </w:p>
    <w:p w14:paraId="64C36938" w14:textId="24469801"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4" w:history="1">
        <w:r w:rsidR="00541269" w:rsidRPr="00541269">
          <w:rPr>
            <w:rStyle w:val="Hyperlink"/>
            <w:rFonts w:eastAsia="Cambria" w:cs="Calibri"/>
            <w:noProof/>
          </w:rPr>
          <w:t>Table 10. Projected costs and benefits by jurisdiction (low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_Toc22486954 \h </w:instrText>
        </w:r>
        <w:r w:rsidR="00541269" w:rsidRPr="00541269">
          <w:rPr>
            <w:noProof/>
            <w:webHidden/>
          </w:rPr>
        </w:r>
        <w:r w:rsidR="00541269" w:rsidRPr="00541269">
          <w:rPr>
            <w:noProof/>
            <w:webHidden/>
          </w:rPr>
          <w:fldChar w:fldCharType="separate"/>
        </w:r>
        <w:r w:rsidR="00541269" w:rsidRPr="00541269">
          <w:rPr>
            <w:noProof/>
            <w:webHidden/>
          </w:rPr>
          <w:t>50</w:t>
        </w:r>
        <w:r w:rsidR="00541269" w:rsidRPr="00541269">
          <w:rPr>
            <w:noProof/>
            <w:webHidden/>
          </w:rPr>
          <w:fldChar w:fldCharType="end"/>
        </w:r>
      </w:hyperlink>
    </w:p>
    <w:p w14:paraId="37A86BCD" w14:textId="47FEEECE"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5" w:history="1">
        <w:r w:rsidR="00541269" w:rsidRPr="00541269">
          <w:rPr>
            <w:rStyle w:val="Hyperlink"/>
            <w:rFonts w:eastAsia="Cambria" w:cs="Calibri"/>
            <w:noProof/>
          </w:rPr>
          <w:t>Table 11. Projected costs and benefits by jurisdiction (medium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_Toc22486955 \h </w:instrText>
        </w:r>
        <w:r w:rsidR="00541269" w:rsidRPr="00541269">
          <w:rPr>
            <w:noProof/>
            <w:webHidden/>
          </w:rPr>
        </w:r>
        <w:r w:rsidR="00541269" w:rsidRPr="00541269">
          <w:rPr>
            <w:noProof/>
            <w:webHidden/>
          </w:rPr>
          <w:fldChar w:fldCharType="separate"/>
        </w:r>
        <w:r w:rsidR="00541269" w:rsidRPr="00541269">
          <w:rPr>
            <w:noProof/>
            <w:webHidden/>
          </w:rPr>
          <w:t>51</w:t>
        </w:r>
        <w:r w:rsidR="00541269" w:rsidRPr="00541269">
          <w:rPr>
            <w:noProof/>
            <w:webHidden/>
          </w:rPr>
          <w:fldChar w:fldCharType="end"/>
        </w:r>
      </w:hyperlink>
    </w:p>
    <w:p w14:paraId="533C64DF" w14:textId="039761EC"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6" w:history="1">
        <w:r w:rsidR="00541269" w:rsidRPr="00541269">
          <w:rPr>
            <w:rStyle w:val="Hyperlink"/>
            <w:rFonts w:eastAsia="Cambria" w:cs="Calibri"/>
            <w:noProof/>
          </w:rPr>
          <w:t>Table 12. Projected costs and benefits by jurisdiction (high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_Toc22486956 \h </w:instrText>
        </w:r>
        <w:r w:rsidR="00541269" w:rsidRPr="00541269">
          <w:rPr>
            <w:noProof/>
            <w:webHidden/>
          </w:rPr>
        </w:r>
        <w:r w:rsidR="00541269" w:rsidRPr="00541269">
          <w:rPr>
            <w:noProof/>
            <w:webHidden/>
          </w:rPr>
          <w:fldChar w:fldCharType="separate"/>
        </w:r>
        <w:r w:rsidR="00541269" w:rsidRPr="00541269">
          <w:rPr>
            <w:noProof/>
            <w:webHidden/>
          </w:rPr>
          <w:t>51</w:t>
        </w:r>
        <w:r w:rsidR="00541269" w:rsidRPr="00541269">
          <w:rPr>
            <w:noProof/>
            <w:webHidden/>
          </w:rPr>
          <w:fldChar w:fldCharType="end"/>
        </w:r>
      </w:hyperlink>
    </w:p>
    <w:p w14:paraId="4EF6B134" w14:textId="1B07653A"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7" w:history="1">
        <w:r w:rsidR="00541269" w:rsidRPr="00541269">
          <w:rPr>
            <w:rStyle w:val="Hyperlink"/>
            <w:rFonts w:eastAsia="Cambria" w:cs="Calibri"/>
            <w:noProof/>
          </w:rPr>
          <w:t>Table 13. Projected costs and benefits by appliance, Australia (low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_Toc22486957 \h </w:instrText>
        </w:r>
        <w:r w:rsidR="00541269" w:rsidRPr="00541269">
          <w:rPr>
            <w:noProof/>
            <w:webHidden/>
          </w:rPr>
        </w:r>
        <w:r w:rsidR="00541269" w:rsidRPr="00541269">
          <w:rPr>
            <w:noProof/>
            <w:webHidden/>
          </w:rPr>
          <w:fldChar w:fldCharType="separate"/>
        </w:r>
        <w:r w:rsidR="00541269" w:rsidRPr="00541269">
          <w:rPr>
            <w:noProof/>
            <w:webHidden/>
          </w:rPr>
          <w:t>52</w:t>
        </w:r>
        <w:r w:rsidR="00541269" w:rsidRPr="00541269">
          <w:rPr>
            <w:noProof/>
            <w:webHidden/>
          </w:rPr>
          <w:fldChar w:fldCharType="end"/>
        </w:r>
      </w:hyperlink>
    </w:p>
    <w:p w14:paraId="68F8EAD6" w14:textId="1D2BBC5D"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8" w:history="1">
        <w:r w:rsidR="00541269" w:rsidRPr="00541269">
          <w:rPr>
            <w:rStyle w:val="Hyperlink"/>
            <w:rFonts w:eastAsia="Cambria" w:cs="Calibri"/>
            <w:noProof/>
          </w:rPr>
          <w:t>Table 14. Projected costs and benefits by appliance, Australia (medium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_Toc22486958 \h </w:instrText>
        </w:r>
        <w:r w:rsidR="00541269" w:rsidRPr="00541269">
          <w:rPr>
            <w:noProof/>
            <w:webHidden/>
          </w:rPr>
        </w:r>
        <w:r w:rsidR="00541269" w:rsidRPr="00541269">
          <w:rPr>
            <w:noProof/>
            <w:webHidden/>
          </w:rPr>
          <w:fldChar w:fldCharType="separate"/>
        </w:r>
        <w:r w:rsidR="00541269" w:rsidRPr="00541269">
          <w:rPr>
            <w:noProof/>
            <w:webHidden/>
          </w:rPr>
          <w:t>52</w:t>
        </w:r>
        <w:r w:rsidR="00541269" w:rsidRPr="00541269">
          <w:rPr>
            <w:noProof/>
            <w:webHidden/>
          </w:rPr>
          <w:fldChar w:fldCharType="end"/>
        </w:r>
      </w:hyperlink>
    </w:p>
    <w:p w14:paraId="3055F081" w14:textId="7D29DE71"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59" w:history="1">
        <w:r w:rsidR="00541269" w:rsidRPr="00541269">
          <w:rPr>
            <w:rStyle w:val="Hyperlink"/>
            <w:rFonts w:eastAsia="Cambria" w:cs="Calibri"/>
            <w:noProof/>
          </w:rPr>
          <w:t>Table 15. Projected costs and benefits by appliance Australia (high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_Toc22486959 \h </w:instrText>
        </w:r>
        <w:r w:rsidR="00541269" w:rsidRPr="00541269">
          <w:rPr>
            <w:noProof/>
            <w:webHidden/>
          </w:rPr>
        </w:r>
        <w:r w:rsidR="00541269" w:rsidRPr="00541269">
          <w:rPr>
            <w:noProof/>
            <w:webHidden/>
          </w:rPr>
          <w:fldChar w:fldCharType="separate"/>
        </w:r>
        <w:r w:rsidR="00541269" w:rsidRPr="00541269">
          <w:rPr>
            <w:noProof/>
            <w:webHidden/>
          </w:rPr>
          <w:t>52</w:t>
        </w:r>
        <w:r w:rsidR="00541269" w:rsidRPr="00541269">
          <w:rPr>
            <w:noProof/>
            <w:webHidden/>
          </w:rPr>
          <w:fldChar w:fldCharType="end"/>
        </w:r>
      </w:hyperlink>
    </w:p>
    <w:p w14:paraId="6BF859C1" w14:textId="1E4F2CFF"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0" w:history="1">
        <w:r w:rsidR="00541269" w:rsidRPr="00541269">
          <w:rPr>
            <w:rStyle w:val="Hyperlink"/>
            <w:rFonts w:eastAsia="Cambria" w:cs="Calibri"/>
            <w:noProof/>
          </w:rPr>
          <w:t>Table 16. Projected costs and benefits by appliance, New Zealand (low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_Toc22486960 \h </w:instrText>
        </w:r>
        <w:r w:rsidR="00541269" w:rsidRPr="00541269">
          <w:rPr>
            <w:noProof/>
            <w:webHidden/>
          </w:rPr>
        </w:r>
        <w:r w:rsidR="00541269" w:rsidRPr="00541269">
          <w:rPr>
            <w:noProof/>
            <w:webHidden/>
          </w:rPr>
          <w:fldChar w:fldCharType="separate"/>
        </w:r>
        <w:r w:rsidR="00541269" w:rsidRPr="00541269">
          <w:rPr>
            <w:noProof/>
            <w:webHidden/>
          </w:rPr>
          <w:t>53</w:t>
        </w:r>
        <w:r w:rsidR="00541269" w:rsidRPr="00541269">
          <w:rPr>
            <w:noProof/>
            <w:webHidden/>
          </w:rPr>
          <w:fldChar w:fldCharType="end"/>
        </w:r>
      </w:hyperlink>
    </w:p>
    <w:p w14:paraId="31983999" w14:textId="58A03D52"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1" w:history="1">
        <w:r w:rsidR="00541269" w:rsidRPr="00541269">
          <w:rPr>
            <w:rStyle w:val="Hyperlink"/>
            <w:rFonts w:eastAsia="Cambria" w:cs="Calibri"/>
            <w:noProof/>
          </w:rPr>
          <w:t>Table 17. Projected costs and benefits by appliance, New Zealand (medium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_Toc22486961 \h </w:instrText>
        </w:r>
        <w:r w:rsidR="00541269" w:rsidRPr="00541269">
          <w:rPr>
            <w:noProof/>
            <w:webHidden/>
          </w:rPr>
        </w:r>
        <w:r w:rsidR="00541269" w:rsidRPr="00541269">
          <w:rPr>
            <w:noProof/>
            <w:webHidden/>
          </w:rPr>
          <w:fldChar w:fldCharType="separate"/>
        </w:r>
        <w:r w:rsidR="00541269" w:rsidRPr="00541269">
          <w:rPr>
            <w:noProof/>
            <w:webHidden/>
          </w:rPr>
          <w:t>53</w:t>
        </w:r>
        <w:r w:rsidR="00541269" w:rsidRPr="00541269">
          <w:rPr>
            <w:noProof/>
            <w:webHidden/>
          </w:rPr>
          <w:fldChar w:fldCharType="end"/>
        </w:r>
      </w:hyperlink>
    </w:p>
    <w:p w14:paraId="37E67F6B" w14:textId="63356492"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2" w:history="1">
        <w:r w:rsidR="00541269" w:rsidRPr="00541269">
          <w:rPr>
            <w:rStyle w:val="Hyperlink"/>
            <w:rFonts w:eastAsia="Cambria" w:cs="Calibri"/>
            <w:noProof/>
          </w:rPr>
          <w:t>Table 18. Projected costs and benefits by appliance. New Zealand (high activation)</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_Toc22486962 \h </w:instrText>
        </w:r>
        <w:r w:rsidR="00541269" w:rsidRPr="00541269">
          <w:rPr>
            <w:noProof/>
            <w:webHidden/>
          </w:rPr>
        </w:r>
        <w:r w:rsidR="00541269" w:rsidRPr="00541269">
          <w:rPr>
            <w:noProof/>
            <w:webHidden/>
          </w:rPr>
          <w:fldChar w:fldCharType="separate"/>
        </w:r>
        <w:r w:rsidR="00541269" w:rsidRPr="00541269">
          <w:rPr>
            <w:noProof/>
            <w:webHidden/>
          </w:rPr>
          <w:t>53</w:t>
        </w:r>
        <w:r w:rsidR="00541269" w:rsidRPr="00541269">
          <w:rPr>
            <w:noProof/>
            <w:webHidden/>
          </w:rPr>
          <w:fldChar w:fldCharType="end"/>
        </w:r>
      </w:hyperlink>
    </w:p>
    <w:p w14:paraId="20B307BC" w14:textId="379431F6"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3" w:history="1">
        <w:r w:rsidR="00541269" w:rsidRPr="00541269">
          <w:rPr>
            <w:rStyle w:val="Hyperlink"/>
            <w:rFonts w:eastAsia="Cambria" w:cs="Calibri"/>
            <w:noProof/>
          </w:rPr>
          <w:t>Table 19 Number of Australian respondents supporting and opposing mandating AS/NZS 4755 compliance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_Toc22486963 \h </w:instrText>
        </w:r>
        <w:r w:rsidR="00541269" w:rsidRPr="00541269">
          <w:rPr>
            <w:noProof/>
            <w:webHidden/>
          </w:rPr>
        </w:r>
        <w:r w:rsidR="00541269" w:rsidRPr="00541269">
          <w:rPr>
            <w:noProof/>
            <w:webHidden/>
          </w:rPr>
          <w:fldChar w:fldCharType="separate"/>
        </w:r>
        <w:r w:rsidR="00541269" w:rsidRPr="00541269">
          <w:rPr>
            <w:noProof/>
            <w:webHidden/>
          </w:rPr>
          <w:t>57</w:t>
        </w:r>
        <w:r w:rsidR="00541269" w:rsidRPr="00541269">
          <w:rPr>
            <w:noProof/>
            <w:webHidden/>
          </w:rPr>
          <w:fldChar w:fldCharType="end"/>
        </w:r>
      </w:hyperlink>
    </w:p>
    <w:p w14:paraId="0F3C854D" w14:textId="0E3A2C51"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4" w:history="1">
        <w:r w:rsidR="00541269" w:rsidRPr="00541269">
          <w:rPr>
            <w:rStyle w:val="Hyperlink"/>
            <w:rFonts w:eastAsia="Cambria" w:cs="Calibri"/>
            <w:noProof/>
          </w:rPr>
          <w:t>Table 20 Number of New Zealand respondents supporting and opposing mandating AS/NZS 4755 compliance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_Toc22486964 \h </w:instrText>
        </w:r>
        <w:r w:rsidR="00541269" w:rsidRPr="00541269">
          <w:rPr>
            <w:noProof/>
            <w:webHidden/>
          </w:rPr>
        </w:r>
        <w:r w:rsidR="00541269" w:rsidRPr="00541269">
          <w:rPr>
            <w:noProof/>
            <w:webHidden/>
          </w:rPr>
          <w:fldChar w:fldCharType="separate"/>
        </w:r>
        <w:r w:rsidR="00541269" w:rsidRPr="00541269">
          <w:rPr>
            <w:noProof/>
            <w:webHidden/>
          </w:rPr>
          <w:t>57</w:t>
        </w:r>
        <w:r w:rsidR="00541269" w:rsidRPr="00541269">
          <w:rPr>
            <w:noProof/>
            <w:webHidden/>
          </w:rPr>
          <w:fldChar w:fldCharType="end"/>
        </w:r>
      </w:hyperlink>
    </w:p>
    <w:p w14:paraId="1FD291D3" w14:textId="604ACC41"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5" w:history="1">
        <w:r w:rsidR="00541269" w:rsidRPr="00541269">
          <w:rPr>
            <w:rStyle w:val="Hyperlink"/>
            <w:rFonts w:eastAsia="Cambria" w:cs="Calibri"/>
            <w:noProof/>
          </w:rPr>
          <w:t>Table 21 Submissions received on Consultation Paper</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_Toc22486965 \h </w:instrText>
        </w:r>
        <w:r w:rsidR="00541269" w:rsidRPr="00541269">
          <w:rPr>
            <w:noProof/>
            <w:webHidden/>
          </w:rPr>
        </w:r>
        <w:r w:rsidR="00541269" w:rsidRPr="00541269">
          <w:rPr>
            <w:noProof/>
            <w:webHidden/>
          </w:rPr>
          <w:fldChar w:fldCharType="separate"/>
        </w:r>
        <w:r w:rsidR="00541269" w:rsidRPr="00541269">
          <w:rPr>
            <w:noProof/>
            <w:webHidden/>
          </w:rPr>
          <w:t>71</w:t>
        </w:r>
        <w:r w:rsidR="00541269" w:rsidRPr="00541269">
          <w:rPr>
            <w:noProof/>
            <w:webHidden/>
          </w:rPr>
          <w:fldChar w:fldCharType="end"/>
        </w:r>
      </w:hyperlink>
    </w:p>
    <w:p w14:paraId="6C30FDA1" w14:textId="6AE424A4"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6" w:history="1">
        <w:r w:rsidR="00541269" w:rsidRPr="00541269">
          <w:rPr>
            <w:rStyle w:val="Hyperlink"/>
            <w:rFonts w:eastAsia="Cambria" w:cs="Calibri"/>
            <w:noProof/>
          </w:rPr>
          <w:t>Table 22 Organisations registered for information sessions that did not make submissions</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_Toc22486966 \h </w:instrText>
        </w:r>
        <w:r w:rsidR="00541269" w:rsidRPr="00541269">
          <w:rPr>
            <w:noProof/>
            <w:webHidden/>
          </w:rPr>
        </w:r>
        <w:r w:rsidR="00541269" w:rsidRPr="00541269">
          <w:rPr>
            <w:noProof/>
            <w:webHidden/>
          </w:rPr>
          <w:fldChar w:fldCharType="separate"/>
        </w:r>
        <w:r w:rsidR="00541269" w:rsidRPr="00541269">
          <w:rPr>
            <w:noProof/>
            <w:webHidden/>
          </w:rPr>
          <w:t>72</w:t>
        </w:r>
        <w:r w:rsidR="00541269" w:rsidRPr="00541269">
          <w:rPr>
            <w:noProof/>
            <w:webHidden/>
          </w:rPr>
          <w:fldChar w:fldCharType="end"/>
        </w:r>
      </w:hyperlink>
    </w:p>
    <w:p w14:paraId="2E7EE940" w14:textId="6A44B30A"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7" w:history="1">
        <w:r w:rsidR="00541269" w:rsidRPr="00541269">
          <w:rPr>
            <w:rStyle w:val="Hyperlink"/>
            <w:rFonts w:eastAsia="Cambria" w:cs="Calibri"/>
            <w:noProof/>
          </w:rPr>
          <w:t>Table 23 Organisations represented on Joint Standards Australia/Standards New Zealand Committee EL-054, Remote Demand Management of Electrical Products</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_Toc22486967 \h </w:instrText>
        </w:r>
        <w:r w:rsidR="00541269" w:rsidRPr="00541269">
          <w:rPr>
            <w:noProof/>
            <w:webHidden/>
          </w:rPr>
        </w:r>
        <w:r w:rsidR="00541269" w:rsidRPr="00541269">
          <w:rPr>
            <w:noProof/>
            <w:webHidden/>
          </w:rPr>
          <w:fldChar w:fldCharType="separate"/>
        </w:r>
        <w:r w:rsidR="00541269" w:rsidRPr="00541269">
          <w:rPr>
            <w:noProof/>
            <w:webHidden/>
          </w:rPr>
          <w:t>73</w:t>
        </w:r>
        <w:r w:rsidR="00541269" w:rsidRPr="00541269">
          <w:rPr>
            <w:noProof/>
            <w:webHidden/>
          </w:rPr>
          <w:fldChar w:fldCharType="end"/>
        </w:r>
      </w:hyperlink>
    </w:p>
    <w:p w14:paraId="55C6F51F" w14:textId="18647FAC"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8" w:history="1">
        <w:r w:rsidR="00541269" w:rsidRPr="00541269">
          <w:rPr>
            <w:rStyle w:val="Hyperlink"/>
            <w:rFonts w:eastAsia="Cambria" w:cs="Calibri"/>
            <w:noProof/>
          </w:rPr>
          <w:t>Table 24 Summary of positions – Written Submissions (Australia)</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_Toc22486968 \h </w:instrText>
        </w:r>
        <w:r w:rsidR="00541269" w:rsidRPr="00541269">
          <w:rPr>
            <w:noProof/>
            <w:webHidden/>
          </w:rPr>
        </w:r>
        <w:r w:rsidR="00541269" w:rsidRPr="00541269">
          <w:rPr>
            <w:noProof/>
            <w:webHidden/>
          </w:rPr>
          <w:fldChar w:fldCharType="separate"/>
        </w:r>
        <w:r w:rsidR="00541269" w:rsidRPr="00541269">
          <w:rPr>
            <w:noProof/>
            <w:webHidden/>
          </w:rPr>
          <w:t>74</w:t>
        </w:r>
        <w:r w:rsidR="00541269" w:rsidRPr="00541269">
          <w:rPr>
            <w:noProof/>
            <w:webHidden/>
          </w:rPr>
          <w:fldChar w:fldCharType="end"/>
        </w:r>
      </w:hyperlink>
    </w:p>
    <w:p w14:paraId="4CB67AEE" w14:textId="308FA7D9"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69" w:history="1">
        <w:r w:rsidR="00541269" w:rsidRPr="00541269">
          <w:rPr>
            <w:rStyle w:val="Hyperlink"/>
            <w:noProof/>
          </w:rPr>
          <w:t xml:space="preserve">Table 25 </w:t>
        </w:r>
        <w:r w:rsidR="00541269" w:rsidRPr="00541269">
          <w:rPr>
            <w:rStyle w:val="Hyperlink"/>
            <w:rFonts w:eastAsia="Cambria" w:cs="Calibri"/>
            <w:noProof/>
          </w:rPr>
          <w:t>Summary of positions – Written Submissions (New Zealand)</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_Toc22486969 \h </w:instrText>
        </w:r>
        <w:r w:rsidR="00541269" w:rsidRPr="00541269">
          <w:rPr>
            <w:noProof/>
            <w:webHidden/>
          </w:rPr>
        </w:r>
        <w:r w:rsidR="00541269" w:rsidRPr="00541269">
          <w:rPr>
            <w:noProof/>
            <w:webHidden/>
          </w:rPr>
          <w:fldChar w:fldCharType="separate"/>
        </w:r>
        <w:r w:rsidR="00541269" w:rsidRPr="00541269">
          <w:rPr>
            <w:noProof/>
            <w:webHidden/>
          </w:rPr>
          <w:t>76</w:t>
        </w:r>
        <w:r w:rsidR="00541269" w:rsidRPr="00541269">
          <w:rPr>
            <w:noProof/>
            <w:webHidden/>
          </w:rPr>
          <w:fldChar w:fldCharType="end"/>
        </w:r>
      </w:hyperlink>
    </w:p>
    <w:p w14:paraId="0F96E00B" w14:textId="0EAFC5D9"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0" w:history="1">
        <w:r w:rsidR="00541269" w:rsidRPr="00541269">
          <w:rPr>
            <w:rStyle w:val="Hyperlink"/>
            <w:rFonts w:eastAsia="Cambria" w:cs="Calibri"/>
            <w:noProof/>
          </w:rPr>
          <w:t>Table 26. Estimated investment required per marginal peak load kW</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_Toc22486970 \h </w:instrText>
        </w:r>
        <w:r w:rsidR="00541269" w:rsidRPr="00541269">
          <w:rPr>
            <w:noProof/>
            <w:webHidden/>
          </w:rPr>
        </w:r>
        <w:r w:rsidR="00541269" w:rsidRPr="00541269">
          <w:rPr>
            <w:noProof/>
            <w:webHidden/>
          </w:rPr>
          <w:fldChar w:fldCharType="separate"/>
        </w:r>
        <w:r w:rsidR="00541269" w:rsidRPr="00541269">
          <w:rPr>
            <w:noProof/>
            <w:webHidden/>
          </w:rPr>
          <w:t>78</w:t>
        </w:r>
        <w:r w:rsidR="00541269" w:rsidRPr="00541269">
          <w:rPr>
            <w:noProof/>
            <w:webHidden/>
          </w:rPr>
          <w:fldChar w:fldCharType="end"/>
        </w:r>
      </w:hyperlink>
    </w:p>
    <w:p w14:paraId="2A1DC8D5" w14:textId="12D99163"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1" w:history="1">
        <w:r w:rsidR="00541269" w:rsidRPr="00541269">
          <w:rPr>
            <w:rStyle w:val="Hyperlink"/>
            <w:rFonts w:eastAsia="Cambria" w:cs="Calibri"/>
            <w:noProof/>
          </w:rPr>
          <w:t>Table 27. Load reduction available from participating appliances</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_Toc22486971 \h </w:instrText>
        </w:r>
        <w:r w:rsidR="00541269" w:rsidRPr="00541269">
          <w:rPr>
            <w:noProof/>
            <w:webHidden/>
          </w:rPr>
        </w:r>
        <w:r w:rsidR="00541269" w:rsidRPr="00541269">
          <w:rPr>
            <w:noProof/>
            <w:webHidden/>
          </w:rPr>
          <w:fldChar w:fldCharType="separate"/>
        </w:r>
        <w:r w:rsidR="00541269" w:rsidRPr="00541269">
          <w:rPr>
            <w:noProof/>
            <w:webHidden/>
          </w:rPr>
          <w:t>79</w:t>
        </w:r>
        <w:r w:rsidR="00541269" w:rsidRPr="00541269">
          <w:rPr>
            <w:noProof/>
            <w:webHidden/>
          </w:rPr>
          <w:fldChar w:fldCharType="end"/>
        </w:r>
      </w:hyperlink>
    </w:p>
    <w:p w14:paraId="53AE6E1E" w14:textId="6C9E1BC7"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2" w:history="1">
        <w:r w:rsidR="00541269" w:rsidRPr="00541269">
          <w:rPr>
            <w:rStyle w:val="Hyperlink"/>
            <w:rFonts w:eastAsia="Cambria" w:cs="Calibri"/>
            <w:noProof/>
          </w:rPr>
          <w:t>Table 28. Demand response costs and benefits quantified in this RIS</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_Toc22486972 \h </w:instrText>
        </w:r>
        <w:r w:rsidR="00541269" w:rsidRPr="00541269">
          <w:rPr>
            <w:noProof/>
            <w:webHidden/>
          </w:rPr>
        </w:r>
        <w:r w:rsidR="00541269" w:rsidRPr="00541269">
          <w:rPr>
            <w:noProof/>
            <w:webHidden/>
          </w:rPr>
          <w:fldChar w:fldCharType="separate"/>
        </w:r>
        <w:r w:rsidR="00541269" w:rsidRPr="00541269">
          <w:rPr>
            <w:noProof/>
            <w:webHidden/>
          </w:rPr>
          <w:t>82</w:t>
        </w:r>
        <w:r w:rsidR="00541269" w:rsidRPr="00541269">
          <w:rPr>
            <w:noProof/>
            <w:webHidden/>
          </w:rPr>
          <w:fldChar w:fldCharType="end"/>
        </w:r>
      </w:hyperlink>
    </w:p>
    <w:p w14:paraId="65C34D76" w14:textId="0FC5AAE0"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3" w:history="1">
        <w:r w:rsidR="00541269" w:rsidRPr="00541269">
          <w:rPr>
            <w:rStyle w:val="Hyperlink"/>
            <w:rFonts w:eastAsia="Cambria" w:cs="Calibri"/>
            <w:noProof/>
          </w:rPr>
          <w:t>Table 29 Projected High, Medium Low Activation Rates in 2036</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_Toc22486973 \h </w:instrText>
        </w:r>
        <w:r w:rsidR="00541269" w:rsidRPr="00541269">
          <w:rPr>
            <w:noProof/>
            <w:webHidden/>
          </w:rPr>
        </w:r>
        <w:r w:rsidR="00541269" w:rsidRPr="00541269">
          <w:rPr>
            <w:noProof/>
            <w:webHidden/>
          </w:rPr>
          <w:fldChar w:fldCharType="separate"/>
        </w:r>
        <w:r w:rsidR="00541269" w:rsidRPr="00541269">
          <w:rPr>
            <w:noProof/>
            <w:webHidden/>
          </w:rPr>
          <w:t>88</w:t>
        </w:r>
        <w:r w:rsidR="00541269" w:rsidRPr="00541269">
          <w:rPr>
            <w:noProof/>
            <w:webHidden/>
          </w:rPr>
          <w:fldChar w:fldCharType="end"/>
        </w:r>
      </w:hyperlink>
    </w:p>
    <w:p w14:paraId="107F9C89" w14:textId="2062E97C"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4" w:history="1">
        <w:r w:rsidR="00541269" w:rsidRPr="00541269">
          <w:rPr>
            <w:rStyle w:val="Hyperlink"/>
            <w:rFonts w:eastAsia="Cambria" w:cs="Calibri"/>
            <w:noProof/>
          </w:rPr>
          <w:t>Table 30. Summary of assumptions used to calculate benefits</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_Toc22486974 \h </w:instrText>
        </w:r>
        <w:r w:rsidR="00541269" w:rsidRPr="00541269">
          <w:rPr>
            <w:noProof/>
            <w:webHidden/>
          </w:rPr>
        </w:r>
        <w:r w:rsidR="00541269" w:rsidRPr="00541269">
          <w:rPr>
            <w:noProof/>
            <w:webHidden/>
          </w:rPr>
          <w:fldChar w:fldCharType="separate"/>
        </w:r>
        <w:r w:rsidR="00541269" w:rsidRPr="00541269">
          <w:rPr>
            <w:noProof/>
            <w:webHidden/>
          </w:rPr>
          <w:t>93</w:t>
        </w:r>
        <w:r w:rsidR="00541269" w:rsidRPr="00541269">
          <w:rPr>
            <w:noProof/>
            <w:webHidden/>
          </w:rPr>
          <w:fldChar w:fldCharType="end"/>
        </w:r>
      </w:hyperlink>
    </w:p>
    <w:p w14:paraId="0AA4E021" w14:textId="5EBEE6A7"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5" w:history="1">
        <w:r w:rsidR="00541269" w:rsidRPr="00541269">
          <w:rPr>
            <w:rStyle w:val="Hyperlink"/>
            <w:rFonts w:eastAsia="Cambria" w:cs="Calibri"/>
            <w:noProof/>
          </w:rPr>
          <w:t>Table 31 Summary of cost and benefits by jurisdiction, Air Conditioners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_Toc22486975 \h </w:instrText>
        </w:r>
        <w:r w:rsidR="00541269" w:rsidRPr="00541269">
          <w:rPr>
            <w:noProof/>
            <w:webHidden/>
          </w:rPr>
        </w:r>
        <w:r w:rsidR="00541269" w:rsidRPr="00541269">
          <w:rPr>
            <w:noProof/>
            <w:webHidden/>
          </w:rPr>
          <w:fldChar w:fldCharType="separate"/>
        </w:r>
        <w:r w:rsidR="00541269" w:rsidRPr="00541269">
          <w:rPr>
            <w:noProof/>
            <w:webHidden/>
          </w:rPr>
          <w:t>94</w:t>
        </w:r>
        <w:r w:rsidR="00541269" w:rsidRPr="00541269">
          <w:rPr>
            <w:noProof/>
            <w:webHidden/>
          </w:rPr>
          <w:fldChar w:fldCharType="end"/>
        </w:r>
      </w:hyperlink>
    </w:p>
    <w:p w14:paraId="723719D7" w14:textId="1CD6BDA4"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6" w:history="1">
        <w:r w:rsidR="00541269" w:rsidRPr="00541269">
          <w:rPr>
            <w:rStyle w:val="Hyperlink"/>
            <w:rFonts w:eastAsia="Cambria" w:cs="Calibri"/>
            <w:noProof/>
          </w:rPr>
          <w:t>Table 32 Summary of cost and benefits by jurisdiction, Pool Pump Controllers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_Toc22486976 \h </w:instrText>
        </w:r>
        <w:r w:rsidR="00541269" w:rsidRPr="00541269">
          <w:rPr>
            <w:noProof/>
            <w:webHidden/>
          </w:rPr>
        </w:r>
        <w:r w:rsidR="00541269" w:rsidRPr="00541269">
          <w:rPr>
            <w:noProof/>
            <w:webHidden/>
          </w:rPr>
          <w:fldChar w:fldCharType="separate"/>
        </w:r>
        <w:r w:rsidR="00541269" w:rsidRPr="00541269">
          <w:rPr>
            <w:noProof/>
            <w:webHidden/>
          </w:rPr>
          <w:t>94</w:t>
        </w:r>
        <w:r w:rsidR="00541269" w:rsidRPr="00541269">
          <w:rPr>
            <w:noProof/>
            <w:webHidden/>
          </w:rPr>
          <w:fldChar w:fldCharType="end"/>
        </w:r>
      </w:hyperlink>
    </w:p>
    <w:p w14:paraId="46E754BA" w14:textId="77C57E33"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7" w:history="1">
        <w:r w:rsidR="00541269" w:rsidRPr="00541269">
          <w:rPr>
            <w:rStyle w:val="Hyperlink"/>
            <w:rFonts w:eastAsia="Cambria" w:cs="Calibri"/>
            <w:noProof/>
          </w:rPr>
          <w:t>Table 33 Summary of cost and benefits by jurisdiction, Small Water Heaters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_Toc22486977 \h </w:instrText>
        </w:r>
        <w:r w:rsidR="00541269" w:rsidRPr="00541269">
          <w:rPr>
            <w:noProof/>
            <w:webHidden/>
          </w:rPr>
        </w:r>
        <w:r w:rsidR="00541269" w:rsidRPr="00541269">
          <w:rPr>
            <w:noProof/>
            <w:webHidden/>
          </w:rPr>
          <w:fldChar w:fldCharType="separate"/>
        </w:r>
        <w:r w:rsidR="00541269" w:rsidRPr="00541269">
          <w:rPr>
            <w:noProof/>
            <w:webHidden/>
          </w:rPr>
          <w:t>94</w:t>
        </w:r>
        <w:r w:rsidR="00541269" w:rsidRPr="00541269">
          <w:rPr>
            <w:noProof/>
            <w:webHidden/>
          </w:rPr>
          <w:fldChar w:fldCharType="end"/>
        </w:r>
      </w:hyperlink>
    </w:p>
    <w:p w14:paraId="33AA34B8" w14:textId="470023BB"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8" w:history="1">
        <w:r w:rsidR="00541269" w:rsidRPr="00541269">
          <w:rPr>
            <w:rStyle w:val="Hyperlink"/>
            <w:rFonts w:eastAsia="Cambria" w:cs="Calibri"/>
            <w:noProof/>
          </w:rPr>
          <w:t>Table 34 Summary of cost and benefits by jurisdiction, Large Water Heaters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_Toc22486978 \h </w:instrText>
        </w:r>
        <w:r w:rsidR="00541269" w:rsidRPr="00541269">
          <w:rPr>
            <w:noProof/>
            <w:webHidden/>
          </w:rPr>
        </w:r>
        <w:r w:rsidR="00541269" w:rsidRPr="00541269">
          <w:rPr>
            <w:noProof/>
            <w:webHidden/>
          </w:rPr>
          <w:fldChar w:fldCharType="separate"/>
        </w:r>
        <w:r w:rsidR="00541269" w:rsidRPr="00541269">
          <w:rPr>
            <w:noProof/>
            <w:webHidden/>
          </w:rPr>
          <w:t>95</w:t>
        </w:r>
        <w:r w:rsidR="00541269" w:rsidRPr="00541269">
          <w:rPr>
            <w:noProof/>
            <w:webHidden/>
          </w:rPr>
          <w:fldChar w:fldCharType="end"/>
        </w:r>
      </w:hyperlink>
    </w:p>
    <w:p w14:paraId="23B545D2" w14:textId="6A1F45AB"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79" w:history="1">
        <w:r w:rsidR="00541269" w:rsidRPr="00541269">
          <w:rPr>
            <w:rStyle w:val="Hyperlink"/>
            <w:rFonts w:eastAsia="Cambria" w:cs="Calibri"/>
            <w:noProof/>
          </w:rPr>
          <w:t>Table 35 Summary of cost and benefits by jurisdiction, Electric Vehicle Chargers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_Toc22486979 \h </w:instrText>
        </w:r>
        <w:r w:rsidR="00541269" w:rsidRPr="00541269">
          <w:rPr>
            <w:noProof/>
            <w:webHidden/>
          </w:rPr>
        </w:r>
        <w:r w:rsidR="00541269" w:rsidRPr="00541269">
          <w:rPr>
            <w:noProof/>
            <w:webHidden/>
          </w:rPr>
          <w:fldChar w:fldCharType="separate"/>
        </w:r>
        <w:r w:rsidR="00541269" w:rsidRPr="00541269">
          <w:rPr>
            <w:noProof/>
            <w:webHidden/>
          </w:rPr>
          <w:t>95</w:t>
        </w:r>
        <w:r w:rsidR="00541269" w:rsidRPr="00541269">
          <w:rPr>
            <w:noProof/>
            <w:webHidden/>
          </w:rPr>
          <w:fldChar w:fldCharType="end"/>
        </w:r>
      </w:hyperlink>
    </w:p>
    <w:p w14:paraId="7C444DFF" w14:textId="34C12DD9"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0" w:history="1">
        <w:r w:rsidR="00541269" w:rsidRPr="00541269">
          <w:rPr>
            <w:rStyle w:val="Hyperlink"/>
            <w:rFonts w:eastAsia="Cambria" w:cs="Calibri"/>
            <w:noProof/>
          </w:rPr>
          <w:t>Table 36 Summary of cost and benefits by jurisdiction, All Products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_Toc22486980 \h </w:instrText>
        </w:r>
        <w:r w:rsidR="00541269" w:rsidRPr="00541269">
          <w:rPr>
            <w:noProof/>
            <w:webHidden/>
          </w:rPr>
        </w:r>
        <w:r w:rsidR="00541269" w:rsidRPr="00541269">
          <w:rPr>
            <w:noProof/>
            <w:webHidden/>
          </w:rPr>
          <w:fldChar w:fldCharType="separate"/>
        </w:r>
        <w:r w:rsidR="00541269" w:rsidRPr="00541269">
          <w:rPr>
            <w:noProof/>
            <w:webHidden/>
          </w:rPr>
          <w:t>95</w:t>
        </w:r>
        <w:r w:rsidR="00541269" w:rsidRPr="00541269">
          <w:rPr>
            <w:noProof/>
            <w:webHidden/>
          </w:rPr>
          <w:fldChar w:fldCharType="end"/>
        </w:r>
      </w:hyperlink>
    </w:p>
    <w:p w14:paraId="63711F21" w14:textId="2AED7517"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1" w:history="1">
        <w:r w:rsidR="00541269" w:rsidRPr="00541269">
          <w:rPr>
            <w:rStyle w:val="Hyperlink"/>
            <w:rFonts w:eastAsia="Cambria" w:cs="Calibri"/>
            <w:noProof/>
          </w:rPr>
          <w:t>Table 37 Summary of cost and benefits, NSW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_Toc22486981 \h </w:instrText>
        </w:r>
        <w:r w:rsidR="00541269" w:rsidRPr="00541269">
          <w:rPr>
            <w:noProof/>
            <w:webHidden/>
          </w:rPr>
        </w:r>
        <w:r w:rsidR="00541269" w:rsidRPr="00541269">
          <w:rPr>
            <w:noProof/>
            <w:webHidden/>
          </w:rPr>
          <w:fldChar w:fldCharType="separate"/>
        </w:r>
        <w:r w:rsidR="00541269" w:rsidRPr="00541269">
          <w:rPr>
            <w:noProof/>
            <w:webHidden/>
          </w:rPr>
          <w:t>96</w:t>
        </w:r>
        <w:r w:rsidR="00541269" w:rsidRPr="00541269">
          <w:rPr>
            <w:noProof/>
            <w:webHidden/>
          </w:rPr>
          <w:fldChar w:fldCharType="end"/>
        </w:r>
      </w:hyperlink>
    </w:p>
    <w:p w14:paraId="05C4199F" w14:textId="2E1DA3F8"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2" w:history="1">
        <w:r w:rsidR="00541269" w:rsidRPr="00541269">
          <w:rPr>
            <w:rStyle w:val="Hyperlink"/>
            <w:rFonts w:eastAsia="Cambria" w:cs="Calibri"/>
            <w:noProof/>
          </w:rPr>
          <w:t>Table 38 Summary of cost and benefits, Victoria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_Toc22486982 \h </w:instrText>
        </w:r>
        <w:r w:rsidR="00541269" w:rsidRPr="00541269">
          <w:rPr>
            <w:noProof/>
            <w:webHidden/>
          </w:rPr>
        </w:r>
        <w:r w:rsidR="00541269" w:rsidRPr="00541269">
          <w:rPr>
            <w:noProof/>
            <w:webHidden/>
          </w:rPr>
          <w:fldChar w:fldCharType="separate"/>
        </w:r>
        <w:r w:rsidR="00541269" w:rsidRPr="00541269">
          <w:rPr>
            <w:noProof/>
            <w:webHidden/>
          </w:rPr>
          <w:t>96</w:t>
        </w:r>
        <w:r w:rsidR="00541269" w:rsidRPr="00541269">
          <w:rPr>
            <w:noProof/>
            <w:webHidden/>
          </w:rPr>
          <w:fldChar w:fldCharType="end"/>
        </w:r>
      </w:hyperlink>
    </w:p>
    <w:p w14:paraId="4F179A10" w14:textId="29C06679"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3" w:history="1">
        <w:r w:rsidR="00541269" w:rsidRPr="00541269">
          <w:rPr>
            <w:rStyle w:val="Hyperlink"/>
            <w:rFonts w:eastAsia="Cambria" w:cs="Calibri"/>
            <w:noProof/>
          </w:rPr>
          <w:t>Table 39 Summary of cost and benefits, Queensland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_Toc22486983 \h </w:instrText>
        </w:r>
        <w:r w:rsidR="00541269" w:rsidRPr="00541269">
          <w:rPr>
            <w:noProof/>
            <w:webHidden/>
          </w:rPr>
        </w:r>
        <w:r w:rsidR="00541269" w:rsidRPr="00541269">
          <w:rPr>
            <w:noProof/>
            <w:webHidden/>
          </w:rPr>
          <w:fldChar w:fldCharType="separate"/>
        </w:r>
        <w:r w:rsidR="00541269" w:rsidRPr="00541269">
          <w:rPr>
            <w:noProof/>
            <w:webHidden/>
          </w:rPr>
          <w:t>96</w:t>
        </w:r>
        <w:r w:rsidR="00541269" w:rsidRPr="00541269">
          <w:rPr>
            <w:noProof/>
            <w:webHidden/>
          </w:rPr>
          <w:fldChar w:fldCharType="end"/>
        </w:r>
      </w:hyperlink>
    </w:p>
    <w:p w14:paraId="577E4595" w14:textId="58D19F2C"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4" w:history="1">
        <w:r w:rsidR="00541269" w:rsidRPr="00541269">
          <w:rPr>
            <w:rStyle w:val="Hyperlink"/>
            <w:rFonts w:eastAsia="Cambria" w:cs="Calibri"/>
            <w:noProof/>
          </w:rPr>
          <w:t>Table 40 Summary of cost and benefits, SA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_Toc22486984 \h </w:instrText>
        </w:r>
        <w:r w:rsidR="00541269" w:rsidRPr="00541269">
          <w:rPr>
            <w:noProof/>
            <w:webHidden/>
          </w:rPr>
        </w:r>
        <w:r w:rsidR="00541269" w:rsidRPr="00541269">
          <w:rPr>
            <w:noProof/>
            <w:webHidden/>
          </w:rPr>
          <w:fldChar w:fldCharType="separate"/>
        </w:r>
        <w:r w:rsidR="00541269" w:rsidRPr="00541269">
          <w:rPr>
            <w:noProof/>
            <w:webHidden/>
          </w:rPr>
          <w:t>96</w:t>
        </w:r>
        <w:r w:rsidR="00541269" w:rsidRPr="00541269">
          <w:rPr>
            <w:noProof/>
            <w:webHidden/>
          </w:rPr>
          <w:fldChar w:fldCharType="end"/>
        </w:r>
      </w:hyperlink>
    </w:p>
    <w:p w14:paraId="224042F1" w14:textId="5445181B"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5" w:history="1">
        <w:r w:rsidR="00541269" w:rsidRPr="00541269">
          <w:rPr>
            <w:rStyle w:val="Hyperlink"/>
            <w:rFonts w:eastAsia="Cambria" w:cs="Calibri"/>
            <w:noProof/>
          </w:rPr>
          <w:t>Table 41 Summary of cost and benefits, WA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_Toc22486985 \h </w:instrText>
        </w:r>
        <w:r w:rsidR="00541269" w:rsidRPr="00541269">
          <w:rPr>
            <w:noProof/>
            <w:webHidden/>
          </w:rPr>
        </w:r>
        <w:r w:rsidR="00541269" w:rsidRPr="00541269">
          <w:rPr>
            <w:noProof/>
            <w:webHidden/>
          </w:rPr>
          <w:fldChar w:fldCharType="separate"/>
        </w:r>
        <w:r w:rsidR="00541269" w:rsidRPr="00541269">
          <w:rPr>
            <w:noProof/>
            <w:webHidden/>
          </w:rPr>
          <w:t>97</w:t>
        </w:r>
        <w:r w:rsidR="00541269" w:rsidRPr="00541269">
          <w:rPr>
            <w:noProof/>
            <w:webHidden/>
          </w:rPr>
          <w:fldChar w:fldCharType="end"/>
        </w:r>
      </w:hyperlink>
    </w:p>
    <w:p w14:paraId="1654DAEA" w14:textId="5CB6E709"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6" w:history="1">
        <w:r w:rsidR="00541269" w:rsidRPr="00541269">
          <w:rPr>
            <w:rStyle w:val="Hyperlink"/>
            <w:rFonts w:eastAsia="Cambria" w:cs="Calibri"/>
            <w:noProof/>
          </w:rPr>
          <w:t>Table 42 Summary of cost and benefits, Tasmania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_Toc22486986 \h </w:instrText>
        </w:r>
        <w:r w:rsidR="00541269" w:rsidRPr="00541269">
          <w:rPr>
            <w:noProof/>
            <w:webHidden/>
          </w:rPr>
        </w:r>
        <w:r w:rsidR="00541269" w:rsidRPr="00541269">
          <w:rPr>
            <w:noProof/>
            <w:webHidden/>
          </w:rPr>
          <w:fldChar w:fldCharType="separate"/>
        </w:r>
        <w:r w:rsidR="00541269" w:rsidRPr="00541269">
          <w:rPr>
            <w:noProof/>
            <w:webHidden/>
          </w:rPr>
          <w:t>97</w:t>
        </w:r>
        <w:r w:rsidR="00541269" w:rsidRPr="00541269">
          <w:rPr>
            <w:noProof/>
            <w:webHidden/>
          </w:rPr>
          <w:fldChar w:fldCharType="end"/>
        </w:r>
      </w:hyperlink>
    </w:p>
    <w:p w14:paraId="505F01CC" w14:textId="165E869F"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7" w:history="1">
        <w:r w:rsidR="00541269" w:rsidRPr="00541269">
          <w:rPr>
            <w:rStyle w:val="Hyperlink"/>
            <w:rFonts w:eastAsia="Cambria" w:cs="Calibri"/>
            <w:noProof/>
          </w:rPr>
          <w:t>Table 43 Summary of cost and benefits, NT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_Toc22486987 \h </w:instrText>
        </w:r>
        <w:r w:rsidR="00541269" w:rsidRPr="00541269">
          <w:rPr>
            <w:noProof/>
            <w:webHidden/>
          </w:rPr>
        </w:r>
        <w:r w:rsidR="00541269" w:rsidRPr="00541269">
          <w:rPr>
            <w:noProof/>
            <w:webHidden/>
          </w:rPr>
          <w:fldChar w:fldCharType="separate"/>
        </w:r>
        <w:r w:rsidR="00541269" w:rsidRPr="00541269">
          <w:rPr>
            <w:noProof/>
            <w:webHidden/>
          </w:rPr>
          <w:t>97</w:t>
        </w:r>
        <w:r w:rsidR="00541269" w:rsidRPr="00541269">
          <w:rPr>
            <w:noProof/>
            <w:webHidden/>
          </w:rPr>
          <w:fldChar w:fldCharType="end"/>
        </w:r>
      </w:hyperlink>
    </w:p>
    <w:p w14:paraId="67D4D130" w14:textId="060DA9FD"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8" w:history="1">
        <w:r w:rsidR="00541269" w:rsidRPr="00541269">
          <w:rPr>
            <w:rStyle w:val="Hyperlink"/>
            <w:rFonts w:eastAsia="Cambria" w:cs="Calibri"/>
            <w:noProof/>
          </w:rPr>
          <w:t>Table 44 Summary of cost and benefits, ACT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_Toc22486988 \h </w:instrText>
        </w:r>
        <w:r w:rsidR="00541269" w:rsidRPr="00541269">
          <w:rPr>
            <w:noProof/>
            <w:webHidden/>
          </w:rPr>
        </w:r>
        <w:r w:rsidR="00541269" w:rsidRPr="00541269">
          <w:rPr>
            <w:noProof/>
            <w:webHidden/>
          </w:rPr>
          <w:fldChar w:fldCharType="separate"/>
        </w:r>
        <w:r w:rsidR="00541269" w:rsidRPr="00541269">
          <w:rPr>
            <w:noProof/>
            <w:webHidden/>
          </w:rPr>
          <w:t>97</w:t>
        </w:r>
        <w:r w:rsidR="00541269" w:rsidRPr="00541269">
          <w:rPr>
            <w:noProof/>
            <w:webHidden/>
          </w:rPr>
          <w:fldChar w:fldCharType="end"/>
        </w:r>
      </w:hyperlink>
    </w:p>
    <w:p w14:paraId="6A6A15B9" w14:textId="2058CA45"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89" w:history="1">
        <w:r w:rsidR="00541269" w:rsidRPr="00541269">
          <w:rPr>
            <w:rStyle w:val="Hyperlink"/>
            <w:rFonts w:eastAsia="Cambria" w:cs="Calibri"/>
            <w:noProof/>
          </w:rPr>
          <w:t>Table 45 Summary of cost and benefits, Australia (Medium activation, 7%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_Toc22486989 \h </w:instrText>
        </w:r>
        <w:r w:rsidR="00541269" w:rsidRPr="00541269">
          <w:rPr>
            <w:noProof/>
            <w:webHidden/>
          </w:rPr>
        </w:r>
        <w:r w:rsidR="00541269" w:rsidRPr="00541269">
          <w:rPr>
            <w:noProof/>
            <w:webHidden/>
          </w:rPr>
          <w:fldChar w:fldCharType="separate"/>
        </w:r>
        <w:r w:rsidR="00541269" w:rsidRPr="00541269">
          <w:rPr>
            <w:noProof/>
            <w:webHidden/>
          </w:rPr>
          <w:t>98</w:t>
        </w:r>
        <w:r w:rsidR="00541269" w:rsidRPr="00541269">
          <w:rPr>
            <w:noProof/>
            <w:webHidden/>
          </w:rPr>
          <w:fldChar w:fldCharType="end"/>
        </w:r>
      </w:hyperlink>
    </w:p>
    <w:p w14:paraId="02D03AA5" w14:textId="153DA495"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90" w:history="1">
        <w:r w:rsidR="00541269" w:rsidRPr="00541269">
          <w:rPr>
            <w:rStyle w:val="Hyperlink"/>
            <w:rFonts w:eastAsia="Cambria" w:cs="Calibri"/>
            <w:noProof/>
          </w:rPr>
          <w:t>Table 46 Summary of cost and benefits, New Zealand (Medium activation, 6% discount rate)</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_Toc22486990 \h </w:instrText>
        </w:r>
        <w:r w:rsidR="00541269" w:rsidRPr="00541269">
          <w:rPr>
            <w:noProof/>
            <w:webHidden/>
          </w:rPr>
        </w:r>
        <w:r w:rsidR="00541269" w:rsidRPr="00541269">
          <w:rPr>
            <w:noProof/>
            <w:webHidden/>
          </w:rPr>
          <w:fldChar w:fldCharType="separate"/>
        </w:r>
        <w:r w:rsidR="00541269" w:rsidRPr="00541269">
          <w:rPr>
            <w:noProof/>
            <w:webHidden/>
          </w:rPr>
          <w:t>98</w:t>
        </w:r>
        <w:r w:rsidR="00541269" w:rsidRPr="00541269">
          <w:rPr>
            <w:noProof/>
            <w:webHidden/>
          </w:rPr>
          <w:fldChar w:fldCharType="end"/>
        </w:r>
      </w:hyperlink>
    </w:p>
    <w:p w14:paraId="096676A7" w14:textId="70159A02"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91" w:history="1">
        <w:r w:rsidR="00541269" w:rsidRPr="00541269">
          <w:rPr>
            <w:rStyle w:val="Hyperlink"/>
            <w:rFonts w:eastAsia="Cambria" w:cs="Calibri"/>
            <w:noProof/>
          </w:rPr>
          <w:t>Table 47 Benefit/Cost Ratios in Consultation Paper and in Decision RIS</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_Toc22486991 \h </w:instrText>
        </w:r>
        <w:r w:rsidR="00541269" w:rsidRPr="00541269">
          <w:rPr>
            <w:noProof/>
            <w:webHidden/>
          </w:rPr>
        </w:r>
        <w:r w:rsidR="00541269" w:rsidRPr="00541269">
          <w:rPr>
            <w:noProof/>
            <w:webHidden/>
          </w:rPr>
          <w:fldChar w:fldCharType="separate"/>
        </w:r>
        <w:r w:rsidR="00541269" w:rsidRPr="00541269">
          <w:rPr>
            <w:noProof/>
            <w:webHidden/>
          </w:rPr>
          <w:t>98</w:t>
        </w:r>
        <w:r w:rsidR="00541269" w:rsidRPr="00541269">
          <w:rPr>
            <w:noProof/>
            <w:webHidden/>
          </w:rPr>
          <w:fldChar w:fldCharType="end"/>
        </w:r>
      </w:hyperlink>
    </w:p>
    <w:p w14:paraId="3AE2ACAD" w14:textId="0A73E6AA"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92" w:history="1">
        <w:r w:rsidR="00541269" w:rsidRPr="00541269">
          <w:rPr>
            <w:rStyle w:val="Hyperlink"/>
            <w:rFonts w:eastAsia="Cambria" w:cs="Calibri"/>
            <w:noProof/>
          </w:rPr>
          <w:t>Table 48. Parts of AS/NZS 4755 Demand response capabilities and supporting technologies for electrical products</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_Toc22486992 \h </w:instrText>
        </w:r>
        <w:r w:rsidR="00541269" w:rsidRPr="00541269">
          <w:rPr>
            <w:noProof/>
            <w:webHidden/>
          </w:rPr>
        </w:r>
        <w:r w:rsidR="00541269" w:rsidRPr="00541269">
          <w:rPr>
            <w:noProof/>
            <w:webHidden/>
          </w:rPr>
          <w:fldChar w:fldCharType="separate"/>
        </w:r>
        <w:r w:rsidR="00541269" w:rsidRPr="00541269">
          <w:rPr>
            <w:noProof/>
            <w:webHidden/>
          </w:rPr>
          <w:t>100</w:t>
        </w:r>
        <w:r w:rsidR="00541269" w:rsidRPr="00541269">
          <w:rPr>
            <w:noProof/>
            <w:webHidden/>
          </w:rPr>
          <w:fldChar w:fldCharType="end"/>
        </w:r>
      </w:hyperlink>
    </w:p>
    <w:p w14:paraId="250748AC" w14:textId="1CB3EB8C"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93" w:history="1">
        <w:r w:rsidR="00541269" w:rsidRPr="00541269">
          <w:rPr>
            <w:rStyle w:val="Hyperlink"/>
            <w:rFonts w:eastAsia="Cambria" w:cs="Calibri"/>
            <w:noProof/>
          </w:rPr>
          <w:t>Table 49. Air conditioner types installed in homes, Australia and USA</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_Toc22486993 \h </w:instrText>
        </w:r>
        <w:r w:rsidR="00541269" w:rsidRPr="00541269">
          <w:rPr>
            <w:noProof/>
            <w:webHidden/>
          </w:rPr>
        </w:r>
        <w:r w:rsidR="00541269" w:rsidRPr="00541269">
          <w:rPr>
            <w:noProof/>
            <w:webHidden/>
          </w:rPr>
          <w:fldChar w:fldCharType="separate"/>
        </w:r>
        <w:r w:rsidR="00541269" w:rsidRPr="00541269">
          <w:rPr>
            <w:noProof/>
            <w:webHidden/>
          </w:rPr>
          <w:t>101</w:t>
        </w:r>
        <w:r w:rsidR="00541269" w:rsidRPr="00541269">
          <w:rPr>
            <w:noProof/>
            <w:webHidden/>
          </w:rPr>
          <w:fldChar w:fldCharType="end"/>
        </w:r>
      </w:hyperlink>
    </w:p>
    <w:p w14:paraId="237BC541" w14:textId="2A6D5F77" w:rsidR="00541269" w:rsidRPr="00541269" w:rsidRDefault="00765E31" w:rsidP="003F2508">
      <w:pPr>
        <w:pStyle w:val="TableofFigures"/>
        <w:tabs>
          <w:tab w:val="right" w:leader="dot" w:pos="9620"/>
        </w:tabs>
        <w:rPr>
          <w:rFonts w:asciiTheme="minorHAnsi" w:eastAsiaTheme="minorEastAsia" w:hAnsiTheme="minorHAnsi" w:cstheme="minorBidi"/>
          <w:noProof/>
          <w:szCs w:val="22"/>
          <w:lang w:eastAsia="en-AU"/>
        </w:rPr>
      </w:pPr>
      <w:hyperlink w:anchor="_Toc22486994" w:history="1">
        <w:r w:rsidR="00541269" w:rsidRPr="00541269">
          <w:rPr>
            <w:rStyle w:val="Hyperlink"/>
            <w:rFonts w:eastAsia="Cambria" w:cs="Calibri"/>
            <w:noProof/>
          </w:rPr>
          <w:t>Table 50. Product types covered by published standards for ‘connected’ or ‘smart’ products</w:t>
        </w:r>
        <w:r w:rsidR="00541269" w:rsidRPr="00541269">
          <w:rPr>
            <w:noProof/>
            <w:webHidden/>
          </w:rPr>
          <w:tab/>
        </w:r>
        <w:r w:rsidR="00541269" w:rsidRPr="00541269">
          <w:rPr>
            <w:noProof/>
            <w:webHidden/>
          </w:rPr>
          <w:fldChar w:fldCharType="begin"/>
        </w:r>
        <w:r w:rsidR="00541269" w:rsidRPr="00541269">
          <w:rPr>
            <w:noProof/>
            <w:webHidden/>
          </w:rPr>
          <w:instrText xml:space="preserve"> PAGEREF _Toc22486994 \h </w:instrText>
        </w:r>
        <w:r w:rsidR="00541269" w:rsidRPr="00541269">
          <w:rPr>
            <w:noProof/>
            <w:webHidden/>
          </w:rPr>
        </w:r>
        <w:r w:rsidR="00541269" w:rsidRPr="00541269">
          <w:rPr>
            <w:noProof/>
            <w:webHidden/>
          </w:rPr>
          <w:fldChar w:fldCharType="separate"/>
        </w:r>
        <w:r w:rsidR="00541269" w:rsidRPr="00541269">
          <w:rPr>
            <w:noProof/>
            <w:webHidden/>
          </w:rPr>
          <w:t>102</w:t>
        </w:r>
        <w:r w:rsidR="00541269" w:rsidRPr="00541269">
          <w:rPr>
            <w:noProof/>
            <w:webHidden/>
          </w:rPr>
          <w:fldChar w:fldCharType="end"/>
        </w:r>
      </w:hyperlink>
    </w:p>
    <w:p w14:paraId="5B1697DF" w14:textId="078EBA98" w:rsidR="00A37634" w:rsidRDefault="00A37634" w:rsidP="003F2508">
      <w:pPr>
        <w:spacing w:after="0" w:line="240" w:lineRule="auto"/>
        <w:rPr>
          <w:rFonts w:ascii="Calibri" w:eastAsia="Times New Roman" w:hAnsi="Calibri" w:cs="Calibri"/>
          <w:b/>
          <w:bCs/>
          <w:color w:val="FF0000"/>
          <w:sz w:val="50"/>
          <w:szCs w:val="50"/>
          <w:lang w:val="en-AU"/>
        </w:rPr>
      </w:pPr>
      <w:r w:rsidRPr="00541269">
        <w:rPr>
          <w:rFonts w:ascii="Calibri" w:eastAsia="Calibri" w:hAnsi="Calibri" w:cs="Calibri"/>
          <w:szCs w:val="20"/>
          <w:lang w:val="en-AU"/>
        </w:rPr>
        <w:lastRenderedPageBreak/>
        <w:fldChar w:fldCharType="end"/>
      </w:r>
      <w:bookmarkStart w:id="16" w:name="_Toc22485211"/>
      <w:r w:rsidRPr="00A37634">
        <w:rPr>
          <w:rFonts w:ascii="Calibri" w:eastAsia="Times New Roman" w:hAnsi="Calibri" w:cs="Calibri"/>
          <w:b/>
          <w:bCs/>
          <w:color w:val="FF0000"/>
          <w:sz w:val="50"/>
          <w:szCs w:val="50"/>
          <w:lang w:val="en-AU"/>
        </w:rPr>
        <w:t>Glossary</w:t>
      </w:r>
      <w:bookmarkEnd w:id="16"/>
    </w:p>
    <w:p w14:paraId="09991CBC" w14:textId="77777777" w:rsidR="003F2508" w:rsidRPr="003F2508" w:rsidRDefault="003F2508" w:rsidP="003F2508">
      <w:pPr>
        <w:spacing w:after="0" w:line="240" w:lineRule="auto"/>
        <w:rPr>
          <w:rFonts w:ascii="Calibri" w:eastAsia="Times New Roman" w:hAnsi="Calibri" w:cs="Calibri"/>
          <w:b/>
          <w:bCs/>
          <w:color w:val="FF0000"/>
          <w:sz w:val="28"/>
          <w:szCs w:val="50"/>
          <w:lang w:val="en-AU"/>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800"/>
        <w:gridCol w:w="7820"/>
        <w:gridCol w:w="9"/>
      </w:tblGrid>
      <w:tr w:rsidR="00A37634" w:rsidRPr="00A37634" w14:paraId="36E4A759" w14:textId="77777777" w:rsidTr="007C7289">
        <w:trPr>
          <w:gridAfter w:val="1"/>
          <w:wAfter w:w="9" w:type="dxa"/>
          <w:cantSplit/>
          <w:tblHeader/>
        </w:trPr>
        <w:tc>
          <w:tcPr>
            <w:tcW w:w="1800" w:type="dxa"/>
          </w:tcPr>
          <w:p w14:paraId="0CCD3B0E" w14:textId="1AC11355" w:rsidR="00A37634" w:rsidRPr="00A37634" w:rsidRDefault="00A37634" w:rsidP="00A37634">
            <w:pPr>
              <w:spacing w:after="0" w:line="276" w:lineRule="auto"/>
              <w:jc w:val="center"/>
              <w:rPr>
                <w:rFonts w:ascii="Calibri" w:eastAsia="Calibri" w:hAnsi="Calibri" w:cs="Calibri"/>
                <w:b/>
                <w:sz w:val="18"/>
                <w:szCs w:val="18"/>
                <w:lang w:val="en-AU"/>
              </w:rPr>
            </w:pPr>
            <w:r w:rsidRPr="00A37634">
              <w:rPr>
                <w:rFonts w:ascii="Calibri" w:eastAsia="Calibri" w:hAnsi="Calibri" w:cs="Calibri"/>
                <w:b/>
                <w:sz w:val="18"/>
                <w:szCs w:val="18"/>
                <w:lang w:val="en-AU"/>
              </w:rPr>
              <w:t>Acronym</w:t>
            </w:r>
            <w:r w:rsidR="00BA4D56">
              <w:rPr>
                <w:rFonts w:ascii="Calibri" w:eastAsia="Calibri" w:hAnsi="Calibri" w:cs="Calibri"/>
                <w:b/>
                <w:sz w:val="18"/>
                <w:szCs w:val="18"/>
                <w:lang w:val="en-AU"/>
              </w:rPr>
              <w:t xml:space="preserve"> or term</w:t>
            </w:r>
          </w:p>
        </w:tc>
        <w:tc>
          <w:tcPr>
            <w:tcW w:w="7820" w:type="dxa"/>
          </w:tcPr>
          <w:p w14:paraId="385F30EC" w14:textId="77777777" w:rsidR="00A37634" w:rsidRPr="00A37634" w:rsidRDefault="00A37634" w:rsidP="00A37634">
            <w:pPr>
              <w:spacing w:after="0" w:line="276" w:lineRule="auto"/>
              <w:jc w:val="center"/>
              <w:rPr>
                <w:rFonts w:ascii="Calibri" w:eastAsia="Calibri" w:hAnsi="Calibri" w:cs="Calibri"/>
                <w:b/>
                <w:sz w:val="18"/>
                <w:szCs w:val="18"/>
                <w:lang w:val="en-AU"/>
              </w:rPr>
            </w:pPr>
            <w:r w:rsidRPr="00A37634">
              <w:rPr>
                <w:rFonts w:ascii="Calibri" w:eastAsia="Calibri" w:hAnsi="Calibri" w:cs="Calibri"/>
                <w:b/>
                <w:sz w:val="18"/>
                <w:szCs w:val="18"/>
                <w:lang w:val="en-AU"/>
              </w:rPr>
              <w:t>Definition</w:t>
            </w:r>
          </w:p>
        </w:tc>
      </w:tr>
      <w:tr w:rsidR="00A37634" w:rsidRPr="00A37634" w14:paraId="03D36904" w14:textId="77777777" w:rsidTr="007C7289">
        <w:trPr>
          <w:gridAfter w:val="1"/>
          <w:wAfter w:w="9" w:type="dxa"/>
          <w:cantSplit/>
        </w:trPr>
        <w:tc>
          <w:tcPr>
            <w:tcW w:w="1800" w:type="dxa"/>
          </w:tcPr>
          <w:p w14:paraId="7CF4E475"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AC</w:t>
            </w:r>
          </w:p>
        </w:tc>
        <w:tc>
          <w:tcPr>
            <w:tcW w:w="7820" w:type="dxa"/>
          </w:tcPr>
          <w:p w14:paraId="59ED689E"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Air conditioner.</w:t>
            </w:r>
          </w:p>
        </w:tc>
      </w:tr>
      <w:tr w:rsidR="00A37634" w:rsidRPr="00A37634" w14:paraId="1908358C" w14:textId="77777777" w:rsidTr="007C7289">
        <w:trPr>
          <w:gridAfter w:val="1"/>
          <w:wAfter w:w="9" w:type="dxa"/>
          <w:cantSplit/>
        </w:trPr>
        <w:tc>
          <w:tcPr>
            <w:tcW w:w="1800" w:type="dxa"/>
          </w:tcPr>
          <w:p w14:paraId="60707C58"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Activated load</w:t>
            </w:r>
          </w:p>
        </w:tc>
        <w:tc>
          <w:tcPr>
            <w:tcW w:w="7820" w:type="dxa"/>
          </w:tcPr>
          <w:p w14:paraId="565F1728"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 xml:space="preserve">The total electricity demand of appliances which consumers have contracted to DR aggregators. </w:t>
            </w:r>
          </w:p>
        </w:tc>
      </w:tr>
      <w:tr w:rsidR="00A37634" w:rsidRPr="00A37634" w14:paraId="666A8A7C" w14:textId="77777777" w:rsidTr="007C7289">
        <w:trPr>
          <w:gridAfter w:val="1"/>
          <w:wAfter w:w="9" w:type="dxa"/>
          <w:cantSplit/>
        </w:trPr>
        <w:tc>
          <w:tcPr>
            <w:tcW w:w="1800" w:type="dxa"/>
          </w:tcPr>
          <w:p w14:paraId="6AFAF16E"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Activation</w:t>
            </w:r>
          </w:p>
        </w:tc>
        <w:tc>
          <w:tcPr>
            <w:tcW w:w="7820" w:type="dxa"/>
          </w:tcPr>
          <w:p w14:paraId="380D044B"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 xml:space="preserve">The provision of all the elements necessary to transmit operational instructions to an appliance complying with AS/NZS 4755. </w:t>
            </w:r>
          </w:p>
        </w:tc>
      </w:tr>
      <w:tr w:rsidR="00A37634" w:rsidRPr="00A37634" w14:paraId="23AAA169" w14:textId="77777777" w:rsidTr="007C7289">
        <w:trPr>
          <w:gridAfter w:val="1"/>
          <w:wAfter w:w="9" w:type="dxa"/>
          <w:cantSplit/>
        </w:trPr>
        <w:tc>
          <w:tcPr>
            <w:tcW w:w="1800" w:type="dxa"/>
          </w:tcPr>
          <w:p w14:paraId="204F9DB3"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AEMC</w:t>
            </w:r>
          </w:p>
        </w:tc>
        <w:tc>
          <w:tcPr>
            <w:tcW w:w="7820" w:type="dxa"/>
          </w:tcPr>
          <w:p w14:paraId="2961B006"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Australian Energy Market Commission.</w:t>
            </w:r>
          </w:p>
        </w:tc>
      </w:tr>
      <w:tr w:rsidR="00A37634" w:rsidRPr="00A37634" w14:paraId="2F047C29" w14:textId="77777777" w:rsidTr="007C7289">
        <w:trPr>
          <w:gridAfter w:val="1"/>
          <w:wAfter w:w="9" w:type="dxa"/>
          <w:cantSplit/>
        </w:trPr>
        <w:tc>
          <w:tcPr>
            <w:tcW w:w="1800" w:type="dxa"/>
          </w:tcPr>
          <w:p w14:paraId="63FEFAB4"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AEMO</w:t>
            </w:r>
          </w:p>
        </w:tc>
        <w:tc>
          <w:tcPr>
            <w:tcW w:w="7820" w:type="dxa"/>
          </w:tcPr>
          <w:p w14:paraId="47E4C91F"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Australian Energy Market Operator.</w:t>
            </w:r>
          </w:p>
        </w:tc>
      </w:tr>
      <w:tr w:rsidR="00A37634" w:rsidRPr="00A37634" w14:paraId="044CEA9E" w14:textId="77777777" w:rsidTr="007C7289">
        <w:trPr>
          <w:gridAfter w:val="1"/>
          <w:wAfter w:w="9" w:type="dxa"/>
          <w:cantSplit/>
        </w:trPr>
        <w:tc>
          <w:tcPr>
            <w:tcW w:w="1800" w:type="dxa"/>
          </w:tcPr>
          <w:p w14:paraId="5A1BF8D3"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AEC</w:t>
            </w:r>
          </w:p>
        </w:tc>
        <w:tc>
          <w:tcPr>
            <w:tcW w:w="7820" w:type="dxa"/>
          </w:tcPr>
          <w:p w14:paraId="7E259EE0"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Australian Energy Council.</w:t>
            </w:r>
          </w:p>
        </w:tc>
      </w:tr>
      <w:tr w:rsidR="00A37634" w:rsidRPr="00A37634" w14:paraId="2E105232" w14:textId="77777777" w:rsidTr="007C7289">
        <w:trPr>
          <w:gridAfter w:val="1"/>
          <w:wAfter w:w="9" w:type="dxa"/>
          <w:cantSplit/>
        </w:trPr>
        <w:tc>
          <w:tcPr>
            <w:tcW w:w="1800" w:type="dxa"/>
          </w:tcPr>
          <w:p w14:paraId="15D170F7"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AER</w:t>
            </w:r>
          </w:p>
        </w:tc>
        <w:tc>
          <w:tcPr>
            <w:tcW w:w="7820" w:type="dxa"/>
          </w:tcPr>
          <w:p w14:paraId="1EE764BC"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Australian Energy Regulator.</w:t>
            </w:r>
          </w:p>
        </w:tc>
      </w:tr>
      <w:tr w:rsidR="00A37634" w:rsidRPr="00A37634" w14:paraId="142A20CB" w14:textId="77777777" w:rsidTr="007C7289">
        <w:trPr>
          <w:gridAfter w:val="1"/>
          <w:wAfter w:w="9" w:type="dxa"/>
          <w:cantSplit/>
        </w:trPr>
        <w:tc>
          <w:tcPr>
            <w:tcW w:w="1800" w:type="dxa"/>
          </w:tcPr>
          <w:p w14:paraId="432E1018"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ARENA</w:t>
            </w:r>
          </w:p>
        </w:tc>
        <w:tc>
          <w:tcPr>
            <w:tcW w:w="7820" w:type="dxa"/>
          </w:tcPr>
          <w:p w14:paraId="592C50F1"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Australian Renewable Energy Agency.</w:t>
            </w:r>
          </w:p>
        </w:tc>
      </w:tr>
      <w:tr w:rsidR="00A37634" w:rsidRPr="00A37634" w14:paraId="363FB54B" w14:textId="77777777" w:rsidTr="007C7289">
        <w:trPr>
          <w:gridAfter w:val="1"/>
          <w:wAfter w:w="9" w:type="dxa"/>
          <w:cantSplit/>
        </w:trPr>
        <w:tc>
          <w:tcPr>
            <w:tcW w:w="1800" w:type="dxa"/>
          </w:tcPr>
          <w:p w14:paraId="2F38CD29"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AS/NZS</w:t>
            </w:r>
          </w:p>
        </w:tc>
        <w:tc>
          <w:tcPr>
            <w:tcW w:w="7820" w:type="dxa"/>
          </w:tcPr>
          <w:p w14:paraId="31236753"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Australian Standard/New Zealand Standard.</w:t>
            </w:r>
          </w:p>
        </w:tc>
      </w:tr>
      <w:tr w:rsidR="00A37634" w:rsidRPr="00A37634" w14:paraId="4D5D755F" w14:textId="77777777" w:rsidTr="007C7289">
        <w:trPr>
          <w:gridAfter w:val="1"/>
          <w:wAfter w:w="9" w:type="dxa"/>
          <w:cantSplit/>
        </w:trPr>
        <w:tc>
          <w:tcPr>
            <w:tcW w:w="1800" w:type="dxa"/>
          </w:tcPr>
          <w:p w14:paraId="451AC56E"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Available load</w:t>
            </w:r>
          </w:p>
        </w:tc>
        <w:tc>
          <w:tcPr>
            <w:tcW w:w="7820" w:type="dxa"/>
          </w:tcPr>
          <w:p w14:paraId="2F14D5DE"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 xml:space="preserve">The maximum electricity load of participating appliances that are likely to be available for modified operation during a DR event, given that some appliances will be off. </w:t>
            </w:r>
          </w:p>
        </w:tc>
      </w:tr>
      <w:tr w:rsidR="00A37634" w:rsidRPr="00A37634" w14:paraId="176315AC" w14:textId="77777777" w:rsidTr="007C7289">
        <w:trPr>
          <w:gridAfter w:val="1"/>
          <w:wAfter w:w="9" w:type="dxa"/>
          <w:cantSplit/>
        </w:trPr>
        <w:tc>
          <w:tcPr>
            <w:tcW w:w="1800" w:type="dxa"/>
          </w:tcPr>
          <w:p w14:paraId="156CA18B"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BAU</w:t>
            </w:r>
          </w:p>
        </w:tc>
        <w:tc>
          <w:tcPr>
            <w:tcW w:w="7820" w:type="dxa"/>
          </w:tcPr>
          <w:p w14:paraId="037E17C8"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Business as usual (no new regulations).</w:t>
            </w:r>
          </w:p>
        </w:tc>
      </w:tr>
      <w:tr w:rsidR="00A37634" w:rsidRPr="00A37634" w14:paraId="2189B69A" w14:textId="77777777" w:rsidTr="007C7289">
        <w:trPr>
          <w:gridAfter w:val="1"/>
          <w:wAfter w:w="9" w:type="dxa"/>
          <w:cantSplit/>
        </w:trPr>
        <w:tc>
          <w:tcPr>
            <w:tcW w:w="1800" w:type="dxa"/>
          </w:tcPr>
          <w:p w14:paraId="4F431BEF"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B/C</w:t>
            </w:r>
          </w:p>
        </w:tc>
        <w:tc>
          <w:tcPr>
            <w:tcW w:w="7820" w:type="dxa"/>
          </w:tcPr>
          <w:p w14:paraId="5C937F5B"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Benefit/cost.</w:t>
            </w:r>
          </w:p>
        </w:tc>
      </w:tr>
      <w:tr w:rsidR="00A37634" w:rsidRPr="00A37634" w14:paraId="7CADF887" w14:textId="77777777" w:rsidTr="007C7289">
        <w:trPr>
          <w:gridAfter w:val="1"/>
          <w:wAfter w:w="9" w:type="dxa"/>
          <w:cantSplit/>
        </w:trPr>
        <w:tc>
          <w:tcPr>
            <w:tcW w:w="1800" w:type="dxa"/>
          </w:tcPr>
          <w:p w14:paraId="3B2F050B"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COAG</w:t>
            </w:r>
          </w:p>
        </w:tc>
        <w:tc>
          <w:tcPr>
            <w:tcW w:w="7820" w:type="dxa"/>
          </w:tcPr>
          <w:p w14:paraId="15E13B55"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Council of Australian Governments.</w:t>
            </w:r>
          </w:p>
        </w:tc>
      </w:tr>
      <w:tr w:rsidR="00A37634" w:rsidRPr="00A37634" w14:paraId="4C41B43F" w14:textId="77777777" w:rsidTr="007C7289">
        <w:trPr>
          <w:gridAfter w:val="1"/>
          <w:wAfter w:w="9" w:type="dxa"/>
          <w:cantSplit/>
        </w:trPr>
        <w:tc>
          <w:tcPr>
            <w:tcW w:w="1800" w:type="dxa"/>
          </w:tcPr>
          <w:p w14:paraId="39244C47"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CPP</w:t>
            </w:r>
          </w:p>
        </w:tc>
        <w:tc>
          <w:tcPr>
            <w:tcW w:w="7820" w:type="dxa"/>
          </w:tcPr>
          <w:p w14:paraId="408F15BC"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Critical Peak Pricing.</w:t>
            </w:r>
          </w:p>
        </w:tc>
      </w:tr>
      <w:tr w:rsidR="00A37634" w:rsidRPr="00A37634" w14:paraId="450CAAC5" w14:textId="77777777" w:rsidTr="007C7289">
        <w:trPr>
          <w:gridAfter w:val="1"/>
          <w:wAfter w:w="9" w:type="dxa"/>
          <w:cantSplit/>
        </w:trPr>
        <w:tc>
          <w:tcPr>
            <w:tcW w:w="1800" w:type="dxa"/>
          </w:tcPr>
          <w:p w14:paraId="0FACC4C2"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DEE</w:t>
            </w:r>
          </w:p>
        </w:tc>
        <w:tc>
          <w:tcPr>
            <w:tcW w:w="7820" w:type="dxa"/>
          </w:tcPr>
          <w:p w14:paraId="72050138"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The Department of the Environment and Energy.</w:t>
            </w:r>
          </w:p>
        </w:tc>
      </w:tr>
      <w:tr w:rsidR="00A37634" w:rsidRPr="00A37634" w14:paraId="40AD8F96" w14:textId="77777777" w:rsidTr="007C7289">
        <w:trPr>
          <w:gridAfter w:val="1"/>
          <w:wAfter w:w="9" w:type="dxa"/>
          <w:cantSplit/>
        </w:trPr>
        <w:tc>
          <w:tcPr>
            <w:tcW w:w="1800" w:type="dxa"/>
          </w:tcPr>
          <w:p w14:paraId="120010ED"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DER</w:t>
            </w:r>
          </w:p>
        </w:tc>
        <w:tc>
          <w:tcPr>
            <w:tcW w:w="7820" w:type="dxa"/>
          </w:tcPr>
          <w:p w14:paraId="279600E8"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Distributed energy resources.</w:t>
            </w:r>
          </w:p>
        </w:tc>
      </w:tr>
      <w:tr w:rsidR="00A37634" w:rsidRPr="00A37634" w14:paraId="04D1C2DF" w14:textId="77777777" w:rsidTr="007C7289">
        <w:trPr>
          <w:gridAfter w:val="1"/>
          <w:wAfter w:w="9" w:type="dxa"/>
          <w:cantSplit/>
        </w:trPr>
        <w:tc>
          <w:tcPr>
            <w:tcW w:w="1800" w:type="dxa"/>
          </w:tcPr>
          <w:p w14:paraId="5D6A3605"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DLC</w:t>
            </w:r>
          </w:p>
        </w:tc>
        <w:tc>
          <w:tcPr>
            <w:tcW w:w="7820" w:type="dxa"/>
          </w:tcPr>
          <w:p w14:paraId="4EA7576D"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Direct Load Control. An arrangement under which an appliance user authorises an electricity utility or other entity to modify the operation of the user’s appliances, within the context of a DR Program.</w:t>
            </w:r>
          </w:p>
        </w:tc>
      </w:tr>
      <w:tr w:rsidR="00A37634" w:rsidRPr="00A37634" w14:paraId="21A20B4F" w14:textId="77777777" w:rsidTr="007C7289">
        <w:trPr>
          <w:gridAfter w:val="1"/>
          <w:wAfter w:w="9" w:type="dxa"/>
          <w:cantSplit/>
        </w:trPr>
        <w:tc>
          <w:tcPr>
            <w:tcW w:w="1800" w:type="dxa"/>
          </w:tcPr>
          <w:p w14:paraId="7E2DA96B"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DNSP</w:t>
            </w:r>
          </w:p>
        </w:tc>
        <w:tc>
          <w:tcPr>
            <w:tcW w:w="7820" w:type="dxa"/>
          </w:tcPr>
          <w:p w14:paraId="38C967DB"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 xml:space="preserve">Distribution Network Service Provider. </w:t>
            </w:r>
          </w:p>
        </w:tc>
      </w:tr>
      <w:tr w:rsidR="00A37634" w:rsidRPr="00A37634" w14:paraId="75CAFD94" w14:textId="77777777" w:rsidTr="007C7289">
        <w:trPr>
          <w:gridAfter w:val="1"/>
          <w:wAfter w:w="9" w:type="dxa"/>
          <w:cantSplit/>
        </w:trPr>
        <w:tc>
          <w:tcPr>
            <w:tcW w:w="1800" w:type="dxa"/>
          </w:tcPr>
          <w:p w14:paraId="6098ABDD"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DR</w:t>
            </w:r>
          </w:p>
        </w:tc>
        <w:tc>
          <w:tcPr>
            <w:tcW w:w="7820" w:type="dxa"/>
          </w:tcPr>
          <w:p w14:paraId="5C063924"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Demand Response. The automated alteration of an electrical product’s normal mode of operation in response to an initiating signal originating from or defined by a remote agent, usually with the objective of reducing the product’s power demand (as defined in AS 4755).</w:t>
            </w:r>
          </w:p>
        </w:tc>
      </w:tr>
      <w:tr w:rsidR="00A37634" w:rsidRPr="00A37634" w14:paraId="69DBE137" w14:textId="77777777" w:rsidTr="007C7289">
        <w:trPr>
          <w:gridAfter w:val="1"/>
          <w:wAfter w:w="9" w:type="dxa"/>
          <w:cantSplit/>
        </w:trPr>
        <w:tc>
          <w:tcPr>
            <w:tcW w:w="1800" w:type="dxa"/>
          </w:tcPr>
          <w:p w14:paraId="076F1F5D"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DR Program</w:t>
            </w:r>
          </w:p>
        </w:tc>
        <w:tc>
          <w:tcPr>
            <w:tcW w:w="7820" w:type="dxa"/>
          </w:tcPr>
          <w:p w14:paraId="4D12EB5B"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An arrangement in which remote agents offer, and appliance owners/users may accept, contracts for remote agents to modify the operation of the appliance under agreed conditions for agreed recompense (monetary–e.g. lump sum payment or lower tariffs–or other).</w:t>
            </w:r>
          </w:p>
        </w:tc>
      </w:tr>
      <w:tr w:rsidR="00A37634" w:rsidRPr="00A37634" w14:paraId="1C00757E" w14:textId="77777777" w:rsidTr="007C7289">
        <w:trPr>
          <w:gridAfter w:val="1"/>
          <w:wAfter w:w="9" w:type="dxa"/>
          <w:cantSplit/>
        </w:trPr>
        <w:tc>
          <w:tcPr>
            <w:tcW w:w="1800" w:type="dxa"/>
          </w:tcPr>
          <w:p w14:paraId="335BEF0C"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DRM</w:t>
            </w:r>
          </w:p>
        </w:tc>
        <w:tc>
          <w:tcPr>
            <w:tcW w:w="7820" w:type="dxa"/>
          </w:tcPr>
          <w:p w14:paraId="68EE60B2"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Demand Response Mode (as defined in AS/NZS 4755).</w:t>
            </w:r>
          </w:p>
        </w:tc>
      </w:tr>
      <w:tr w:rsidR="00A37634" w:rsidRPr="00A37634" w14:paraId="4E35ACAC" w14:textId="77777777" w:rsidTr="007C7289">
        <w:trPr>
          <w:gridAfter w:val="1"/>
          <w:wAfter w:w="9" w:type="dxa"/>
          <w:cantSplit/>
        </w:trPr>
        <w:tc>
          <w:tcPr>
            <w:tcW w:w="1800" w:type="dxa"/>
          </w:tcPr>
          <w:p w14:paraId="58A81AAB"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DRED</w:t>
            </w:r>
          </w:p>
        </w:tc>
        <w:tc>
          <w:tcPr>
            <w:tcW w:w="7820" w:type="dxa"/>
          </w:tcPr>
          <w:p w14:paraId="4413FF4B"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Demand response enabling device.</w:t>
            </w:r>
          </w:p>
        </w:tc>
      </w:tr>
      <w:tr w:rsidR="00A37634" w:rsidRPr="00A37634" w14:paraId="7060F9E2" w14:textId="77777777" w:rsidTr="007C7289">
        <w:trPr>
          <w:gridAfter w:val="1"/>
          <w:wAfter w:w="9" w:type="dxa"/>
          <w:cantSplit/>
        </w:trPr>
        <w:tc>
          <w:tcPr>
            <w:tcW w:w="1800" w:type="dxa"/>
          </w:tcPr>
          <w:p w14:paraId="7C2E26CF"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DRSP</w:t>
            </w:r>
          </w:p>
        </w:tc>
        <w:tc>
          <w:tcPr>
            <w:tcW w:w="7820" w:type="dxa"/>
          </w:tcPr>
          <w:p w14:paraId="1193DBB9"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Demand response service provider; May be DNSP, a Retailer or an independent DRSP.</w:t>
            </w:r>
          </w:p>
        </w:tc>
      </w:tr>
      <w:tr w:rsidR="00A37634" w:rsidRPr="00A37634" w14:paraId="22CE18E5" w14:textId="77777777" w:rsidTr="007C7289">
        <w:trPr>
          <w:gridAfter w:val="1"/>
          <w:wAfter w:w="9" w:type="dxa"/>
          <w:cantSplit/>
        </w:trPr>
        <w:tc>
          <w:tcPr>
            <w:tcW w:w="1800" w:type="dxa"/>
          </w:tcPr>
          <w:p w14:paraId="535F3D59"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(DR)</w:t>
            </w:r>
          </w:p>
        </w:tc>
        <w:tc>
          <w:tcPr>
            <w:tcW w:w="7820" w:type="dxa"/>
          </w:tcPr>
          <w:p w14:paraId="07C16F0E"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Draft – in relation to a standard.</w:t>
            </w:r>
          </w:p>
        </w:tc>
      </w:tr>
      <w:tr w:rsidR="00A37634" w:rsidRPr="00A37634" w14:paraId="2B04775E" w14:textId="77777777" w:rsidTr="007C7289">
        <w:trPr>
          <w:gridAfter w:val="1"/>
          <w:wAfter w:w="9" w:type="dxa"/>
          <w:cantSplit/>
        </w:trPr>
        <w:tc>
          <w:tcPr>
            <w:tcW w:w="1800" w:type="dxa"/>
          </w:tcPr>
          <w:p w14:paraId="579DD47E"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 xml:space="preserve">E3 </w:t>
            </w:r>
          </w:p>
        </w:tc>
        <w:tc>
          <w:tcPr>
            <w:tcW w:w="7820" w:type="dxa"/>
          </w:tcPr>
          <w:p w14:paraId="5CEDD4AA"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Equipment Energy Efficiency (Program or Committee).</w:t>
            </w:r>
          </w:p>
        </w:tc>
      </w:tr>
      <w:tr w:rsidR="00A37634" w:rsidRPr="00A37634" w14:paraId="67324F8F" w14:textId="77777777" w:rsidTr="007C7289">
        <w:trPr>
          <w:cantSplit/>
        </w:trPr>
        <w:tc>
          <w:tcPr>
            <w:tcW w:w="1800" w:type="dxa"/>
          </w:tcPr>
          <w:p w14:paraId="6564236B" w14:textId="77777777" w:rsidR="00A37634" w:rsidRPr="00A37634" w:rsidRDefault="00A37634" w:rsidP="00A37634">
            <w:pPr>
              <w:spacing w:after="0" w:line="276" w:lineRule="auto"/>
              <w:rPr>
                <w:rFonts w:ascii="Calibri" w:eastAsia="Cambria" w:hAnsi="Calibri" w:cs="Calibri"/>
                <w:sz w:val="18"/>
                <w:szCs w:val="18"/>
                <w:lang w:val="en-AU"/>
              </w:rPr>
            </w:pPr>
            <w:proofErr w:type="spellStart"/>
            <w:r w:rsidRPr="00A37634">
              <w:rPr>
                <w:rFonts w:ascii="Calibri" w:eastAsia="Calibri" w:hAnsi="Calibri" w:cs="Calibri"/>
                <w:sz w:val="18"/>
                <w:szCs w:val="18"/>
                <w:lang w:val="en-AU"/>
              </w:rPr>
              <w:t>ENA</w:t>
            </w:r>
            <w:proofErr w:type="spellEnd"/>
          </w:p>
        </w:tc>
        <w:tc>
          <w:tcPr>
            <w:tcW w:w="7829" w:type="dxa"/>
            <w:gridSpan w:val="2"/>
          </w:tcPr>
          <w:p w14:paraId="4DAFAAA5"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 xml:space="preserve">Energy Networks Association (Australia – there is also a New Zealand </w:t>
            </w:r>
            <w:proofErr w:type="spellStart"/>
            <w:r w:rsidRPr="00A37634">
              <w:rPr>
                <w:rFonts w:ascii="Calibri" w:eastAsia="Calibri" w:hAnsi="Calibri" w:cs="Calibri"/>
                <w:sz w:val="18"/>
                <w:szCs w:val="18"/>
                <w:lang w:val="en-AU"/>
              </w:rPr>
              <w:t>ENA</w:t>
            </w:r>
            <w:proofErr w:type="spellEnd"/>
            <w:r w:rsidRPr="00A37634">
              <w:rPr>
                <w:rFonts w:ascii="Calibri" w:eastAsia="Calibri" w:hAnsi="Calibri" w:cs="Calibri"/>
                <w:sz w:val="18"/>
                <w:szCs w:val="18"/>
                <w:lang w:val="en-AU"/>
              </w:rPr>
              <w:t>).</w:t>
            </w:r>
          </w:p>
        </w:tc>
      </w:tr>
      <w:tr w:rsidR="00A37634" w:rsidRPr="00A37634" w14:paraId="2F4727AE" w14:textId="77777777" w:rsidTr="007C7289">
        <w:trPr>
          <w:cantSplit/>
        </w:trPr>
        <w:tc>
          <w:tcPr>
            <w:tcW w:w="1800" w:type="dxa"/>
          </w:tcPr>
          <w:p w14:paraId="10231611"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EV</w:t>
            </w:r>
          </w:p>
        </w:tc>
        <w:tc>
          <w:tcPr>
            <w:tcW w:w="7829" w:type="dxa"/>
            <w:gridSpan w:val="2"/>
          </w:tcPr>
          <w:p w14:paraId="2D1239FB"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 xml:space="preserve">Electric Vehicle. </w:t>
            </w:r>
          </w:p>
        </w:tc>
      </w:tr>
      <w:tr w:rsidR="00BA4D56" w:rsidRPr="00A37634" w14:paraId="02D86DF4" w14:textId="77777777" w:rsidTr="007C7289">
        <w:trPr>
          <w:cantSplit/>
        </w:trPr>
        <w:tc>
          <w:tcPr>
            <w:tcW w:w="1800" w:type="dxa"/>
          </w:tcPr>
          <w:p w14:paraId="500837A6" w14:textId="35B81214" w:rsidR="00BA4D56" w:rsidRPr="00A37634" w:rsidRDefault="00BA4D56" w:rsidP="00A37634">
            <w:pPr>
              <w:spacing w:after="0" w:line="276" w:lineRule="auto"/>
              <w:rPr>
                <w:rFonts w:ascii="Calibri" w:eastAsia="Calibri" w:hAnsi="Calibri" w:cs="Calibri"/>
                <w:sz w:val="18"/>
                <w:szCs w:val="18"/>
                <w:lang w:val="en-AU"/>
              </w:rPr>
            </w:pPr>
            <w:proofErr w:type="spellStart"/>
            <w:r>
              <w:rPr>
                <w:rFonts w:ascii="Calibri" w:eastAsia="Calibri" w:hAnsi="Calibri" w:cs="Calibri"/>
                <w:sz w:val="18"/>
                <w:szCs w:val="18"/>
                <w:lang w:val="en-AU"/>
              </w:rPr>
              <w:t>EVSE</w:t>
            </w:r>
            <w:proofErr w:type="spellEnd"/>
          </w:p>
        </w:tc>
        <w:tc>
          <w:tcPr>
            <w:tcW w:w="7829" w:type="dxa"/>
            <w:gridSpan w:val="2"/>
          </w:tcPr>
          <w:p w14:paraId="664BBE82" w14:textId="51EFFEA9" w:rsidR="00BA4D56" w:rsidRPr="00A37634" w:rsidRDefault="00BA4D56" w:rsidP="00A37634">
            <w:pPr>
              <w:spacing w:after="0" w:line="276" w:lineRule="auto"/>
              <w:rPr>
                <w:rFonts w:ascii="Calibri" w:eastAsia="Calibri" w:hAnsi="Calibri" w:cs="Calibri"/>
                <w:sz w:val="18"/>
                <w:szCs w:val="18"/>
                <w:lang w:val="en-AU"/>
              </w:rPr>
            </w:pPr>
            <w:r>
              <w:rPr>
                <w:rFonts w:ascii="Calibri" w:eastAsia="Calibri" w:hAnsi="Calibri" w:cs="Calibri"/>
                <w:sz w:val="18"/>
                <w:szCs w:val="18"/>
                <w:lang w:val="en-AU"/>
              </w:rPr>
              <w:t>Electric Vehicle Supply Equipment (common term in standards for fixed-wired EV chargers)</w:t>
            </w:r>
            <w:r w:rsidR="003F2508">
              <w:rPr>
                <w:rFonts w:ascii="Calibri" w:eastAsia="Calibri" w:hAnsi="Calibri" w:cs="Calibri"/>
                <w:sz w:val="18"/>
                <w:szCs w:val="18"/>
                <w:lang w:val="en-AU"/>
              </w:rPr>
              <w:t>.</w:t>
            </w:r>
            <w:r>
              <w:rPr>
                <w:rFonts w:ascii="Calibri" w:eastAsia="Calibri" w:hAnsi="Calibri" w:cs="Calibri"/>
                <w:sz w:val="18"/>
                <w:szCs w:val="18"/>
                <w:lang w:val="en-AU"/>
              </w:rPr>
              <w:t xml:space="preserve"> </w:t>
            </w:r>
          </w:p>
        </w:tc>
      </w:tr>
      <w:tr w:rsidR="00A37634" w:rsidRPr="00A37634" w14:paraId="2E9D9BF5" w14:textId="77777777" w:rsidTr="007C7289">
        <w:trPr>
          <w:cantSplit/>
        </w:trPr>
        <w:tc>
          <w:tcPr>
            <w:tcW w:w="1800" w:type="dxa"/>
          </w:tcPr>
          <w:p w14:paraId="57C9FB5A"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lastRenderedPageBreak/>
              <w:t>FCAS</w:t>
            </w:r>
          </w:p>
        </w:tc>
        <w:tc>
          <w:tcPr>
            <w:tcW w:w="7829" w:type="dxa"/>
            <w:gridSpan w:val="2"/>
          </w:tcPr>
          <w:p w14:paraId="7ABC8DEC"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Frequency Control Ancillary Services.</w:t>
            </w:r>
          </w:p>
        </w:tc>
      </w:tr>
      <w:tr w:rsidR="00A37634" w:rsidRPr="00A37634" w14:paraId="3E827FCE" w14:textId="77777777" w:rsidTr="007C7289">
        <w:trPr>
          <w:cantSplit/>
        </w:trPr>
        <w:tc>
          <w:tcPr>
            <w:tcW w:w="1800" w:type="dxa"/>
          </w:tcPr>
          <w:p w14:paraId="6F74DE57"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GEMS</w:t>
            </w:r>
          </w:p>
        </w:tc>
        <w:tc>
          <w:tcPr>
            <w:tcW w:w="7829" w:type="dxa"/>
            <w:gridSpan w:val="2"/>
          </w:tcPr>
          <w:p w14:paraId="7182B5B9"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Greenhouse and Energy Minimum Standards (Commonwealth Act, 2012).</w:t>
            </w:r>
          </w:p>
        </w:tc>
      </w:tr>
      <w:tr w:rsidR="00A37634" w:rsidRPr="00A37634" w14:paraId="2AA3A024" w14:textId="77777777" w:rsidTr="007C7289">
        <w:trPr>
          <w:cantSplit/>
        </w:trPr>
        <w:tc>
          <w:tcPr>
            <w:tcW w:w="1800" w:type="dxa"/>
          </w:tcPr>
          <w:p w14:paraId="2F6DD695"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HEMS</w:t>
            </w:r>
          </w:p>
        </w:tc>
        <w:tc>
          <w:tcPr>
            <w:tcW w:w="7829" w:type="dxa"/>
            <w:gridSpan w:val="2"/>
          </w:tcPr>
          <w:p w14:paraId="23CDD651"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Home Energy Management System.</w:t>
            </w:r>
          </w:p>
        </w:tc>
      </w:tr>
      <w:tr w:rsidR="00A37634" w:rsidRPr="00A37634" w14:paraId="74CF9A86" w14:textId="77777777" w:rsidTr="007C7289">
        <w:trPr>
          <w:cantSplit/>
        </w:trPr>
        <w:tc>
          <w:tcPr>
            <w:tcW w:w="1800" w:type="dxa"/>
          </w:tcPr>
          <w:p w14:paraId="62436030"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kW</w:t>
            </w:r>
          </w:p>
        </w:tc>
        <w:tc>
          <w:tcPr>
            <w:tcW w:w="7829" w:type="dxa"/>
            <w:gridSpan w:val="2"/>
          </w:tcPr>
          <w:p w14:paraId="4DCE0CD8"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Kilowatts.</w:t>
            </w:r>
          </w:p>
        </w:tc>
      </w:tr>
      <w:tr w:rsidR="00A37634" w:rsidRPr="00A37634" w14:paraId="4CF6B9D8" w14:textId="77777777" w:rsidTr="007C7289">
        <w:trPr>
          <w:cantSplit/>
        </w:trPr>
        <w:tc>
          <w:tcPr>
            <w:tcW w:w="1800" w:type="dxa"/>
          </w:tcPr>
          <w:p w14:paraId="5B6801A3"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MD</w:t>
            </w:r>
          </w:p>
        </w:tc>
        <w:tc>
          <w:tcPr>
            <w:tcW w:w="7829" w:type="dxa"/>
            <w:gridSpan w:val="2"/>
          </w:tcPr>
          <w:p w14:paraId="4013A6E7"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Maximum Demand.</w:t>
            </w:r>
          </w:p>
        </w:tc>
      </w:tr>
      <w:tr w:rsidR="00A37634" w:rsidRPr="00A37634" w14:paraId="2BFED827" w14:textId="77777777" w:rsidTr="007C7289">
        <w:trPr>
          <w:cantSplit/>
        </w:trPr>
        <w:tc>
          <w:tcPr>
            <w:tcW w:w="1800" w:type="dxa"/>
          </w:tcPr>
          <w:p w14:paraId="304469B6" w14:textId="77777777" w:rsidR="00A37634" w:rsidRPr="00A37634" w:rsidRDefault="00A37634" w:rsidP="00A37634">
            <w:pPr>
              <w:spacing w:after="0" w:line="276" w:lineRule="auto"/>
              <w:rPr>
                <w:rFonts w:ascii="Calibri" w:eastAsia="Calibri" w:hAnsi="Calibri" w:cs="Calibri"/>
                <w:sz w:val="18"/>
                <w:szCs w:val="18"/>
                <w:lang w:val="en-AU"/>
              </w:rPr>
            </w:pPr>
            <w:proofErr w:type="spellStart"/>
            <w:r w:rsidRPr="00A37634">
              <w:rPr>
                <w:rFonts w:ascii="Calibri" w:eastAsia="Calibri" w:hAnsi="Calibri" w:cs="Calibri"/>
                <w:sz w:val="18"/>
                <w:szCs w:val="18"/>
                <w:lang w:val="en-AU"/>
              </w:rPr>
              <w:t>MASP</w:t>
            </w:r>
            <w:proofErr w:type="spellEnd"/>
          </w:p>
        </w:tc>
        <w:tc>
          <w:tcPr>
            <w:tcW w:w="7829" w:type="dxa"/>
            <w:gridSpan w:val="2"/>
          </w:tcPr>
          <w:p w14:paraId="4B984794"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color w:val="272626"/>
                <w:sz w:val="18"/>
                <w:szCs w:val="20"/>
                <w:lang w:val="en-AU"/>
              </w:rPr>
              <w:t>Market Ancillary Service Providers.</w:t>
            </w:r>
          </w:p>
        </w:tc>
      </w:tr>
      <w:tr w:rsidR="00A37634" w:rsidRPr="00A37634" w14:paraId="14809FA3" w14:textId="77777777" w:rsidTr="007C7289">
        <w:trPr>
          <w:cantSplit/>
        </w:trPr>
        <w:tc>
          <w:tcPr>
            <w:tcW w:w="1800" w:type="dxa"/>
          </w:tcPr>
          <w:p w14:paraId="6AB70C68"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MEPS</w:t>
            </w:r>
          </w:p>
        </w:tc>
        <w:tc>
          <w:tcPr>
            <w:tcW w:w="7829" w:type="dxa"/>
            <w:gridSpan w:val="2"/>
          </w:tcPr>
          <w:p w14:paraId="0B63F37C"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Minimum Energy Performance Standards.</w:t>
            </w:r>
          </w:p>
        </w:tc>
      </w:tr>
      <w:tr w:rsidR="00A37634" w:rsidRPr="00A37634" w14:paraId="055A14D1" w14:textId="77777777" w:rsidTr="007C7289">
        <w:trPr>
          <w:cantSplit/>
        </w:trPr>
        <w:tc>
          <w:tcPr>
            <w:tcW w:w="1800" w:type="dxa"/>
          </w:tcPr>
          <w:p w14:paraId="2578DD8C"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MW</w:t>
            </w:r>
          </w:p>
        </w:tc>
        <w:tc>
          <w:tcPr>
            <w:tcW w:w="7829" w:type="dxa"/>
            <w:gridSpan w:val="2"/>
          </w:tcPr>
          <w:p w14:paraId="28D81994"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Megawatts (kW x 1,000).</w:t>
            </w:r>
          </w:p>
        </w:tc>
      </w:tr>
      <w:tr w:rsidR="00A37634" w:rsidRPr="00A37634" w14:paraId="58094D9D" w14:textId="77777777" w:rsidTr="007C7289">
        <w:trPr>
          <w:cantSplit/>
        </w:trPr>
        <w:tc>
          <w:tcPr>
            <w:tcW w:w="1800" w:type="dxa"/>
          </w:tcPr>
          <w:p w14:paraId="6BDD456E"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NEL</w:t>
            </w:r>
          </w:p>
        </w:tc>
        <w:tc>
          <w:tcPr>
            <w:tcW w:w="7829" w:type="dxa"/>
            <w:gridSpan w:val="2"/>
          </w:tcPr>
          <w:p w14:paraId="22BD6CF2"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National Electricity Law.</w:t>
            </w:r>
          </w:p>
        </w:tc>
      </w:tr>
      <w:tr w:rsidR="00A37634" w:rsidRPr="00A37634" w14:paraId="4C430399" w14:textId="77777777" w:rsidTr="007C7289">
        <w:trPr>
          <w:cantSplit/>
        </w:trPr>
        <w:tc>
          <w:tcPr>
            <w:tcW w:w="1800" w:type="dxa"/>
          </w:tcPr>
          <w:p w14:paraId="77F367BC"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NEM</w:t>
            </w:r>
          </w:p>
        </w:tc>
        <w:tc>
          <w:tcPr>
            <w:tcW w:w="7829" w:type="dxa"/>
            <w:gridSpan w:val="2"/>
          </w:tcPr>
          <w:p w14:paraId="4FDF801F"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 xml:space="preserve">National Electricity Market. </w:t>
            </w:r>
          </w:p>
        </w:tc>
      </w:tr>
      <w:tr w:rsidR="00A37634" w:rsidRPr="00A37634" w14:paraId="6B195346" w14:textId="77777777" w:rsidTr="007C7289">
        <w:trPr>
          <w:cantSplit/>
        </w:trPr>
        <w:tc>
          <w:tcPr>
            <w:tcW w:w="1800" w:type="dxa"/>
          </w:tcPr>
          <w:p w14:paraId="41EDD25C"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NPE</w:t>
            </w:r>
          </w:p>
        </w:tc>
        <w:tc>
          <w:tcPr>
            <w:tcW w:w="7829" w:type="dxa"/>
            <w:gridSpan w:val="2"/>
          </w:tcPr>
          <w:p w14:paraId="5BABDBBA"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Negative price event.</w:t>
            </w:r>
          </w:p>
        </w:tc>
      </w:tr>
      <w:tr w:rsidR="00A37634" w:rsidRPr="00A37634" w14:paraId="2704FAED" w14:textId="77777777" w:rsidTr="007C7289">
        <w:trPr>
          <w:cantSplit/>
        </w:trPr>
        <w:tc>
          <w:tcPr>
            <w:tcW w:w="1800" w:type="dxa"/>
          </w:tcPr>
          <w:p w14:paraId="459C8310"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NPV</w:t>
            </w:r>
          </w:p>
        </w:tc>
        <w:tc>
          <w:tcPr>
            <w:tcW w:w="7829" w:type="dxa"/>
            <w:gridSpan w:val="2"/>
          </w:tcPr>
          <w:p w14:paraId="205CE68A"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Net present value.</w:t>
            </w:r>
          </w:p>
        </w:tc>
      </w:tr>
      <w:tr w:rsidR="00F32140" w:rsidRPr="00A37634" w14:paraId="57D5A5C9" w14:textId="77777777" w:rsidTr="007C7289">
        <w:trPr>
          <w:cantSplit/>
        </w:trPr>
        <w:tc>
          <w:tcPr>
            <w:tcW w:w="1800" w:type="dxa"/>
          </w:tcPr>
          <w:p w14:paraId="2FA51DCB" w14:textId="2892ACE6" w:rsidR="00F32140" w:rsidRPr="00A37634" w:rsidRDefault="00F32140" w:rsidP="00A37634">
            <w:pPr>
              <w:spacing w:after="0" w:line="276" w:lineRule="auto"/>
              <w:rPr>
                <w:rFonts w:ascii="Calibri" w:eastAsia="Calibri" w:hAnsi="Calibri" w:cs="Calibri"/>
                <w:sz w:val="18"/>
                <w:szCs w:val="18"/>
                <w:lang w:val="en-AU"/>
              </w:rPr>
            </w:pPr>
            <w:r>
              <w:rPr>
                <w:rFonts w:ascii="Calibri" w:eastAsia="Calibri" w:hAnsi="Calibri" w:cs="Calibri"/>
                <w:sz w:val="18"/>
                <w:szCs w:val="18"/>
                <w:lang w:val="en-AU"/>
              </w:rPr>
              <w:t>OCPP</w:t>
            </w:r>
          </w:p>
        </w:tc>
        <w:tc>
          <w:tcPr>
            <w:tcW w:w="7829" w:type="dxa"/>
            <w:gridSpan w:val="2"/>
          </w:tcPr>
          <w:p w14:paraId="6C74CC7C" w14:textId="7F09733B" w:rsidR="00F32140" w:rsidRPr="00A37634" w:rsidRDefault="00F32140" w:rsidP="00A37634">
            <w:pPr>
              <w:spacing w:after="0" w:line="276" w:lineRule="auto"/>
              <w:rPr>
                <w:rFonts w:ascii="Calibri" w:eastAsia="Calibri" w:hAnsi="Calibri" w:cs="Calibri"/>
                <w:sz w:val="18"/>
                <w:szCs w:val="18"/>
                <w:lang w:val="en-AU"/>
              </w:rPr>
            </w:pPr>
            <w:r>
              <w:rPr>
                <w:rFonts w:ascii="Calibri" w:eastAsia="Calibri" w:hAnsi="Calibri" w:cs="Calibri"/>
                <w:sz w:val="18"/>
                <w:szCs w:val="18"/>
                <w:lang w:val="en-AU"/>
              </w:rPr>
              <w:t>Open Charge Point Protocol</w:t>
            </w:r>
            <w:r w:rsidR="003F2508">
              <w:rPr>
                <w:rFonts w:ascii="Calibri" w:eastAsia="Calibri" w:hAnsi="Calibri" w:cs="Calibri"/>
                <w:sz w:val="18"/>
                <w:szCs w:val="18"/>
                <w:lang w:val="en-AU"/>
              </w:rPr>
              <w:t>.</w:t>
            </w:r>
            <w:r>
              <w:rPr>
                <w:rFonts w:ascii="Calibri" w:eastAsia="Calibri" w:hAnsi="Calibri" w:cs="Calibri"/>
                <w:sz w:val="18"/>
                <w:szCs w:val="18"/>
                <w:lang w:val="en-AU"/>
              </w:rPr>
              <w:t xml:space="preserve"> </w:t>
            </w:r>
          </w:p>
        </w:tc>
      </w:tr>
      <w:tr w:rsidR="00A37634" w:rsidRPr="00A37634" w14:paraId="340F1844" w14:textId="77777777" w:rsidTr="007C7289">
        <w:trPr>
          <w:cantSplit/>
        </w:trPr>
        <w:tc>
          <w:tcPr>
            <w:tcW w:w="1800" w:type="dxa"/>
          </w:tcPr>
          <w:p w14:paraId="051B11D2"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OP</w:t>
            </w:r>
          </w:p>
        </w:tc>
        <w:tc>
          <w:tcPr>
            <w:tcW w:w="7829" w:type="dxa"/>
            <w:gridSpan w:val="2"/>
          </w:tcPr>
          <w:p w14:paraId="7A874FD8"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Off-Peak (electricity price).</w:t>
            </w:r>
          </w:p>
        </w:tc>
      </w:tr>
      <w:tr w:rsidR="00A37634" w:rsidRPr="00A37634" w14:paraId="518CEFB1" w14:textId="77777777" w:rsidTr="007C7289">
        <w:trPr>
          <w:cantSplit/>
        </w:trPr>
        <w:tc>
          <w:tcPr>
            <w:tcW w:w="1800" w:type="dxa"/>
          </w:tcPr>
          <w:p w14:paraId="4222B9DA"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Participating load</w:t>
            </w:r>
          </w:p>
        </w:tc>
        <w:tc>
          <w:tcPr>
            <w:tcW w:w="7829" w:type="dxa"/>
            <w:gridSpan w:val="2"/>
          </w:tcPr>
          <w:p w14:paraId="4940AF2B"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The total electricity demand of appliances that are activated and where the owner/user has agreed to participate in a DR program.</w:t>
            </w:r>
          </w:p>
        </w:tc>
      </w:tr>
      <w:tr w:rsidR="00A37634" w:rsidRPr="00A37634" w14:paraId="558BD28A" w14:textId="77777777" w:rsidTr="007C7289">
        <w:trPr>
          <w:cantSplit/>
        </w:trPr>
        <w:tc>
          <w:tcPr>
            <w:tcW w:w="1800" w:type="dxa"/>
          </w:tcPr>
          <w:p w14:paraId="26D448CC"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Remote agent</w:t>
            </w:r>
          </w:p>
        </w:tc>
        <w:tc>
          <w:tcPr>
            <w:tcW w:w="7829" w:type="dxa"/>
            <w:gridSpan w:val="2"/>
          </w:tcPr>
          <w:p w14:paraId="38F97860"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An electricity utility or other entity authorised by a user to modify the operation of the user’s appliances, within the context of a DR Program.</w:t>
            </w:r>
          </w:p>
        </w:tc>
      </w:tr>
      <w:tr w:rsidR="00A37634" w:rsidRPr="00A37634" w14:paraId="4747454B" w14:textId="77777777" w:rsidTr="007C7289">
        <w:trPr>
          <w:cantSplit/>
        </w:trPr>
        <w:tc>
          <w:tcPr>
            <w:tcW w:w="1800" w:type="dxa"/>
          </w:tcPr>
          <w:p w14:paraId="7018E5E6"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RRO</w:t>
            </w:r>
          </w:p>
        </w:tc>
        <w:tc>
          <w:tcPr>
            <w:tcW w:w="7829" w:type="dxa"/>
            <w:gridSpan w:val="2"/>
          </w:tcPr>
          <w:p w14:paraId="0638ACBB"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Retailer Reliability Obligation.</w:t>
            </w:r>
          </w:p>
        </w:tc>
      </w:tr>
      <w:tr w:rsidR="00A37634" w:rsidRPr="00A37634" w14:paraId="0908B9A4" w14:textId="77777777" w:rsidTr="007C7289">
        <w:trPr>
          <w:cantSplit/>
        </w:trPr>
        <w:tc>
          <w:tcPr>
            <w:tcW w:w="1800" w:type="dxa"/>
          </w:tcPr>
          <w:p w14:paraId="143A3367"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PCT</w:t>
            </w:r>
          </w:p>
        </w:tc>
        <w:tc>
          <w:tcPr>
            <w:tcW w:w="7829" w:type="dxa"/>
            <w:gridSpan w:val="2"/>
          </w:tcPr>
          <w:p w14:paraId="17D2B223"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Programmable Communicating Thermostat.</w:t>
            </w:r>
          </w:p>
        </w:tc>
      </w:tr>
      <w:tr w:rsidR="00A37634" w:rsidRPr="00A37634" w14:paraId="55E8B03E" w14:textId="77777777" w:rsidTr="007C7289">
        <w:trPr>
          <w:cantSplit/>
        </w:trPr>
        <w:tc>
          <w:tcPr>
            <w:tcW w:w="1800" w:type="dxa"/>
          </w:tcPr>
          <w:p w14:paraId="2EC682A6"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 xml:space="preserve">RERT </w:t>
            </w:r>
          </w:p>
        </w:tc>
        <w:tc>
          <w:tcPr>
            <w:tcW w:w="7829" w:type="dxa"/>
            <w:gridSpan w:val="2"/>
          </w:tcPr>
          <w:p w14:paraId="108EEB61"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Reliability and Emergency Reserve Trader.</w:t>
            </w:r>
          </w:p>
        </w:tc>
      </w:tr>
      <w:tr w:rsidR="00A37634" w:rsidRPr="00A37634" w14:paraId="30E215BC" w14:textId="77777777" w:rsidTr="007C7289">
        <w:trPr>
          <w:cantSplit/>
        </w:trPr>
        <w:tc>
          <w:tcPr>
            <w:tcW w:w="1800" w:type="dxa"/>
          </w:tcPr>
          <w:p w14:paraId="5ABE29B7"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RIS</w:t>
            </w:r>
          </w:p>
        </w:tc>
        <w:tc>
          <w:tcPr>
            <w:tcW w:w="7829" w:type="dxa"/>
            <w:gridSpan w:val="2"/>
          </w:tcPr>
          <w:p w14:paraId="4C534099"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Regulation Impact Statement.</w:t>
            </w:r>
          </w:p>
        </w:tc>
      </w:tr>
      <w:tr w:rsidR="00A37634" w:rsidRPr="00A37634" w14:paraId="04579771" w14:textId="77777777" w:rsidTr="007C7289">
        <w:trPr>
          <w:cantSplit/>
        </w:trPr>
        <w:tc>
          <w:tcPr>
            <w:tcW w:w="1800" w:type="dxa"/>
          </w:tcPr>
          <w:p w14:paraId="6C689334"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SMD</w:t>
            </w:r>
          </w:p>
        </w:tc>
        <w:tc>
          <w:tcPr>
            <w:tcW w:w="7829" w:type="dxa"/>
            <w:gridSpan w:val="2"/>
          </w:tcPr>
          <w:p w14:paraId="02E41DCB"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Summer maximum demand.</w:t>
            </w:r>
          </w:p>
        </w:tc>
      </w:tr>
      <w:tr w:rsidR="00A37634" w:rsidRPr="00A37634" w14:paraId="5AF6FB9D" w14:textId="77777777" w:rsidTr="007C7289">
        <w:trPr>
          <w:cantSplit/>
        </w:trPr>
        <w:tc>
          <w:tcPr>
            <w:tcW w:w="1800" w:type="dxa"/>
          </w:tcPr>
          <w:p w14:paraId="2F59815A"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Take-up</w:t>
            </w:r>
          </w:p>
        </w:tc>
        <w:tc>
          <w:tcPr>
            <w:tcW w:w="7829" w:type="dxa"/>
            <w:gridSpan w:val="2"/>
          </w:tcPr>
          <w:p w14:paraId="17C4261E"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 xml:space="preserve">The rate at which households with DR-capable appliances consent to have them activated </w:t>
            </w:r>
            <w:proofErr w:type="gramStart"/>
            <w:r w:rsidRPr="00A37634">
              <w:rPr>
                <w:rFonts w:ascii="Calibri" w:eastAsia="Calibri" w:hAnsi="Calibri" w:cs="Calibri"/>
                <w:sz w:val="18"/>
                <w:szCs w:val="18"/>
                <w:lang w:val="en-AU"/>
              </w:rPr>
              <w:t>in order to</w:t>
            </w:r>
            <w:proofErr w:type="gramEnd"/>
            <w:r w:rsidRPr="00A37634">
              <w:rPr>
                <w:rFonts w:ascii="Calibri" w:eastAsia="Calibri" w:hAnsi="Calibri" w:cs="Calibri"/>
                <w:sz w:val="18"/>
                <w:szCs w:val="18"/>
                <w:lang w:val="en-AU"/>
              </w:rPr>
              <w:t xml:space="preserve"> enter direct load control programs with utilities or DRSPs. (May also denote the percentage of appliance owners participating in demand response programs at a given time).</w:t>
            </w:r>
          </w:p>
        </w:tc>
      </w:tr>
      <w:tr w:rsidR="00A37634" w:rsidRPr="00A37634" w14:paraId="52FEC889" w14:textId="77777777" w:rsidTr="007C7289">
        <w:trPr>
          <w:cantSplit/>
        </w:trPr>
        <w:tc>
          <w:tcPr>
            <w:tcW w:w="1800" w:type="dxa"/>
          </w:tcPr>
          <w:p w14:paraId="501FACC2" w14:textId="77777777" w:rsidR="00A37634" w:rsidRPr="00A37634" w:rsidRDefault="00A37634" w:rsidP="00A37634">
            <w:pPr>
              <w:spacing w:after="0" w:line="276" w:lineRule="auto"/>
              <w:rPr>
                <w:rFonts w:ascii="Calibri" w:eastAsia="Calibri" w:hAnsi="Calibri" w:cs="Calibri"/>
                <w:sz w:val="18"/>
                <w:szCs w:val="18"/>
                <w:lang w:val="en-AU"/>
              </w:rPr>
            </w:pPr>
            <w:proofErr w:type="spellStart"/>
            <w:r w:rsidRPr="00A37634">
              <w:rPr>
                <w:rFonts w:ascii="Calibri" w:eastAsia="Calibri" w:hAnsi="Calibri" w:cs="Calibri"/>
                <w:sz w:val="18"/>
                <w:szCs w:val="18"/>
                <w:lang w:val="en-AU"/>
              </w:rPr>
              <w:t>TNSP</w:t>
            </w:r>
            <w:proofErr w:type="spellEnd"/>
          </w:p>
        </w:tc>
        <w:tc>
          <w:tcPr>
            <w:tcW w:w="7829" w:type="dxa"/>
            <w:gridSpan w:val="2"/>
          </w:tcPr>
          <w:p w14:paraId="6A33743A"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 xml:space="preserve">Transmission Network Service Provider. </w:t>
            </w:r>
          </w:p>
        </w:tc>
      </w:tr>
      <w:tr w:rsidR="00A37634" w:rsidRPr="00A37634" w14:paraId="6BCAD37F" w14:textId="77777777" w:rsidTr="007C7289">
        <w:trPr>
          <w:cantSplit/>
        </w:trPr>
        <w:tc>
          <w:tcPr>
            <w:tcW w:w="1800" w:type="dxa"/>
          </w:tcPr>
          <w:p w14:paraId="13600617"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TOU</w:t>
            </w:r>
          </w:p>
        </w:tc>
        <w:tc>
          <w:tcPr>
            <w:tcW w:w="7829" w:type="dxa"/>
            <w:gridSpan w:val="2"/>
          </w:tcPr>
          <w:p w14:paraId="65D65D6C"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Time-of-use (electricity price).</w:t>
            </w:r>
          </w:p>
        </w:tc>
      </w:tr>
      <w:tr w:rsidR="00A37634" w:rsidRPr="00A37634" w14:paraId="2D9801B2" w14:textId="77777777" w:rsidTr="007C7289">
        <w:trPr>
          <w:cantSplit/>
        </w:trPr>
        <w:tc>
          <w:tcPr>
            <w:tcW w:w="1800" w:type="dxa"/>
          </w:tcPr>
          <w:p w14:paraId="5F20921E"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WM</w:t>
            </w:r>
          </w:p>
        </w:tc>
        <w:tc>
          <w:tcPr>
            <w:tcW w:w="7829" w:type="dxa"/>
            <w:gridSpan w:val="2"/>
          </w:tcPr>
          <w:p w14:paraId="7F9260C9" w14:textId="77777777" w:rsidR="00A37634" w:rsidRPr="00A37634" w:rsidRDefault="00A37634" w:rsidP="00A37634">
            <w:pPr>
              <w:spacing w:after="0" w:line="276" w:lineRule="auto"/>
              <w:rPr>
                <w:rFonts w:ascii="Calibri" w:eastAsia="Calibri" w:hAnsi="Calibri" w:cs="Calibri"/>
                <w:sz w:val="18"/>
                <w:szCs w:val="18"/>
                <w:lang w:val="en-AU"/>
              </w:rPr>
            </w:pPr>
            <w:r w:rsidRPr="00A37634">
              <w:rPr>
                <w:rFonts w:ascii="Calibri" w:eastAsia="Calibri" w:hAnsi="Calibri" w:cs="Calibri"/>
                <w:sz w:val="18"/>
                <w:szCs w:val="18"/>
                <w:lang w:val="en-AU"/>
              </w:rPr>
              <w:t>With Measure (i.e. with compliance mandated).</w:t>
            </w:r>
          </w:p>
        </w:tc>
      </w:tr>
      <w:tr w:rsidR="00A37634" w:rsidRPr="00A37634" w14:paraId="6E5B1667" w14:textId="77777777" w:rsidTr="007C7289">
        <w:trPr>
          <w:cantSplit/>
        </w:trPr>
        <w:tc>
          <w:tcPr>
            <w:tcW w:w="1800" w:type="dxa"/>
          </w:tcPr>
          <w:p w14:paraId="3B85DB1D"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WMD</w:t>
            </w:r>
          </w:p>
        </w:tc>
        <w:tc>
          <w:tcPr>
            <w:tcW w:w="7829" w:type="dxa"/>
            <w:gridSpan w:val="2"/>
          </w:tcPr>
          <w:p w14:paraId="1933AC06" w14:textId="77777777" w:rsidR="00A37634" w:rsidRPr="00A37634" w:rsidRDefault="00A37634" w:rsidP="00A37634">
            <w:pPr>
              <w:spacing w:after="0" w:line="276" w:lineRule="auto"/>
              <w:rPr>
                <w:rFonts w:ascii="Calibri" w:eastAsia="Cambria" w:hAnsi="Calibri" w:cs="Calibri"/>
                <w:sz w:val="18"/>
                <w:szCs w:val="18"/>
                <w:lang w:val="en-AU"/>
              </w:rPr>
            </w:pPr>
            <w:r w:rsidRPr="00A37634">
              <w:rPr>
                <w:rFonts w:ascii="Calibri" w:eastAsia="Calibri" w:hAnsi="Calibri" w:cs="Calibri"/>
                <w:sz w:val="18"/>
                <w:szCs w:val="18"/>
                <w:lang w:val="en-AU"/>
              </w:rPr>
              <w:t>Winter maximum demand.</w:t>
            </w:r>
          </w:p>
        </w:tc>
      </w:tr>
      <w:tr w:rsidR="00AE3719" w:rsidRPr="00A37634" w14:paraId="1060CD55" w14:textId="77777777" w:rsidTr="007C7289">
        <w:trPr>
          <w:cantSplit/>
        </w:trPr>
        <w:tc>
          <w:tcPr>
            <w:tcW w:w="1800" w:type="dxa"/>
          </w:tcPr>
          <w:p w14:paraId="7061FC8B" w14:textId="712E57E3" w:rsidR="00AE3719" w:rsidRPr="00A37634" w:rsidRDefault="00AE3719" w:rsidP="00A37634">
            <w:pPr>
              <w:spacing w:after="0" w:line="276" w:lineRule="auto"/>
              <w:rPr>
                <w:rFonts w:ascii="Calibri" w:eastAsia="Calibri" w:hAnsi="Calibri" w:cs="Calibri"/>
                <w:sz w:val="18"/>
                <w:szCs w:val="18"/>
                <w:lang w:val="en-AU"/>
              </w:rPr>
            </w:pPr>
            <w:r>
              <w:rPr>
                <w:rFonts w:ascii="Calibri" w:eastAsia="Calibri" w:hAnsi="Calibri" w:cs="Calibri"/>
                <w:sz w:val="18"/>
                <w:szCs w:val="18"/>
                <w:lang w:val="en-AU"/>
              </w:rPr>
              <w:t>WMDR</w:t>
            </w:r>
          </w:p>
        </w:tc>
        <w:tc>
          <w:tcPr>
            <w:tcW w:w="7829" w:type="dxa"/>
            <w:gridSpan w:val="2"/>
          </w:tcPr>
          <w:p w14:paraId="7A22493E" w14:textId="28969678" w:rsidR="00AE3719" w:rsidRPr="00A37634" w:rsidRDefault="00AE3719" w:rsidP="00A37634">
            <w:pPr>
              <w:spacing w:after="0" w:line="276" w:lineRule="auto"/>
              <w:rPr>
                <w:rFonts w:ascii="Calibri" w:eastAsia="Calibri" w:hAnsi="Calibri" w:cs="Calibri"/>
                <w:sz w:val="18"/>
                <w:szCs w:val="18"/>
                <w:lang w:val="en-AU"/>
              </w:rPr>
            </w:pPr>
            <w:r>
              <w:rPr>
                <w:rFonts w:ascii="Calibri" w:eastAsia="Calibri" w:hAnsi="Calibri" w:cs="Calibri"/>
                <w:sz w:val="18"/>
                <w:szCs w:val="18"/>
                <w:lang w:val="en-AU"/>
              </w:rPr>
              <w:t>Wholesale Market Demand Response</w:t>
            </w:r>
            <w:r w:rsidR="003F2508">
              <w:rPr>
                <w:rFonts w:ascii="Calibri" w:eastAsia="Calibri" w:hAnsi="Calibri" w:cs="Calibri"/>
                <w:sz w:val="18"/>
                <w:szCs w:val="18"/>
                <w:lang w:val="en-AU"/>
              </w:rPr>
              <w:t>.</w:t>
            </w:r>
          </w:p>
        </w:tc>
      </w:tr>
    </w:tbl>
    <w:p w14:paraId="37775E69" w14:textId="77777777" w:rsidR="00A37634" w:rsidRPr="00A37634" w:rsidRDefault="00A37634" w:rsidP="00A37634">
      <w:pPr>
        <w:spacing w:after="120" w:line="276" w:lineRule="auto"/>
        <w:rPr>
          <w:rFonts w:ascii="Calibri" w:eastAsia="Calibri" w:hAnsi="Calibri" w:cs="Calibri"/>
          <w:szCs w:val="20"/>
          <w:lang w:val="en-AU"/>
        </w:rPr>
      </w:pPr>
    </w:p>
    <w:p w14:paraId="796DB8AF" w14:textId="77777777" w:rsidR="00A37634" w:rsidRPr="00A37634" w:rsidRDefault="00A37634" w:rsidP="00A37634">
      <w:pPr>
        <w:spacing w:after="120" w:line="276" w:lineRule="auto"/>
        <w:rPr>
          <w:rFonts w:ascii="Calibri" w:eastAsia="Calibri" w:hAnsi="Calibri" w:cs="Calibri"/>
          <w:szCs w:val="20"/>
          <w:lang w:val="en-AU"/>
        </w:rPr>
      </w:pPr>
      <w:r w:rsidRPr="00A37634">
        <w:rPr>
          <w:rFonts w:ascii="Calibri" w:eastAsia="Calibri" w:hAnsi="Calibri" w:cs="Calibri"/>
          <w:szCs w:val="20"/>
          <w:lang w:val="en-AU"/>
        </w:rPr>
        <w:br w:type="page"/>
      </w:r>
    </w:p>
    <w:p w14:paraId="015309EA" w14:textId="1BE1E567" w:rsidR="00A37634" w:rsidRPr="005C1841" w:rsidRDefault="00A37634" w:rsidP="00FF17C7">
      <w:pPr>
        <w:pStyle w:val="ListParagraph"/>
        <w:numPr>
          <w:ilvl w:val="0"/>
          <w:numId w:val="18"/>
        </w:numPr>
        <w:pBdr>
          <w:bottom w:val="single" w:sz="12" w:space="1" w:color="ED1B24"/>
        </w:pBdr>
        <w:spacing w:before="200" w:after="600" w:line="240" w:lineRule="auto"/>
        <w:outlineLvl w:val="0"/>
        <w:rPr>
          <w:rFonts w:eastAsia="Times New Roman" w:cs="Calibri"/>
          <w:b/>
          <w:bCs/>
          <w:color w:val="ED1B24"/>
          <w:sz w:val="50"/>
          <w:szCs w:val="28"/>
        </w:rPr>
      </w:pPr>
      <w:bookmarkStart w:id="17" w:name="_Toc22485212"/>
      <w:r w:rsidRPr="005C1841">
        <w:rPr>
          <w:rFonts w:eastAsia="Times New Roman" w:cs="Calibri"/>
          <w:b/>
          <w:bCs/>
          <w:color w:val="ED1B24"/>
          <w:sz w:val="50"/>
          <w:szCs w:val="28"/>
        </w:rPr>
        <w:lastRenderedPageBreak/>
        <w:t xml:space="preserve">The </w:t>
      </w:r>
      <w:r w:rsidR="00544292" w:rsidRPr="005C1841">
        <w:rPr>
          <w:rFonts w:eastAsia="Times New Roman" w:cs="Calibri"/>
          <w:b/>
          <w:bCs/>
          <w:color w:val="ED1B24"/>
          <w:sz w:val="50"/>
          <w:szCs w:val="28"/>
        </w:rPr>
        <w:t xml:space="preserve">Problem: </w:t>
      </w:r>
      <w:r w:rsidR="008D03E8" w:rsidRPr="005C1841">
        <w:rPr>
          <w:rFonts w:eastAsia="Times New Roman" w:cs="Calibri"/>
          <w:b/>
          <w:bCs/>
          <w:color w:val="ED1B24"/>
          <w:sz w:val="50"/>
          <w:szCs w:val="28"/>
        </w:rPr>
        <w:t xml:space="preserve">Growing variability in </w:t>
      </w:r>
      <w:r w:rsidR="006726CA" w:rsidRPr="005C1841">
        <w:rPr>
          <w:rFonts w:eastAsia="Times New Roman" w:cs="Calibri"/>
          <w:b/>
          <w:bCs/>
          <w:color w:val="ED1B24"/>
          <w:sz w:val="50"/>
          <w:szCs w:val="28"/>
        </w:rPr>
        <w:t>electricity demand and supply</w:t>
      </w:r>
      <w:bookmarkEnd w:id="17"/>
    </w:p>
    <w:p w14:paraId="5DE2FA1F" w14:textId="77777777" w:rsidR="006726CA" w:rsidRPr="00A37634" w:rsidRDefault="006726CA" w:rsidP="006726CA">
      <w:pPr>
        <w:spacing w:before="240" w:after="120" w:line="276" w:lineRule="auto"/>
        <w:rPr>
          <w:rFonts w:ascii="Calibri" w:eastAsia="Calibri" w:hAnsi="Calibri" w:cs="Calibri"/>
          <w:szCs w:val="20"/>
          <w:lang w:val="en-AU"/>
        </w:rPr>
      </w:pPr>
      <w:bookmarkStart w:id="18" w:name="_Toc509835485"/>
      <w:r w:rsidRPr="00A37634">
        <w:rPr>
          <w:rFonts w:ascii="Calibri" w:eastAsia="Calibri" w:hAnsi="Calibri" w:cs="Calibri"/>
          <w:szCs w:val="20"/>
          <w:lang w:val="en-AU"/>
        </w:rPr>
        <w:t>The integration of electricity supply, demand and distributed energy resources (DER) are major concerns for electricity market regulators, policy makers and network managers. Peak demand events, often prompted by extreme weather, result in major spikes in electricity usage. These events have a disproportionate impact on network costs as they often require expensive investment to increase network capacity and to maintain the reliability of the electricity supply.</w:t>
      </w:r>
    </w:p>
    <w:p w14:paraId="1FCABE58"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Electricity generation, transmission and distribution systems must be designed to provide high levels of reliability </w:t>
      </w:r>
      <w:proofErr w:type="gramStart"/>
      <w:r w:rsidRPr="00A37634">
        <w:rPr>
          <w:rFonts w:ascii="Calibri" w:eastAsia="Calibri" w:hAnsi="Calibri" w:cs="Calibri"/>
          <w:szCs w:val="20"/>
          <w:lang w:val="en-AU"/>
        </w:rPr>
        <w:t>at all times</w:t>
      </w:r>
      <w:proofErr w:type="gramEnd"/>
      <w:r w:rsidRPr="00A37634">
        <w:rPr>
          <w:rFonts w:ascii="Calibri" w:eastAsia="Calibri" w:hAnsi="Calibri" w:cs="Calibri"/>
          <w:szCs w:val="20"/>
          <w:lang w:val="en-AU"/>
        </w:rPr>
        <w:t xml:space="preserve">, including during periods of peak demand. As the extreme peaks are of brief duration (hours at most, occurring on only a few days each year), the full capacity of the electricity system (or parts of the electricity system) is under-utilised for most of the time. </w:t>
      </w:r>
    </w:p>
    <w:p w14:paraId="3FF50671" w14:textId="15A7F8F2" w:rsidR="00A37634" w:rsidRPr="00A37634" w:rsidRDefault="00A37634" w:rsidP="00A37634">
      <w:pPr>
        <w:spacing w:before="120" w:after="120" w:line="276" w:lineRule="auto"/>
        <w:rPr>
          <w:rFonts w:ascii="Calibri" w:eastAsia="Calibri" w:hAnsi="Calibri" w:cs="Calibri"/>
          <w:szCs w:val="20"/>
          <w:lang w:val="en-AU"/>
        </w:rPr>
      </w:pPr>
      <w:r w:rsidRPr="006B22A7">
        <w:rPr>
          <w:rStyle w:val="FigreferenceChar"/>
        </w:rPr>
        <w:fldChar w:fldCharType="begin"/>
      </w:r>
      <w:r w:rsidRPr="006B22A7">
        <w:rPr>
          <w:rStyle w:val="FigreferenceChar"/>
        </w:rPr>
        <w:instrText xml:space="preserve"> REF _Ref395956978  \* MERGEFORMAT </w:instrText>
      </w:r>
      <w:r w:rsidRPr="006B22A7">
        <w:rPr>
          <w:rStyle w:val="FigreferenceChar"/>
        </w:rPr>
        <w:fldChar w:fldCharType="separate"/>
      </w:r>
      <w:r w:rsidR="006B22A7" w:rsidRPr="006B22A7">
        <w:rPr>
          <w:rStyle w:val="FigreferenceChar"/>
        </w:rPr>
        <w:t>Figure 3</w:t>
      </w:r>
      <w:r w:rsidRPr="006B22A7">
        <w:rPr>
          <w:rStyle w:val="FigreferenceChar"/>
        </w:rPr>
        <w:fldChar w:fldCharType="end"/>
      </w:r>
      <w:r w:rsidRPr="00A37634">
        <w:rPr>
          <w:rFonts w:ascii="Calibri" w:eastAsia="Calibri" w:hAnsi="Calibri" w:cs="Calibri"/>
          <w:szCs w:val="20"/>
          <w:lang w:val="en-AU"/>
        </w:rPr>
        <w:t xml:space="preserve"> shows a typical load duration curve forecast for a zone substation (in this case, in Sydney). It shows that demand is projected to exceed the existing firm capacity about 9.5% of the time, or 830 hours per year. If capital were invested in the substation to meet the full projected load, the last 10% of capacity would be utilised for less than 200 hours per year. If the extremes of the peak could be avoided through demand response (DR), significant capital investment could be saved. </w:t>
      </w:r>
    </w:p>
    <w:p w14:paraId="3604FA0A" w14:textId="44AB1E50" w:rsidR="00A37634" w:rsidRPr="00A37634" w:rsidRDefault="00E81815"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In 2013</w:t>
      </w:r>
      <w:r w:rsidR="00944A7F">
        <w:rPr>
          <w:rFonts w:ascii="Calibri" w:eastAsia="Calibri" w:hAnsi="Calibri" w:cs="Calibri"/>
          <w:szCs w:val="20"/>
          <w:lang w:val="en-AU"/>
        </w:rPr>
        <w:t>,</w:t>
      </w:r>
      <w:r>
        <w:rPr>
          <w:rFonts w:ascii="Calibri" w:eastAsia="Calibri" w:hAnsi="Calibri" w:cs="Calibri"/>
          <w:szCs w:val="20"/>
          <w:lang w:val="en-AU"/>
        </w:rPr>
        <w:t xml:space="preserve"> t</w:t>
      </w:r>
      <w:r w:rsidR="00A37634" w:rsidRPr="00A37634">
        <w:rPr>
          <w:rFonts w:ascii="Calibri" w:eastAsia="Calibri" w:hAnsi="Calibri" w:cs="Calibri"/>
          <w:szCs w:val="20"/>
          <w:lang w:val="en-AU"/>
        </w:rPr>
        <w:t>he Productivity Commission concluded that “growth in peak electricity demand is likely to be inducing (or bringing forward) a sizable stream of otherwise unnecessary investment, for which consumers ultimately pay. And the widening gap between peak and average demand is contributing to reduced productivity in the electricity sector.”</w:t>
      </w:r>
      <w:r w:rsidR="00A37634" w:rsidRPr="00A37634">
        <w:rPr>
          <w:rFonts w:ascii="Calibri" w:eastAsia="Calibri" w:hAnsi="Calibri" w:cs="Calibri"/>
          <w:szCs w:val="20"/>
          <w:vertAlign w:val="superscript"/>
          <w:lang w:val="en-AU"/>
        </w:rPr>
        <w:footnoteReference w:id="9"/>
      </w:r>
      <w:r w:rsidR="00A37634" w:rsidRPr="00A37634">
        <w:rPr>
          <w:rFonts w:ascii="Calibri" w:eastAsia="Calibri" w:hAnsi="Calibri" w:cs="Calibri"/>
          <w:szCs w:val="20"/>
          <w:lang w:val="en-AU"/>
        </w:rPr>
        <w:t xml:space="preserve"> </w:t>
      </w:r>
      <w:r>
        <w:rPr>
          <w:rFonts w:ascii="Calibri" w:eastAsia="Calibri" w:hAnsi="Calibri" w:cs="Calibri"/>
          <w:szCs w:val="20"/>
          <w:lang w:val="en-AU"/>
        </w:rPr>
        <w:t xml:space="preserve">The situation has not improved since. In its latest </w:t>
      </w:r>
      <w:r w:rsidRPr="002B7233">
        <w:rPr>
          <w:rFonts w:ascii="Calibri" w:eastAsia="Calibri" w:hAnsi="Calibri" w:cs="Calibri"/>
          <w:i/>
          <w:iCs/>
          <w:szCs w:val="20"/>
          <w:lang w:val="en-AU"/>
        </w:rPr>
        <w:t>Statement of Opportunit</w:t>
      </w:r>
      <w:r w:rsidR="002B7233" w:rsidRPr="002B7233">
        <w:rPr>
          <w:rFonts w:ascii="Calibri" w:eastAsia="Calibri" w:hAnsi="Calibri" w:cs="Calibri"/>
          <w:i/>
          <w:iCs/>
          <w:szCs w:val="20"/>
          <w:lang w:val="en-AU"/>
        </w:rPr>
        <w:t>i</w:t>
      </w:r>
      <w:r w:rsidRPr="002B7233">
        <w:rPr>
          <w:rFonts w:ascii="Calibri" w:eastAsia="Calibri" w:hAnsi="Calibri" w:cs="Calibri"/>
          <w:i/>
          <w:iCs/>
          <w:szCs w:val="20"/>
          <w:lang w:val="en-AU"/>
        </w:rPr>
        <w:t>es</w:t>
      </w:r>
      <w:r w:rsidR="00944A7F">
        <w:rPr>
          <w:rFonts w:ascii="Calibri" w:eastAsia="Calibri" w:hAnsi="Calibri" w:cs="Calibri"/>
          <w:i/>
          <w:iCs/>
          <w:szCs w:val="20"/>
          <w:lang w:val="en-AU"/>
        </w:rPr>
        <w:t>,</w:t>
      </w:r>
      <w:r>
        <w:rPr>
          <w:rFonts w:ascii="Calibri" w:eastAsia="Calibri" w:hAnsi="Calibri" w:cs="Calibri"/>
          <w:szCs w:val="20"/>
          <w:lang w:val="en-AU"/>
        </w:rPr>
        <w:t xml:space="preserve"> </w:t>
      </w:r>
      <w:r w:rsidR="00944A7F">
        <w:rPr>
          <w:rFonts w:ascii="Calibri" w:eastAsia="Calibri" w:hAnsi="Calibri" w:cs="Calibri"/>
          <w:szCs w:val="20"/>
          <w:lang w:val="en-AU"/>
        </w:rPr>
        <w:t>the Australian Energy Market Operator (</w:t>
      </w:r>
      <w:r>
        <w:rPr>
          <w:rFonts w:ascii="Calibri" w:eastAsia="Calibri" w:hAnsi="Calibri" w:cs="Calibri"/>
          <w:szCs w:val="20"/>
          <w:lang w:val="en-AU"/>
        </w:rPr>
        <w:t>AEMO</w:t>
      </w:r>
      <w:r w:rsidR="00944A7F">
        <w:rPr>
          <w:rFonts w:ascii="Calibri" w:eastAsia="Calibri" w:hAnsi="Calibri" w:cs="Calibri"/>
          <w:szCs w:val="20"/>
          <w:lang w:val="en-AU"/>
        </w:rPr>
        <w:t>)</w:t>
      </w:r>
      <w:r>
        <w:rPr>
          <w:rFonts w:ascii="Calibri" w:eastAsia="Calibri" w:hAnsi="Calibri" w:cs="Calibri"/>
          <w:szCs w:val="20"/>
          <w:lang w:val="en-AU"/>
        </w:rPr>
        <w:t xml:space="preserve"> reports: “</w:t>
      </w:r>
      <w:r w:rsidRPr="00E81815">
        <w:rPr>
          <w:rFonts w:ascii="Calibri" w:eastAsia="Calibri" w:hAnsi="Calibri" w:cs="Calibri"/>
          <w:szCs w:val="20"/>
          <w:lang w:val="en-AU"/>
        </w:rPr>
        <w:t>In the last three years, load factors have been decreasing, with record high maximum demand days still being observed despite operational consumption growth being in decline.</w:t>
      </w:r>
      <w:r>
        <w:rPr>
          <w:rFonts w:ascii="Calibri" w:eastAsia="Calibri" w:hAnsi="Calibri" w:cs="Calibri"/>
          <w:szCs w:val="20"/>
          <w:lang w:val="en-AU"/>
        </w:rPr>
        <w:t>”</w:t>
      </w:r>
      <w:r>
        <w:rPr>
          <w:rStyle w:val="FootnoteReference"/>
          <w:rFonts w:ascii="Calibri" w:eastAsia="Calibri" w:hAnsi="Calibri" w:cs="Calibri"/>
          <w:szCs w:val="20"/>
          <w:lang w:val="en-AU"/>
        </w:rPr>
        <w:footnoteReference w:id="10"/>
      </w:r>
    </w:p>
    <w:p w14:paraId="4710D84F" w14:textId="77777777" w:rsidR="002B7233"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cost of inefficient investment in network capacity is passed on to consumers in their electricity bills. Wholesale electricity prices are also impacted, because the highest-cost peaking plant sets the pool price during peak events. In its 2018 </w:t>
      </w:r>
      <w:r w:rsidRPr="00A37634">
        <w:rPr>
          <w:rFonts w:ascii="Calibri" w:eastAsia="Calibri" w:hAnsi="Calibri" w:cs="Calibri"/>
          <w:i/>
          <w:iCs/>
          <w:szCs w:val="20"/>
          <w:lang w:val="en-AU"/>
        </w:rPr>
        <w:t>Inquiry into Retail Electricity Tariffs,</w:t>
      </w:r>
      <w:r w:rsidRPr="00A37634">
        <w:rPr>
          <w:rFonts w:ascii="Calibri" w:eastAsia="Calibri" w:hAnsi="Calibri" w:cs="Calibri"/>
          <w:szCs w:val="20"/>
          <w:lang w:val="en-AU"/>
        </w:rPr>
        <w:t xml:space="preserve"> the ACCC found that average residential tariffs increased by 56% in real terms between 2007/08 and 2017/18.</w:t>
      </w:r>
      <w:r w:rsidRPr="00A37634">
        <w:rPr>
          <w:rFonts w:ascii="Calibri" w:eastAsia="Calibri" w:hAnsi="Calibri" w:cs="Calibri"/>
          <w:szCs w:val="20"/>
          <w:vertAlign w:val="superscript"/>
          <w:lang w:val="en-AU"/>
        </w:rPr>
        <w:footnoteReference w:id="11"/>
      </w:r>
      <w:r w:rsidRPr="00A37634">
        <w:rPr>
          <w:rFonts w:ascii="Calibri" w:eastAsia="Calibri" w:hAnsi="Calibri" w:cs="Calibri"/>
          <w:szCs w:val="20"/>
          <w:lang w:val="en-AU"/>
        </w:rPr>
        <w:t xml:space="preserve"> The main reasons were network charges (accounting for 38% of the increase) and wholesale electricity prices (27%).</w:t>
      </w:r>
    </w:p>
    <w:p w14:paraId="29AA194D"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Maximum demand on electricity networks continues to rise, albeit at a more moderate rate than in the past decade. Even so, the rate of growth in peak demand is projected to exceed the rate of growth in energy supplied in all jurisdictions except Western Australia (WA) and New Zealand, indicating that load factors – a primary indicator of economic efficiency – will continue to decline.</w:t>
      </w:r>
    </w:p>
    <w:p w14:paraId="7D9956A4" w14:textId="47201D12"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Since the 1990s, the main driver of summer maximum demand has been the rising ownership of air conditioners (ACs). The rate of increase in ownership is slowing, but AC numbers will continue to rise due to </w:t>
      </w:r>
      <w:r w:rsidRPr="00A37634">
        <w:rPr>
          <w:rFonts w:ascii="Calibri" w:eastAsia="Calibri" w:hAnsi="Calibri" w:cs="Calibri"/>
          <w:szCs w:val="20"/>
          <w:lang w:val="en-AU"/>
        </w:rPr>
        <w:lastRenderedPageBreak/>
        <w:t>population growth. However, AEMO now projects electric vehicle (EV) charging to take over as the driver of peak demand in the late 2020s and 2030s.</w:t>
      </w:r>
      <w:r w:rsidRPr="00A37634">
        <w:rPr>
          <w:rFonts w:ascii="Calibri" w:eastAsia="Calibri" w:hAnsi="Calibri" w:cs="Calibri"/>
          <w:szCs w:val="20"/>
          <w:vertAlign w:val="superscript"/>
          <w:lang w:val="en-AU"/>
        </w:rPr>
        <w:footnoteReference w:id="12"/>
      </w:r>
    </w:p>
    <w:p w14:paraId="7E9DD034" w14:textId="6853E8D8"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9" w:name="_Ref395956978"/>
      <w:bookmarkStart w:id="20" w:name="_Toc11360665"/>
      <w:bookmarkStart w:id="21" w:name="_Toc22488516"/>
      <w:r w:rsidRPr="00A37634">
        <w:rPr>
          <w:rFonts w:ascii="Calibri" w:eastAsia="Cambria" w:hAnsi="Calibri" w:cs="Calibri"/>
          <w:b/>
          <w:bCs/>
          <w:sz w:val="20"/>
          <w:szCs w:val="16"/>
          <w:lang w:val="en-AU"/>
        </w:rPr>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3</w:t>
      </w:r>
      <w:r w:rsidRPr="00A37634">
        <w:rPr>
          <w:rFonts w:ascii="Calibri" w:eastAsia="Cambria" w:hAnsi="Calibri" w:cs="Calibri"/>
          <w:b/>
          <w:bCs/>
          <w:noProof/>
          <w:sz w:val="20"/>
          <w:szCs w:val="16"/>
          <w:lang w:val="en-AU"/>
        </w:rPr>
        <w:fldChar w:fldCharType="end"/>
      </w:r>
      <w:bookmarkEnd w:id="19"/>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Electricity networks must be built for the ‘peakiest’ events</w:t>
      </w:r>
      <w:bookmarkEnd w:id="20"/>
      <w:bookmarkEnd w:id="21"/>
    </w:p>
    <w:p w14:paraId="07495A33" w14:textId="77777777" w:rsidR="00A37634" w:rsidRPr="00A37634" w:rsidRDefault="00A37634" w:rsidP="00A37634">
      <w:pPr>
        <w:spacing w:before="120" w:after="120" w:line="276" w:lineRule="auto"/>
        <w:jc w:val="center"/>
        <w:rPr>
          <w:rFonts w:ascii="Calibri" w:eastAsia="Calibri" w:hAnsi="Calibri" w:cs="Calibri"/>
          <w:szCs w:val="20"/>
          <w:u w:val="single"/>
          <w:lang w:val="en-AU"/>
        </w:rPr>
      </w:pPr>
      <w:r w:rsidRPr="00A37634">
        <w:rPr>
          <w:rFonts w:ascii="Calibri" w:eastAsia="Calibri" w:hAnsi="Calibri" w:cs="Calibri"/>
          <w:noProof/>
          <w:szCs w:val="20"/>
          <w:lang w:val="en-AU" w:eastAsia="en-AU"/>
        </w:rPr>
        <w:drawing>
          <wp:inline distT="0" distB="0" distL="0" distR="0" wp14:anchorId="1D8E2A9B" wp14:editId="41E5480C">
            <wp:extent cx="4355274" cy="2838450"/>
            <wp:effectExtent l="0" t="0" r="7620" b="0"/>
            <wp:docPr id="63" name="Picture 63"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6619" cy="2891465"/>
                    </a:xfrm>
                    <a:prstGeom prst="rect">
                      <a:avLst/>
                    </a:prstGeom>
                    <a:noFill/>
                    <a:ln>
                      <a:noFill/>
                    </a:ln>
                  </pic:spPr>
                </pic:pic>
              </a:graphicData>
            </a:graphic>
          </wp:inline>
        </w:drawing>
      </w:r>
      <w:r w:rsidRPr="00A37634">
        <w:rPr>
          <w:rFonts w:ascii="Calibri" w:eastAsia="Calibri" w:hAnsi="Calibri" w:cs="Calibri"/>
          <w:noProof/>
          <w:szCs w:val="20"/>
          <w:lang w:val="en-AU"/>
        </w:rPr>
        <w:t xml:space="preserve"> </w:t>
      </w:r>
    </w:p>
    <w:p w14:paraId="2415FB05" w14:textId="77777777" w:rsidR="00A37634" w:rsidRPr="00A37634" w:rsidRDefault="00A37634" w:rsidP="00A37634">
      <w:pPr>
        <w:spacing w:before="120" w:after="120" w:line="276" w:lineRule="auto"/>
        <w:jc w:val="center"/>
        <w:rPr>
          <w:rFonts w:ascii="Calibri" w:eastAsia="Calibri" w:hAnsi="Calibri" w:cs="Calibri"/>
          <w:sz w:val="16"/>
          <w:szCs w:val="16"/>
          <w:lang w:val="en-AU"/>
        </w:rPr>
      </w:pPr>
      <w:r w:rsidRPr="00A37634">
        <w:rPr>
          <w:rFonts w:ascii="Calibri" w:eastAsia="Calibri" w:hAnsi="Calibri" w:cs="Calibri"/>
          <w:sz w:val="16"/>
          <w:szCs w:val="16"/>
          <w:lang w:val="en-AU"/>
        </w:rPr>
        <w:t xml:space="preserve">Source: Ausgrid (2018) Macquarie Park Zone Substation, demand projections for 2021/22 </w:t>
      </w:r>
    </w:p>
    <w:p w14:paraId="78580461" w14:textId="47AC2CEA" w:rsidR="006726CA" w:rsidRDefault="00A37634" w:rsidP="00D8211A">
      <w:pPr>
        <w:rPr>
          <w:lang w:val="en-AU"/>
        </w:rPr>
      </w:pPr>
      <w:r w:rsidRPr="00A37634">
        <w:rPr>
          <w:lang w:val="en-AU"/>
        </w:rPr>
        <w:t>One of the factors moderating growth in afternoon peak demand is solar photovoltaics (PV)</w:t>
      </w:r>
      <w:r w:rsidR="006726CA">
        <w:rPr>
          <w:lang w:val="en-AU"/>
        </w:rPr>
        <w:t xml:space="preserve">, </w:t>
      </w:r>
      <w:r w:rsidR="00334C33">
        <w:rPr>
          <w:lang w:val="en-AU"/>
        </w:rPr>
        <w:t xml:space="preserve">now </w:t>
      </w:r>
      <w:r w:rsidR="006726CA">
        <w:rPr>
          <w:lang w:val="en-AU"/>
        </w:rPr>
        <w:t xml:space="preserve">present in about </w:t>
      </w:r>
      <w:r w:rsidR="00334C33">
        <w:rPr>
          <w:lang w:val="en-AU"/>
        </w:rPr>
        <w:t>20% of Australian homes</w:t>
      </w:r>
      <w:r w:rsidRPr="00A37634">
        <w:rPr>
          <w:lang w:val="en-AU"/>
        </w:rPr>
        <w:t>. While this brings financial benefits to the owners and reduces the greenhouse gas-intensity of electricity supply, it also imposes network costs which need to be recouped from all network users, including householders without PV.</w:t>
      </w:r>
    </w:p>
    <w:p w14:paraId="591F4422" w14:textId="0122C944" w:rsidR="006726CA" w:rsidRPr="00A37634" w:rsidRDefault="006726CA" w:rsidP="006726CA">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Many localities already experience periods when PV output exceeds the available load during the middle of the day. If the excess energy cannot be used or stored, it creates voltage and power quality issues which add to network costs and can result in PV inverters disconnecting from the grid. AEMO projects that South Australia (SA) and WA will experience regular state-wide minimum load events as early as 2026. </w:t>
      </w:r>
    </w:p>
    <w:p w14:paraId="3E58B26A" w14:textId="4384FA36" w:rsidR="00D8211A" w:rsidRPr="00D8211A" w:rsidRDefault="006B22A7" w:rsidP="00D8211A">
      <w:pPr>
        <w:rPr>
          <w:lang w:val="en-AU"/>
        </w:rPr>
      </w:pPr>
      <w:r w:rsidRPr="006B22A7">
        <w:rPr>
          <w:rStyle w:val="FigreferenceChar"/>
        </w:rPr>
        <w:fldChar w:fldCharType="begin"/>
      </w:r>
      <w:r w:rsidRPr="006B22A7">
        <w:rPr>
          <w:rStyle w:val="FigreferenceChar"/>
        </w:rPr>
        <w:instrText xml:space="preserve"> REF _Ref13049415 \h </w:instrText>
      </w:r>
      <w:r>
        <w:rPr>
          <w:rStyle w:val="FigreferenceChar"/>
        </w:rPr>
        <w:instrText xml:space="preserve"> \* MERGEFORMAT </w:instrText>
      </w:r>
      <w:r w:rsidRPr="006B22A7">
        <w:rPr>
          <w:rStyle w:val="FigreferenceChar"/>
        </w:rPr>
      </w:r>
      <w:r w:rsidRPr="006B22A7">
        <w:rPr>
          <w:rStyle w:val="FigreferenceChar"/>
        </w:rPr>
        <w:fldChar w:fldCharType="separate"/>
      </w:r>
      <w:r w:rsidRPr="006B22A7">
        <w:rPr>
          <w:rStyle w:val="FigreferenceChar"/>
        </w:rPr>
        <w:t>Figure 4</w:t>
      </w:r>
      <w:r w:rsidRPr="006B22A7">
        <w:rPr>
          <w:rStyle w:val="FigreferenceChar"/>
        </w:rPr>
        <w:fldChar w:fldCharType="end"/>
      </w:r>
      <w:r>
        <w:rPr>
          <w:lang w:val="en-AU"/>
        </w:rPr>
        <w:t xml:space="preserve"> </w:t>
      </w:r>
      <w:r w:rsidR="00D8211A" w:rsidRPr="00D8211A">
        <w:rPr>
          <w:lang w:val="en-AU"/>
        </w:rPr>
        <w:t xml:space="preserve">illustrates the changes in daily load pattern on a residential feeder in Queensland at yearly intervals between 2010 and 2017, as the local concentration of PV has increased. Since 2015, the daytime load has become negative, so the local area back-feeds energy through the zone substation. The increase in daily variance makes it more challenging to keep the network voltage within statutory limits, and can result in decreased asset life as voltage regulation devices operate more frequently. </w:t>
      </w:r>
    </w:p>
    <w:p w14:paraId="79A08D23" w14:textId="7985F312" w:rsidR="00A37634" w:rsidRPr="00A37634" w:rsidRDefault="00A37634" w:rsidP="00D8211A">
      <w:pPr>
        <w:rPr>
          <w:rFonts w:ascii="Calibri" w:eastAsia="Calibri" w:hAnsi="Calibri" w:cs="Calibri"/>
          <w:szCs w:val="20"/>
          <w:lang w:val="en-AU"/>
        </w:rPr>
      </w:pPr>
      <w:r w:rsidRPr="00A37634">
        <w:rPr>
          <w:rFonts w:ascii="Calibri" w:eastAsia="Calibri" w:hAnsi="Calibri" w:cs="Calibri"/>
          <w:szCs w:val="20"/>
          <w:lang w:val="en-AU"/>
        </w:rPr>
        <w:t xml:space="preserve">This increasingly typical load shape (known in the electricity supply industry as the “duck curve”) also means that fossil fuel generators must be brought on more quickly to meet the rapid rise in the post-solar evening peak. </w:t>
      </w:r>
    </w:p>
    <w:p w14:paraId="1F537E97" w14:textId="5BC95C34" w:rsid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 lack of cost reflective price signals has been a major contributor to the peak demand problem, encouraging over consumption at peak times and inefficient supply side investment which may only be utilised for a handful of days a year. </w:t>
      </w:r>
    </w:p>
    <w:p w14:paraId="25879916" w14:textId="63781FE7" w:rsidR="002B7233" w:rsidRDefault="002B7233" w:rsidP="002B723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People value thermal comfort, and so may use more electricity to cool or heat their homes when the weather is very hot or cold. However, very few are made aware of the costs of using electricity at peak </w:t>
      </w:r>
      <w:r w:rsidRPr="00A37634">
        <w:rPr>
          <w:rFonts w:ascii="Calibri" w:eastAsia="Calibri" w:hAnsi="Calibri" w:cs="Calibri"/>
          <w:szCs w:val="20"/>
          <w:lang w:val="en-AU"/>
        </w:rPr>
        <w:lastRenderedPageBreak/>
        <w:t>times, as about 88% of residential electricity consumers in Australia currently pay a flat tariff for their general consumption.</w:t>
      </w:r>
      <w:r w:rsidRPr="00A37634">
        <w:rPr>
          <w:rFonts w:ascii="Calibri" w:eastAsia="Calibri" w:hAnsi="Calibri" w:cs="Calibri"/>
          <w:szCs w:val="20"/>
          <w:vertAlign w:val="superscript"/>
          <w:lang w:val="en-AU"/>
        </w:rPr>
        <w:footnoteReference w:id="13"/>
      </w:r>
      <w:r>
        <w:rPr>
          <w:rFonts w:ascii="Calibri" w:eastAsia="Calibri" w:hAnsi="Calibri" w:cs="Calibri"/>
          <w:szCs w:val="20"/>
          <w:lang w:val="en-AU"/>
        </w:rPr>
        <w:t xml:space="preserve"> </w:t>
      </w:r>
    </w:p>
    <w:p w14:paraId="1B2996B7" w14:textId="266D8546" w:rsidR="002B7233" w:rsidRPr="00A37634" w:rsidRDefault="002B7233"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At the same time, PV owners do not receive effective signals of the costs of generating and exporting energy at times of low load, further encouraging inefficient supply side investment. The cost of additional network capacity is spread across all consumers regardless of </w:t>
      </w:r>
      <w:proofErr w:type="gramStart"/>
      <w:r w:rsidRPr="00A37634">
        <w:rPr>
          <w:rFonts w:ascii="Calibri" w:eastAsia="Calibri" w:hAnsi="Calibri" w:cs="Calibri"/>
          <w:szCs w:val="20"/>
          <w:lang w:val="en-AU"/>
        </w:rPr>
        <w:t>whether or not</w:t>
      </w:r>
      <w:proofErr w:type="gramEnd"/>
      <w:r w:rsidRPr="00A37634">
        <w:rPr>
          <w:rFonts w:ascii="Calibri" w:eastAsia="Calibri" w:hAnsi="Calibri" w:cs="Calibri"/>
          <w:szCs w:val="20"/>
          <w:lang w:val="en-AU"/>
        </w:rPr>
        <w:t xml:space="preserve"> their actions contribute to inefficient supply-side investments, so creating significant cross subsidies.</w:t>
      </w:r>
    </w:p>
    <w:p w14:paraId="01FCB01C" w14:textId="1022B8C2"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22" w:name="_Ref13049415"/>
      <w:bookmarkStart w:id="23" w:name="_Toc22488517"/>
      <w:r w:rsidRPr="00A37634">
        <w:rPr>
          <w:rFonts w:ascii="Calibri" w:eastAsia="Cambria" w:hAnsi="Calibri" w:cs="Calibri"/>
          <w:b/>
          <w:bCs/>
          <w:sz w:val="20"/>
          <w:szCs w:val="16"/>
          <w:lang w:val="en-AU"/>
        </w:rPr>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4</w:t>
      </w:r>
      <w:r w:rsidRPr="00A37634">
        <w:rPr>
          <w:rFonts w:ascii="Calibri" w:eastAsia="Cambria" w:hAnsi="Calibri" w:cs="Calibri"/>
          <w:b/>
          <w:bCs/>
          <w:noProof/>
          <w:sz w:val="20"/>
          <w:szCs w:val="16"/>
          <w:lang w:val="en-AU"/>
        </w:rPr>
        <w:fldChar w:fldCharType="end"/>
      </w:r>
      <w:bookmarkEnd w:id="22"/>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The growth of solar PV brings new challenges</w:t>
      </w:r>
      <w:bookmarkEnd w:id="23"/>
    </w:p>
    <w:p w14:paraId="55FCE5D5" w14:textId="77777777" w:rsidR="00A37634" w:rsidRPr="00A37634" w:rsidRDefault="00A37634" w:rsidP="00A37634">
      <w:pPr>
        <w:spacing w:after="120" w:line="276" w:lineRule="auto"/>
        <w:jc w:val="center"/>
        <w:rPr>
          <w:rFonts w:ascii="Calibri" w:eastAsia="Calibri" w:hAnsi="Calibri" w:cs="Calibri"/>
          <w:szCs w:val="20"/>
          <w:lang w:val="en-AU"/>
        </w:rPr>
      </w:pPr>
      <w:r w:rsidRPr="00A37634">
        <w:rPr>
          <w:rFonts w:ascii="Calibri" w:eastAsia="Calibri" w:hAnsi="Calibri" w:cs="Calibri"/>
          <w:noProof/>
          <w:szCs w:val="20"/>
          <w:lang w:val="en-AU" w:eastAsia="en-AU"/>
        </w:rPr>
        <w:drawing>
          <wp:inline distT="0" distB="0" distL="0" distR="0" wp14:anchorId="506DD0FF" wp14:editId="453743CB">
            <wp:extent cx="4438650" cy="2961401"/>
            <wp:effectExtent l="19050" t="19050" r="19050" b="10795"/>
            <wp:docPr id="62" name="Picture 62"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0061" cy="3009045"/>
                    </a:xfrm>
                    <a:prstGeom prst="rect">
                      <a:avLst/>
                    </a:prstGeom>
                    <a:noFill/>
                    <a:ln>
                      <a:solidFill>
                        <a:sysClr val="windowText" lastClr="000000"/>
                      </a:solidFill>
                    </a:ln>
                  </pic:spPr>
                </pic:pic>
              </a:graphicData>
            </a:graphic>
          </wp:inline>
        </w:drawing>
      </w:r>
    </w:p>
    <w:p w14:paraId="6209F70B" w14:textId="2B85A49E" w:rsidR="00A37634" w:rsidRDefault="00A37634" w:rsidP="00A37634">
      <w:pPr>
        <w:spacing w:before="120" w:after="120" w:line="276" w:lineRule="auto"/>
        <w:jc w:val="center"/>
        <w:rPr>
          <w:rFonts w:ascii="Calibri" w:eastAsia="Calibri" w:hAnsi="Calibri" w:cs="Calibri"/>
          <w:sz w:val="16"/>
          <w:szCs w:val="16"/>
          <w:lang w:val="en-AU"/>
        </w:rPr>
      </w:pPr>
      <w:r w:rsidRPr="00A37634">
        <w:rPr>
          <w:rFonts w:ascii="Calibri" w:eastAsia="Calibri" w:hAnsi="Calibri" w:cs="Calibri"/>
          <w:sz w:val="16"/>
          <w:szCs w:val="16"/>
          <w:lang w:val="en-AU"/>
        </w:rPr>
        <w:t xml:space="preserve">Source: Energy Queensland (2018). Daily load curves, </w:t>
      </w:r>
      <w:proofErr w:type="spellStart"/>
      <w:r w:rsidRPr="00A37634">
        <w:rPr>
          <w:rFonts w:ascii="Calibri" w:eastAsia="Calibri" w:hAnsi="Calibri" w:cs="Calibri"/>
          <w:sz w:val="16"/>
          <w:szCs w:val="16"/>
          <w:lang w:val="en-AU"/>
        </w:rPr>
        <w:t>Burrum</w:t>
      </w:r>
      <w:proofErr w:type="spellEnd"/>
      <w:r w:rsidRPr="00A37634">
        <w:rPr>
          <w:rFonts w:ascii="Calibri" w:eastAsia="Calibri" w:hAnsi="Calibri" w:cs="Calibri"/>
          <w:sz w:val="16"/>
          <w:szCs w:val="16"/>
          <w:lang w:val="en-AU"/>
        </w:rPr>
        <w:t xml:space="preserve"> feeder, 2010-17</w:t>
      </w:r>
    </w:p>
    <w:p w14:paraId="46669957" w14:textId="77777777" w:rsidR="0002674F" w:rsidRDefault="0002674F" w:rsidP="000107AB">
      <w:pPr>
        <w:rPr>
          <w:lang w:val="en-AU"/>
        </w:rPr>
      </w:pPr>
    </w:p>
    <w:p w14:paraId="145662DD" w14:textId="729543FF" w:rsidR="0002674F" w:rsidRDefault="00651ACE" w:rsidP="000107AB">
      <w:pPr>
        <w:rPr>
          <w:lang w:val="en-AU"/>
        </w:rPr>
      </w:pPr>
      <w:r>
        <w:rPr>
          <w:lang w:val="en-AU"/>
        </w:rPr>
        <w:fldChar w:fldCharType="begin"/>
      </w:r>
      <w:r>
        <w:rPr>
          <w:lang w:val="en-AU"/>
        </w:rPr>
        <w:instrText xml:space="preserve"> REF _Ref21938398 \h </w:instrText>
      </w:r>
      <w:r>
        <w:rPr>
          <w:lang w:val="en-AU"/>
        </w:rPr>
      </w:r>
      <w:r>
        <w:rPr>
          <w:lang w:val="en-AU"/>
        </w:rPr>
        <w:fldChar w:fldCharType="separate"/>
      </w:r>
      <w:r w:rsidR="006B22A7" w:rsidRPr="0002674F">
        <w:rPr>
          <w:rFonts w:ascii="Calibri" w:eastAsia="Cambria" w:hAnsi="Calibri" w:cs="Calibri"/>
          <w:b/>
          <w:bCs/>
          <w:sz w:val="20"/>
          <w:szCs w:val="16"/>
          <w:lang w:val="en-AU"/>
        </w:rPr>
        <w:t xml:space="preserve">Table </w:t>
      </w:r>
      <w:r w:rsidR="006B22A7">
        <w:rPr>
          <w:rFonts w:ascii="Calibri" w:eastAsia="Cambria" w:hAnsi="Calibri" w:cs="Calibri"/>
          <w:b/>
          <w:bCs/>
          <w:noProof/>
          <w:sz w:val="20"/>
          <w:szCs w:val="16"/>
          <w:lang w:val="en-AU"/>
        </w:rPr>
        <w:t>4</w:t>
      </w:r>
      <w:r>
        <w:rPr>
          <w:lang w:val="en-AU"/>
        </w:rPr>
        <w:fldChar w:fldCharType="end"/>
      </w:r>
      <w:r>
        <w:rPr>
          <w:lang w:val="en-AU"/>
        </w:rPr>
        <w:t xml:space="preserve"> illustrates AEMO’s projections of the widening gap between maximum and minimum demand in the largest </w:t>
      </w:r>
      <w:r w:rsidR="00944A7F">
        <w:rPr>
          <w:lang w:val="en-AU"/>
        </w:rPr>
        <w:t>National Electricity Market (</w:t>
      </w:r>
      <w:r>
        <w:rPr>
          <w:lang w:val="en-AU"/>
        </w:rPr>
        <w:t>NEM</w:t>
      </w:r>
      <w:r w:rsidR="00944A7F">
        <w:rPr>
          <w:lang w:val="en-AU"/>
        </w:rPr>
        <w:t>)</w:t>
      </w:r>
      <w:r>
        <w:rPr>
          <w:lang w:val="en-AU"/>
        </w:rPr>
        <w:t xml:space="preserve"> region (</w:t>
      </w:r>
      <w:r w:rsidR="00944A7F">
        <w:rPr>
          <w:lang w:val="en-AU"/>
        </w:rPr>
        <w:t>New South Wales (</w:t>
      </w:r>
      <w:r>
        <w:rPr>
          <w:lang w:val="en-AU"/>
        </w:rPr>
        <w:t>NSW</w:t>
      </w:r>
      <w:r w:rsidR="00944A7F">
        <w:rPr>
          <w:lang w:val="en-AU"/>
        </w:rPr>
        <w:t>)</w:t>
      </w:r>
      <w:r>
        <w:rPr>
          <w:lang w:val="en-AU"/>
        </w:rPr>
        <w:t xml:space="preserve">) and the one with the highest proportion of renewable generation (SA). Over the next 20 years, the ratio of maximum to minimum demand is projected to increase from 2.5 to 3.3 for NSW, and from an already problematic 5.2 in SA to 7.3. New strategies will be required to maintain grid security and reliability in the face of growing volatility. </w:t>
      </w:r>
    </w:p>
    <w:p w14:paraId="6EEB9BB0" w14:textId="7C2D0102" w:rsidR="005B1ACD" w:rsidRPr="005B1ACD" w:rsidRDefault="005B1ACD" w:rsidP="005B1ACD">
      <w:pPr>
        <w:spacing w:before="240" w:after="120" w:line="240" w:lineRule="auto"/>
        <w:jc w:val="center"/>
        <w:rPr>
          <w:rFonts w:ascii="Calibri" w:eastAsia="Cambria" w:hAnsi="Calibri" w:cs="Calibri"/>
          <w:b/>
          <w:bCs/>
          <w:sz w:val="20"/>
          <w:szCs w:val="16"/>
          <w:lang w:val="en-AU"/>
        </w:rPr>
      </w:pPr>
      <w:bookmarkStart w:id="24" w:name="_Toc22486948"/>
      <w:r w:rsidRPr="005B1ACD">
        <w:rPr>
          <w:rFonts w:ascii="Calibri" w:eastAsia="Cambria" w:hAnsi="Calibri" w:cs="Calibri"/>
          <w:b/>
          <w:bCs/>
          <w:sz w:val="20"/>
          <w:szCs w:val="16"/>
          <w:lang w:val="en-AU"/>
        </w:rPr>
        <w:t xml:space="preserve">Table </w:t>
      </w:r>
      <w:r w:rsidRPr="005B1ACD">
        <w:rPr>
          <w:rFonts w:ascii="Calibri" w:eastAsia="Cambria" w:hAnsi="Calibri" w:cs="Calibri"/>
          <w:b/>
          <w:bCs/>
          <w:sz w:val="20"/>
          <w:szCs w:val="16"/>
          <w:lang w:val="en-AU"/>
        </w:rPr>
        <w:fldChar w:fldCharType="begin"/>
      </w:r>
      <w:r w:rsidRPr="005B1ACD">
        <w:rPr>
          <w:rFonts w:ascii="Calibri" w:eastAsia="Cambria" w:hAnsi="Calibri" w:cs="Calibri"/>
          <w:b/>
          <w:bCs/>
          <w:sz w:val="20"/>
          <w:szCs w:val="16"/>
          <w:lang w:val="en-AU"/>
        </w:rPr>
        <w:instrText xml:space="preserve"> SEQ Table \* ARABIC </w:instrText>
      </w:r>
      <w:r w:rsidRPr="005B1ACD">
        <w:rPr>
          <w:rFonts w:ascii="Calibri" w:eastAsia="Cambria" w:hAnsi="Calibri" w:cs="Calibri"/>
          <w:b/>
          <w:bCs/>
          <w:sz w:val="20"/>
          <w:szCs w:val="16"/>
          <w:lang w:val="en-AU"/>
        </w:rPr>
        <w:fldChar w:fldCharType="separate"/>
      </w:r>
      <w:r w:rsidRPr="005B1ACD">
        <w:rPr>
          <w:rFonts w:ascii="Calibri" w:eastAsia="Cambria" w:hAnsi="Calibri" w:cs="Calibri"/>
          <w:b/>
          <w:bCs/>
          <w:sz w:val="20"/>
          <w:szCs w:val="16"/>
          <w:lang w:val="en-AU"/>
        </w:rPr>
        <w:t>4</w:t>
      </w:r>
      <w:r w:rsidRPr="005B1ACD">
        <w:rPr>
          <w:rFonts w:ascii="Calibri" w:eastAsia="Cambria" w:hAnsi="Calibri" w:cs="Calibri"/>
          <w:b/>
          <w:bCs/>
          <w:sz w:val="20"/>
          <w:szCs w:val="16"/>
          <w:lang w:val="en-AU"/>
        </w:rPr>
        <w:fldChar w:fldCharType="end"/>
      </w:r>
      <w:r w:rsidRPr="005B1ACD">
        <w:rPr>
          <w:rFonts w:ascii="Calibri" w:eastAsia="Cambria" w:hAnsi="Calibri" w:cs="Calibri"/>
          <w:b/>
          <w:bCs/>
          <w:sz w:val="20"/>
          <w:szCs w:val="16"/>
          <w:lang w:val="en-AU"/>
        </w:rPr>
        <w:t xml:space="preserve"> Difference between projected maximum and minimum demands, NSW and SA</w:t>
      </w:r>
      <w:bookmarkEnd w:id="24"/>
    </w:p>
    <w:tbl>
      <w:tblPr>
        <w:tblStyle w:val="TableGrid"/>
        <w:tblW w:w="0" w:type="auto"/>
        <w:tblLook w:val="04A0" w:firstRow="1" w:lastRow="0" w:firstColumn="1" w:lastColumn="0" w:noHBand="0" w:noVBand="1"/>
      </w:tblPr>
      <w:tblGrid>
        <w:gridCol w:w="1018"/>
        <w:gridCol w:w="1075"/>
        <w:gridCol w:w="1075"/>
        <w:gridCol w:w="1075"/>
        <w:gridCol w:w="1076"/>
        <w:gridCol w:w="1075"/>
        <w:gridCol w:w="1075"/>
        <w:gridCol w:w="1075"/>
        <w:gridCol w:w="1076"/>
      </w:tblGrid>
      <w:tr w:rsidR="00651ACE" w14:paraId="366A4E26" w14:textId="45254ED4" w:rsidTr="009F08DD">
        <w:tc>
          <w:tcPr>
            <w:tcW w:w="1018" w:type="dxa"/>
          </w:tcPr>
          <w:p w14:paraId="0D91A358" w14:textId="46FAAB05" w:rsidR="00651ACE" w:rsidRDefault="00651ACE" w:rsidP="000107AB">
            <w:pPr>
              <w:rPr>
                <w:lang w:val="en-AU"/>
              </w:rPr>
            </w:pPr>
            <w:r>
              <w:rPr>
                <w:lang w:val="en-AU"/>
              </w:rPr>
              <w:t>Year</w:t>
            </w:r>
          </w:p>
        </w:tc>
        <w:tc>
          <w:tcPr>
            <w:tcW w:w="4301" w:type="dxa"/>
            <w:gridSpan w:val="4"/>
          </w:tcPr>
          <w:p w14:paraId="48ADFBEB" w14:textId="7B26C077" w:rsidR="00651ACE" w:rsidRDefault="00651ACE" w:rsidP="00651ACE">
            <w:pPr>
              <w:jc w:val="center"/>
              <w:rPr>
                <w:lang w:val="en-AU"/>
              </w:rPr>
            </w:pPr>
            <w:r>
              <w:rPr>
                <w:lang w:val="en-AU"/>
              </w:rPr>
              <w:t>NSW</w:t>
            </w:r>
          </w:p>
        </w:tc>
        <w:tc>
          <w:tcPr>
            <w:tcW w:w="4301" w:type="dxa"/>
            <w:gridSpan w:val="4"/>
          </w:tcPr>
          <w:p w14:paraId="434E0052" w14:textId="73D21F2E" w:rsidR="00651ACE" w:rsidRDefault="00651ACE" w:rsidP="00651ACE">
            <w:pPr>
              <w:jc w:val="center"/>
              <w:rPr>
                <w:lang w:val="en-AU"/>
              </w:rPr>
            </w:pPr>
            <w:r>
              <w:rPr>
                <w:lang w:val="en-AU"/>
              </w:rPr>
              <w:t>SA</w:t>
            </w:r>
          </w:p>
        </w:tc>
      </w:tr>
      <w:tr w:rsidR="0002674F" w14:paraId="67F53C12" w14:textId="226F1372" w:rsidTr="0002674F">
        <w:tc>
          <w:tcPr>
            <w:tcW w:w="1018" w:type="dxa"/>
          </w:tcPr>
          <w:p w14:paraId="2744CCF7" w14:textId="5D246FBF" w:rsidR="0002674F" w:rsidRDefault="0002674F" w:rsidP="0002674F">
            <w:pPr>
              <w:rPr>
                <w:lang w:val="en-AU"/>
              </w:rPr>
            </w:pPr>
          </w:p>
        </w:tc>
        <w:tc>
          <w:tcPr>
            <w:tcW w:w="1075" w:type="dxa"/>
          </w:tcPr>
          <w:p w14:paraId="1577EC4F" w14:textId="3396DEF1" w:rsidR="0002674F" w:rsidRDefault="0002674F" w:rsidP="0002674F">
            <w:pPr>
              <w:jc w:val="center"/>
              <w:rPr>
                <w:lang w:val="en-AU"/>
              </w:rPr>
            </w:pPr>
            <w:r>
              <w:rPr>
                <w:lang w:val="en-AU"/>
              </w:rPr>
              <w:t>Maximum demand</w:t>
            </w:r>
          </w:p>
        </w:tc>
        <w:tc>
          <w:tcPr>
            <w:tcW w:w="1075" w:type="dxa"/>
          </w:tcPr>
          <w:p w14:paraId="34B15E9A" w14:textId="70EAB5EE" w:rsidR="0002674F" w:rsidRDefault="0002674F" w:rsidP="0002674F">
            <w:pPr>
              <w:jc w:val="center"/>
              <w:rPr>
                <w:lang w:val="en-AU"/>
              </w:rPr>
            </w:pPr>
            <w:r>
              <w:rPr>
                <w:lang w:val="en-AU"/>
              </w:rPr>
              <w:t>Minimum demand</w:t>
            </w:r>
          </w:p>
        </w:tc>
        <w:tc>
          <w:tcPr>
            <w:tcW w:w="1075" w:type="dxa"/>
          </w:tcPr>
          <w:p w14:paraId="138713DD" w14:textId="14C7ADEA" w:rsidR="0002674F" w:rsidRDefault="0002674F" w:rsidP="0002674F">
            <w:pPr>
              <w:jc w:val="center"/>
              <w:rPr>
                <w:lang w:val="en-AU"/>
              </w:rPr>
            </w:pPr>
            <w:r>
              <w:rPr>
                <w:lang w:val="en-AU"/>
              </w:rPr>
              <w:t>Difference</w:t>
            </w:r>
            <w:r>
              <w:rPr>
                <w:lang w:val="en-AU"/>
              </w:rPr>
              <w:br/>
              <w:t>MW</w:t>
            </w:r>
          </w:p>
        </w:tc>
        <w:tc>
          <w:tcPr>
            <w:tcW w:w="1076" w:type="dxa"/>
          </w:tcPr>
          <w:p w14:paraId="68C8C8F5" w14:textId="39F7AC15" w:rsidR="0002674F" w:rsidRDefault="0002674F" w:rsidP="0002674F">
            <w:pPr>
              <w:jc w:val="center"/>
              <w:rPr>
                <w:lang w:val="en-AU"/>
              </w:rPr>
            </w:pPr>
            <w:bookmarkStart w:id="25" w:name="_Hlk21939376"/>
            <w:r>
              <w:rPr>
                <w:lang w:val="en-AU"/>
              </w:rPr>
              <w:t>Ratio Max/Min</w:t>
            </w:r>
            <w:bookmarkEnd w:id="25"/>
          </w:p>
        </w:tc>
        <w:tc>
          <w:tcPr>
            <w:tcW w:w="1075" w:type="dxa"/>
          </w:tcPr>
          <w:p w14:paraId="4011B790" w14:textId="55A652F1" w:rsidR="0002674F" w:rsidRDefault="0002674F" w:rsidP="0002674F">
            <w:pPr>
              <w:jc w:val="center"/>
              <w:rPr>
                <w:lang w:val="en-AU"/>
              </w:rPr>
            </w:pPr>
            <w:r>
              <w:rPr>
                <w:lang w:val="en-AU"/>
              </w:rPr>
              <w:t>Maximum demand</w:t>
            </w:r>
          </w:p>
        </w:tc>
        <w:tc>
          <w:tcPr>
            <w:tcW w:w="1075" w:type="dxa"/>
          </w:tcPr>
          <w:p w14:paraId="02BBE496" w14:textId="2A1006D5" w:rsidR="0002674F" w:rsidRDefault="0002674F" w:rsidP="0002674F">
            <w:pPr>
              <w:jc w:val="center"/>
              <w:rPr>
                <w:lang w:val="en-AU"/>
              </w:rPr>
            </w:pPr>
            <w:r>
              <w:rPr>
                <w:lang w:val="en-AU"/>
              </w:rPr>
              <w:t>Minimum demand</w:t>
            </w:r>
          </w:p>
        </w:tc>
        <w:tc>
          <w:tcPr>
            <w:tcW w:w="1075" w:type="dxa"/>
          </w:tcPr>
          <w:p w14:paraId="26D22C2B" w14:textId="0A049985" w:rsidR="0002674F" w:rsidRDefault="0002674F" w:rsidP="0002674F">
            <w:pPr>
              <w:jc w:val="center"/>
              <w:rPr>
                <w:lang w:val="en-AU"/>
              </w:rPr>
            </w:pPr>
            <w:r>
              <w:rPr>
                <w:lang w:val="en-AU"/>
              </w:rPr>
              <w:t>Difference</w:t>
            </w:r>
            <w:r>
              <w:rPr>
                <w:lang w:val="en-AU"/>
              </w:rPr>
              <w:br/>
              <w:t>MW</w:t>
            </w:r>
          </w:p>
        </w:tc>
        <w:tc>
          <w:tcPr>
            <w:tcW w:w="1076" w:type="dxa"/>
          </w:tcPr>
          <w:p w14:paraId="1A49C519" w14:textId="5592CC94" w:rsidR="0002674F" w:rsidRDefault="00651ACE" w:rsidP="0002674F">
            <w:pPr>
              <w:jc w:val="center"/>
              <w:rPr>
                <w:lang w:val="en-AU"/>
              </w:rPr>
            </w:pPr>
            <w:r>
              <w:rPr>
                <w:lang w:val="en-AU"/>
              </w:rPr>
              <w:t>Ratio Max/Min</w:t>
            </w:r>
          </w:p>
        </w:tc>
      </w:tr>
      <w:tr w:rsidR="0002674F" w14:paraId="434E089A" w14:textId="1B1B0AE7" w:rsidTr="0002674F">
        <w:tc>
          <w:tcPr>
            <w:tcW w:w="1018" w:type="dxa"/>
          </w:tcPr>
          <w:p w14:paraId="460E5F32" w14:textId="0F7012EC" w:rsidR="0002674F" w:rsidRDefault="0002674F" w:rsidP="000107AB">
            <w:pPr>
              <w:rPr>
                <w:lang w:val="en-AU"/>
              </w:rPr>
            </w:pPr>
            <w:r>
              <w:rPr>
                <w:lang w:val="en-AU"/>
              </w:rPr>
              <w:t>2019-20</w:t>
            </w:r>
          </w:p>
        </w:tc>
        <w:tc>
          <w:tcPr>
            <w:tcW w:w="1075" w:type="dxa"/>
          </w:tcPr>
          <w:p w14:paraId="3066E725" w14:textId="5FC97469" w:rsidR="0002674F" w:rsidRDefault="0002674F" w:rsidP="0002674F">
            <w:pPr>
              <w:jc w:val="center"/>
              <w:rPr>
                <w:lang w:val="en-AU"/>
              </w:rPr>
            </w:pPr>
            <w:r>
              <w:rPr>
                <w:lang w:val="en-AU"/>
              </w:rPr>
              <w:t>13291</w:t>
            </w:r>
          </w:p>
        </w:tc>
        <w:tc>
          <w:tcPr>
            <w:tcW w:w="1075" w:type="dxa"/>
          </w:tcPr>
          <w:p w14:paraId="76BE3215" w14:textId="3880E2CB" w:rsidR="0002674F" w:rsidRDefault="0002674F" w:rsidP="0002674F">
            <w:pPr>
              <w:jc w:val="center"/>
              <w:rPr>
                <w:lang w:val="en-AU"/>
              </w:rPr>
            </w:pPr>
            <w:r>
              <w:rPr>
                <w:lang w:val="en-AU"/>
              </w:rPr>
              <w:t>5405</w:t>
            </w:r>
          </w:p>
        </w:tc>
        <w:tc>
          <w:tcPr>
            <w:tcW w:w="1075" w:type="dxa"/>
          </w:tcPr>
          <w:p w14:paraId="79943FF1" w14:textId="6ABAC313" w:rsidR="0002674F" w:rsidRDefault="0002674F" w:rsidP="0002674F">
            <w:pPr>
              <w:jc w:val="center"/>
              <w:rPr>
                <w:lang w:val="en-AU"/>
              </w:rPr>
            </w:pPr>
            <w:r>
              <w:rPr>
                <w:lang w:val="en-AU"/>
              </w:rPr>
              <w:t>7886</w:t>
            </w:r>
          </w:p>
        </w:tc>
        <w:tc>
          <w:tcPr>
            <w:tcW w:w="1076" w:type="dxa"/>
          </w:tcPr>
          <w:p w14:paraId="119EFF59" w14:textId="6F8068DB" w:rsidR="0002674F" w:rsidRDefault="0002674F" w:rsidP="0002674F">
            <w:pPr>
              <w:jc w:val="center"/>
              <w:rPr>
                <w:lang w:val="en-AU"/>
              </w:rPr>
            </w:pPr>
            <w:r>
              <w:rPr>
                <w:lang w:val="en-AU"/>
              </w:rPr>
              <w:t>2.5</w:t>
            </w:r>
          </w:p>
        </w:tc>
        <w:tc>
          <w:tcPr>
            <w:tcW w:w="1075" w:type="dxa"/>
          </w:tcPr>
          <w:p w14:paraId="47660B8B" w14:textId="79D23DEF" w:rsidR="0002674F" w:rsidRDefault="0002674F" w:rsidP="0002674F">
            <w:pPr>
              <w:jc w:val="center"/>
              <w:rPr>
                <w:lang w:val="en-AU"/>
              </w:rPr>
            </w:pPr>
            <w:r>
              <w:rPr>
                <w:lang w:val="en-AU"/>
              </w:rPr>
              <w:t>2950</w:t>
            </w:r>
          </w:p>
        </w:tc>
        <w:tc>
          <w:tcPr>
            <w:tcW w:w="1075" w:type="dxa"/>
          </w:tcPr>
          <w:p w14:paraId="30D5AB3D" w14:textId="721DB6D1" w:rsidR="0002674F" w:rsidRDefault="0002674F" w:rsidP="0002674F">
            <w:pPr>
              <w:jc w:val="center"/>
              <w:rPr>
                <w:lang w:val="en-AU"/>
              </w:rPr>
            </w:pPr>
            <w:r>
              <w:rPr>
                <w:lang w:val="en-AU"/>
              </w:rPr>
              <w:t>568</w:t>
            </w:r>
          </w:p>
        </w:tc>
        <w:tc>
          <w:tcPr>
            <w:tcW w:w="1075" w:type="dxa"/>
          </w:tcPr>
          <w:p w14:paraId="60088E75" w14:textId="60F76F87" w:rsidR="0002674F" w:rsidRDefault="0002674F" w:rsidP="0002674F">
            <w:pPr>
              <w:jc w:val="center"/>
              <w:rPr>
                <w:lang w:val="en-AU"/>
              </w:rPr>
            </w:pPr>
            <w:r>
              <w:rPr>
                <w:lang w:val="en-AU"/>
              </w:rPr>
              <w:t>2382</w:t>
            </w:r>
          </w:p>
        </w:tc>
        <w:tc>
          <w:tcPr>
            <w:tcW w:w="1076" w:type="dxa"/>
          </w:tcPr>
          <w:p w14:paraId="777E09F2" w14:textId="02862C7C" w:rsidR="0002674F" w:rsidRDefault="00651ACE" w:rsidP="0002674F">
            <w:pPr>
              <w:jc w:val="center"/>
              <w:rPr>
                <w:lang w:val="en-AU"/>
              </w:rPr>
            </w:pPr>
            <w:r>
              <w:rPr>
                <w:lang w:val="en-AU"/>
              </w:rPr>
              <w:t>5.2</w:t>
            </w:r>
          </w:p>
        </w:tc>
      </w:tr>
      <w:tr w:rsidR="0002674F" w14:paraId="1E49FE98" w14:textId="39507470" w:rsidTr="0002674F">
        <w:tc>
          <w:tcPr>
            <w:tcW w:w="1018" w:type="dxa"/>
          </w:tcPr>
          <w:p w14:paraId="23ACDD94" w14:textId="78F48652" w:rsidR="0002674F" w:rsidRDefault="0002674F" w:rsidP="000107AB">
            <w:pPr>
              <w:rPr>
                <w:lang w:val="en-AU"/>
              </w:rPr>
            </w:pPr>
            <w:r>
              <w:rPr>
                <w:lang w:val="en-AU"/>
              </w:rPr>
              <w:t>2038-39</w:t>
            </w:r>
          </w:p>
        </w:tc>
        <w:tc>
          <w:tcPr>
            <w:tcW w:w="1075" w:type="dxa"/>
          </w:tcPr>
          <w:p w14:paraId="39BD443E" w14:textId="32F86C29" w:rsidR="0002674F" w:rsidRDefault="0002674F" w:rsidP="0002674F">
            <w:pPr>
              <w:jc w:val="center"/>
              <w:rPr>
                <w:lang w:val="en-AU"/>
              </w:rPr>
            </w:pPr>
            <w:r>
              <w:rPr>
                <w:lang w:val="en-AU"/>
              </w:rPr>
              <w:t>14078</w:t>
            </w:r>
          </w:p>
        </w:tc>
        <w:tc>
          <w:tcPr>
            <w:tcW w:w="1075" w:type="dxa"/>
          </w:tcPr>
          <w:p w14:paraId="2CEFD152" w14:textId="384A1570" w:rsidR="0002674F" w:rsidRDefault="0002674F" w:rsidP="0002674F">
            <w:pPr>
              <w:jc w:val="center"/>
              <w:rPr>
                <w:lang w:val="en-AU"/>
              </w:rPr>
            </w:pPr>
            <w:r>
              <w:rPr>
                <w:lang w:val="en-AU"/>
              </w:rPr>
              <w:t>4306</w:t>
            </w:r>
          </w:p>
        </w:tc>
        <w:tc>
          <w:tcPr>
            <w:tcW w:w="1075" w:type="dxa"/>
          </w:tcPr>
          <w:p w14:paraId="073E059E" w14:textId="75906196" w:rsidR="0002674F" w:rsidRDefault="0002674F" w:rsidP="0002674F">
            <w:pPr>
              <w:jc w:val="center"/>
              <w:rPr>
                <w:lang w:val="en-AU"/>
              </w:rPr>
            </w:pPr>
            <w:r>
              <w:rPr>
                <w:lang w:val="en-AU"/>
              </w:rPr>
              <w:t>9772</w:t>
            </w:r>
          </w:p>
        </w:tc>
        <w:tc>
          <w:tcPr>
            <w:tcW w:w="1076" w:type="dxa"/>
          </w:tcPr>
          <w:p w14:paraId="4E042559" w14:textId="696CD809" w:rsidR="0002674F" w:rsidRDefault="0002674F" w:rsidP="0002674F">
            <w:pPr>
              <w:jc w:val="center"/>
              <w:rPr>
                <w:lang w:val="en-AU"/>
              </w:rPr>
            </w:pPr>
            <w:r>
              <w:rPr>
                <w:lang w:val="en-AU"/>
              </w:rPr>
              <w:t>3.3</w:t>
            </w:r>
          </w:p>
        </w:tc>
        <w:tc>
          <w:tcPr>
            <w:tcW w:w="1075" w:type="dxa"/>
          </w:tcPr>
          <w:p w14:paraId="716A352B" w14:textId="1BB6C72F" w:rsidR="0002674F" w:rsidRDefault="0002674F" w:rsidP="0002674F">
            <w:pPr>
              <w:jc w:val="center"/>
              <w:rPr>
                <w:lang w:val="en-AU"/>
              </w:rPr>
            </w:pPr>
            <w:r>
              <w:rPr>
                <w:lang w:val="en-AU"/>
              </w:rPr>
              <w:t>3102</w:t>
            </w:r>
          </w:p>
        </w:tc>
        <w:tc>
          <w:tcPr>
            <w:tcW w:w="1075" w:type="dxa"/>
          </w:tcPr>
          <w:p w14:paraId="1286AA5C" w14:textId="052E21E1" w:rsidR="0002674F" w:rsidRDefault="0002674F" w:rsidP="0002674F">
            <w:pPr>
              <w:jc w:val="center"/>
              <w:rPr>
                <w:lang w:val="en-AU"/>
              </w:rPr>
            </w:pPr>
            <w:r>
              <w:rPr>
                <w:lang w:val="en-AU"/>
              </w:rPr>
              <w:t>455</w:t>
            </w:r>
          </w:p>
        </w:tc>
        <w:tc>
          <w:tcPr>
            <w:tcW w:w="1075" w:type="dxa"/>
          </w:tcPr>
          <w:p w14:paraId="30FABDA4" w14:textId="3C0F3713" w:rsidR="0002674F" w:rsidRDefault="0002674F" w:rsidP="0002674F">
            <w:pPr>
              <w:jc w:val="center"/>
              <w:rPr>
                <w:lang w:val="en-AU"/>
              </w:rPr>
            </w:pPr>
            <w:r>
              <w:rPr>
                <w:lang w:val="en-AU"/>
              </w:rPr>
              <w:t>2677</w:t>
            </w:r>
          </w:p>
        </w:tc>
        <w:tc>
          <w:tcPr>
            <w:tcW w:w="1076" w:type="dxa"/>
          </w:tcPr>
          <w:p w14:paraId="5E8FB956" w14:textId="105F841D" w:rsidR="0002674F" w:rsidRDefault="00651ACE" w:rsidP="0002674F">
            <w:pPr>
              <w:jc w:val="center"/>
              <w:rPr>
                <w:lang w:val="en-AU"/>
              </w:rPr>
            </w:pPr>
            <w:r>
              <w:rPr>
                <w:lang w:val="en-AU"/>
              </w:rPr>
              <w:t>7.3</w:t>
            </w:r>
          </w:p>
        </w:tc>
      </w:tr>
    </w:tbl>
    <w:p w14:paraId="4D7356C9" w14:textId="617EBEA8" w:rsidR="0002674F" w:rsidRPr="00651ACE" w:rsidRDefault="00651ACE" w:rsidP="00651ACE">
      <w:pPr>
        <w:spacing w:before="120" w:after="120" w:line="276" w:lineRule="auto"/>
        <w:jc w:val="center"/>
        <w:rPr>
          <w:rFonts w:ascii="Calibri" w:eastAsia="Calibri" w:hAnsi="Calibri" w:cs="Calibri"/>
          <w:sz w:val="16"/>
          <w:szCs w:val="16"/>
          <w:lang w:val="en-AU"/>
        </w:rPr>
      </w:pPr>
      <w:r w:rsidRPr="00651ACE">
        <w:rPr>
          <w:rFonts w:ascii="Calibri" w:eastAsia="Calibri" w:hAnsi="Calibri" w:cs="Calibri"/>
          <w:sz w:val="16"/>
          <w:szCs w:val="16"/>
          <w:lang w:val="en-AU"/>
        </w:rPr>
        <w:t>Source: AEMO 2019</w:t>
      </w:r>
    </w:p>
    <w:p w14:paraId="4C46D8BD" w14:textId="2DB3BB13" w:rsidR="008D03E8" w:rsidRPr="008D03E8" w:rsidRDefault="008D03E8" w:rsidP="008D03E8">
      <w:pPr>
        <w:keepNext/>
        <w:keepLines/>
        <w:spacing w:before="240" w:after="240" w:line="278" w:lineRule="auto"/>
        <w:outlineLvl w:val="4"/>
        <w:rPr>
          <w:rFonts w:ascii="Calibri" w:eastAsia="Times New Roman" w:hAnsi="Calibri" w:cs="Calibri"/>
          <w:b/>
          <w:color w:val="FF0000"/>
          <w:sz w:val="32"/>
          <w:szCs w:val="24"/>
          <w:lang w:val="en-AU"/>
        </w:rPr>
      </w:pPr>
      <w:r w:rsidRPr="008D03E8">
        <w:rPr>
          <w:rFonts w:ascii="Calibri" w:eastAsia="Times New Roman" w:hAnsi="Calibri" w:cs="Calibri"/>
          <w:b/>
          <w:color w:val="FF0000"/>
          <w:sz w:val="32"/>
          <w:szCs w:val="24"/>
          <w:lang w:val="en-AU"/>
        </w:rPr>
        <w:lastRenderedPageBreak/>
        <w:t xml:space="preserve">Demand Response </w:t>
      </w:r>
    </w:p>
    <w:p w14:paraId="7C6F4E32" w14:textId="785CBF72" w:rsidR="00334C33" w:rsidRPr="00A37634" w:rsidRDefault="00334C33" w:rsidP="00334C3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Demand response (DR) – the rapid modification of </w:t>
      </w:r>
      <w:r w:rsidR="008D03E8">
        <w:rPr>
          <w:rFonts w:ascii="Calibri" w:eastAsia="Calibri" w:hAnsi="Calibri" w:cs="Calibri"/>
          <w:szCs w:val="20"/>
          <w:lang w:val="en-AU"/>
        </w:rPr>
        <w:t xml:space="preserve">electricity demand </w:t>
      </w:r>
      <w:r w:rsidRPr="00A37634">
        <w:rPr>
          <w:rFonts w:ascii="Calibri" w:eastAsia="Calibri" w:hAnsi="Calibri" w:cs="Calibri"/>
          <w:szCs w:val="20"/>
          <w:lang w:val="en-AU"/>
        </w:rPr>
        <w:t xml:space="preserve">in response to changes in </w:t>
      </w:r>
      <w:r w:rsidR="008D03E8">
        <w:rPr>
          <w:rFonts w:ascii="Calibri" w:eastAsia="Calibri" w:hAnsi="Calibri" w:cs="Calibri"/>
          <w:szCs w:val="20"/>
          <w:lang w:val="en-AU"/>
        </w:rPr>
        <w:t xml:space="preserve">supply or in the </w:t>
      </w:r>
      <w:r w:rsidRPr="00A37634">
        <w:rPr>
          <w:rFonts w:ascii="Calibri" w:eastAsia="Calibri" w:hAnsi="Calibri" w:cs="Calibri"/>
          <w:szCs w:val="20"/>
          <w:lang w:val="en-AU"/>
        </w:rPr>
        <w:t>condition of the grid – has been recognised as a key strategy for increasing the reliability, affordability and sustainability of electricity supply by AEMO</w:t>
      </w:r>
      <w:r w:rsidRPr="00A37634">
        <w:rPr>
          <w:rFonts w:ascii="Calibri" w:eastAsia="Calibri" w:hAnsi="Calibri" w:cs="Calibri"/>
          <w:szCs w:val="20"/>
          <w:vertAlign w:val="superscript"/>
          <w:lang w:val="en-AU"/>
        </w:rPr>
        <w:footnoteReference w:id="14"/>
      </w:r>
      <w:r w:rsidRPr="00A37634">
        <w:rPr>
          <w:rFonts w:ascii="Calibri" w:eastAsia="Calibri" w:hAnsi="Calibri" w:cs="Calibri"/>
          <w:szCs w:val="20"/>
          <w:lang w:val="en-AU"/>
        </w:rPr>
        <w:t>, the Energy Networks Association (</w:t>
      </w:r>
      <w:proofErr w:type="spellStart"/>
      <w:r w:rsidRPr="00A37634">
        <w:rPr>
          <w:rFonts w:ascii="Calibri" w:eastAsia="Calibri" w:hAnsi="Calibri" w:cs="Calibri"/>
          <w:szCs w:val="20"/>
          <w:lang w:val="en-AU"/>
        </w:rPr>
        <w:t>ENA</w:t>
      </w:r>
      <w:proofErr w:type="spellEnd"/>
      <w:r w:rsidRPr="00A37634">
        <w:rPr>
          <w:rFonts w:ascii="Calibri" w:eastAsia="Calibri" w:hAnsi="Calibri" w:cs="Calibri"/>
          <w:szCs w:val="20"/>
          <w:lang w:val="en-AU"/>
        </w:rPr>
        <w:t>), the CSIRO</w:t>
      </w:r>
      <w:r w:rsidRPr="00A37634">
        <w:rPr>
          <w:rFonts w:ascii="Calibri" w:eastAsia="Calibri" w:hAnsi="Calibri" w:cs="Calibri"/>
          <w:szCs w:val="20"/>
          <w:vertAlign w:val="superscript"/>
          <w:lang w:val="en-AU"/>
        </w:rPr>
        <w:footnoteReference w:id="15"/>
      </w:r>
      <w:r w:rsidRPr="00A37634">
        <w:rPr>
          <w:rFonts w:ascii="Calibri" w:eastAsia="Calibri" w:hAnsi="Calibri" w:cs="Calibri"/>
          <w:szCs w:val="20"/>
          <w:lang w:val="en-AU"/>
        </w:rPr>
        <w:t>, the Australian Energy Market Commission (AEMC)</w:t>
      </w:r>
      <w:r w:rsidRPr="00A37634">
        <w:rPr>
          <w:rFonts w:ascii="Calibri" w:eastAsia="Calibri" w:hAnsi="Calibri" w:cs="Calibri"/>
          <w:szCs w:val="20"/>
          <w:vertAlign w:val="superscript"/>
          <w:lang w:val="en-AU"/>
        </w:rPr>
        <w:footnoteReference w:id="16"/>
      </w:r>
      <w:r w:rsidRPr="00A37634">
        <w:rPr>
          <w:rFonts w:ascii="Calibri" w:eastAsia="Calibri" w:hAnsi="Calibri" w:cs="Calibri"/>
          <w:szCs w:val="20"/>
          <w:lang w:val="en-AU"/>
        </w:rPr>
        <w:t>, the Australian Competition and Consumer Commission (ACCC)</w:t>
      </w:r>
      <w:r w:rsidRPr="00A37634">
        <w:rPr>
          <w:rFonts w:ascii="Calibri" w:eastAsia="Calibri" w:hAnsi="Calibri" w:cs="Calibri"/>
          <w:szCs w:val="20"/>
          <w:vertAlign w:val="superscript"/>
          <w:lang w:val="en-AU"/>
        </w:rPr>
        <w:footnoteReference w:id="17"/>
      </w:r>
      <w:r w:rsidRPr="00A37634">
        <w:rPr>
          <w:rFonts w:ascii="Calibri" w:eastAsia="Calibri" w:hAnsi="Calibri" w:cs="Calibri"/>
          <w:szCs w:val="20"/>
          <w:lang w:val="en-AU"/>
        </w:rPr>
        <w:t>, and the Independent Review (the Finkel Review).</w:t>
      </w:r>
      <w:r w:rsidRPr="00A37634">
        <w:rPr>
          <w:rFonts w:ascii="Calibri" w:eastAsia="Calibri" w:hAnsi="Calibri" w:cs="Calibri"/>
          <w:szCs w:val="20"/>
          <w:vertAlign w:val="superscript"/>
          <w:lang w:val="en-AU"/>
        </w:rPr>
        <w:footnoteReference w:id="18"/>
      </w:r>
      <w:r w:rsidRPr="00A37634">
        <w:rPr>
          <w:rFonts w:ascii="Calibri" w:eastAsia="Calibri" w:hAnsi="Calibri" w:cs="Calibri"/>
          <w:szCs w:val="20"/>
          <w:lang w:val="en-AU"/>
        </w:rPr>
        <w:t xml:space="preserve"> </w:t>
      </w:r>
    </w:p>
    <w:p w14:paraId="18D3638D" w14:textId="635E8DEA" w:rsidR="00407B9B" w:rsidRDefault="00407B9B" w:rsidP="00407B9B">
      <w:r>
        <w:t xml:space="preserve">In its </w:t>
      </w:r>
      <w:r w:rsidRPr="003C6D2A">
        <w:rPr>
          <w:i/>
          <w:iCs/>
        </w:rPr>
        <w:t>Retail Electric</w:t>
      </w:r>
      <w:r>
        <w:rPr>
          <w:i/>
          <w:iCs/>
        </w:rPr>
        <w:t>ity</w:t>
      </w:r>
      <w:r w:rsidRPr="003C6D2A">
        <w:rPr>
          <w:i/>
          <w:iCs/>
        </w:rPr>
        <w:t xml:space="preserve"> Pricing Inquiry</w:t>
      </w:r>
      <w:r w:rsidR="00944A7F">
        <w:rPr>
          <w:i/>
          <w:iCs/>
        </w:rPr>
        <w:t>,</w:t>
      </w:r>
      <w:r>
        <w:t xml:space="preserve"> the ACCC reported: </w:t>
      </w:r>
    </w:p>
    <w:p w14:paraId="009EC8DB" w14:textId="33155266" w:rsidR="00407B9B" w:rsidRDefault="00944A7F" w:rsidP="00407B9B">
      <w:pPr>
        <w:ind w:left="720"/>
      </w:pPr>
      <w:r>
        <w:t>“</w:t>
      </w:r>
      <w:r w:rsidR="00407B9B">
        <w:t>Demand response involves customers reducing or changing the timing of their usage of electricity (or changing their use of on-site generation or storage) in response to short-term price signals or changing market conditions. Demand response can be behavioural, in that consumers manually switch off or do not use certain devices, or automated, for example, load control devices allow for consumers to participate with little or no active engagement. Examples of demand response include customers using a local generator or battery to supply electricity to the market when there are supply constraints, or having their load automatically reduced at these times through a device in their air conditioner or pool pump that reduces the power consumption for a short period (ACCC 2018, 229/398).</w:t>
      </w:r>
      <w:r>
        <w:t>”</w:t>
      </w:r>
      <w:r w:rsidR="00407B9B">
        <w:t xml:space="preserve"> </w:t>
      </w:r>
    </w:p>
    <w:p w14:paraId="49DF6E0E" w14:textId="2E8FDDDE" w:rsidR="00326015" w:rsidRDefault="00334C33" w:rsidP="00326015">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While DR has been successful with large electricity consumers, it has been difficult to engage the many millions of residential and small business consumers who, collectively, contribute most to both peak load and minimum load events. </w:t>
      </w:r>
      <w:r w:rsidR="0099722D">
        <w:rPr>
          <w:rFonts w:ascii="Calibri" w:eastAsia="Calibri" w:hAnsi="Calibri" w:cs="Calibri"/>
          <w:szCs w:val="20"/>
          <w:lang w:val="en-AU"/>
        </w:rPr>
        <w:t xml:space="preserve">In Australia, trials of </w:t>
      </w:r>
      <w:r w:rsidR="00944A7F">
        <w:rPr>
          <w:rFonts w:ascii="Calibri" w:eastAsia="Calibri" w:hAnsi="Calibri" w:cs="Calibri"/>
          <w:szCs w:val="20"/>
          <w:lang w:val="en-AU"/>
        </w:rPr>
        <w:t xml:space="preserve">DR </w:t>
      </w:r>
      <w:r w:rsidR="0099722D">
        <w:rPr>
          <w:rFonts w:ascii="Calibri" w:eastAsia="Calibri" w:hAnsi="Calibri" w:cs="Calibri"/>
          <w:szCs w:val="20"/>
          <w:lang w:val="en-AU"/>
        </w:rPr>
        <w:t>for small consumers started in 2005 and are still on-going.</w:t>
      </w:r>
      <w:r w:rsidR="00326015">
        <w:rPr>
          <w:rFonts w:ascii="Calibri" w:eastAsia="Calibri" w:hAnsi="Calibri" w:cs="Calibri"/>
          <w:szCs w:val="20"/>
          <w:lang w:val="en-AU"/>
        </w:rPr>
        <w:t xml:space="preserve"> There have been at least 16 trials, in all mainland states and the ACT, covering tens of thousands of participants</w:t>
      </w:r>
      <w:r w:rsidR="008171AF">
        <w:rPr>
          <w:rFonts w:ascii="Calibri" w:eastAsia="Calibri" w:hAnsi="Calibri" w:cs="Calibri"/>
          <w:szCs w:val="20"/>
          <w:lang w:val="en-AU"/>
        </w:rPr>
        <w:t xml:space="preserve"> (</w:t>
      </w:r>
      <w:r w:rsidR="008171AF" w:rsidRPr="005B1ACD">
        <w:rPr>
          <w:rStyle w:val="FigreferenceChar"/>
        </w:rPr>
        <w:fldChar w:fldCharType="begin"/>
      </w:r>
      <w:r w:rsidR="008171AF" w:rsidRPr="005B1ACD">
        <w:rPr>
          <w:rStyle w:val="FigreferenceChar"/>
        </w:rPr>
        <w:instrText xml:space="preserve"> REF _Ref21945343 \h </w:instrText>
      </w:r>
      <w:r w:rsidR="005B1ACD">
        <w:rPr>
          <w:rStyle w:val="FigreferenceChar"/>
        </w:rPr>
        <w:instrText xml:space="preserve"> \* MERGEFORMAT </w:instrText>
      </w:r>
      <w:r w:rsidR="008171AF" w:rsidRPr="005B1ACD">
        <w:rPr>
          <w:rStyle w:val="FigreferenceChar"/>
        </w:rPr>
      </w:r>
      <w:r w:rsidR="008171AF" w:rsidRPr="005B1ACD">
        <w:rPr>
          <w:rStyle w:val="FigreferenceChar"/>
        </w:rPr>
        <w:fldChar w:fldCharType="separate"/>
      </w:r>
      <w:r w:rsidR="005B1ACD" w:rsidRPr="005B1ACD">
        <w:rPr>
          <w:rStyle w:val="FigreferenceChar"/>
        </w:rPr>
        <w:t>Table 5</w:t>
      </w:r>
      <w:r w:rsidR="008171AF" w:rsidRPr="005B1ACD">
        <w:rPr>
          <w:rStyle w:val="FigreferenceChar"/>
        </w:rPr>
        <w:fldChar w:fldCharType="end"/>
      </w:r>
      <w:r w:rsidR="008171AF">
        <w:rPr>
          <w:rFonts w:ascii="Calibri" w:eastAsia="Calibri" w:hAnsi="Calibri" w:cs="Calibri"/>
          <w:szCs w:val="20"/>
          <w:lang w:val="en-AU"/>
        </w:rPr>
        <w:t>)</w:t>
      </w:r>
      <w:r w:rsidR="00326015">
        <w:rPr>
          <w:rFonts w:ascii="Calibri" w:eastAsia="Calibri" w:hAnsi="Calibri" w:cs="Calibri"/>
          <w:szCs w:val="20"/>
          <w:lang w:val="en-AU"/>
        </w:rPr>
        <w:t xml:space="preserve">. </w:t>
      </w:r>
    </w:p>
    <w:p w14:paraId="39EBB504" w14:textId="77C32E00" w:rsidR="00326015" w:rsidRDefault="00326015" w:rsidP="008171AF">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trials in the early 2010s were mostly funded through the </w:t>
      </w:r>
      <w:r w:rsidRPr="00326015">
        <w:rPr>
          <w:rFonts w:ascii="Calibri" w:eastAsia="Calibri" w:hAnsi="Calibri" w:cs="Calibri"/>
          <w:szCs w:val="20"/>
          <w:lang w:val="en-AU"/>
        </w:rPr>
        <w:t>Demand Management Innovation Allowance (DMIA)</w:t>
      </w:r>
      <w:r>
        <w:rPr>
          <w:rFonts w:ascii="Calibri" w:eastAsia="Calibri" w:hAnsi="Calibri" w:cs="Calibri"/>
          <w:szCs w:val="20"/>
          <w:lang w:val="en-AU"/>
        </w:rPr>
        <w:t xml:space="preserve">, under which </w:t>
      </w:r>
      <w:r w:rsidR="00944A7F">
        <w:rPr>
          <w:rFonts w:ascii="Calibri" w:eastAsia="Calibri" w:hAnsi="Calibri" w:cs="Calibri"/>
          <w:szCs w:val="20"/>
          <w:lang w:val="en-AU"/>
        </w:rPr>
        <w:t>Distribution Network Service Providers (</w:t>
      </w:r>
      <w:r>
        <w:rPr>
          <w:rFonts w:ascii="Calibri" w:eastAsia="Calibri" w:hAnsi="Calibri" w:cs="Calibri"/>
          <w:szCs w:val="20"/>
          <w:lang w:val="en-AU"/>
        </w:rPr>
        <w:t>DNSPs</w:t>
      </w:r>
      <w:r w:rsidR="00944A7F">
        <w:rPr>
          <w:rFonts w:ascii="Calibri" w:eastAsia="Calibri" w:hAnsi="Calibri" w:cs="Calibri"/>
          <w:szCs w:val="20"/>
          <w:lang w:val="en-AU"/>
        </w:rPr>
        <w:t>)</w:t>
      </w:r>
      <w:r>
        <w:rPr>
          <w:rFonts w:ascii="Calibri" w:eastAsia="Calibri" w:hAnsi="Calibri" w:cs="Calibri"/>
          <w:szCs w:val="20"/>
          <w:lang w:val="en-AU"/>
        </w:rPr>
        <w:t xml:space="preserve"> applied to the </w:t>
      </w:r>
      <w:r w:rsidRPr="00326015">
        <w:rPr>
          <w:rFonts w:ascii="Calibri" w:eastAsia="Calibri" w:hAnsi="Calibri" w:cs="Calibri"/>
          <w:szCs w:val="20"/>
          <w:lang w:val="en-AU"/>
        </w:rPr>
        <w:t>Australian Energy Regulator (AER)</w:t>
      </w:r>
      <w:r>
        <w:rPr>
          <w:rFonts w:ascii="Calibri" w:eastAsia="Calibri" w:hAnsi="Calibri" w:cs="Calibri"/>
          <w:szCs w:val="20"/>
          <w:lang w:val="en-AU"/>
        </w:rPr>
        <w:t xml:space="preserve"> for additional revenue under their 5-yearly price determinations. Electricity retailers have become involved more recently, taking advantage of funding available under </w:t>
      </w:r>
      <w:proofErr w:type="spellStart"/>
      <w:r>
        <w:rPr>
          <w:rFonts w:ascii="Calibri" w:eastAsia="Calibri" w:hAnsi="Calibri" w:cs="Calibri"/>
          <w:szCs w:val="20"/>
          <w:lang w:val="en-AU"/>
        </w:rPr>
        <w:t>ARENA’s</w:t>
      </w:r>
      <w:proofErr w:type="spellEnd"/>
      <w:r>
        <w:rPr>
          <w:rFonts w:ascii="Calibri" w:eastAsia="Calibri" w:hAnsi="Calibri" w:cs="Calibri"/>
          <w:szCs w:val="20"/>
          <w:lang w:val="en-AU"/>
        </w:rPr>
        <w:t xml:space="preserve"> Demand Response </w:t>
      </w:r>
      <w:r w:rsidR="008171AF" w:rsidRPr="008171AF">
        <w:rPr>
          <w:rFonts w:ascii="Calibri" w:eastAsia="Calibri" w:hAnsi="Calibri" w:cs="Calibri"/>
          <w:szCs w:val="20"/>
          <w:lang w:val="en-AU"/>
        </w:rPr>
        <w:t>Reliability</w:t>
      </w:r>
      <w:r w:rsidR="008171AF">
        <w:rPr>
          <w:rFonts w:ascii="Calibri" w:eastAsia="Calibri" w:hAnsi="Calibri" w:cs="Calibri"/>
          <w:szCs w:val="20"/>
          <w:lang w:val="en-AU"/>
        </w:rPr>
        <w:t xml:space="preserve"> </w:t>
      </w:r>
      <w:r w:rsidR="008171AF" w:rsidRPr="008171AF">
        <w:rPr>
          <w:rFonts w:ascii="Calibri" w:eastAsia="Calibri" w:hAnsi="Calibri" w:cs="Calibri"/>
          <w:szCs w:val="20"/>
          <w:lang w:val="en-AU"/>
        </w:rPr>
        <w:t>and Emergency Reserve Trader (RERT)</w:t>
      </w:r>
      <w:r w:rsidR="008171AF">
        <w:rPr>
          <w:rFonts w:ascii="Calibri" w:eastAsia="Calibri" w:hAnsi="Calibri" w:cs="Calibri"/>
          <w:szCs w:val="20"/>
          <w:lang w:val="en-AU"/>
        </w:rPr>
        <w:t xml:space="preserve"> Trials program.</w:t>
      </w:r>
      <w:r w:rsidR="008171AF">
        <w:rPr>
          <w:rStyle w:val="FootnoteReference"/>
          <w:rFonts w:ascii="Calibri" w:eastAsia="Calibri" w:hAnsi="Calibri" w:cs="Calibri"/>
          <w:szCs w:val="20"/>
          <w:lang w:val="en-AU"/>
        </w:rPr>
        <w:footnoteReference w:id="19"/>
      </w:r>
      <w:r w:rsidR="008171AF">
        <w:rPr>
          <w:rFonts w:ascii="Calibri" w:eastAsia="Calibri" w:hAnsi="Calibri" w:cs="Calibri"/>
          <w:szCs w:val="20"/>
          <w:lang w:val="en-AU"/>
        </w:rPr>
        <w:t xml:space="preserve"> </w:t>
      </w:r>
      <w:r w:rsidR="00F35CED">
        <w:rPr>
          <w:rFonts w:ascii="Calibri" w:eastAsia="Calibri" w:hAnsi="Calibri" w:cs="Calibri"/>
          <w:szCs w:val="20"/>
          <w:lang w:val="en-AU"/>
        </w:rPr>
        <w:t xml:space="preserve">While the earlier trials concentrated on direct load control </w:t>
      </w:r>
      <w:r w:rsidR="00EC153D">
        <w:rPr>
          <w:rFonts w:ascii="Calibri" w:eastAsia="Calibri" w:hAnsi="Calibri" w:cs="Calibri"/>
          <w:szCs w:val="20"/>
          <w:lang w:val="en-AU"/>
        </w:rPr>
        <w:t xml:space="preserve">(DLC) </w:t>
      </w:r>
      <w:r w:rsidR="00F35CED">
        <w:rPr>
          <w:rFonts w:ascii="Calibri" w:eastAsia="Calibri" w:hAnsi="Calibri" w:cs="Calibri"/>
          <w:szCs w:val="20"/>
          <w:lang w:val="en-AU"/>
        </w:rPr>
        <w:t xml:space="preserve">for </w:t>
      </w:r>
      <w:r w:rsidR="00944A7F">
        <w:rPr>
          <w:rFonts w:ascii="Calibri" w:eastAsia="Calibri" w:hAnsi="Calibri" w:cs="Calibri"/>
          <w:szCs w:val="20"/>
          <w:lang w:val="en-AU"/>
        </w:rPr>
        <w:t>ACs</w:t>
      </w:r>
      <w:r w:rsidR="00F35CED">
        <w:rPr>
          <w:rFonts w:ascii="Calibri" w:eastAsia="Calibri" w:hAnsi="Calibri" w:cs="Calibri"/>
          <w:szCs w:val="20"/>
          <w:lang w:val="en-AU"/>
        </w:rPr>
        <w:t xml:space="preserve">, the later trials have diversified to covering other products as well, and </w:t>
      </w:r>
      <w:r w:rsidR="00EC153D">
        <w:rPr>
          <w:rFonts w:ascii="Calibri" w:eastAsia="Calibri" w:hAnsi="Calibri" w:cs="Calibri"/>
          <w:szCs w:val="20"/>
          <w:lang w:val="en-AU"/>
        </w:rPr>
        <w:t>behavioural DR programs as well as DLC.</w:t>
      </w:r>
      <w:r w:rsidR="008171AF">
        <w:rPr>
          <w:rFonts w:ascii="Calibri" w:eastAsia="Calibri" w:hAnsi="Calibri" w:cs="Calibri"/>
          <w:szCs w:val="20"/>
          <w:lang w:val="en-AU"/>
        </w:rPr>
        <w:t xml:space="preserve"> </w:t>
      </w:r>
    </w:p>
    <w:p w14:paraId="7BC52B97" w14:textId="1C4D381C" w:rsidR="0099722D" w:rsidRDefault="00E5460D" w:rsidP="00334C33">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While the Behavioural DR trials have reported some success, they mostly rely on consumers having time-variable prices, which currently excludes 88% of residential electricity consumers. They rely on methods of amplifying the price signal (by messaging) and of verifying a response which are specific to </w:t>
      </w:r>
      <w:proofErr w:type="gramStart"/>
      <w:r>
        <w:rPr>
          <w:rFonts w:ascii="Calibri" w:eastAsia="Calibri" w:hAnsi="Calibri" w:cs="Calibri"/>
          <w:szCs w:val="20"/>
          <w:lang w:val="en-AU"/>
        </w:rPr>
        <w:t>particular retailers</w:t>
      </w:r>
      <w:proofErr w:type="gramEnd"/>
      <w:r>
        <w:rPr>
          <w:rFonts w:ascii="Calibri" w:eastAsia="Calibri" w:hAnsi="Calibri" w:cs="Calibri"/>
          <w:szCs w:val="20"/>
          <w:lang w:val="en-AU"/>
        </w:rPr>
        <w:t xml:space="preserve"> or aggregators. Very few of the trials have resulted in </w:t>
      </w:r>
      <w:r w:rsidR="009F08DD">
        <w:rPr>
          <w:rFonts w:ascii="Calibri" w:eastAsia="Calibri" w:hAnsi="Calibri" w:cs="Calibri"/>
          <w:szCs w:val="20"/>
          <w:lang w:val="en-AU"/>
        </w:rPr>
        <w:t xml:space="preserve">residential market </w:t>
      </w:r>
      <w:r>
        <w:rPr>
          <w:rFonts w:ascii="Calibri" w:eastAsia="Calibri" w:hAnsi="Calibri" w:cs="Calibri"/>
          <w:szCs w:val="20"/>
          <w:lang w:val="en-AU"/>
        </w:rPr>
        <w:t xml:space="preserve">offerings which persist beyond the trial stage and in which participation is open to any consumer who meets the program criteria. </w:t>
      </w:r>
    </w:p>
    <w:p w14:paraId="33B18678" w14:textId="10C9D175" w:rsidR="009F08DD" w:rsidRDefault="009F08DD" w:rsidP="00334C33">
      <w:pPr>
        <w:spacing w:before="120" w:after="120" w:line="276" w:lineRule="auto"/>
        <w:rPr>
          <w:rFonts w:ascii="Calibri" w:eastAsia="Calibri" w:hAnsi="Calibri" w:cs="Calibri"/>
          <w:szCs w:val="20"/>
          <w:lang w:val="en-AU"/>
        </w:rPr>
      </w:pPr>
      <w:r>
        <w:rPr>
          <w:rFonts w:ascii="Calibri" w:eastAsia="Calibri" w:hAnsi="Calibri" w:cs="Calibri"/>
          <w:szCs w:val="20"/>
          <w:lang w:val="en-AU"/>
        </w:rPr>
        <w:lastRenderedPageBreak/>
        <w:t>By far the largest of these is the Energex and Ergon PeakSmart program, which was started in 201</w:t>
      </w:r>
      <w:r w:rsidR="00543D8E">
        <w:rPr>
          <w:rFonts w:ascii="Calibri" w:eastAsia="Calibri" w:hAnsi="Calibri" w:cs="Calibri"/>
          <w:szCs w:val="20"/>
          <w:lang w:val="en-AU"/>
        </w:rPr>
        <w:t>3</w:t>
      </w:r>
      <w:r>
        <w:rPr>
          <w:rFonts w:ascii="Calibri" w:eastAsia="Calibri" w:hAnsi="Calibri" w:cs="Calibri"/>
          <w:szCs w:val="20"/>
          <w:lang w:val="en-AU"/>
        </w:rPr>
        <w:t>,</w:t>
      </w:r>
      <w:r w:rsidR="00944A7F">
        <w:rPr>
          <w:rFonts w:ascii="Calibri" w:eastAsia="Calibri" w:hAnsi="Calibri" w:cs="Calibri"/>
          <w:szCs w:val="20"/>
          <w:lang w:val="en-AU"/>
        </w:rPr>
        <w:t xml:space="preserve"> and</w:t>
      </w:r>
      <w:r>
        <w:rPr>
          <w:rFonts w:ascii="Calibri" w:eastAsia="Calibri" w:hAnsi="Calibri" w:cs="Calibri"/>
          <w:szCs w:val="20"/>
          <w:lang w:val="en-AU"/>
        </w:rPr>
        <w:t xml:space="preserve"> </w:t>
      </w:r>
      <w:r w:rsidR="00543D8E">
        <w:rPr>
          <w:rFonts w:ascii="Calibri" w:eastAsia="Calibri" w:hAnsi="Calibri" w:cs="Calibri"/>
          <w:szCs w:val="20"/>
          <w:lang w:val="en-AU"/>
        </w:rPr>
        <w:t xml:space="preserve">has reached 108,000 participants and </w:t>
      </w:r>
      <w:r>
        <w:rPr>
          <w:rFonts w:ascii="Calibri" w:eastAsia="Calibri" w:hAnsi="Calibri" w:cs="Calibri"/>
          <w:szCs w:val="20"/>
          <w:lang w:val="en-AU"/>
        </w:rPr>
        <w:t xml:space="preserve">is </w:t>
      </w:r>
      <w:proofErr w:type="gramStart"/>
      <w:r>
        <w:rPr>
          <w:rFonts w:ascii="Calibri" w:eastAsia="Calibri" w:hAnsi="Calibri" w:cs="Calibri"/>
          <w:szCs w:val="20"/>
          <w:lang w:val="en-AU"/>
        </w:rPr>
        <w:t>still continuing</w:t>
      </w:r>
      <w:proofErr w:type="gramEnd"/>
      <w:r>
        <w:rPr>
          <w:rFonts w:ascii="Calibri" w:eastAsia="Calibri" w:hAnsi="Calibri" w:cs="Calibri"/>
          <w:szCs w:val="20"/>
          <w:lang w:val="en-AU"/>
        </w:rPr>
        <w:t xml:space="preserve">. It offers consumers a cash incentive if they purchase an </w:t>
      </w:r>
      <w:r w:rsidR="00514705">
        <w:rPr>
          <w:rFonts w:ascii="Calibri" w:eastAsia="Calibri" w:hAnsi="Calibri" w:cs="Calibri"/>
          <w:szCs w:val="20"/>
          <w:lang w:val="en-AU"/>
        </w:rPr>
        <w:t xml:space="preserve">AC </w:t>
      </w:r>
      <w:r>
        <w:rPr>
          <w:rFonts w:ascii="Calibri" w:eastAsia="Calibri" w:hAnsi="Calibri" w:cs="Calibri"/>
          <w:szCs w:val="20"/>
          <w:lang w:val="en-AU"/>
        </w:rPr>
        <w:t xml:space="preserve">complying with the AS/NZS 4755 DLC standard, have it fitted with </w:t>
      </w:r>
      <w:r w:rsidR="00543D8E">
        <w:rPr>
          <w:rFonts w:ascii="Calibri" w:eastAsia="Calibri" w:hAnsi="Calibri" w:cs="Calibri"/>
          <w:szCs w:val="20"/>
          <w:lang w:val="en-AU"/>
        </w:rPr>
        <w:t xml:space="preserve">a </w:t>
      </w:r>
      <w:r>
        <w:rPr>
          <w:rFonts w:ascii="Calibri" w:eastAsia="Calibri" w:hAnsi="Calibri" w:cs="Calibri"/>
          <w:szCs w:val="20"/>
          <w:lang w:val="en-AU"/>
        </w:rPr>
        <w:t xml:space="preserve">control device and consent to the </w:t>
      </w:r>
      <w:r w:rsidR="00D12547">
        <w:rPr>
          <w:rFonts w:ascii="Calibri" w:eastAsia="Calibri" w:hAnsi="Calibri" w:cs="Calibri"/>
          <w:szCs w:val="20"/>
          <w:lang w:val="en-AU"/>
        </w:rPr>
        <w:t xml:space="preserve">DNSP </w:t>
      </w:r>
      <w:r>
        <w:rPr>
          <w:rFonts w:ascii="Calibri" w:eastAsia="Calibri" w:hAnsi="Calibri" w:cs="Calibri"/>
          <w:szCs w:val="20"/>
          <w:lang w:val="en-AU"/>
        </w:rPr>
        <w:t xml:space="preserve">modifying the </w:t>
      </w:r>
      <w:r w:rsidR="00717C8B">
        <w:rPr>
          <w:rFonts w:ascii="Calibri" w:eastAsia="Calibri" w:hAnsi="Calibri" w:cs="Calibri"/>
          <w:szCs w:val="20"/>
          <w:lang w:val="en-AU"/>
        </w:rPr>
        <w:t xml:space="preserve">ACs </w:t>
      </w:r>
      <w:r>
        <w:rPr>
          <w:rFonts w:ascii="Calibri" w:eastAsia="Calibri" w:hAnsi="Calibri" w:cs="Calibri"/>
          <w:szCs w:val="20"/>
          <w:lang w:val="en-AU"/>
        </w:rPr>
        <w:t>operation under agreed conditions.</w:t>
      </w:r>
      <w:r>
        <w:rPr>
          <w:rStyle w:val="FootnoteReference"/>
          <w:rFonts w:ascii="Calibri" w:eastAsia="Calibri" w:hAnsi="Calibri" w:cs="Calibri"/>
          <w:szCs w:val="20"/>
          <w:lang w:val="en-AU"/>
        </w:rPr>
        <w:footnoteReference w:id="20"/>
      </w:r>
      <w:r>
        <w:rPr>
          <w:rFonts w:ascii="Calibri" w:eastAsia="Calibri" w:hAnsi="Calibri" w:cs="Calibri"/>
          <w:szCs w:val="20"/>
          <w:lang w:val="en-AU"/>
        </w:rPr>
        <w:t xml:space="preserve"> </w:t>
      </w:r>
      <w:r w:rsidR="00543D8E">
        <w:rPr>
          <w:rFonts w:ascii="Calibri" w:eastAsia="Calibri" w:hAnsi="Calibri" w:cs="Calibri"/>
          <w:szCs w:val="20"/>
          <w:lang w:val="en-AU"/>
        </w:rPr>
        <w:t xml:space="preserve">The cash incentive is unrelated to either TOU pricing or the need to verify individual appliance response. The DNSP is in effect purchasing capacity in the form of kVA reductions that are accessible when required. The magnitude of reductions is indicated by monitoring the changes in demand of a </w:t>
      </w:r>
      <w:r w:rsidR="00D12547">
        <w:rPr>
          <w:rFonts w:ascii="Calibri" w:eastAsia="Calibri" w:hAnsi="Calibri" w:cs="Calibri"/>
          <w:szCs w:val="20"/>
          <w:lang w:val="en-AU"/>
        </w:rPr>
        <w:t xml:space="preserve">sample </w:t>
      </w:r>
      <w:r w:rsidR="00543D8E">
        <w:rPr>
          <w:rFonts w:ascii="Calibri" w:eastAsia="Calibri" w:hAnsi="Calibri" w:cs="Calibri"/>
          <w:szCs w:val="20"/>
          <w:lang w:val="en-AU"/>
        </w:rPr>
        <w:t xml:space="preserve">of participating </w:t>
      </w:r>
      <w:r w:rsidR="00717C8B">
        <w:rPr>
          <w:rFonts w:ascii="Calibri" w:eastAsia="Calibri" w:hAnsi="Calibri" w:cs="Calibri"/>
          <w:szCs w:val="20"/>
          <w:lang w:val="en-AU"/>
        </w:rPr>
        <w:t>ACs</w:t>
      </w:r>
      <w:r w:rsidR="008634E6">
        <w:rPr>
          <w:rFonts w:ascii="Calibri" w:eastAsia="Calibri" w:hAnsi="Calibri" w:cs="Calibri"/>
          <w:szCs w:val="20"/>
          <w:lang w:val="en-AU"/>
        </w:rPr>
        <w:t xml:space="preserve">, so does not require monitoring of every single </w:t>
      </w:r>
      <w:r w:rsidR="00D12547">
        <w:rPr>
          <w:rFonts w:ascii="Calibri" w:eastAsia="Calibri" w:hAnsi="Calibri" w:cs="Calibri"/>
          <w:szCs w:val="20"/>
          <w:lang w:val="en-AU"/>
        </w:rPr>
        <w:t>enrolled appliance</w:t>
      </w:r>
      <w:r w:rsidR="008634E6">
        <w:rPr>
          <w:rFonts w:ascii="Calibri" w:eastAsia="Calibri" w:hAnsi="Calibri" w:cs="Calibri"/>
          <w:szCs w:val="20"/>
          <w:lang w:val="en-AU"/>
        </w:rPr>
        <w:t>.</w:t>
      </w:r>
      <w:r w:rsidR="008634E6">
        <w:rPr>
          <w:rStyle w:val="FootnoteReference"/>
          <w:rFonts w:ascii="Calibri" w:eastAsia="Calibri" w:hAnsi="Calibri" w:cs="Calibri"/>
          <w:szCs w:val="20"/>
          <w:lang w:val="en-AU"/>
        </w:rPr>
        <w:footnoteReference w:id="21"/>
      </w:r>
      <w:r w:rsidR="008634E6">
        <w:rPr>
          <w:rFonts w:ascii="Calibri" w:eastAsia="Calibri" w:hAnsi="Calibri" w:cs="Calibri"/>
          <w:szCs w:val="20"/>
          <w:lang w:val="en-AU"/>
        </w:rPr>
        <w:t xml:space="preserve"> </w:t>
      </w:r>
    </w:p>
    <w:p w14:paraId="4044D3AC" w14:textId="0A743BC9" w:rsidR="00126810" w:rsidRPr="00126810" w:rsidRDefault="00126810" w:rsidP="00126810">
      <w:pPr>
        <w:spacing w:before="240" w:after="120" w:line="240" w:lineRule="auto"/>
        <w:jc w:val="center"/>
        <w:rPr>
          <w:rFonts w:ascii="Calibri" w:eastAsia="Cambria" w:hAnsi="Calibri" w:cs="Calibri"/>
          <w:b/>
          <w:bCs/>
          <w:sz w:val="20"/>
          <w:szCs w:val="16"/>
          <w:lang w:val="en-AU"/>
        </w:rPr>
      </w:pPr>
      <w:bookmarkStart w:id="26" w:name="_Ref21945343"/>
      <w:bookmarkStart w:id="27" w:name="_Toc22486949"/>
      <w:r w:rsidRPr="00126810">
        <w:rPr>
          <w:rFonts w:ascii="Calibri" w:eastAsia="Cambria" w:hAnsi="Calibri" w:cs="Calibri"/>
          <w:b/>
          <w:bCs/>
          <w:sz w:val="20"/>
          <w:szCs w:val="16"/>
          <w:lang w:val="en-AU"/>
        </w:rPr>
        <w:t xml:space="preserve">Table </w:t>
      </w:r>
      <w:r w:rsidRPr="00126810">
        <w:rPr>
          <w:rFonts w:ascii="Calibri" w:eastAsia="Cambria" w:hAnsi="Calibri" w:cs="Calibri"/>
          <w:b/>
          <w:bCs/>
          <w:sz w:val="20"/>
          <w:szCs w:val="16"/>
          <w:lang w:val="en-AU"/>
        </w:rPr>
        <w:fldChar w:fldCharType="begin"/>
      </w:r>
      <w:r w:rsidRPr="00126810">
        <w:rPr>
          <w:rFonts w:ascii="Calibri" w:eastAsia="Cambria" w:hAnsi="Calibri" w:cs="Calibri"/>
          <w:b/>
          <w:bCs/>
          <w:sz w:val="20"/>
          <w:szCs w:val="16"/>
          <w:lang w:val="en-AU"/>
        </w:rPr>
        <w:instrText xml:space="preserve"> SEQ Table \* ARABIC </w:instrText>
      </w:r>
      <w:r w:rsidRPr="00126810">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5</w:t>
      </w:r>
      <w:r w:rsidRPr="00126810">
        <w:rPr>
          <w:rFonts w:ascii="Calibri" w:eastAsia="Cambria" w:hAnsi="Calibri" w:cs="Calibri"/>
          <w:b/>
          <w:bCs/>
          <w:sz w:val="20"/>
          <w:szCs w:val="16"/>
          <w:lang w:val="en-AU"/>
        </w:rPr>
        <w:fldChar w:fldCharType="end"/>
      </w:r>
      <w:bookmarkEnd w:id="26"/>
      <w:r w:rsidRPr="00126810">
        <w:rPr>
          <w:rFonts w:ascii="Calibri" w:eastAsia="Cambria" w:hAnsi="Calibri" w:cs="Calibri"/>
          <w:b/>
          <w:bCs/>
          <w:sz w:val="20"/>
          <w:szCs w:val="16"/>
          <w:lang w:val="en-AU"/>
        </w:rPr>
        <w:t xml:space="preserve"> Res</w:t>
      </w:r>
      <w:r>
        <w:rPr>
          <w:rFonts w:ascii="Calibri" w:eastAsia="Cambria" w:hAnsi="Calibri" w:cs="Calibri"/>
          <w:b/>
          <w:bCs/>
          <w:sz w:val="20"/>
          <w:szCs w:val="16"/>
          <w:lang w:val="en-AU"/>
        </w:rPr>
        <w:t>i</w:t>
      </w:r>
      <w:r w:rsidRPr="00126810">
        <w:rPr>
          <w:rFonts w:ascii="Calibri" w:eastAsia="Cambria" w:hAnsi="Calibri" w:cs="Calibri"/>
          <w:b/>
          <w:bCs/>
          <w:sz w:val="20"/>
          <w:szCs w:val="16"/>
          <w:lang w:val="en-AU"/>
        </w:rPr>
        <w:t xml:space="preserve">dential </w:t>
      </w:r>
      <w:r>
        <w:rPr>
          <w:rFonts w:ascii="Calibri" w:eastAsia="Cambria" w:hAnsi="Calibri" w:cs="Calibri"/>
          <w:b/>
          <w:bCs/>
          <w:sz w:val="20"/>
          <w:szCs w:val="16"/>
          <w:lang w:val="en-AU"/>
        </w:rPr>
        <w:t xml:space="preserve">Electricity Consumer </w:t>
      </w:r>
      <w:r w:rsidRPr="00126810">
        <w:rPr>
          <w:rFonts w:ascii="Calibri" w:eastAsia="Cambria" w:hAnsi="Calibri" w:cs="Calibri"/>
          <w:b/>
          <w:bCs/>
          <w:sz w:val="20"/>
          <w:szCs w:val="16"/>
          <w:lang w:val="en-AU"/>
        </w:rPr>
        <w:t>Demand Response Trials</w:t>
      </w:r>
      <w:r>
        <w:rPr>
          <w:rFonts w:ascii="Calibri" w:eastAsia="Cambria" w:hAnsi="Calibri" w:cs="Calibri"/>
          <w:b/>
          <w:bCs/>
          <w:sz w:val="20"/>
          <w:szCs w:val="16"/>
          <w:lang w:val="en-AU"/>
        </w:rPr>
        <w:t xml:space="preserve"> in Australia</w:t>
      </w:r>
      <w:r w:rsidRPr="00126810">
        <w:rPr>
          <w:rFonts w:ascii="Calibri" w:eastAsia="Cambria" w:hAnsi="Calibri" w:cs="Calibri"/>
          <w:b/>
          <w:bCs/>
          <w:sz w:val="20"/>
          <w:szCs w:val="16"/>
          <w:lang w:val="en-AU"/>
        </w:rPr>
        <w:t>, 2005-2019</w:t>
      </w:r>
      <w:bookmarkEnd w:id="27"/>
      <w:r w:rsidRPr="00126810">
        <w:rPr>
          <w:rFonts w:ascii="Calibri" w:eastAsia="Cambria" w:hAnsi="Calibri" w:cs="Calibri"/>
          <w:b/>
          <w:bCs/>
          <w:sz w:val="20"/>
          <w:szCs w:val="16"/>
          <w:lang w:val="en-AU"/>
        </w:rPr>
        <w:t xml:space="preserve"> </w:t>
      </w:r>
    </w:p>
    <w:tbl>
      <w:tblPr>
        <w:tblStyle w:val="TableGrid"/>
        <w:tblW w:w="0" w:type="auto"/>
        <w:tblLook w:val="04A0" w:firstRow="1" w:lastRow="0" w:firstColumn="1" w:lastColumn="0" w:noHBand="0" w:noVBand="1"/>
      </w:tblPr>
      <w:tblGrid>
        <w:gridCol w:w="1483"/>
        <w:gridCol w:w="2114"/>
        <w:gridCol w:w="1102"/>
        <w:gridCol w:w="1161"/>
        <w:gridCol w:w="1267"/>
        <w:gridCol w:w="2493"/>
      </w:tblGrid>
      <w:tr w:rsidR="00A46787" w:rsidRPr="0099722D" w14:paraId="3F63048D" w14:textId="77777777" w:rsidTr="008171AF">
        <w:tc>
          <w:tcPr>
            <w:tcW w:w="1488" w:type="dxa"/>
          </w:tcPr>
          <w:p w14:paraId="17224DFB" w14:textId="4169401D" w:rsidR="00A46787" w:rsidRPr="0099722D" w:rsidRDefault="00A46787" w:rsidP="0099722D">
            <w:pPr>
              <w:rPr>
                <w:lang w:val="en-AU"/>
              </w:rPr>
            </w:pPr>
            <w:r>
              <w:rPr>
                <w:lang w:val="en-AU"/>
              </w:rPr>
              <w:t>State/territory</w:t>
            </w:r>
          </w:p>
        </w:tc>
        <w:tc>
          <w:tcPr>
            <w:tcW w:w="2135" w:type="dxa"/>
          </w:tcPr>
          <w:p w14:paraId="1A1660D1" w14:textId="50DDAF78" w:rsidR="00A46787" w:rsidRPr="0099722D" w:rsidRDefault="00A46787" w:rsidP="0099722D">
            <w:pPr>
              <w:rPr>
                <w:lang w:val="en-AU"/>
              </w:rPr>
            </w:pPr>
            <w:r>
              <w:rPr>
                <w:lang w:val="en-AU"/>
              </w:rPr>
              <w:t>Entity (type)</w:t>
            </w:r>
          </w:p>
        </w:tc>
        <w:tc>
          <w:tcPr>
            <w:tcW w:w="1115" w:type="dxa"/>
          </w:tcPr>
          <w:p w14:paraId="22CAF7C8" w14:textId="64F9CEFC" w:rsidR="00A46787" w:rsidRPr="0099722D" w:rsidRDefault="00A46787" w:rsidP="0099722D">
            <w:pPr>
              <w:rPr>
                <w:lang w:val="en-AU"/>
              </w:rPr>
            </w:pPr>
            <w:r>
              <w:rPr>
                <w:lang w:val="en-AU"/>
              </w:rPr>
              <w:t>Period</w:t>
            </w:r>
          </w:p>
        </w:tc>
        <w:tc>
          <w:tcPr>
            <w:tcW w:w="1069" w:type="dxa"/>
          </w:tcPr>
          <w:p w14:paraId="5F90828E" w14:textId="55F75D7B" w:rsidR="00A46787" w:rsidRPr="0099722D" w:rsidRDefault="00A46787" w:rsidP="0099722D">
            <w:pPr>
              <w:rPr>
                <w:lang w:val="en-AU"/>
              </w:rPr>
            </w:pPr>
            <w:r>
              <w:rPr>
                <w:lang w:val="en-AU"/>
              </w:rPr>
              <w:t>Participants</w:t>
            </w:r>
          </w:p>
        </w:tc>
        <w:tc>
          <w:tcPr>
            <w:tcW w:w="1276" w:type="dxa"/>
          </w:tcPr>
          <w:p w14:paraId="100E5713" w14:textId="69536A9D" w:rsidR="00A46787" w:rsidRDefault="00A46787" w:rsidP="0099722D">
            <w:pPr>
              <w:rPr>
                <w:lang w:val="en-AU"/>
              </w:rPr>
            </w:pPr>
            <w:r>
              <w:rPr>
                <w:lang w:val="en-AU"/>
              </w:rPr>
              <w:t>Approach</w:t>
            </w:r>
          </w:p>
        </w:tc>
        <w:tc>
          <w:tcPr>
            <w:tcW w:w="2537" w:type="dxa"/>
          </w:tcPr>
          <w:p w14:paraId="45ED65B1" w14:textId="7FA39207" w:rsidR="00A46787" w:rsidRPr="0099722D" w:rsidRDefault="00A46787" w:rsidP="0099722D">
            <w:pPr>
              <w:rPr>
                <w:lang w:val="en-AU"/>
              </w:rPr>
            </w:pPr>
            <w:r>
              <w:rPr>
                <w:lang w:val="en-AU"/>
              </w:rPr>
              <w:t>Appliances</w:t>
            </w:r>
          </w:p>
        </w:tc>
      </w:tr>
      <w:tr w:rsidR="005A1A1E" w:rsidRPr="0099722D" w14:paraId="3316F605" w14:textId="77777777" w:rsidTr="008171AF">
        <w:tc>
          <w:tcPr>
            <w:tcW w:w="1488" w:type="dxa"/>
          </w:tcPr>
          <w:p w14:paraId="54B2797A" w14:textId="5DCCE076" w:rsidR="005A1A1E" w:rsidRPr="0099722D" w:rsidRDefault="005A1A1E" w:rsidP="005A1A1E">
            <w:pPr>
              <w:rPr>
                <w:lang w:val="en-AU"/>
              </w:rPr>
            </w:pPr>
            <w:r>
              <w:rPr>
                <w:lang w:val="en-AU"/>
              </w:rPr>
              <w:t>SA</w:t>
            </w:r>
          </w:p>
        </w:tc>
        <w:tc>
          <w:tcPr>
            <w:tcW w:w="2135" w:type="dxa"/>
          </w:tcPr>
          <w:p w14:paraId="5DEB1882" w14:textId="6D1D42FC" w:rsidR="005A1A1E" w:rsidRPr="0099722D" w:rsidRDefault="005A1A1E" w:rsidP="005A1A1E">
            <w:pPr>
              <w:rPr>
                <w:lang w:val="en-AU"/>
              </w:rPr>
            </w:pPr>
            <w:r>
              <w:rPr>
                <w:lang w:val="en-AU"/>
              </w:rPr>
              <w:t>ETSA Utilities (D)</w:t>
            </w:r>
          </w:p>
        </w:tc>
        <w:tc>
          <w:tcPr>
            <w:tcW w:w="1115" w:type="dxa"/>
          </w:tcPr>
          <w:p w14:paraId="790D7318" w14:textId="264FD423" w:rsidR="005A1A1E" w:rsidRPr="0099722D" w:rsidRDefault="005A1A1E" w:rsidP="005A1A1E">
            <w:pPr>
              <w:rPr>
                <w:lang w:val="en-AU"/>
              </w:rPr>
            </w:pPr>
            <w:r>
              <w:rPr>
                <w:lang w:val="en-AU"/>
              </w:rPr>
              <w:t>2005-09</w:t>
            </w:r>
          </w:p>
        </w:tc>
        <w:tc>
          <w:tcPr>
            <w:tcW w:w="1069" w:type="dxa"/>
          </w:tcPr>
          <w:p w14:paraId="14055B0E" w14:textId="737EF291" w:rsidR="005A1A1E" w:rsidRPr="0099722D" w:rsidRDefault="005A1A1E" w:rsidP="005A1A1E">
            <w:pPr>
              <w:rPr>
                <w:lang w:val="en-AU"/>
              </w:rPr>
            </w:pPr>
            <w:r>
              <w:rPr>
                <w:lang w:val="en-AU"/>
              </w:rPr>
              <w:t>2,000</w:t>
            </w:r>
          </w:p>
        </w:tc>
        <w:tc>
          <w:tcPr>
            <w:tcW w:w="1276" w:type="dxa"/>
          </w:tcPr>
          <w:p w14:paraId="582C0FBD" w14:textId="79A704A9" w:rsidR="005A1A1E" w:rsidRPr="0099722D" w:rsidRDefault="005A1A1E" w:rsidP="005A1A1E">
            <w:pPr>
              <w:rPr>
                <w:lang w:val="en-AU"/>
              </w:rPr>
            </w:pPr>
            <w:r>
              <w:rPr>
                <w:lang w:val="en-AU"/>
              </w:rPr>
              <w:t>DLC</w:t>
            </w:r>
          </w:p>
        </w:tc>
        <w:tc>
          <w:tcPr>
            <w:tcW w:w="2537" w:type="dxa"/>
          </w:tcPr>
          <w:p w14:paraId="2C82DAF7" w14:textId="474ED84D" w:rsidR="005A1A1E" w:rsidRPr="0099722D" w:rsidRDefault="005A1A1E" w:rsidP="005A1A1E">
            <w:pPr>
              <w:rPr>
                <w:lang w:val="en-AU"/>
              </w:rPr>
            </w:pPr>
            <w:r w:rsidRPr="002E66DF">
              <w:t xml:space="preserve">Air conditioners </w:t>
            </w:r>
          </w:p>
        </w:tc>
      </w:tr>
      <w:tr w:rsidR="005A1A1E" w:rsidRPr="0099722D" w14:paraId="57C12B9A" w14:textId="77777777" w:rsidTr="008171AF">
        <w:tc>
          <w:tcPr>
            <w:tcW w:w="1488" w:type="dxa"/>
          </w:tcPr>
          <w:p w14:paraId="12E8F1D0" w14:textId="45555AA6" w:rsidR="005A1A1E" w:rsidRPr="0099722D" w:rsidRDefault="005A1A1E" w:rsidP="005A1A1E">
            <w:pPr>
              <w:rPr>
                <w:lang w:val="en-AU"/>
              </w:rPr>
            </w:pPr>
            <w:r>
              <w:rPr>
                <w:lang w:val="en-AU"/>
              </w:rPr>
              <w:t>Qld</w:t>
            </w:r>
          </w:p>
        </w:tc>
        <w:tc>
          <w:tcPr>
            <w:tcW w:w="2135" w:type="dxa"/>
          </w:tcPr>
          <w:p w14:paraId="0D9183CB" w14:textId="672DD425" w:rsidR="005A1A1E" w:rsidRPr="0099722D" w:rsidRDefault="005A1A1E" w:rsidP="005A1A1E">
            <w:pPr>
              <w:rPr>
                <w:lang w:val="en-AU"/>
              </w:rPr>
            </w:pPr>
            <w:r>
              <w:rPr>
                <w:lang w:val="en-AU"/>
              </w:rPr>
              <w:t>Ergon (D)</w:t>
            </w:r>
          </w:p>
        </w:tc>
        <w:tc>
          <w:tcPr>
            <w:tcW w:w="1115" w:type="dxa"/>
          </w:tcPr>
          <w:p w14:paraId="346CE211" w14:textId="6679B091" w:rsidR="005A1A1E" w:rsidRPr="0099722D" w:rsidRDefault="005A1A1E" w:rsidP="005A1A1E">
            <w:pPr>
              <w:rPr>
                <w:lang w:val="en-AU"/>
              </w:rPr>
            </w:pPr>
            <w:r>
              <w:rPr>
                <w:lang w:val="en-AU"/>
              </w:rPr>
              <w:t>2008-09</w:t>
            </w:r>
          </w:p>
        </w:tc>
        <w:tc>
          <w:tcPr>
            <w:tcW w:w="1069" w:type="dxa"/>
          </w:tcPr>
          <w:p w14:paraId="50297812" w14:textId="11655898" w:rsidR="005A1A1E" w:rsidRPr="0099722D" w:rsidRDefault="005A1A1E" w:rsidP="005A1A1E">
            <w:pPr>
              <w:rPr>
                <w:lang w:val="en-AU"/>
              </w:rPr>
            </w:pPr>
            <w:r>
              <w:rPr>
                <w:lang w:val="en-AU"/>
              </w:rPr>
              <w:t>NA</w:t>
            </w:r>
          </w:p>
        </w:tc>
        <w:tc>
          <w:tcPr>
            <w:tcW w:w="1276" w:type="dxa"/>
          </w:tcPr>
          <w:p w14:paraId="0927F917" w14:textId="2D85D95A" w:rsidR="005A1A1E" w:rsidRPr="0099722D" w:rsidRDefault="005A1A1E" w:rsidP="005A1A1E">
            <w:pPr>
              <w:rPr>
                <w:lang w:val="en-AU"/>
              </w:rPr>
            </w:pPr>
            <w:r>
              <w:rPr>
                <w:lang w:val="en-AU"/>
              </w:rPr>
              <w:t>DLC</w:t>
            </w:r>
          </w:p>
        </w:tc>
        <w:tc>
          <w:tcPr>
            <w:tcW w:w="2537" w:type="dxa"/>
          </w:tcPr>
          <w:p w14:paraId="61F038D5" w14:textId="36CCD239" w:rsidR="005A1A1E" w:rsidRPr="0099722D" w:rsidRDefault="005A1A1E" w:rsidP="005A1A1E">
            <w:pPr>
              <w:rPr>
                <w:lang w:val="en-AU"/>
              </w:rPr>
            </w:pPr>
            <w:r w:rsidRPr="002E66DF">
              <w:t xml:space="preserve">Air conditioners </w:t>
            </w:r>
          </w:p>
        </w:tc>
      </w:tr>
      <w:tr w:rsidR="005A1A1E" w:rsidRPr="0099722D" w14:paraId="04934BFB" w14:textId="77777777" w:rsidTr="008171AF">
        <w:tc>
          <w:tcPr>
            <w:tcW w:w="1488" w:type="dxa"/>
          </w:tcPr>
          <w:p w14:paraId="28B2A630" w14:textId="44C9333B" w:rsidR="005A1A1E" w:rsidRPr="0099722D" w:rsidRDefault="005A1A1E" w:rsidP="005A1A1E">
            <w:pPr>
              <w:rPr>
                <w:lang w:val="en-AU"/>
              </w:rPr>
            </w:pPr>
            <w:r>
              <w:rPr>
                <w:lang w:val="en-AU"/>
              </w:rPr>
              <w:t>Qld</w:t>
            </w:r>
          </w:p>
        </w:tc>
        <w:tc>
          <w:tcPr>
            <w:tcW w:w="2135" w:type="dxa"/>
          </w:tcPr>
          <w:p w14:paraId="689E40D9" w14:textId="7665D98F" w:rsidR="005A1A1E" w:rsidRPr="0099722D" w:rsidRDefault="005A1A1E" w:rsidP="005A1A1E">
            <w:pPr>
              <w:rPr>
                <w:lang w:val="en-AU"/>
              </w:rPr>
            </w:pPr>
            <w:r>
              <w:rPr>
                <w:lang w:val="en-AU"/>
              </w:rPr>
              <w:t>Energex (D)</w:t>
            </w:r>
          </w:p>
        </w:tc>
        <w:tc>
          <w:tcPr>
            <w:tcW w:w="1115" w:type="dxa"/>
          </w:tcPr>
          <w:p w14:paraId="73603843" w14:textId="48779CD1" w:rsidR="005A1A1E" w:rsidRPr="0099722D" w:rsidRDefault="005A1A1E" w:rsidP="005A1A1E">
            <w:pPr>
              <w:rPr>
                <w:lang w:val="en-AU"/>
              </w:rPr>
            </w:pPr>
            <w:r>
              <w:rPr>
                <w:lang w:val="en-AU"/>
              </w:rPr>
              <w:t>2008-10</w:t>
            </w:r>
          </w:p>
        </w:tc>
        <w:tc>
          <w:tcPr>
            <w:tcW w:w="1069" w:type="dxa"/>
          </w:tcPr>
          <w:p w14:paraId="4D5B4FE2" w14:textId="162D01A5" w:rsidR="005A1A1E" w:rsidRPr="0099722D" w:rsidRDefault="005A1A1E" w:rsidP="005A1A1E">
            <w:pPr>
              <w:rPr>
                <w:lang w:val="en-AU"/>
              </w:rPr>
            </w:pPr>
            <w:r>
              <w:rPr>
                <w:lang w:val="en-AU"/>
              </w:rPr>
              <w:t>3,500</w:t>
            </w:r>
          </w:p>
        </w:tc>
        <w:tc>
          <w:tcPr>
            <w:tcW w:w="1276" w:type="dxa"/>
          </w:tcPr>
          <w:p w14:paraId="4D80C8EA" w14:textId="73D8423E" w:rsidR="005A1A1E" w:rsidRPr="0099722D" w:rsidRDefault="005A1A1E" w:rsidP="005A1A1E">
            <w:pPr>
              <w:rPr>
                <w:lang w:val="en-AU"/>
              </w:rPr>
            </w:pPr>
            <w:r>
              <w:rPr>
                <w:lang w:val="en-AU"/>
              </w:rPr>
              <w:t>DLC</w:t>
            </w:r>
          </w:p>
        </w:tc>
        <w:tc>
          <w:tcPr>
            <w:tcW w:w="2537" w:type="dxa"/>
          </w:tcPr>
          <w:p w14:paraId="43148085" w14:textId="6AA99CC9" w:rsidR="005A1A1E" w:rsidRPr="0099722D" w:rsidRDefault="005A1A1E" w:rsidP="005A1A1E">
            <w:pPr>
              <w:rPr>
                <w:lang w:val="en-AU"/>
              </w:rPr>
            </w:pPr>
            <w:r w:rsidRPr="002E66DF">
              <w:t xml:space="preserve">Air conditioners </w:t>
            </w:r>
          </w:p>
        </w:tc>
      </w:tr>
      <w:tr w:rsidR="005A1A1E" w:rsidRPr="0099722D" w14:paraId="79F5B78B" w14:textId="77777777" w:rsidTr="008171AF">
        <w:tc>
          <w:tcPr>
            <w:tcW w:w="1488" w:type="dxa"/>
          </w:tcPr>
          <w:p w14:paraId="21D6919C" w14:textId="4BBE14A9" w:rsidR="005A1A1E" w:rsidRPr="0099722D" w:rsidRDefault="005A1A1E" w:rsidP="005A1A1E">
            <w:pPr>
              <w:rPr>
                <w:lang w:val="en-AU"/>
              </w:rPr>
            </w:pPr>
            <w:r>
              <w:rPr>
                <w:lang w:val="en-AU"/>
              </w:rPr>
              <w:t>WA</w:t>
            </w:r>
          </w:p>
        </w:tc>
        <w:tc>
          <w:tcPr>
            <w:tcW w:w="2135" w:type="dxa"/>
          </w:tcPr>
          <w:p w14:paraId="3F9CD4B4" w14:textId="6F832F14" w:rsidR="005A1A1E" w:rsidRPr="0099722D" w:rsidRDefault="005A1A1E" w:rsidP="005A1A1E">
            <w:pPr>
              <w:rPr>
                <w:lang w:val="en-AU"/>
              </w:rPr>
            </w:pPr>
            <w:r>
              <w:rPr>
                <w:lang w:val="en-AU"/>
              </w:rPr>
              <w:t>Western Power (D)</w:t>
            </w:r>
          </w:p>
        </w:tc>
        <w:tc>
          <w:tcPr>
            <w:tcW w:w="1115" w:type="dxa"/>
          </w:tcPr>
          <w:p w14:paraId="49A5372C" w14:textId="1BAB4D6A" w:rsidR="005A1A1E" w:rsidRPr="0099722D" w:rsidRDefault="005A1A1E" w:rsidP="005A1A1E">
            <w:pPr>
              <w:rPr>
                <w:lang w:val="en-AU"/>
              </w:rPr>
            </w:pPr>
            <w:r>
              <w:rPr>
                <w:lang w:val="en-AU"/>
              </w:rPr>
              <w:t>2008-11</w:t>
            </w:r>
          </w:p>
        </w:tc>
        <w:tc>
          <w:tcPr>
            <w:tcW w:w="1069" w:type="dxa"/>
          </w:tcPr>
          <w:p w14:paraId="6242766A" w14:textId="394E92A4" w:rsidR="005A1A1E" w:rsidRPr="0099722D" w:rsidRDefault="005A1A1E" w:rsidP="005A1A1E">
            <w:pPr>
              <w:rPr>
                <w:lang w:val="en-AU"/>
              </w:rPr>
            </w:pPr>
            <w:r>
              <w:rPr>
                <w:lang w:val="en-AU"/>
              </w:rPr>
              <w:t>2,200</w:t>
            </w:r>
          </w:p>
        </w:tc>
        <w:tc>
          <w:tcPr>
            <w:tcW w:w="1276" w:type="dxa"/>
          </w:tcPr>
          <w:p w14:paraId="40CE0135" w14:textId="55F90D38" w:rsidR="005A1A1E" w:rsidRPr="0099722D" w:rsidRDefault="005A1A1E" w:rsidP="005A1A1E">
            <w:pPr>
              <w:rPr>
                <w:lang w:val="en-AU"/>
              </w:rPr>
            </w:pPr>
            <w:r>
              <w:rPr>
                <w:lang w:val="en-AU"/>
              </w:rPr>
              <w:t>DLC</w:t>
            </w:r>
          </w:p>
        </w:tc>
        <w:tc>
          <w:tcPr>
            <w:tcW w:w="2537" w:type="dxa"/>
          </w:tcPr>
          <w:p w14:paraId="2AC59BC6" w14:textId="07F0C12F" w:rsidR="005A1A1E" w:rsidRPr="0099722D" w:rsidRDefault="005A1A1E" w:rsidP="005A1A1E">
            <w:pPr>
              <w:rPr>
                <w:lang w:val="en-AU"/>
              </w:rPr>
            </w:pPr>
            <w:r w:rsidRPr="002E66DF">
              <w:t xml:space="preserve">Air conditioners </w:t>
            </w:r>
          </w:p>
        </w:tc>
      </w:tr>
      <w:tr w:rsidR="005A1A1E" w:rsidRPr="0099722D" w14:paraId="4D61FC8E" w14:textId="77777777" w:rsidTr="008171AF">
        <w:tc>
          <w:tcPr>
            <w:tcW w:w="1488" w:type="dxa"/>
          </w:tcPr>
          <w:p w14:paraId="628F4DAC" w14:textId="7AE9DCDD" w:rsidR="005A1A1E" w:rsidRPr="0099722D" w:rsidRDefault="005A1A1E" w:rsidP="005A1A1E">
            <w:pPr>
              <w:rPr>
                <w:lang w:val="en-AU"/>
              </w:rPr>
            </w:pPr>
            <w:r>
              <w:rPr>
                <w:lang w:val="en-AU"/>
              </w:rPr>
              <w:t>NSW</w:t>
            </w:r>
          </w:p>
        </w:tc>
        <w:tc>
          <w:tcPr>
            <w:tcW w:w="2135" w:type="dxa"/>
          </w:tcPr>
          <w:p w14:paraId="2EA3BB31" w14:textId="0D3779A9" w:rsidR="005A1A1E" w:rsidRPr="0099722D" w:rsidRDefault="005A1A1E" w:rsidP="005A1A1E">
            <w:pPr>
              <w:rPr>
                <w:lang w:val="en-AU"/>
              </w:rPr>
            </w:pPr>
            <w:r>
              <w:rPr>
                <w:lang w:val="en-AU"/>
              </w:rPr>
              <w:t>Endeavour Energy (D)</w:t>
            </w:r>
          </w:p>
        </w:tc>
        <w:tc>
          <w:tcPr>
            <w:tcW w:w="1115" w:type="dxa"/>
          </w:tcPr>
          <w:p w14:paraId="74BA2C9E" w14:textId="517AB6C2" w:rsidR="005A1A1E" w:rsidRPr="0099722D" w:rsidRDefault="005A1A1E" w:rsidP="005A1A1E">
            <w:pPr>
              <w:rPr>
                <w:lang w:val="en-AU"/>
              </w:rPr>
            </w:pPr>
            <w:r>
              <w:rPr>
                <w:lang w:val="en-AU"/>
              </w:rPr>
              <w:t>2008-12</w:t>
            </w:r>
          </w:p>
        </w:tc>
        <w:tc>
          <w:tcPr>
            <w:tcW w:w="1069" w:type="dxa"/>
          </w:tcPr>
          <w:p w14:paraId="254EADE0" w14:textId="1FE95B77" w:rsidR="005A1A1E" w:rsidRPr="0099722D" w:rsidRDefault="005A1A1E" w:rsidP="005A1A1E">
            <w:pPr>
              <w:rPr>
                <w:lang w:val="en-AU"/>
              </w:rPr>
            </w:pPr>
            <w:r>
              <w:rPr>
                <w:lang w:val="en-AU"/>
              </w:rPr>
              <w:t>2,500</w:t>
            </w:r>
          </w:p>
        </w:tc>
        <w:tc>
          <w:tcPr>
            <w:tcW w:w="1276" w:type="dxa"/>
          </w:tcPr>
          <w:p w14:paraId="3F3072E9" w14:textId="7613AA92" w:rsidR="005A1A1E" w:rsidRPr="0099722D" w:rsidRDefault="005A1A1E" w:rsidP="005A1A1E">
            <w:pPr>
              <w:rPr>
                <w:lang w:val="en-AU"/>
              </w:rPr>
            </w:pPr>
            <w:r>
              <w:rPr>
                <w:lang w:val="en-AU"/>
              </w:rPr>
              <w:t>DLC (</w:t>
            </w:r>
            <w:r w:rsidR="008171AF">
              <w:rPr>
                <w:lang w:val="en-AU"/>
              </w:rPr>
              <w:t>b</w:t>
            </w:r>
            <w:r>
              <w:rPr>
                <w:lang w:val="en-AU"/>
              </w:rPr>
              <w:t>)</w:t>
            </w:r>
          </w:p>
        </w:tc>
        <w:tc>
          <w:tcPr>
            <w:tcW w:w="2537" w:type="dxa"/>
          </w:tcPr>
          <w:p w14:paraId="5671233F" w14:textId="3A2FECB6" w:rsidR="005A1A1E" w:rsidRPr="0099722D" w:rsidRDefault="005A1A1E" w:rsidP="005A1A1E">
            <w:pPr>
              <w:rPr>
                <w:lang w:val="en-AU"/>
              </w:rPr>
            </w:pPr>
            <w:r w:rsidRPr="002E66DF">
              <w:t xml:space="preserve">Air conditioners </w:t>
            </w:r>
          </w:p>
        </w:tc>
      </w:tr>
      <w:tr w:rsidR="005A1A1E" w:rsidRPr="0099722D" w14:paraId="5D4BFBD7" w14:textId="77777777" w:rsidTr="008171AF">
        <w:tc>
          <w:tcPr>
            <w:tcW w:w="1488" w:type="dxa"/>
          </w:tcPr>
          <w:p w14:paraId="4322B72A" w14:textId="1D75B094" w:rsidR="005A1A1E" w:rsidRPr="0099722D" w:rsidRDefault="005A1A1E" w:rsidP="005A1A1E">
            <w:pPr>
              <w:rPr>
                <w:lang w:val="en-AU"/>
              </w:rPr>
            </w:pPr>
            <w:r>
              <w:rPr>
                <w:lang w:val="en-AU"/>
              </w:rPr>
              <w:t>SA</w:t>
            </w:r>
          </w:p>
        </w:tc>
        <w:tc>
          <w:tcPr>
            <w:tcW w:w="2135" w:type="dxa"/>
          </w:tcPr>
          <w:p w14:paraId="25D9AF76" w14:textId="51F49BA2" w:rsidR="005A1A1E" w:rsidRPr="0099722D" w:rsidRDefault="005A1A1E" w:rsidP="005A1A1E">
            <w:pPr>
              <w:rPr>
                <w:lang w:val="en-AU"/>
              </w:rPr>
            </w:pPr>
            <w:r>
              <w:rPr>
                <w:lang w:val="en-AU"/>
              </w:rPr>
              <w:t>ETSA Utilities (D)</w:t>
            </w:r>
          </w:p>
        </w:tc>
        <w:tc>
          <w:tcPr>
            <w:tcW w:w="1115" w:type="dxa"/>
          </w:tcPr>
          <w:p w14:paraId="76EF8116" w14:textId="4B78DF0A" w:rsidR="005A1A1E" w:rsidRPr="0099722D" w:rsidRDefault="005A1A1E" w:rsidP="005A1A1E">
            <w:pPr>
              <w:rPr>
                <w:lang w:val="en-AU"/>
              </w:rPr>
            </w:pPr>
            <w:r>
              <w:rPr>
                <w:lang w:val="en-AU"/>
              </w:rPr>
              <w:t>2010-12</w:t>
            </w:r>
          </w:p>
        </w:tc>
        <w:tc>
          <w:tcPr>
            <w:tcW w:w="1069" w:type="dxa"/>
          </w:tcPr>
          <w:p w14:paraId="5D381DA7" w14:textId="244D7260" w:rsidR="005A1A1E" w:rsidRPr="0099722D" w:rsidRDefault="005A1A1E" w:rsidP="005A1A1E">
            <w:pPr>
              <w:rPr>
                <w:lang w:val="en-AU"/>
              </w:rPr>
            </w:pPr>
            <w:r>
              <w:rPr>
                <w:lang w:val="en-AU"/>
              </w:rPr>
              <w:t>1,000</w:t>
            </w:r>
          </w:p>
        </w:tc>
        <w:tc>
          <w:tcPr>
            <w:tcW w:w="1276" w:type="dxa"/>
          </w:tcPr>
          <w:p w14:paraId="7E6C8341" w14:textId="3190B080" w:rsidR="005A1A1E" w:rsidRPr="0099722D" w:rsidRDefault="005A1A1E" w:rsidP="005A1A1E">
            <w:pPr>
              <w:rPr>
                <w:lang w:val="en-AU"/>
              </w:rPr>
            </w:pPr>
            <w:r>
              <w:rPr>
                <w:lang w:val="en-AU"/>
              </w:rPr>
              <w:t>DLC (</w:t>
            </w:r>
            <w:r w:rsidR="008171AF">
              <w:rPr>
                <w:lang w:val="en-AU"/>
              </w:rPr>
              <w:t>b</w:t>
            </w:r>
            <w:r>
              <w:rPr>
                <w:lang w:val="en-AU"/>
              </w:rPr>
              <w:t>)</w:t>
            </w:r>
          </w:p>
        </w:tc>
        <w:tc>
          <w:tcPr>
            <w:tcW w:w="2537" w:type="dxa"/>
          </w:tcPr>
          <w:p w14:paraId="4CD688D4" w14:textId="5B98C447" w:rsidR="005A1A1E" w:rsidRPr="0099722D" w:rsidRDefault="005A1A1E" w:rsidP="005A1A1E">
            <w:pPr>
              <w:rPr>
                <w:lang w:val="en-AU"/>
              </w:rPr>
            </w:pPr>
            <w:r w:rsidRPr="002E66DF">
              <w:t xml:space="preserve">Air conditioners </w:t>
            </w:r>
          </w:p>
        </w:tc>
      </w:tr>
      <w:tr w:rsidR="005A1A1E" w:rsidRPr="0099722D" w14:paraId="5DCA06AC" w14:textId="77777777" w:rsidTr="008171AF">
        <w:tc>
          <w:tcPr>
            <w:tcW w:w="1488" w:type="dxa"/>
          </w:tcPr>
          <w:p w14:paraId="4709443E" w14:textId="7D2AD364" w:rsidR="005A1A1E" w:rsidRPr="0099722D" w:rsidRDefault="005A1A1E" w:rsidP="005A1A1E">
            <w:pPr>
              <w:rPr>
                <w:lang w:val="en-AU"/>
              </w:rPr>
            </w:pPr>
            <w:r>
              <w:rPr>
                <w:lang w:val="en-AU"/>
              </w:rPr>
              <w:t>WA</w:t>
            </w:r>
          </w:p>
        </w:tc>
        <w:tc>
          <w:tcPr>
            <w:tcW w:w="2135" w:type="dxa"/>
          </w:tcPr>
          <w:p w14:paraId="498BCFE5" w14:textId="11FCF58E" w:rsidR="005A1A1E" w:rsidRPr="0099722D" w:rsidRDefault="005A1A1E" w:rsidP="005A1A1E">
            <w:pPr>
              <w:rPr>
                <w:lang w:val="en-AU"/>
              </w:rPr>
            </w:pPr>
            <w:r>
              <w:rPr>
                <w:lang w:val="en-AU"/>
              </w:rPr>
              <w:t>Western Power (D)</w:t>
            </w:r>
          </w:p>
        </w:tc>
        <w:tc>
          <w:tcPr>
            <w:tcW w:w="1115" w:type="dxa"/>
          </w:tcPr>
          <w:p w14:paraId="64AC593F" w14:textId="455DB09F" w:rsidR="005A1A1E" w:rsidRPr="0099722D" w:rsidRDefault="005A1A1E" w:rsidP="005A1A1E">
            <w:pPr>
              <w:rPr>
                <w:lang w:val="en-AU"/>
              </w:rPr>
            </w:pPr>
            <w:r>
              <w:rPr>
                <w:lang w:val="en-AU"/>
              </w:rPr>
              <w:t>2011-12</w:t>
            </w:r>
          </w:p>
        </w:tc>
        <w:tc>
          <w:tcPr>
            <w:tcW w:w="1069" w:type="dxa"/>
          </w:tcPr>
          <w:p w14:paraId="42E8B681" w14:textId="21A64906" w:rsidR="005A1A1E" w:rsidRPr="0099722D" w:rsidRDefault="005A1A1E" w:rsidP="005A1A1E">
            <w:pPr>
              <w:rPr>
                <w:lang w:val="en-AU"/>
              </w:rPr>
            </w:pPr>
            <w:r>
              <w:rPr>
                <w:lang w:val="en-AU"/>
              </w:rPr>
              <w:t>380</w:t>
            </w:r>
          </w:p>
        </w:tc>
        <w:tc>
          <w:tcPr>
            <w:tcW w:w="1276" w:type="dxa"/>
          </w:tcPr>
          <w:p w14:paraId="6F66A7AC" w14:textId="404C57BF" w:rsidR="005A1A1E" w:rsidRPr="0099722D" w:rsidRDefault="005A1A1E" w:rsidP="005A1A1E">
            <w:pPr>
              <w:rPr>
                <w:lang w:val="en-AU"/>
              </w:rPr>
            </w:pPr>
            <w:r>
              <w:rPr>
                <w:lang w:val="en-AU"/>
              </w:rPr>
              <w:t>DLC (</w:t>
            </w:r>
            <w:r w:rsidR="008171AF">
              <w:rPr>
                <w:lang w:val="en-AU"/>
              </w:rPr>
              <w:t>b</w:t>
            </w:r>
            <w:r>
              <w:rPr>
                <w:lang w:val="en-AU"/>
              </w:rPr>
              <w:t>)</w:t>
            </w:r>
          </w:p>
        </w:tc>
        <w:tc>
          <w:tcPr>
            <w:tcW w:w="2537" w:type="dxa"/>
          </w:tcPr>
          <w:p w14:paraId="74AE4CED" w14:textId="0EAEC08C" w:rsidR="005A1A1E" w:rsidRPr="0099722D" w:rsidRDefault="005A1A1E" w:rsidP="005A1A1E">
            <w:pPr>
              <w:rPr>
                <w:lang w:val="en-AU"/>
              </w:rPr>
            </w:pPr>
            <w:r w:rsidRPr="002E66DF">
              <w:t xml:space="preserve">Air conditioners </w:t>
            </w:r>
          </w:p>
        </w:tc>
      </w:tr>
      <w:tr w:rsidR="005A1A1E" w:rsidRPr="0099722D" w14:paraId="564360C1" w14:textId="77777777" w:rsidTr="008171AF">
        <w:tc>
          <w:tcPr>
            <w:tcW w:w="1488" w:type="dxa"/>
          </w:tcPr>
          <w:p w14:paraId="681DCC8D" w14:textId="71F1C28E" w:rsidR="005A1A1E" w:rsidRDefault="005A1A1E" w:rsidP="005A1A1E">
            <w:pPr>
              <w:rPr>
                <w:lang w:val="en-AU"/>
              </w:rPr>
            </w:pPr>
            <w:r>
              <w:rPr>
                <w:lang w:val="en-AU"/>
              </w:rPr>
              <w:t>Qld</w:t>
            </w:r>
          </w:p>
        </w:tc>
        <w:tc>
          <w:tcPr>
            <w:tcW w:w="2135" w:type="dxa"/>
          </w:tcPr>
          <w:p w14:paraId="5A3D2A3E" w14:textId="53B962DC" w:rsidR="005A1A1E" w:rsidRPr="0099722D" w:rsidRDefault="005A1A1E" w:rsidP="005A1A1E">
            <w:pPr>
              <w:rPr>
                <w:lang w:val="en-AU"/>
              </w:rPr>
            </w:pPr>
            <w:r>
              <w:rPr>
                <w:lang w:val="en-AU"/>
              </w:rPr>
              <w:t>Energex (D)</w:t>
            </w:r>
          </w:p>
        </w:tc>
        <w:tc>
          <w:tcPr>
            <w:tcW w:w="1115" w:type="dxa"/>
          </w:tcPr>
          <w:p w14:paraId="152C5C73" w14:textId="5CBCEE52" w:rsidR="005A1A1E" w:rsidRPr="0099722D" w:rsidRDefault="005A1A1E" w:rsidP="005A1A1E">
            <w:pPr>
              <w:rPr>
                <w:lang w:val="en-AU"/>
              </w:rPr>
            </w:pPr>
            <w:r>
              <w:rPr>
                <w:lang w:val="en-AU"/>
              </w:rPr>
              <w:t>2011-12</w:t>
            </w:r>
          </w:p>
        </w:tc>
        <w:tc>
          <w:tcPr>
            <w:tcW w:w="1069" w:type="dxa"/>
          </w:tcPr>
          <w:p w14:paraId="61E362E5" w14:textId="1865E32E" w:rsidR="005A1A1E" w:rsidRPr="0099722D" w:rsidRDefault="005A1A1E" w:rsidP="005A1A1E">
            <w:pPr>
              <w:rPr>
                <w:lang w:val="en-AU"/>
              </w:rPr>
            </w:pPr>
            <w:r>
              <w:rPr>
                <w:lang w:val="en-AU"/>
              </w:rPr>
              <w:t>200</w:t>
            </w:r>
          </w:p>
        </w:tc>
        <w:tc>
          <w:tcPr>
            <w:tcW w:w="1276" w:type="dxa"/>
          </w:tcPr>
          <w:p w14:paraId="0EBF95BA" w14:textId="63E5B41E" w:rsidR="005A1A1E" w:rsidRPr="0099722D" w:rsidRDefault="005A1A1E" w:rsidP="005A1A1E">
            <w:pPr>
              <w:rPr>
                <w:lang w:val="en-AU"/>
              </w:rPr>
            </w:pPr>
            <w:r>
              <w:rPr>
                <w:lang w:val="en-AU"/>
              </w:rPr>
              <w:t>DLC (</w:t>
            </w:r>
            <w:r w:rsidR="008171AF">
              <w:rPr>
                <w:lang w:val="en-AU"/>
              </w:rPr>
              <w:t>b</w:t>
            </w:r>
            <w:r>
              <w:rPr>
                <w:lang w:val="en-AU"/>
              </w:rPr>
              <w:t>)</w:t>
            </w:r>
          </w:p>
        </w:tc>
        <w:tc>
          <w:tcPr>
            <w:tcW w:w="2537" w:type="dxa"/>
          </w:tcPr>
          <w:p w14:paraId="6B55D117" w14:textId="611D6BC9" w:rsidR="005A1A1E" w:rsidRPr="0099722D" w:rsidRDefault="005A1A1E" w:rsidP="005A1A1E">
            <w:pPr>
              <w:rPr>
                <w:lang w:val="en-AU"/>
              </w:rPr>
            </w:pPr>
            <w:r w:rsidRPr="002E66DF">
              <w:t xml:space="preserve">Air conditioners </w:t>
            </w:r>
          </w:p>
        </w:tc>
      </w:tr>
      <w:tr w:rsidR="005A1A1E" w:rsidRPr="0099722D" w14:paraId="063A71FF" w14:textId="77777777" w:rsidTr="008171AF">
        <w:tc>
          <w:tcPr>
            <w:tcW w:w="1488" w:type="dxa"/>
          </w:tcPr>
          <w:p w14:paraId="435959F3" w14:textId="5E1A3B00" w:rsidR="005A1A1E" w:rsidRDefault="005A1A1E" w:rsidP="005A1A1E">
            <w:pPr>
              <w:rPr>
                <w:lang w:val="en-AU"/>
              </w:rPr>
            </w:pPr>
            <w:r>
              <w:rPr>
                <w:lang w:val="en-AU"/>
              </w:rPr>
              <w:t>ACT</w:t>
            </w:r>
          </w:p>
        </w:tc>
        <w:tc>
          <w:tcPr>
            <w:tcW w:w="2135" w:type="dxa"/>
          </w:tcPr>
          <w:p w14:paraId="55DC99A4" w14:textId="3140F26C" w:rsidR="005A1A1E" w:rsidRPr="0099722D" w:rsidRDefault="005A1A1E" w:rsidP="005A1A1E">
            <w:pPr>
              <w:rPr>
                <w:lang w:val="en-AU"/>
              </w:rPr>
            </w:pPr>
            <w:r>
              <w:rPr>
                <w:lang w:val="en-AU"/>
              </w:rPr>
              <w:t>ActewAGL (D)</w:t>
            </w:r>
          </w:p>
        </w:tc>
        <w:tc>
          <w:tcPr>
            <w:tcW w:w="1115" w:type="dxa"/>
          </w:tcPr>
          <w:p w14:paraId="7462D0A9" w14:textId="46E4FA03" w:rsidR="005A1A1E" w:rsidRPr="0099722D" w:rsidRDefault="005A1A1E" w:rsidP="005A1A1E">
            <w:pPr>
              <w:rPr>
                <w:lang w:val="en-AU"/>
              </w:rPr>
            </w:pPr>
            <w:r>
              <w:rPr>
                <w:lang w:val="en-AU"/>
              </w:rPr>
              <w:t>2011</w:t>
            </w:r>
          </w:p>
        </w:tc>
        <w:tc>
          <w:tcPr>
            <w:tcW w:w="1069" w:type="dxa"/>
          </w:tcPr>
          <w:p w14:paraId="0DEBDA9C" w14:textId="16CE7C52" w:rsidR="005A1A1E" w:rsidRPr="0099722D" w:rsidRDefault="005A1A1E" w:rsidP="005A1A1E">
            <w:pPr>
              <w:rPr>
                <w:lang w:val="en-AU"/>
              </w:rPr>
            </w:pPr>
            <w:r>
              <w:rPr>
                <w:lang w:val="en-AU"/>
              </w:rPr>
              <w:t>NA</w:t>
            </w:r>
          </w:p>
        </w:tc>
        <w:tc>
          <w:tcPr>
            <w:tcW w:w="1276" w:type="dxa"/>
          </w:tcPr>
          <w:p w14:paraId="2F13A1A5" w14:textId="42D90604" w:rsidR="005A1A1E" w:rsidRPr="0099722D" w:rsidRDefault="005A1A1E" w:rsidP="005A1A1E">
            <w:pPr>
              <w:rPr>
                <w:lang w:val="en-AU"/>
              </w:rPr>
            </w:pPr>
            <w:r>
              <w:rPr>
                <w:lang w:val="en-AU"/>
              </w:rPr>
              <w:t>DLC</w:t>
            </w:r>
          </w:p>
        </w:tc>
        <w:tc>
          <w:tcPr>
            <w:tcW w:w="2537" w:type="dxa"/>
          </w:tcPr>
          <w:p w14:paraId="2C2E45D9" w14:textId="40BCEF50" w:rsidR="005A1A1E" w:rsidRPr="0099722D" w:rsidRDefault="005A1A1E" w:rsidP="005A1A1E">
            <w:pPr>
              <w:rPr>
                <w:lang w:val="en-AU"/>
              </w:rPr>
            </w:pPr>
            <w:r w:rsidRPr="002E66DF">
              <w:t xml:space="preserve">Air conditioners </w:t>
            </w:r>
          </w:p>
        </w:tc>
      </w:tr>
      <w:tr w:rsidR="00A46787" w:rsidRPr="0099722D" w14:paraId="516DD141" w14:textId="77777777" w:rsidTr="008171AF">
        <w:tc>
          <w:tcPr>
            <w:tcW w:w="1488" w:type="dxa"/>
          </w:tcPr>
          <w:p w14:paraId="556B004D" w14:textId="1B767A8C" w:rsidR="00A46787" w:rsidRDefault="00A46787" w:rsidP="0099722D">
            <w:pPr>
              <w:rPr>
                <w:lang w:val="en-AU"/>
              </w:rPr>
            </w:pPr>
            <w:r>
              <w:rPr>
                <w:lang w:val="en-AU"/>
              </w:rPr>
              <w:t>NSW</w:t>
            </w:r>
          </w:p>
        </w:tc>
        <w:tc>
          <w:tcPr>
            <w:tcW w:w="2135" w:type="dxa"/>
          </w:tcPr>
          <w:p w14:paraId="04F76BAF" w14:textId="59B4CDDA" w:rsidR="00A46787" w:rsidRPr="0099722D" w:rsidRDefault="00A46787" w:rsidP="0099722D">
            <w:pPr>
              <w:rPr>
                <w:lang w:val="en-AU"/>
              </w:rPr>
            </w:pPr>
            <w:r>
              <w:rPr>
                <w:lang w:val="en-AU"/>
              </w:rPr>
              <w:t>Ausgrid (D)</w:t>
            </w:r>
          </w:p>
        </w:tc>
        <w:tc>
          <w:tcPr>
            <w:tcW w:w="1115" w:type="dxa"/>
          </w:tcPr>
          <w:p w14:paraId="22EAC6A8" w14:textId="0E959B44" w:rsidR="00A46787" w:rsidRPr="0099722D" w:rsidRDefault="00A46787" w:rsidP="0099722D">
            <w:pPr>
              <w:rPr>
                <w:lang w:val="en-AU"/>
              </w:rPr>
            </w:pPr>
            <w:r>
              <w:rPr>
                <w:lang w:val="en-AU"/>
              </w:rPr>
              <w:t>2011-15</w:t>
            </w:r>
          </w:p>
        </w:tc>
        <w:tc>
          <w:tcPr>
            <w:tcW w:w="1069" w:type="dxa"/>
          </w:tcPr>
          <w:p w14:paraId="23D3E9B5" w14:textId="6171D604" w:rsidR="00A46787" w:rsidRPr="0099722D" w:rsidRDefault="00A46787" w:rsidP="0099722D">
            <w:pPr>
              <w:rPr>
                <w:lang w:val="en-AU"/>
              </w:rPr>
            </w:pPr>
            <w:r>
              <w:rPr>
                <w:lang w:val="en-AU"/>
              </w:rPr>
              <w:t>44</w:t>
            </w:r>
          </w:p>
        </w:tc>
        <w:tc>
          <w:tcPr>
            <w:tcW w:w="1276" w:type="dxa"/>
          </w:tcPr>
          <w:p w14:paraId="1CFE1072" w14:textId="372BF24A" w:rsidR="00A46787" w:rsidRPr="0099722D" w:rsidRDefault="00A46787" w:rsidP="0099722D">
            <w:pPr>
              <w:rPr>
                <w:lang w:val="en-AU"/>
              </w:rPr>
            </w:pPr>
            <w:r>
              <w:rPr>
                <w:lang w:val="en-AU"/>
              </w:rPr>
              <w:t>DLC</w:t>
            </w:r>
          </w:p>
        </w:tc>
        <w:tc>
          <w:tcPr>
            <w:tcW w:w="2537" w:type="dxa"/>
          </w:tcPr>
          <w:p w14:paraId="13B993F5" w14:textId="24F37167" w:rsidR="00A46787" w:rsidRPr="0099722D" w:rsidRDefault="00A46787" w:rsidP="0099722D">
            <w:pPr>
              <w:rPr>
                <w:lang w:val="en-AU"/>
              </w:rPr>
            </w:pPr>
            <w:r>
              <w:rPr>
                <w:lang w:val="en-AU"/>
              </w:rPr>
              <w:t>Small electric water heaters</w:t>
            </w:r>
          </w:p>
        </w:tc>
      </w:tr>
      <w:tr w:rsidR="005A1A1E" w:rsidRPr="0099722D" w14:paraId="1BCE4642" w14:textId="77777777" w:rsidTr="008171AF">
        <w:tc>
          <w:tcPr>
            <w:tcW w:w="1488" w:type="dxa"/>
          </w:tcPr>
          <w:p w14:paraId="1E462170" w14:textId="0D44DBE0" w:rsidR="005A1A1E" w:rsidRDefault="005A1A1E" w:rsidP="0099722D">
            <w:pPr>
              <w:rPr>
                <w:lang w:val="en-AU"/>
              </w:rPr>
            </w:pPr>
            <w:r>
              <w:rPr>
                <w:lang w:val="en-AU"/>
              </w:rPr>
              <w:t>NSW</w:t>
            </w:r>
          </w:p>
        </w:tc>
        <w:tc>
          <w:tcPr>
            <w:tcW w:w="2135" w:type="dxa"/>
          </w:tcPr>
          <w:p w14:paraId="037D9A83" w14:textId="2AF9FFAA" w:rsidR="005A1A1E" w:rsidRPr="0099722D" w:rsidRDefault="005A1A1E" w:rsidP="0099722D">
            <w:pPr>
              <w:rPr>
                <w:lang w:val="en-AU"/>
              </w:rPr>
            </w:pPr>
            <w:r>
              <w:rPr>
                <w:lang w:val="en-AU"/>
              </w:rPr>
              <w:t>Ausgrid (D)</w:t>
            </w:r>
          </w:p>
        </w:tc>
        <w:tc>
          <w:tcPr>
            <w:tcW w:w="1115" w:type="dxa"/>
          </w:tcPr>
          <w:p w14:paraId="049D3862" w14:textId="7AD7B96A" w:rsidR="005A1A1E" w:rsidRPr="0099722D" w:rsidRDefault="005A1A1E" w:rsidP="0099722D">
            <w:pPr>
              <w:rPr>
                <w:lang w:val="en-AU"/>
              </w:rPr>
            </w:pPr>
            <w:r>
              <w:rPr>
                <w:lang w:val="en-AU"/>
              </w:rPr>
              <w:t>2012-2016</w:t>
            </w:r>
          </w:p>
        </w:tc>
        <w:tc>
          <w:tcPr>
            <w:tcW w:w="1069" w:type="dxa"/>
          </w:tcPr>
          <w:p w14:paraId="1E88C233" w14:textId="2E10AB6F" w:rsidR="005A1A1E" w:rsidRPr="0099722D" w:rsidRDefault="005A1A1E" w:rsidP="0099722D">
            <w:pPr>
              <w:rPr>
                <w:lang w:val="en-AU"/>
              </w:rPr>
            </w:pPr>
            <w:r>
              <w:rPr>
                <w:lang w:val="en-AU"/>
              </w:rPr>
              <w:t>100</w:t>
            </w:r>
          </w:p>
        </w:tc>
        <w:tc>
          <w:tcPr>
            <w:tcW w:w="1276" w:type="dxa"/>
          </w:tcPr>
          <w:p w14:paraId="7F8ED3A6" w14:textId="57C10DEE" w:rsidR="005A1A1E" w:rsidRPr="0099722D" w:rsidRDefault="005A1A1E" w:rsidP="0099722D">
            <w:pPr>
              <w:rPr>
                <w:lang w:val="en-AU"/>
              </w:rPr>
            </w:pPr>
            <w:r>
              <w:rPr>
                <w:lang w:val="en-AU"/>
              </w:rPr>
              <w:t>DLC (</w:t>
            </w:r>
            <w:r w:rsidR="008171AF">
              <w:rPr>
                <w:lang w:val="en-AU"/>
              </w:rPr>
              <w:t>b</w:t>
            </w:r>
            <w:r>
              <w:rPr>
                <w:lang w:val="en-AU"/>
              </w:rPr>
              <w:t>)</w:t>
            </w:r>
          </w:p>
        </w:tc>
        <w:tc>
          <w:tcPr>
            <w:tcW w:w="2537" w:type="dxa"/>
          </w:tcPr>
          <w:p w14:paraId="255A7F31" w14:textId="1ED41202" w:rsidR="005A1A1E" w:rsidRPr="0099722D" w:rsidRDefault="005A1A1E" w:rsidP="0099722D">
            <w:pPr>
              <w:rPr>
                <w:lang w:val="en-AU"/>
              </w:rPr>
            </w:pPr>
            <w:r>
              <w:rPr>
                <w:lang w:val="en-AU"/>
              </w:rPr>
              <w:t xml:space="preserve">Air conditioners </w:t>
            </w:r>
          </w:p>
        </w:tc>
      </w:tr>
      <w:tr w:rsidR="00A46787" w:rsidRPr="0099722D" w14:paraId="72E9ECC1" w14:textId="77777777" w:rsidTr="008171AF">
        <w:tc>
          <w:tcPr>
            <w:tcW w:w="1488" w:type="dxa"/>
          </w:tcPr>
          <w:p w14:paraId="582DFF41" w14:textId="183459C2" w:rsidR="00A46787" w:rsidRDefault="00A46787" w:rsidP="0099722D">
            <w:pPr>
              <w:rPr>
                <w:lang w:val="en-AU"/>
              </w:rPr>
            </w:pPr>
            <w:r>
              <w:rPr>
                <w:lang w:val="en-AU"/>
              </w:rPr>
              <w:t>Vic, SA, NSW</w:t>
            </w:r>
          </w:p>
        </w:tc>
        <w:tc>
          <w:tcPr>
            <w:tcW w:w="2135" w:type="dxa"/>
          </w:tcPr>
          <w:p w14:paraId="77A63B20" w14:textId="4C96997B" w:rsidR="00A46787" w:rsidRPr="0099722D" w:rsidRDefault="005A1A1E" w:rsidP="0099722D">
            <w:pPr>
              <w:rPr>
                <w:lang w:val="en-AU"/>
              </w:rPr>
            </w:pPr>
            <w:r>
              <w:rPr>
                <w:lang w:val="en-AU"/>
              </w:rPr>
              <w:t>EnergyAustralia (R)</w:t>
            </w:r>
            <w:r w:rsidR="008171AF">
              <w:rPr>
                <w:lang w:val="en-AU"/>
              </w:rPr>
              <w:t>(a)</w:t>
            </w:r>
          </w:p>
        </w:tc>
        <w:tc>
          <w:tcPr>
            <w:tcW w:w="1115" w:type="dxa"/>
          </w:tcPr>
          <w:p w14:paraId="4185CF0B" w14:textId="3DEA8C54" w:rsidR="00A46787" w:rsidRPr="0099722D" w:rsidRDefault="005A1A1E" w:rsidP="0099722D">
            <w:pPr>
              <w:rPr>
                <w:lang w:val="en-AU"/>
              </w:rPr>
            </w:pPr>
            <w:r>
              <w:rPr>
                <w:lang w:val="en-AU"/>
              </w:rPr>
              <w:t>2018-2019</w:t>
            </w:r>
          </w:p>
        </w:tc>
        <w:tc>
          <w:tcPr>
            <w:tcW w:w="1069" w:type="dxa"/>
          </w:tcPr>
          <w:p w14:paraId="4564B190" w14:textId="7826CA84" w:rsidR="00A46787" w:rsidRPr="0099722D" w:rsidRDefault="00326015" w:rsidP="0099722D">
            <w:pPr>
              <w:rPr>
                <w:lang w:val="en-AU"/>
              </w:rPr>
            </w:pPr>
            <w:r>
              <w:rPr>
                <w:lang w:val="en-AU"/>
              </w:rPr>
              <w:t>450</w:t>
            </w:r>
          </w:p>
        </w:tc>
        <w:tc>
          <w:tcPr>
            <w:tcW w:w="1276" w:type="dxa"/>
          </w:tcPr>
          <w:p w14:paraId="28093CD6" w14:textId="70C657AE" w:rsidR="00A46787" w:rsidRPr="0099722D" w:rsidRDefault="005A1A1E" w:rsidP="0099722D">
            <w:pPr>
              <w:rPr>
                <w:lang w:val="en-AU"/>
              </w:rPr>
            </w:pPr>
            <w:r>
              <w:rPr>
                <w:lang w:val="en-AU"/>
              </w:rPr>
              <w:t>BE, DLC</w:t>
            </w:r>
            <w:r w:rsidR="008171AF">
              <w:rPr>
                <w:lang w:val="en-AU"/>
              </w:rPr>
              <w:t xml:space="preserve"> </w:t>
            </w:r>
            <w:r>
              <w:rPr>
                <w:lang w:val="en-AU"/>
              </w:rPr>
              <w:t xml:space="preserve"> </w:t>
            </w:r>
          </w:p>
        </w:tc>
        <w:tc>
          <w:tcPr>
            <w:tcW w:w="2537" w:type="dxa"/>
          </w:tcPr>
          <w:p w14:paraId="42FCAF9D" w14:textId="4FB916FF" w:rsidR="00A46787" w:rsidRPr="0099722D" w:rsidRDefault="005A1A1E" w:rsidP="0099722D">
            <w:pPr>
              <w:rPr>
                <w:lang w:val="en-AU"/>
              </w:rPr>
            </w:pPr>
            <w:r>
              <w:rPr>
                <w:lang w:val="en-AU"/>
              </w:rPr>
              <w:t>Air conditioners, Pool pumps, Batteries</w:t>
            </w:r>
          </w:p>
        </w:tc>
      </w:tr>
      <w:tr w:rsidR="00A46787" w:rsidRPr="0099722D" w14:paraId="08E15CEF" w14:textId="77777777" w:rsidTr="008171AF">
        <w:tc>
          <w:tcPr>
            <w:tcW w:w="1488" w:type="dxa"/>
          </w:tcPr>
          <w:p w14:paraId="74973950" w14:textId="46E3A8BA" w:rsidR="00A46787" w:rsidRDefault="00A46787" w:rsidP="0099722D">
            <w:pPr>
              <w:rPr>
                <w:lang w:val="en-AU"/>
              </w:rPr>
            </w:pPr>
            <w:r>
              <w:rPr>
                <w:lang w:val="en-AU"/>
              </w:rPr>
              <w:t>Vic</w:t>
            </w:r>
          </w:p>
        </w:tc>
        <w:tc>
          <w:tcPr>
            <w:tcW w:w="2135" w:type="dxa"/>
          </w:tcPr>
          <w:p w14:paraId="687EA8F9" w14:textId="7BCC4D17" w:rsidR="00A46787" w:rsidRPr="0099722D" w:rsidRDefault="005A1A1E" w:rsidP="0099722D">
            <w:pPr>
              <w:rPr>
                <w:lang w:val="en-AU"/>
              </w:rPr>
            </w:pPr>
            <w:r>
              <w:rPr>
                <w:lang w:val="en-AU"/>
              </w:rPr>
              <w:t>Powershop (R)</w:t>
            </w:r>
            <w:r w:rsidR="008171AF">
              <w:rPr>
                <w:lang w:val="en-AU"/>
              </w:rPr>
              <w:t>(a)</w:t>
            </w:r>
          </w:p>
        </w:tc>
        <w:tc>
          <w:tcPr>
            <w:tcW w:w="1115" w:type="dxa"/>
          </w:tcPr>
          <w:p w14:paraId="558E4DB1" w14:textId="67D85226" w:rsidR="00A46787" w:rsidRPr="0099722D" w:rsidRDefault="005A1A1E" w:rsidP="0099722D">
            <w:pPr>
              <w:rPr>
                <w:lang w:val="en-AU"/>
              </w:rPr>
            </w:pPr>
            <w:r>
              <w:rPr>
                <w:lang w:val="en-AU"/>
              </w:rPr>
              <w:t>2018-2019</w:t>
            </w:r>
          </w:p>
        </w:tc>
        <w:tc>
          <w:tcPr>
            <w:tcW w:w="1069" w:type="dxa"/>
          </w:tcPr>
          <w:p w14:paraId="4F4767AD" w14:textId="2518C9B4" w:rsidR="00A46787" w:rsidRPr="0099722D" w:rsidRDefault="00C56222" w:rsidP="0099722D">
            <w:pPr>
              <w:rPr>
                <w:lang w:val="en-AU"/>
              </w:rPr>
            </w:pPr>
            <w:r>
              <w:rPr>
                <w:lang w:val="en-AU"/>
              </w:rPr>
              <w:t>10,600</w:t>
            </w:r>
          </w:p>
        </w:tc>
        <w:tc>
          <w:tcPr>
            <w:tcW w:w="1276" w:type="dxa"/>
          </w:tcPr>
          <w:p w14:paraId="1957C3F7" w14:textId="58786FCC" w:rsidR="00A46787" w:rsidRPr="0099722D" w:rsidRDefault="005A1A1E" w:rsidP="0099722D">
            <w:pPr>
              <w:rPr>
                <w:lang w:val="en-AU"/>
              </w:rPr>
            </w:pPr>
            <w:r>
              <w:rPr>
                <w:lang w:val="en-AU"/>
              </w:rPr>
              <w:t>BE, DLC</w:t>
            </w:r>
          </w:p>
        </w:tc>
        <w:tc>
          <w:tcPr>
            <w:tcW w:w="2537" w:type="dxa"/>
          </w:tcPr>
          <w:p w14:paraId="016132AA" w14:textId="33A07B45" w:rsidR="00A46787" w:rsidRPr="0099722D" w:rsidRDefault="005A1A1E" w:rsidP="0099722D">
            <w:pPr>
              <w:rPr>
                <w:lang w:val="en-AU"/>
              </w:rPr>
            </w:pPr>
            <w:r>
              <w:rPr>
                <w:lang w:val="en-AU"/>
              </w:rPr>
              <w:t>PV, Batteries</w:t>
            </w:r>
          </w:p>
        </w:tc>
      </w:tr>
      <w:tr w:rsidR="00A46787" w:rsidRPr="0099722D" w14:paraId="6FE066DA" w14:textId="77777777" w:rsidTr="008171AF">
        <w:tc>
          <w:tcPr>
            <w:tcW w:w="1488" w:type="dxa"/>
          </w:tcPr>
          <w:p w14:paraId="0DA0B94F" w14:textId="55CFA7FC" w:rsidR="00A46787" w:rsidRDefault="00A46787" w:rsidP="0099722D">
            <w:pPr>
              <w:rPr>
                <w:lang w:val="en-AU"/>
              </w:rPr>
            </w:pPr>
            <w:r>
              <w:rPr>
                <w:lang w:val="en-AU"/>
              </w:rPr>
              <w:t>SA, Vic</w:t>
            </w:r>
          </w:p>
        </w:tc>
        <w:tc>
          <w:tcPr>
            <w:tcW w:w="2135" w:type="dxa"/>
          </w:tcPr>
          <w:p w14:paraId="69F1D2F4" w14:textId="7DF05A1B" w:rsidR="00A46787" w:rsidRPr="0099722D" w:rsidRDefault="005A1A1E" w:rsidP="0099722D">
            <w:pPr>
              <w:rPr>
                <w:lang w:val="en-AU"/>
              </w:rPr>
            </w:pPr>
            <w:r>
              <w:rPr>
                <w:lang w:val="en-AU"/>
              </w:rPr>
              <w:t>Zen EcoSystems (A)</w:t>
            </w:r>
            <w:r w:rsidR="008171AF">
              <w:rPr>
                <w:lang w:val="en-AU"/>
              </w:rPr>
              <w:t>(a)</w:t>
            </w:r>
          </w:p>
        </w:tc>
        <w:tc>
          <w:tcPr>
            <w:tcW w:w="1115" w:type="dxa"/>
          </w:tcPr>
          <w:p w14:paraId="3AF81357" w14:textId="2EE71813" w:rsidR="00A46787" w:rsidRPr="0099722D" w:rsidRDefault="005A1A1E" w:rsidP="0099722D">
            <w:pPr>
              <w:rPr>
                <w:lang w:val="en-AU"/>
              </w:rPr>
            </w:pPr>
            <w:r>
              <w:rPr>
                <w:lang w:val="en-AU"/>
              </w:rPr>
              <w:t>2018-2019</w:t>
            </w:r>
          </w:p>
        </w:tc>
        <w:tc>
          <w:tcPr>
            <w:tcW w:w="1069" w:type="dxa"/>
          </w:tcPr>
          <w:p w14:paraId="5A0AD515" w14:textId="4C770C86" w:rsidR="00A46787" w:rsidRPr="0099722D" w:rsidRDefault="00C56222" w:rsidP="0099722D">
            <w:pPr>
              <w:rPr>
                <w:lang w:val="en-AU"/>
              </w:rPr>
            </w:pPr>
            <w:r>
              <w:rPr>
                <w:lang w:val="en-AU"/>
              </w:rPr>
              <w:t>1,400</w:t>
            </w:r>
          </w:p>
        </w:tc>
        <w:tc>
          <w:tcPr>
            <w:tcW w:w="1276" w:type="dxa"/>
          </w:tcPr>
          <w:p w14:paraId="0BDCB10A" w14:textId="6098700B" w:rsidR="00A46787" w:rsidRPr="0099722D" w:rsidRDefault="005A1A1E" w:rsidP="0099722D">
            <w:pPr>
              <w:rPr>
                <w:lang w:val="en-AU"/>
              </w:rPr>
            </w:pPr>
            <w:r>
              <w:rPr>
                <w:lang w:val="en-AU"/>
              </w:rPr>
              <w:t>BE</w:t>
            </w:r>
          </w:p>
        </w:tc>
        <w:tc>
          <w:tcPr>
            <w:tcW w:w="2537" w:type="dxa"/>
          </w:tcPr>
          <w:p w14:paraId="6C9D76B8" w14:textId="570592C7" w:rsidR="00A46787" w:rsidRPr="0099722D" w:rsidRDefault="00A46787" w:rsidP="0099722D">
            <w:pPr>
              <w:rPr>
                <w:lang w:val="en-AU"/>
              </w:rPr>
            </w:pPr>
          </w:p>
        </w:tc>
      </w:tr>
      <w:tr w:rsidR="00A46787" w:rsidRPr="0099722D" w14:paraId="15482F77" w14:textId="77777777" w:rsidTr="008171AF">
        <w:tc>
          <w:tcPr>
            <w:tcW w:w="1488" w:type="dxa"/>
          </w:tcPr>
          <w:p w14:paraId="1F634CE9" w14:textId="1E4950D9" w:rsidR="00A46787" w:rsidRDefault="00A46787" w:rsidP="0099722D">
            <w:pPr>
              <w:rPr>
                <w:lang w:val="en-AU"/>
              </w:rPr>
            </w:pPr>
            <w:r>
              <w:rPr>
                <w:lang w:val="en-AU"/>
              </w:rPr>
              <w:t>NSW</w:t>
            </w:r>
          </w:p>
        </w:tc>
        <w:tc>
          <w:tcPr>
            <w:tcW w:w="2135" w:type="dxa"/>
          </w:tcPr>
          <w:p w14:paraId="3F8A558B" w14:textId="52C7D1D0" w:rsidR="00A46787" w:rsidRPr="0099722D" w:rsidRDefault="005A1A1E" w:rsidP="0099722D">
            <w:pPr>
              <w:rPr>
                <w:lang w:val="en-AU"/>
              </w:rPr>
            </w:pPr>
            <w:r>
              <w:rPr>
                <w:lang w:val="en-AU"/>
              </w:rPr>
              <w:t>AGL (R)</w:t>
            </w:r>
            <w:r w:rsidR="008171AF">
              <w:rPr>
                <w:lang w:val="en-AU"/>
              </w:rPr>
              <w:t>(a)</w:t>
            </w:r>
          </w:p>
        </w:tc>
        <w:tc>
          <w:tcPr>
            <w:tcW w:w="1115" w:type="dxa"/>
          </w:tcPr>
          <w:p w14:paraId="67117632" w14:textId="740B5888" w:rsidR="00A46787" w:rsidRPr="0099722D" w:rsidRDefault="005A1A1E" w:rsidP="0099722D">
            <w:pPr>
              <w:rPr>
                <w:lang w:val="en-AU"/>
              </w:rPr>
            </w:pPr>
            <w:r>
              <w:rPr>
                <w:lang w:val="en-AU"/>
              </w:rPr>
              <w:t>2018-2019</w:t>
            </w:r>
          </w:p>
        </w:tc>
        <w:tc>
          <w:tcPr>
            <w:tcW w:w="1069" w:type="dxa"/>
          </w:tcPr>
          <w:p w14:paraId="23F0406C" w14:textId="151B0789" w:rsidR="00A46787" w:rsidRPr="0099722D" w:rsidRDefault="00C56222" w:rsidP="0099722D">
            <w:pPr>
              <w:rPr>
                <w:lang w:val="en-AU"/>
              </w:rPr>
            </w:pPr>
            <w:r>
              <w:rPr>
                <w:lang w:val="en-AU"/>
              </w:rPr>
              <w:t>700,73</w:t>
            </w:r>
          </w:p>
        </w:tc>
        <w:tc>
          <w:tcPr>
            <w:tcW w:w="1276" w:type="dxa"/>
          </w:tcPr>
          <w:p w14:paraId="5B408701" w14:textId="51DDE93A" w:rsidR="00A46787" w:rsidRPr="0099722D" w:rsidRDefault="005A1A1E" w:rsidP="0099722D">
            <w:pPr>
              <w:rPr>
                <w:lang w:val="en-AU"/>
              </w:rPr>
            </w:pPr>
            <w:r>
              <w:rPr>
                <w:lang w:val="en-AU"/>
              </w:rPr>
              <w:t>BE, DLC</w:t>
            </w:r>
            <w:r w:rsidR="008171AF">
              <w:rPr>
                <w:lang w:val="en-AU"/>
              </w:rPr>
              <w:t xml:space="preserve"> (b)</w:t>
            </w:r>
          </w:p>
        </w:tc>
        <w:tc>
          <w:tcPr>
            <w:tcW w:w="2537" w:type="dxa"/>
          </w:tcPr>
          <w:p w14:paraId="52E4240F" w14:textId="38058D0A" w:rsidR="00A46787" w:rsidRPr="0099722D" w:rsidRDefault="005A1A1E" w:rsidP="0099722D">
            <w:pPr>
              <w:rPr>
                <w:lang w:val="en-AU"/>
              </w:rPr>
            </w:pPr>
            <w:r>
              <w:rPr>
                <w:lang w:val="en-AU"/>
              </w:rPr>
              <w:t xml:space="preserve">Air conditioners, EV charger </w:t>
            </w:r>
          </w:p>
        </w:tc>
      </w:tr>
      <w:tr w:rsidR="00A46787" w:rsidRPr="0099722D" w14:paraId="125EF2BC" w14:textId="77777777" w:rsidTr="008171AF">
        <w:tc>
          <w:tcPr>
            <w:tcW w:w="1488" w:type="dxa"/>
          </w:tcPr>
          <w:p w14:paraId="5E9C513F" w14:textId="5CFAF52D" w:rsidR="00A46787" w:rsidRDefault="00A46787" w:rsidP="0099722D">
            <w:pPr>
              <w:rPr>
                <w:lang w:val="en-AU"/>
              </w:rPr>
            </w:pPr>
            <w:r>
              <w:rPr>
                <w:lang w:val="en-AU"/>
              </w:rPr>
              <w:t>Vic</w:t>
            </w:r>
          </w:p>
        </w:tc>
        <w:tc>
          <w:tcPr>
            <w:tcW w:w="2135" w:type="dxa"/>
          </w:tcPr>
          <w:p w14:paraId="2DE5B81A" w14:textId="6749888B" w:rsidR="00A46787" w:rsidRPr="0099722D" w:rsidRDefault="005A1A1E" w:rsidP="0099722D">
            <w:pPr>
              <w:rPr>
                <w:lang w:val="en-AU"/>
              </w:rPr>
            </w:pPr>
            <w:r>
              <w:rPr>
                <w:lang w:val="en-AU"/>
              </w:rPr>
              <w:t>PowerCor (D)</w:t>
            </w:r>
          </w:p>
        </w:tc>
        <w:tc>
          <w:tcPr>
            <w:tcW w:w="1115" w:type="dxa"/>
          </w:tcPr>
          <w:p w14:paraId="54FC315E" w14:textId="0863B21B" w:rsidR="00A46787" w:rsidRPr="0099722D" w:rsidRDefault="005A1A1E" w:rsidP="0099722D">
            <w:pPr>
              <w:rPr>
                <w:lang w:val="en-AU"/>
              </w:rPr>
            </w:pPr>
            <w:r>
              <w:rPr>
                <w:lang w:val="en-AU"/>
              </w:rPr>
              <w:t>2018-2019</w:t>
            </w:r>
          </w:p>
        </w:tc>
        <w:tc>
          <w:tcPr>
            <w:tcW w:w="1069" w:type="dxa"/>
          </w:tcPr>
          <w:p w14:paraId="69FEB33F" w14:textId="3D4664E4" w:rsidR="00A46787" w:rsidRPr="0099722D" w:rsidRDefault="00C56222" w:rsidP="0099722D">
            <w:pPr>
              <w:rPr>
                <w:lang w:val="en-AU"/>
              </w:rPr>
            </w:pPr>
            <w:r>
              <w:rPr>
                <w:lang w:val="en-AU"/>
              </w:rPr>
              <w:t>NA</w:t>
            </w:r>
          </w:p>
        </w:tc>
        <w:tc>
          <w:tcPr>
            <w:tcW w:w="1276" w:type="dxa"/>
          </w:tcPr>
          <w:p w14:paraId="5F53795D" w14:textId="338F5BBD" w:rsidR="00A46787" w:rsidRPr="0099722D" w:rsidRDefault="005A1A1E" w:rsidP="0099722D">
            <w:pPr>
              <w:rPr>
                <w:lang w:val="en-AU"/>
              </w:rPr>
            </w:pPr>
            <w:r>
              <w:rPr>
                <w:lang w:val="en-AU"/>
              </w:rPr>
              <w:t>DLC</w:t>
            </w:r>
          </w:p>
        </w:tc>
        <w:tc>
          <w:tcPr>
            <w:tcW w:w="2537" w:type="dxa"/>
          </w:tcPr>
          <w:p w14:paraId="6B2F5864" w14:textId="76A54190" w:rsidR="00A46787" w:rsidRPr="0099722D" w:rsidRDefault="005A1A1E" w:rsidP="0099722D">
            <w:pPr>
              <w:rPr>
                <w:lang w:val="en-AU"/>
              </w:rPr>
            </w:pPr>
            <w:r>
              <w:rPr>
                <w:lang w:val="en-AU"/>
              </w:rPr>
              <w:t>Air conditioners</w:t>
            </w:r>
          </w:p>
        </w:tc>
      </w:tr>
    </w:tbl>
    <w:p w14:paraId="66340C84" w14:textId="6382F646" w:rsidR="0099722D" w:rsidRPr="00126810" w:rsidRDefault="00126810" w:rsidP="00126810">
      <w:pPr>
        <w:spacing w:before="120" w:after="120" w:line="276" w:lineRule="auto"/>
        <w:jc w:val="center"/>
        <w:rPr>
          <w:rFonts w:ascii="Calibri" w:eastAsia="Calibri" w:hAnsi="Calibri" w:cs="Calibri"/>
          <w:sz w:val="16"/>
          <w:szCs w:val="16"/>
          <w:lang w:val="en-AU"/>
        </w:rPr>
      </w:pPr>
      <w:r w:rsidRPr="00126810">
        <w:rPr>
          <w:rFonts w:ascii="Calibri" w:eastAsia="Calibri" w:hAnsi="Calibri" w:cs="Calibri"/>
          <w:sz w:val="16"/>
          <w:szCs w:val="16"/>
          <w:lang w:val="en-AU"/>
        </w:rPr>
        <w:t xml:space="preserve">Sources: </w:t>
      </w:r>
      <w:proofErr w:type="spellStart"/>
      <w:r w:rsidR="00EC153D">
        <w:rPr>
          <w:rFonts w:ascii="Calibri" w:eastAsia="Calibri" w:hAnsi="Calibri" w:cs="Calibri"/>
          <w:sz w:val="16"/>
          <w:szCs w:val="16"/>
          <w:lang w:val="en-AU"/>
        </w:rPr>
        <w:t>ENA</w:t>
      </w:r>
      <w:proofErr w:type="spellEnd"/>
      <w:r w:rsidR="00EC153D">
        <w:rPr>
          <w:rFonts w:ascii="Calibri" w:eastAsia="Calibri" w:hAnsi="Calibri" w:cs="Calibri"/>
          <w:sz w:val="16"/>
          <w:szCs w:val="16"/>
          <w:lang w:val="en-AU"/>
        </w:rPr>
        <w:t xml:space="preserve"> (2012), </w:t>
      </w:r>
      <w:r w:rsidRPr="00126810">
        <w:rPr>
          <w:rFonts w:ascii="Calibri" w:eastAsia="Calibri" w:hAnsi="Calibri" w:cs="Calibri"/>
          <w:sz w:val="16"/>
          <w:szCs w:val="16"/>
          <w:lang w:val="en-AU"/>
        </w:rPr>
        <w:t>DR RIS (2014</w:t>
      </w:r>
      <w:r>
        <w:rPr>
          <w:rFonts w:ascii="Calibri" w:eastAsia="Calibri" w:hAnsi="Calibri" w:cs="Calibri"/>
          <w:sz w:val="16"/>
          <w:szCs w:val="16"/>
          <w:lang w:val="en-AU"/>
        </w:rPr>
        <w:t xml:space="preserve"> Table 91</w:t>
      </w:r>
      <w:r w:rsidRPr="00126810">
        <w:rPr>
          <w:rFonts w:ascii="Calibri" w:eastAsia="Calibri" w:hAnsi="Calibri" w:cs="Calibri"/>
          <w:sz w:val="16"/>
          <w:szCs w:val="16"/>
          <w:lang w:val="en-AU"/>
        </w:rPr>
        <w:t>, Ausgrid (2018), ARENA (2019)</w:t>
      </w:r>
      <w:r>
        <w:rPr>
          <w:rFonts w:ascii="Calibri" w:eastAsia="Calibri" w:hAnsi="Calibri" w:cs="Calibri"/>
          <w:sz w:val="16"/>
          <w:szCs w:val="16"/>
          <w:lang w:val="en-AU"/>
        </w:rPr>
        <w:t>. (D) = Distributor, (R) = Retailer, (A) = Aggregator, DLC = Direct load control, BE = Behavioural. (</w:t>
      </w:r>
      <w:r w:rsidR="008171AF">
        <w:rPr>
          <w:rFonts w:ascii="Calibri" w:eastAsia="Calibri" w:hAnsi="Calibri" w:cs="Calibri"/>
          <w:sz w:val="16"/>
          <w:szCs w:val="16"/>
          <w:lang w:val="en-AU"/>
        </w:rPr>
        <w:t>a</w:t>
      </w:r>
      <w:r>
        <w:rPr>
          <w:rFonts w:ascii="Calibri" w:eastAsia="Calibri" w:hAnsi="Calibri" w:cs="Calibri"/>
          <w:sz w:val="16"/>
          <w:szCs w:val="16"/>
          <w:lang w:val="en-AU"/>
        </w:rPr>
        <w:t xml:space="preserve">) </w:t>
      </w:r>
      <w:r w:rsidR="008171AF">
        <w:rPr>
          <w:rFonts w:ascii="Calibri" w:eastAsia="Calibri" w:hAnsi="Calibri" w:cs="Calibri"/>
          <w:sz w:val="16"/>
          <w:szCs w:val="16"/>
          <w:lang w:val="en-AU"/>
        </w:rPr>
        <w:t>Funded through ARENA RERT Trials (b) Involv</w:t>
      </w:r>
      <w:r w:rsidR="00D12547">
        <w:rPr>
          <w:rFonts w:ascii="Calibri" w:eastAsia="Calibri" w:hAnsi="Calibri" w:cs="Calibri"/>
          <w:sz w:val="16"/>
          <w:szCs w:val="16"/>
          <w:lang w:val="en-AU"/>
        </w:rPr>
        <w:t xml:space="preserve">ing </w:t>
      </w:r>
      <w:r>
        <w:rPr>
          <w:rFonts w:ascii="Calibri" w:eastAsia="Calibri" w:hAnsi="Calibri" w:cs="Calibri"/>
          <w:sz w:val="16"/>
          <w:szCs w:val="16"/>
          <w:lang w:val="en-AU"/>
        </w:rPr>
        <w:t xml:space="preserve">AS/NZS 4755-compiant products </w:t>
      </w:r>
    </w:p>
    <w:p w14:paraId="09041327" w14:textId="54C70966" w:rsidR="0099722D" w:rsidRDefault="0099722D" w:rsidP="00334C33">
      <w:pPr>
        <w:spacing w:before="120" w:after="120" w:line="276" w:lineRule="auto"/>
        <w:rPr>
          <w:rFonts w:ascii="Calibri" w:eastAsia="Calibri" w:hAnsi="Calibri" w:cs="Calibri"/>
          <w:szCs w:val="20"/>
          <w:lang w:val="en-AU"/>
        </w:rPr>
      </w:pPr>
    </w:p>
    <w:p w14:paraId="72C07202" w14:textId="3BA36B9D" w:rsidR="00FB78EA" w:rsidRDefault="00FB78EA" w:rsidP="00334C33">
      <w:pPr>
        <w:spacing w:before="120" w:after="120" w:line="276" w:lineRule="auto"/>
        <w:rPr>
          <w:rFonts w:ascii="Calibri" w:eastAsia="Calibri" w:hAnsi="Calibri" w:cs="Calibri"/>
          <w:szCs w:val="20"/>
          <w:lang w:val="en-AU"/>
        </w:rPr>
      </w:pPr>
      <w:r>
        <w:rPr>
          <w:rFonts w:ascii="Calibri" w:eastAsia="Calibri" w:hAnsi="Calibri" w:cs="Calibri"/>
          <w:szCs w:val="20"/>
          <w:lang w:val="en-AU"/>
        </w:rPr>
        <w:t>The proliferation of DR trials and approaches, should they proceed to market offerings, carries the risk that consumers could be locked in</w:t>
      </w:r>
      <w:r w:rsidR="007307C0">
        <w:rPr>
          <w:rFonts w:ascii="Calibri" w:eastAsia="Calibri" w:hAnsi="Calibri" w:cs="Calibri"/>
          <w:szCs w:val="20"/>
          <w:lang w:val="en-AU"/>
        </w:rPr>
        <w:t xml:space="preserve"> with </w:t>
      </w:r>
      <w:proofErr w:type="gramStart"/>
      <w:r w:rsidR="00D02533">
        <w:rPr>
          <w:rFonts w:ascii="Calibri" w:eastAsia="Calibri" w:hAnsi="Calibri" w:cs="Calibri"/>
          <w:szCs w:val="20"/>
          <w:lang w:val="en-AU"/>
        </w:rPr>
        <w:t>particular service</w:t>
      </w:r>
      <w:proofErr w:type="gramEnd"/>
      <w:r w:rsidR="00D02533">
        <w:rPr>
          <w:rFonts w:ascii="Calibri" w:eastAsia="Calibri" w:hAnsi="Calibri" w:cs="Calibri"/>
          <w:szCs w:val="20"/>
          <w:lang w:val="en-AU"/>
        </w:rPr>
        <w:t xml:space="preserve"> providers through incompatible equipment and technology. This would run counter to the objective of</w:t>
      </w:r>
      <w:r w:rsidR="007307C0">
        <w:rPr>
          <w:rFonts w:ascii="Calibri" w:eastAsia="Calibri" w:hAnsi="Calibri" w:cs="Calibri"/>
          <w:szCs w:val="20"/>
          <w:lang w:val="en-AU"/>
        </w:rPr>
        <w:t xml:space="preserve"> increasing market competition by </w:t>
      </w:r>
      <w:r w:rsidR="00D02533">
        <w:rPr>
          <w:rFonts w:ascii="Calibri" w:eastAsia="Calibri" w:hAnsi="Calibri" w:cs="Calibri"/>
          <w:szCs w:val="20"/>
          <w:lang w:val="en-AU"/>
        </w:rPr>
        <w:t>enabling consumers to switch retailers more easily if they wish</w:t>
      </w:r>
      <w:r w:rsidR="007307C0">
        <w:rPr>
          <w:rFonts w:ascii="Calibri" w:eastAsia="Calibri" w:hAnsi="Calibri" w:cs="Calibri"/>
          <w:szCs w:val="20"/>
          <w:lang w:val="en-AU"/>
        </w:rPr>
        <w:t>.</w:t>
      </w:r>
      <w:r w:rsidR="00D02533">
        <w:rPr>
          <w:rFonts w:ascii="Calibri" w:eastAsia="Calibri" w:hAnsi="Calibri" w:cs="Calibri"/>
          <w:szCs w:val="20"/>
          <w:lang w:val="en-AU"/>
        </w:rPr>
        <w:t xml:space="preserve"> </w:t>
      </w:r>
    </w:p>
    <w:p w14:paraId="3FF2FFBF" w14:textId="0850E5DD" w:rsidR="008634E6" w:rsidRDefault="008634E6" w:rsidP="00334C33">
      <w:pPr>
        <w:spacing w:before="120" w:after="120" w:line="276" w:lineRule="auto"/>
        <w:rPr>
          <w:rFonts w:ascii="Calibri" w:eastAsia="Calibri" w:hAnsi="Calibri" w:cs="Calibri"/>
          <w:szCs w:val="20"/>
          <w:lang w:val="en-AU"/>
        </w:rPr>
      </w:pPr>
      <w:r>
        <w:rPr>
          <w:rFonts w:ascii="Calibri" w:eastAsia="Calibri" w:hAnsi="Calibri" w:cs="Calibri"/>
          <w:szCs w:val="20"/>
          <w:lang w:val="en-AU"/>
        </w:rPr>
        <w:t>Not all distributors and retailers have had success with DLC trials based on AS/NZS 4755-compliant products</w:t>
      </w:r>
      <w:r w:rsidR="00446204">
        <w:rPr>
          <w:rFonts w:ascii="Calibri" w:eastAsia="Calibri" w:hAnsi="Calibri" w:cs="Calibri"/>
          <w:szCs w:val="20"/>
          <w:lang w:val="en-AU"/>
        </w:rPr>
        <w:t xml:space="preserve">. However, the main barriers seem to be inconsistencies in </w:t>
      </w:r>
      <w:r w:rsidR="007307C0">
        <w:rPr>
          <w:rFonts w:ascii="Calibri" w:eastAsia="Calibri" w:hAnsi="Calibri" w:cs="Calibri"/>
          <w:szCs w:val="20"/>
          <w:lang w:val="en-AU"/>
        </w:rPr>
        <w:t xml:space="preserve">compliance </w:t>
      </w:r>
      <w:r w:rsidR="00446204">
        <w:rPr>
          <w:rFonts w:ascii="Calibri" w:eastAsia="Calibri" w:hAnsi="Calibri" w:cs="Calibri"/>
          <w:szCs w:val="20"/>
          <w:lang w:val="en-AU"/>
        </w:rPr>
        <w:t xml:space="preserve">(products </w:t>
      </w:r>
      <w:r w:rsidR="007307C0">
        <w:rPr>
          <w:rFonts w:ascii="Calibri" w:eastAsia="Calibri" w:hAnsi="Calibri" w:cs="Calibri"/>
          <w:szCs w:val="20"/>
          <w:lang w:val="en-AU"/>
        </w:rPr>
        <w:t>not always performing as required in the standards)</w:t>
      </w:r>
      <w:r w:rsidR="00446204">
        <w:rPr>
          <w:rStyle w:val="FootnoteReference"/>
          <w:rFonts w:ascii="Calibri" w:eastAsia="Calibri" w:hAnsi="Calibri" w:cs="Calibri"/>
          <w:szCs w:val="20"/>
          <w:lang w:val="en-AU"/>
        </w:rPr>
        <w:footnoteReference w:id="22"/>
      </w:r>
      <w:r w:rsidR="00446204">
        <w:rPr>
          <w:rFonts w:ascii="Calibri" w:eastAsia="Calibri" w:hAnsi="Calibri" w:cs="Calibri"/>
          <w:szCs w:val="20"/>
          <w:lang w:val="en-AU"/>
        </w:rPr>
        <w:t xml:space="preserve"> and the fact that the low penetration of compliant products is insufficient to sustain cost-effective market offerings.</w:t>
      </w:r>
      <w:r w:rsidR="00446204">
        <w:rPr>
          <w:rStyle w:val="FootnoteReference"/>
          <w:rFonts w:ascii="Calibri" w:eastAsia="Calibri" w:hAnsi="Calibri" w:cs="Calibri"/>
          <w:szCs w:val="20"/>
          <w:lang w:val="en-AU"/>
        </w:rPr>
        <w:footnoteReference w:id="23"/>
      </w:r>
      <w:r w:rsidR="00446204">
        <w:rPr>
          <w:rFonts w:ascii="Calibri" w:eastAsia="Calibri" w:hAnsi="Calibri" w:cs="Calibri"/>
          <w:szCs w:val="20"/>
          <w:lang w:val="en-AU"/>
        </w:rPr>
        <w:t xml:space="preserve"> Consumer acceptance of DLC has been reported to be high, even in trials not otherwise considered successful.  </w:t>
      </w:r>
    </w:p>
    <w:p w14:paraId="73679150" w14:textId="3E1D5585" w:rsidR="00725B94" w:rsidRPr="00D12547" w:rsidRDefault="00725B94" w:rsidP="00725B94">
      <w:pPr>
        <w:spacing w:before="120" w:after="120" w:line="276" w:lineRule="auto"/>
        <w:rPr>
          <w:rFonts w:ascii="Tahoma" w:hAnsi="Tahoma" w:cs="Tahoma"/>
          <w:color w:val="272626"/>
        </w:rPr>
      </w:pPr>
      <w:r>
        <w:rPr>
          <w:rFonts w:ascii="Calibri" w:eastAsia="Calibri" w:hAnsi="Calibri" w:cs="Calibri"/>
          <w:szCs w:val="20"/>
          <w:lang w:val="en-AU"/>
        </w:rPr>
        <w:lastRenderedPageBreak/>
        <w:t>In 2018</w:t>
      </w:r>
      <w:r w:rsidR="00717C8B">
        <w:rPr>
          <w:rFonts w:ascii="Calibri" w:eastAsia="Calibri" w:hAnsi="Calibri" w:cs="Calibri"/>
          <w:szCs w:val="20"/>
          <w:lang w:val="en-AU"/>
        </w:rPr>
        <w:t>,</w:t>
      </w:r>
      <w:r>
        <w:rPr>
          <w:rFonts w:ascii="Calibri" w:eastAsia="Calibri" w:hAnsi="Calibri" w:cs="Calibri"/>
          <w:szCs w:val="20"/>
          <w:lang w:val="en-AU"/>
        </w:rPr>
        <w:t xml:space="preserve"> ARENA commissioned a Customer Insights Report which surveyed participants in the AGL, EnergyAustralia and Powershop trials (see </w:t>
      </w:r>
      <w:r>
        <w:rPr>
          <w:rFonts w:ascii="Calibri" w:eastAsia="Calibri" w:hAnsi="Calibri" w:cs="Calibri"/>
          <w:szCs w:val="20"/>
          <w:lang w:val="en-AU"/>
        </w:rPr>
        <w:fldChar w:fldCharType="begin"/>
      </w:r>
      <w:r>
        <w:rPr>
          <w:rFonts w:ascii="Calibri" w:eastAsia="Calibri" w:hAnsi="Calibri" w:cs="Calibri"/>
          <w:szCs w:val="20"/>
          <w:lang w:val="en-AU"/>
        </w:rPr>
        <w:instrText xml:space="preserve"> REF _Ref21945343 \h </w:instrText>
      </w:r>
      <w:r w:rsidR="005B1ACD">
        <w:rPr>
          <w:rFonts w:ascii="Calibri" w:eastAsia="Calibri" w:hAnsi="Calibri" w:cs="Calibri"/>
          <w:szCs w:val="20"/>
          <w:lang w:val="en-AU"/>
        </w:rPr>
        <w:instrText xml:space="preserve"> \* MERGEFORMAT </w:instrText>
      </w:r>
      <w:r>
        <w:rPr>
          <w:rFonts w:ascii="Calibri" w:eastAsia="Calibri" w:hAnsi="Calibri" w:cs="Calibri"/>
          <w:szCs w:val="20"/>
          <w:lang w:val="en-AU"/>
        </w:rPr>
      </w:r>
      <w:r>
        <w:rPr>
          <w:rFonts w:ascii="Calibri" w:eastAsia="Calibri" w:hAnsi="Calibri" w:cs="Calibri"/>
          <w:szCs w:val="20"/>
          <w:lang w:val="en-AU"/>
        </w:rPr>
        <w:fldChar w:fldCharType="separate"/>
      </w:r>
      <w:r w:rsidR="005B1ACD" w:rsidRPr="00126810">
        <w:rPr>
          <w:rFonts w:ascii="Calibri" w:eastAsia="Cambria" w:hAnsi="Calibri" w:cs="Calibri"/>
          <w:b/>
          <w:bCs/>
          <w:sz w:val="20"/>
          <w:szCs w:val="16"/>
          <w:lang w:val="en-AU"/>
        </w:rPr>
        <w:t>T</w:t>
      </w:r>
      <w:r w:rsidR="005B1ACD" w:rsidRPr="005B1ACD">
        <w:rPr>
          <w:rStyle w:val="FigreferenceChar"/>
        </w:rPr>
        <w:t>able 5</w:t>
      </w:r>
      <w:r>
        <w:rPr>
          <w:rFonts w:ascii="Calibri" w:eastAsia="Calibri" w:hAnsi="Calibri" w:cs="Calibri"/>
          <w:szCs w:val="20"/>
          <w:lang w:val="en-AU"/>
        </w:rPr>
        <w:fldChar w:fldCharType="end"/>
      </w:r>
      <w:r>
        <w:rPr>
          <w:rFonts w:ascii="Calibri" w:eastAsia="Calibri" w:hAnsi="Calibri" w:cs="Calibri"/>
          <w:szCs w:val="20"/>
          <w:lang w:val="en-AU"/>
        </w:rPr>
        <w:t xml:space="preserve">). </w:t>
      </w:r>
      <w:r w:rsidRPr="00D12547">
        <w:rPr>
          <w:rFonts w:ascii="Calibri" w:eastAsia="Calibri" w:hAnsi="Calibri" w:cs="Calibri"/>
          <w:lang w:val="en-AU"/>
        </w:rPr>
        <w:t>The study asked</w:t>
      </w:r>
      <w:r w:rsidR="00717C8B">
        <w:rPr>
          <w:rFonts w:ascii="Calibri" w:eastAsia="Calibri" w:hAnsi="Calibri" w:cs="Calibri"/>
          <w:lang w:val="en-AU"/>
        </w:rPr>
        <w:t>:</w:t>
      </w:r>
      <w:r w:rsidRPr="00D12547">
        <w:rPr>
          <w:rFonts w:ascii="Calibri" w:eastAsia="Calibri" w:hAnsi="Calibri" w:cs="Calibri"/>
          <w:lang w:val="en-AU"/>
        </w:rPr>
        <w:t xml:space="preserve"> </w:t>
      </w:r>
      <w:r w:rsidRPr="00D12547">
        <w:rPr>
          <w:rFonts w:ascii="Calibri" w:eastAsia="Calibri" w:hAnsi="Calibri" w:cs="Calibri"/>
          <w:szCs w:val="20"/>
          <w:lang w:val="en-AU"/>
        </w:rPr>
        <w:t>“Can a program in its current design be sustained over many years?” and concluded</w:t>
      </w:r>
      <w:r w:rsidRPr="00D12547">
        <w:rPr>
          <w:rFonts w:ascii="Tahoma" w:hAnsi="Tahoma" w:cs="Tahoma"/>
          <w:color w:val="272626"/>
        </w:rPr>
        <w:t>:</w:t>
      </w:r>
    </w:p>
    <w:p w14:paraId="12D1840A" w14:textId="14E2235F" w:rsidR="000D2929" w:rsidRPr="00D12547" w:rsidRDefault="00725B94" w:rsidP="008E7146">
      <w:pPr>
        <w:spacing w:before="120" w:after="120" w:line="276" w:lineRule="auto"/>
        <w:ind w:left="720" w:hanging="436"/>
        <w:rPr>
          <w:rFonts w:ascii="Calibri" w:eastAsia="Calibri" w:hAnsi="Calibri" w:cs="Calibri"/>
          <w:lang w:val="en-AU"/>
        </w:rPr>
      </w:pPr>
      <w:r w:rsidRPr="00D12547">
        <w:rPr>
          <w:rFonts w:ascii="Calibri" w:eastAsia="Calibri" w:hAnsi="Calibri" w:cs="Calibri"/>
          <w:lang w:val="en-AU"/>
        </w:rPr>
        <w:t xml:space="preserve">• </w:t>
      </w:r>
      <w:r w:rsidR="00717C8B">
        <w:rPr>
          <w:rFonts w:ascii="Calibri" w:eastAsia="Calibri" w:hAnsi="Calibri" w:cs="Calibri"/>
          <w:lang w:val="en-AU"/>
        </w:rPr>
        <w:tab/>
      </w:r>
      <w:r w:rsidRPr="00D12547">
        <w:rPr>
          <w:rFonts w:ascii="Calibri" w:eastAsia="Calibri" w:hAnsi="Calibri" w:cs="Calibri"/>
          <w:lang w:val="en-AU"/>
        </w:rPr>
        <w:t>The learning effect will reduce the overall impact of the program over time. As people apply energy management to their daily life, their ability to contribute at a certain event is bound to decrease</w:t>
      </w:r>
      <w:r w:rsidR="000D2929" w:rsidRPr="00D12547">
        <w:rPr>
          <w:rFonts w:ascii="Calibri" w:eastAsia="Calibri" w:hAnsi="Calibri" w:cs="Calibri"/>
          <w:lang w:val="en-AU"/>
        </w:rPr>
        <w:t>…</w:t>
      </w:r>
      <w:r w:rsidR="00717C8B">
        <w:rPr>
          <w:rFonts w:ascii="Calibri" w:eastAsia="Calibri" w:hAnsi="Calibri" w:cs="Calibri"/>
          <w:lang w:val="en-AU"/>
        </w:rPr>
        <w:t>;</w:t>
      </w:r>
      <w:r w:rsidRPr="00D12547">
        <w:rPr>
          <w:rFonts w:ascii="Calibri" w:eastAsia="Calibri" w:hAnsi="Calibri" w:cs="Calibri"/>
          <w:lang w:val="en-AU"/>
        </w:rPr>
        <w:t xml:space="preserve"> </w:t>
      </w:r>
    </w:p>
    <w:p w14:paraId="456BA0DE" w14:textId="7CBECF85" w:rsidR="00725B94" w:rsidRPr="00D12547" w:rsidRDefault="00725B94" w:rsidP="008E7146">
      <w:pPr>
        <w:spacing w:before="120" w:after="120" w:line="276" w:lineRule="auto"/>
        <w:ind w:left="720" w:hanging="436"/>
        <w:rPr>
          <w:rFonts w:ascii="Calibri" w:eastAsia="Calibri" w:hAnsi="Calibri" w:cs="Calibri"/>
          <w:lang w:val="en-AU"/>
        </w:rPr>
      </w:pPr>
      <w:r w:rsidRPr="00D12547">
        <w:rPr>
          <w:rFonts w:ascii="Calibri" w:eastAsia="Calibri" w:hAnsi="Calibri" w:cs="Calibri"/>
          <w:lang w:val="en-AU"/>
        </w:rPr>
        <w:t xml:space="preserve">• </w:t>
      </w:r>
      <w:r w:rsidR="00717C8B">
        <w:rPr>
          <w:rFonts w:ascii="Calibri" w:eastAsia="Calibri" w:hAnsi="Calibri" w:cs="Calibri"/>
          <w:lang w:val="en-AU"/>
        </w:rPr>
        <w:tab/>
      </w:r>
      <w:r w:rsidRPr="00D12547">
        <w:rPr>
          <w:rFonts w:ascii="Calibri" w:eastAsia="Calibri" w:hAnsi="Calibri" w:cs="Calibri"/>
          <w:lang w:val="en-AU"/>
        </w:rPr>
        <w:t>It is uncertain if the current design can sustain peoples’ level of interest over a longer period</w:t>
      </w:r>
      <w:r w:rsidR="000D2929" w:rsidRPr="00D12547">
        <w:rPr>
          <w:rFonts w:ascii="Calibri" w:eastAsia="Calibri" w:hAnsi="Calibri" w:cs="Calibri"/>
          <w:lang w:val="en-AU"/>
        </w:rPr>
        <w:t>…</w:t>
      </w:r>
      <w:r w:rsidR="00717C8B">
        <w:rPr>
          <w:rFonts w:ascii="Calibri" w:eastAsia="Calibri" w:hAnsi="Calibri" w:cs="Calibri"/>
          <w:lang w:val="en-AU"/>
        </w:rPr>
        <w:t>;</w:t>
      </w:r>
    </w:p>
    <w:p w14:paraId="4D073C3D" w14:textId="103BC524" w:rsidR="00725B94" w:rsidRPr="00D12547" w:rsidRDefault="00725B94" w:rsidP="008E7146">
      <w:pPr>
        <w:spacing w:before="120" w:after="120" w:line="276" w:lineRule="auto"/>
        <w:ind w:left="720" w:hanging="436"/>
        <w:rPr>
          <w:rFonts w:ascii="Calibri" w:eastAsia="Calibri" w:hAnsi="Calibri" w:cs="Calibri"/>
          <w:lang w:val="en-AU"/>
        </w:rPr>
      </w:pPr>
      <w:r w:rsidRPr="00D12547">
        <w:rPr>
          <w:rFonts w:ascii="Calibri" w:eastAsia="Calibri" w:hAnsi="Calibri" w:cs="Calibri"/>
          <w:lang w:val="en-AU"/>
        </w:rPr>
        <w:t xml:space="preserve">• </w:t>
      </w:r>
      <w:r w:rsidR="00717C8B">
        <w:rPr>
          <w:rFonts w:ascii="Calibri" w:eastAsia="Calibri" w:hAnsi="Calibri" w:cs="Calibri"/>
          <w:lang w:val="en-AU"/>
        </w:rPr>
        <w:tab/>
      </w:r>
      <w:r w:rsidRPr="00D12547">
        <w:rPr>
          <w:rFonts w:ascii="Calibri" w:eastAsia="Calibri" w:hAnsi="Calibri" w:cs="Calibri"/>
          <w:lang w:val="en-AU"/>
        </w:rPr>
        <w:t>We saw signs of people’s disappointment in the events-based rewards. Other partners</w:t>
      </w:r>
      <w:r w:rsidR="000D2929" w:rsidRPr="00D12547">
        <w:rPr>
          <w:rFonts w:ascii="Calibri" w:eastAsia="Calibri" w:hAnsi="Calibri" w:cs="Calibri"/>
          <w:lang w:val="en-AU"/>
        </w:rPr>
        <w:t>…</w:t>
      </w:r>
      <w:r w:rsidRPr="00D12547">
        <w:rPr>
          <w:rFonts w:ascii="Calibri" w:eastAsia="Calibri" w:hAnsi="Calibri" w:cs="Calibri"/>
          <w:lang w:val="en-AU"/>
        </w:rPr>
        <w:t>use a different reward system and it would be useful to compare the two systems</w:t>
      </w:r>
      <w:r w:rsidR="00717C8B">
        <w:rPr>
          <w:rFonts w:ascii="Calibri" w:eastAsia="Calibri" w:hAnsi="Calibri" w:cs="Calibri"/>
          <w:lang w:val="en-AU"/>
        </w:rPr>
        <w:t>;</w:t>
      </w:r>
    </w:p>
    <w:p w14:paraId="299ED6F7" w14:textId="153AFF79" w:rsidR="00725B94" w:rsidRPr="00D12547" w:rsidRDefault="00725B94" w:rsidP="008E7146">
      <w:pPr>
        <w:spacing w:before="120" w:after="120" w:line="276" w:lineRule="auto"/>
        <w:ind w:left="720" w:hanging="436"/>
        <w:rPr>
          <w:rFonts w:ascii="Calibri" w:eastAsia="Calibri" w:hAnsi="Calibri" w:cs="Calibri"/>
          <w:lang w:val="en-AU"/>
        </w:rPr>
      </w:pPr>
      <w:r w:rsidRPr="00D12547">
        <w:rPr>
          <w:rFonts w:ascii="Calibri" w:eastAsia="Calibri" w:hAnsi="Calibri" w:cs="Calibri"/>
          <w:lang w:val="en-AU"/>
        </w:rPr>
        <w:t xml:space="preserve">• </w:t>
      </w:r>
      <w:r w:rsidR="00717C8B">
        <w:rPr>
          <w:rFonts w:ascii="Calibri" w:eastAsia="Calibri" w:hAnsi="Calibri" w:cs="Calibri"/>
          <w:lang w:val="en-AU"/>
        </w:rPr>
        <w:tab/>
      </w:r>
      <w:r w:rsidR="00647084" w:rsidRPr="00D12547">
        <w:rPr>
          <w:rFonts w:ascii="Calibri" w:eastAsia="Calibri" w:hAnsi="Calibri" w:cs="Calibri"/>
          <w:lang w:val="en-AU"/>
        </w:rPr>
        <w:t>…</w:t>
      </w:r>
      <w:r w:rsidRPr="00D12547">
        <w:rPr>
          <w:rFonts w:ascii="Calibri" w:eastAsia="Calibri" w:hAnsi="Calibri" w:cs="Calibri"/>
          <w:lang w:val="en-AU"/>
        </w:rPr>
        <w:t>many do not trust the retailer’s assessment of their effort based on the baseline approach</w:t>
      </w:r>
      <w:r w:rsidR="00717C8B">
        <w:rPr>
          <w:rFonts w:ascii="Calibri" w:eastAsia="Calibri" w:hAnsi="Calibri" w:cs="Calibri"/>
          <w:lang w:val="en-AU"/>
        </w:rPr>
        <w:t>;</w:t>
      </w:r>
    </w:p>
    <w:p w14:paraId="4DA97D4C" w14:textId="1DD38C0D" w:rsidR="00725B94" w:rsidRPr="00D12547" w:rsidRDefault="00725B94" w:rsidP="008E7146">
      <w:pPr>
        <w:spacing w:before="120" w:after="120" w:line="276" w:lineRule="auto"/>
        <w:ind w:left="720" w:hanging="436"/>
        <w:rPr>
          <w:rFonts w:ascii="Calibri" w:eastAsia="Calibri" w:hAnsi="Calibri" w:cs="Calibri"/>
          <w:lang w:val="en-AU"/>
        </w:rPr>
      </w:pPr>
      <w:r w:rsidRPr="00D12547">
        <w:rPr>
          <w:rFonts w:ascii="Calibri" w:eastAsia="Calibri" w:hAnsi="Calibri" w:cs="Calibri"/>
          <w:lang w:val="en-AU"/>
        </w:rPr>
        <w:t xml:space="preserve">• </w:t>
      </w:r>
      <w:r w:rsidR="00717C8B">
        <w:rPr>
          <w:rFonts w:ascii="Calibri" w:eastAsia="Calibri" w:hAnsi="Calibri" w:cs="Calibri"/>
          <w:lang w:val="en-AU"/>
        </w:rPr>
        <w:tab/>
      </w:r>
      <w:r w:rsidRPr="00D12547">
        <w:rPr>
          <w:rFonts w:ascii="Calibri" w:eastAsia="Calibri" w:hAnsi="Calibri" w:cs="Calibri"/>
          <w:lang w:val="en-AU"/>
        </w:rPr>
        <w:t>While the people we researched were willing to put in the effort for each event, there was great diversity in the length they’d go to reduce their energy use. Other programs using controlled loads do not require a user’s intervention and have shown to be sustainable over many years</w:t>
      </w:r>
      <w:r w:rsidR="00717C8B">
        <w:rPr>
          <w:rFonts w:ascii="Calibri" w:eastAsia="Calibri" w:hAnsi="Calibri" w:cs="Calibri"/>
          <w:lang w:val="en-AU"/>
        </w:rPr>
        <w:t>; and</w:t>
      </w:r>
      <w:r w:rsidRPr="00D12547">
        <w:rPr>
          <w:rFonts w:ascii="Calibri" w:eastAsia="Calibri" w:hAnsi="Calibri" w:cs="Calibri"/>
          <w:lang w:val="en-AU"/>
        </w:rPr>
        <w:t xml:space="preserve"> </w:t>
      </w:r>
    </w:p>
    <w:p w14:paraId="73340A5B" w14:textId="1DE62B59" w:rsidR="00FB78EA" w:rsidRDefault="00725B94" w:rsidP="008E7146">
      <w:pPr>
        <w:spacing w:before="120" w:after="120" w:line="276" w:lineRule="auto"/>
        <w:ind w:left="720" w:hanging="436"/>
        <w:rPr>
          <w:rFonts w:ascii="Calibri" w:eastAsia="Calibri" w:hAnsi="Calibri" w:cs="Calibri"/>
          <w:szCs w:val="20"/>
          <w:lang w:val="en-AU"/>
        </w:rPr>
      </w:pPr>
      <w:r w:rsidRPr="00D12547">
        <w:rPr>
          <w:rFonts w:ascii="Calibri" w:eastAsia="Calibri" w:hAnsi="Calibri" w:cs="Calibri"/>
          <w:lang w:val="en-AU"/>
        </w:rPr>
        <w:t xml:space="preserve">• </w:t>
      </w:r>
      <w:r w:rsidR="00717C8B">
        <w:rPr>
          <w:rFonts w:ascii="Calibri" w:eastAsia="Calibri" w:hAnsi="Calibri" w:cs="Calibri"/>
          <w:lang w:val="en-AU"/>
        </w:rPr>
        <w:tab/>
      </w:r>
      <w:r w:rsidRPr="00D12547">
        <w:rPr>
          <w:rFonts w:ascii="Calibri" w:eastAsia="Calibri" w:hAnsi="Calibri" w:cs="Calibri"/>
          <w:lang w:val="en-AU"/>
        </w:rPr>
        <w:t>Lastly, anecdotally the cost to the overall energy system is quite large (rewards + administration). It would be instructive to compare the cost and effectiveness against other rewards systems</w:t>
      </w:r>
      <w:r w:rsidR="000D2929" w:rsidRPr="00D12547">
        <w:rPr>
          <w:rFonts w:ascii="Calibri" w:eastAsia="Calibri" w:hAnsi="Calibri" w:cs="Calibri"/>
          <w:lang w:val="en-AU"/>
        </w:rPr>
        <w:t>…or</w:t>
      </w:r>
      <w:r w:rsidRPr="00D12547">
        <w:rPr>
          <w:rFonts w:ascii="Calibri" w:eastAsia="Calibri" w:hAnsi="Calibri" w:cs="Calibri"/>
          <w:lang w:val="en-AU"/>
        </w:rPr>
        <w:t xml:space="preserve"> the cost of a controlled load program</w:t>
      </w:r>
      <w:r w:rsidRPr="00FB78EA">
        <w:rPr>
          <w:rFonts w:ascii="Calibri" w:eastAsia="Calibri" w:hAnsi="Calibri" w:cs="Calibri"/>
          <w:szCs w:val="20"/>
          <w:lang w:val="en-AU"/>
        </w:rPr>
        <w:t>.</w:t>
      </w:r>
      <w:r w:rsidR="00FB78EA" w:rsidRPr="00FB78EA">
        <w:rPr>
          <w:rFonts w:ascii="Calibri" w:eastAsia="Calibri" w:hAnsi="Calibri" w:cs="Calibri"/>
          <w:vertAlign w:val="superscript"/>
          <w:lang w:val="en-AU"/>
        </w:rPr>
        <w:footnoteReference w:id="24"/>
      </w:r>
    </w:p>
    <w:p w14:paraId="665DC27F" w14:textId="211C8CE6" w:rsidR="007307C0" w:rsidRDefault="007307C0" w:rsidP="007307C0">
      <w:pPr>
        <w:rPr>
          <w:lang w:val="en-AU"/>
        </w:rPr>
      </w:pPr>
      <w:r>
        <w:rPr>
          <w:lang w:val="en-AU"/>
        </w:rPr>
        <w:t>Behavioural and contr</w:t>
      </w:r>
      <w:r w:rsidR="000D2929">
        <w:rPr>
          <w:lang w:val="en-AU"/>
        </w:rPr>
        <w:t>o</w:t>
      </w:r>
      <w:r>
        <w:rPr>
          <w:lang w:val="en-AU"/>
        </w:rPr>
        <w:t xml:space="preserve">lled load DR programs are not </w:t>
      </w:r>
      <w:r w:rsidR="000D2929">
        <w:rPr>
          <w:lang w:val="en-AU"/>
        </w:rPr>
        <w:t xml:space="preserve">mutually exclusive. They can coexist, and indeed consumers can maximise their benefit by contracting with more than one DRSP. DR through DLC is more reliable </w:t>
      </w:r>
      <w:r w:rsidR="00647084">
        <w:rPr>
          <w:lang w:val="en-AU"/>
        </w:rPr>
        <w:t xml:space="preserve">and sustainable </w:t>
      </w:r>
      <w:r w:rsidR="000D2929">
        <w:rPr>
          <w:lang w:val="en-AU"/>
        </w:rPr>
        <w:t xml:space="preserve">and so has a higher value to the grid. This means DRSPs will pay consumers more to access it, but will not prevent </w:t>
      </w:r>
      <w:r w:rsidR="00647084">
        <w:rPr>
          <w:lang w:val="en-AU"/>
        </w:rPr>
        <w:t xml:space="preserve">them </w:t>
      </w:r>
      <w:r w:rsidR="000D2929">
        <w:rPr>
          <w:lang w:val="en-AU"/>
        </w:rPr>
        <w:t>from participating in behavioural DR at other times if they wish (</w:t>
      </w:r>
      <w:r w:rsidR="00647084" w:rsidRPr="00327359">
        <w:rPr>
          <w:rStyle w:val="FigreferenceChar"/>
        </w:rPr>
        <w:fldChar w:fldCharType="begin"/>
      </w:r>
      <w:r w:rsidR="00647084" w:rsidRPr="00327359">
        <w:rPr>
          <w:rStyle w:val="FigreferenceChar"/>
        </w:rPr>
        <w:instrText xml:space="preserve"> REF _Ref21959518 \h </w:instrText>
      </w:r>
      <w:r w:rsidR="00541269" w:rsidRPr="00327359">
        <w:rPr>
          <w:rStyle w:val="FigreferenceChar"/>
        </w:rPr>
        <w:instrText xml:space="preserve"> \* MERGEFORMAT </w:instrText>
      </w:r>
      <w:r w:rsidR="00647084" w:rsidRPr="00327359">
        <w:rPr>
          <w:rStyle w:val="FigreferenceChar"/>
        </w:rPr>
      </w:r>
      <w:r w:rsidR="00647084" w:rsidRPr="00327359">
        <w:rPr>
          <w:rStyle w:val="FigreferenceChar"/>
        </w:rPr>
        <w:fldChar w:fldCharType="separate"/>
      </w:r>
      <w:r w:rsidR="006B22A7" w:rsidRPr="00327359">
        <w:rPr>
          <w:rStyle w:val="FigreferenceChar"/>
        </w:rPr>
        <w:t>Figure 5</w:t>
      </w:r>
      <w:r w:rsidR="00647084" w:rsidRPr="00327359">
        <w:rPr>
          <w:rStyle w:val="FigreferenceChar"/>
        </w:rPr>
        <w:fldChar w:fldCharType="end"/>
      </w:r>
      <w:r w:rsidR="00647084">
        <w:rPr>
          <w:lang w:val="en-AU"/>
        </w:rPr>
        <w:t>)</w:t>
      </w:r>
      <w:r w:rsidR="000D2929">
        <w:rPr>
          <w:lang w:val="en-AU"/>
        </w:rPr>
        <w:t>.</w:t>
      </w:r>
    </w:p>
    <w:p w14:paraId="066E860C" w14:textId="48BB5109" w:rsidR="000D2929" w:rsidRPr="00647084" w:rsidRDefault="000D2929" w:rsidP="00647084">
      <w:pPr>
        <w:spacing w:before="240" w:after="120" w:line="240" w:lineRule="auto"/>
        <w:jc w:val="center"/>
        <w:rPr>
          <w:rFonts w:ascii="Calibri" w:eastAsia="Cambria" w:hAnsi="Calibri" w:cs="Calibri"/>
          <w:b/>
          <w:bCs/>
          <w:sz w:val="20"/>
          <w:szCs w:val="16"/>
          <w:lang w:val="en-AU"/>
        </w:rPr>
      </w:pPr>
      <w:bookmarkStart w:id="28" w:name="_Ref21959518"/>
      <w:bookmarkStart w:id="29" w:name="_Toc22488518"/>
      <w:r w:rsidRPr="00647084">
        <w:rPr>
          <w:rFonts w:ascii="Calibri" w:eastAsia="Cambria" w:hAnsi="Calibri" w:cs="Calibri"/>
          <w:b/>
          <w:bCs/>
          <w:sz w:val="20"/>
          <w:szCs w:val="16"/>
          <w:lang w:val="en-AU"/>
        </w:rPr>
        <w:t xml:space="preserve">Figure </w:t>
      </w:r>
      <w:r w:rsidRPr="00647084">
        <w:rPr>
          <w:rFonts w:ascii="Calibri" w:eastAsia="Cambria" w:hAnsi="Calibri" w:cs="Calibri"/>
          <w:b/>
          <w:bCs/>
          <w:sz w:val="20"/>
          <w:szCs w:val="16"/>
          <w:lang w:val="en-AU"/>
        </w:rPr>
        <w:fldChar w:fldCharType="begin"/>
      </w:r>
      <w:r w:rsidRPr="00647084">
        <w:rPr>
          <w:rFonts w:ascii="Calibri" w:eastAsia="Cambria" w:hAnsi="Calibri" w:cs="Calibri"/>
          <w:b/>
          <w:bCs/>
          <w:sz w:val="20"/>
          <w:szCs w:val="16"/>
          <w:lang w:val="en-AU"/>
        </w:rPr>
        <w:instrText xml:space="preserve"> SEQ Figure \* ARABIC </w:instrText>
      </w:r>
      <w:r w:rsidRPr="00647084">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5</w:t>
      </w:r>
      <w:r w:rsidRPr="00647084">
        <w:rPr>
          <w:rFonts w:ascii="Calibri" w:eastAsia="Cambria" w:hAnsi="Calibri" w:cs="Calibri"/>
          <w:b/>
          <w:bCs/>
          <w:sz w:val="20"/>
          <w:szCs w:val="16"/>
          <w:lang w:val="en-AU"/>
        </w:rPr>
        <w:fldChar w:fldCharType="end"/>
      </w:r>
      <w:bookmarkEnd w:id="28"/>
      <w:r w:rsidR="00647084" w:rsidRPr="00647084">
        <w:rPr>
          <w:rFonts w:ascii="Calibri" w:eastAsia="Cambria" w:hAnsi="Calibri" w:cs="Calibri"/>
          <w:b/>
          <w:bCs/>
          <w:sz w:val="20"/>
          <w:szCs w:val="16"/>
          <w:lang w:val="en-AU"/>
        </w:rPr>
        <w:t xml:space="preserve"> Multip</w:t>
      </w:r>
      <w:r w:rsidR="00647084">
        <w:rPr>
          <w:rFonts w:ascii="Calibri" w:eastAsia="Cambria" w:hAnsi="Calibri" w:cs="Calibri"/>
          <w:b/>
          <w:bCs/>
          <w:sz w:val="20"/>
          <w:szCs w:val="16"/>
          <w:lang w:val="en-AU"/>
        </w:rPr>
        <w:t>l</w:t>
      </w:r>
      <w:r w:rsidR="00647084" w:rsidRPr="00647084">
        <w:rPr>
          <w:rFonts w:ascii="Calibri" w:eastAsia="Cambria" w:hAnsi="Calibri" w:cs="Calibri"/>
          <w:b/>
          <w:bCs/>
          <w:sz w:val="20"/>
          <w:szCs w:val="16"/>
          <w:lang w:val="en-AU"/>
        </w:rPr>
        <w:t xml:space="preserve">e DR </w:t>
      </w:r>
      <w:r w:rsidR="00647084">
        <w:rPr>
          <w:rFonts w:ascii="Calibri" w:eastAsia="Cambria" w:hAnsi="Calibri" w:cs="Calibri"/>
          <w:b/>
          <w:bCs/>
          <w:sz w:val="20"/>
          <w:szCs w:val="16"/>
          <w:lang w:val="en-AU"/>
        </w:rPr>
        <w:t>pathways can coexist (air conditioner example)</w:t>
      </w:r>
      <w:bookmarkEnd w:id="29"/>
    </w:p>
    <w:p w14:paraId="0DECA3A0" w14:textId="6B6EA7F5" w:rsidR="000D2929" w:rsidRPr="000D2929" w:rsidRDefault="000D2929" w:rsidP="000D2929">
      <w:pPr>
        <w:jc w:val="center"/>
      </w:pPr>
      <w:r>
        <w:rPr>
          <w:noProof/>
          <w:lang w:val="en-AU" w:eastAsia="en-AU"/>
        </w:rPr>
        <w:drawing>
          <wp:inline distT="0" distB="0" distL="0" distR="0" wp14:anchorId="5F3E0409" wp14:editId="089C4EE3">
            <wp:extent cx="5705475" cy="3208996"/>
            <wp:effectExtent l="19050" t="19050" r="952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389" cy="3224134"/>
                    </a:xfrm>
                    <a:prstGeom prst="rect">
                      <a:avLst/>
                    </a:prstGeom>
                    <a:noFill/>
                    <a:ln>
                      <a:solidFill>
                        <a:schemeClr val="tx1"/>
                      </a:solidFill>
                    </a:ln>
                  </pic:spPr>
                </pic:pic>
              </a:graphicData>
            </a:graphic>
          </wp:inline>
        </w:drawing>
      </w:r>
    </w:p>
    <w:p w14:paraId="5AAD6E1B" w14:textId="24A2A01A" w:rsidR="00FB78EA" w:rsidRPr="00D02533" w:rsidRDefault="00D02533" w:rsidP="00D02533">
      <w:pPr>
        <w:keepNext/>
        <w:keepLines/>
        <w:spacing w:before="240" w:after="240" w:line="278" w:lineRule="auto"/>
        <w:outlineLvl w:val="4"/>
        <w:rPr>
          <w:rFonts w:ascii="Calibri" w:eastAsia="Times New Roman" w:hAnsi="Calibri" w:cs="Calibri"/>
          <w:b/>
          <w:color w:val="FF0000"/>
          <w:sz w:val="32"/>
          <w:szCs w:val="24"/>
          <w:lang w:val="en-AU"/>
        </w:rPr>
      </w:pPr>
      <w:r w:rsidRPr="00D02533">
        <w:rPr>
          <w:rFonts w:ascii="Calibri" w:eastAsia="Times New Roman" w:hAnsi="Calibri" w:cs="Calibri"/>
          <w:b/>
          <w:color w:val="FF0000"/>
          <w:sz w:val="32"/>
          <w:szCs w:val="24"/>
          <w:lang w:val="en-AU"/>
        </w:rPr>
        <w:lastRenderedPageBreak/>
        <w:t>Role for Government</w:t>
      </w:r>
      <w:r w:rsidR="00FB78EA" w:rsidRPr="00D02533">
        <w:rPr>
          <w:rFonts w:ascii="Calibri" w:eastAsia="Times New Roman" w:hAnsi="Calibri" w:cs="Calibri"/>
          <w:b/>
          <w:color w:val="FF0000"/>
          <w:sz w:val="32"/>
          <w:szCs w:val="24"/>
          <w:lang w:val="en-AU"/>
        </w:rPr>
        <w:t xml:space="preserve"> </w:t>
      </w:r>
    </w:p>
    <w:p w14:paraId="0BB9E8AA" w14:textId="7C330C47" w:rsidR="00334C33" w:rsidRPr="00A37634" w:rsidRDefault="00334C33" w:rsidP="00334C3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minority of consumers who TOU </w:t>
      </w:r>
      <w:r w:rsidR="00717C8B">
        <w:rPr>
          <w:rFonts w:ascii="Calibri" w:eastAsia="Calibri" w:hAnsi="Calibri" w:cs="Calibri"/>
          <w:szCs w:val="20"/>
          <w:lang w:val="en-AU"/>
        </w:rPr>
        <w:t xml:space="preserve">tariffs </w:t>
      </w:r>
      <w:r w:rsidRPr="00A37634">
        <w:rPr>
          <w:rFonts w:ascii="Calibri" w:eastAsia="Calibri" w:hAnsi="Calibri" w:cs="Calibri"/>
          <w:szCs w:val="20"/>
          <w:lang w:val="en-AU"/>
        </w:rPr>
        <w:t xml:space="preserve">or critical peak pricing can already undertake ‘price-driven demand response’ by switching off appliances during high-price periods and shifting some of their electricity consumption to lower-price periods (sometimes with the use of smartphone applications (‘apps’)). Many PV owners also engage in price-driven DR by maximising consumption during times of maximum PV output, rather than exporting excess energy to the grid at low buy-back prices. </w:t>
      </w:r>
      <w:r>
        <w:rPr>
          <w:rFonts w:ascii="Calibri" w:eastAsia="Calibri" w:hAnsi="Calibri" w:cs="Calibri"/>
          <w:szCs w:val="20"/>
          <w:lang w:val="en-AU"/>
        </w:rPr>
        <w:t xml:space="preserve">These strategies are termed “behavioural demand response” in that </w:t>
      </w:r>
      <w:r w:rsidR="008D03E8">
        <w:rPr>
          <w:rFonts w:ascii="Calibri" w:eastAsia="Calibri" w:hAnsi="Calibri" w:cs="Calibri"/>
          <w:szCs w:val="20"/>
          <w:lang w:val="en-AU"/>
        </w:rPr>
        <w:t xml:space="preserve">they rely on consumers actively managing their energy-using behaviour in response to price signals, and doing so over long periods of time. </w:t>
      </w:r>
      <w:r w:rsidR="00647084">
        <w:rPr>
          <w:rFonts w:ascii="Calibri" w:eastAsia="Calibri" w:hAnsi="Calibri" w:cs="Calibri"/>
          <w:szCs w:val="20"/>
          <w:lang w:val="en-AU"/>
        </w:rPr>
        <w:t xml:space="preserve"> </w:t>
      </w:r>
    </w:p>
    <w:p w14:paraId="761F730F" w14:textId="1611CDEC" w:rsidR="00334C33" w:rsidRPr="00A37634" w:rsidRDefault="00334C33" w:rsidP="00334C3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However, other approaches are needed to engage the great majority of consumers who do not face TOU tariffs, and who are not in position to – or simply too busy – to actively manage their energy loads. If consumers are willing to permit a DRSP to manage some of their appliances, under agreed conditions and in return for agreed financial incentives, their aggregated DR capability can be exercised on their behalf in the electricity market. Aggregation increases both the scale and the reliability of the load reductions and load increases that can be bid into the market, to the point where network service providers and system managers can confidently factor DR into their infrastructure planning and load scheduling. </w:t>
      </w:r>
    </w:p>
    <w:p w14:paraId="2F8DF438" w14:textId="27E69AA2" w:rsidR="00334C33" w:rsidRPr="00A37634" w:rsidRDefault="00334C33" w:rsidP="00334C3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There are both regulatory and technical barriers to the development of a small consumer DR services market in Australia. The AEMC</w:t>
      </w:r>
      <w:r w:rsidR="00FB78EA">
        <w:rPr>
          <w:rFonts w:ascii="Calibri" w:eastAsia="Calibri" w:hAnsi="Calibri" w:cs="Calibri"/>
          <w:szCs w:val="20"/>
          <w:lang w:val="en-AU"/>
        </w:rPr>
        <w:t>’s</w:t>
      </w:r>
      <w:r w:rsidRPr="00A37634">
        <w:rPr>
          <w:rFonts w:ascii="Calibri" w:eastAsia="Calibri" w:hAnsi="Calibri" w:cs="Calibri"/>
          <w:szCs w:val="20"/>
          <w:lang w:val="en-AU"/>
        </w:rPr>
        <w:t xml:space="preserve"> </w:t>
      </w:r>
      <w:r w:rsidR="00FB78EA">
        <w:rPr>
          <w:rFonts w:ascii="Calibri" w:eastAsia="Calibri" w:hAnsi="Calibri" w:cs="Calibri"/>
          <w:szCs w:val="20"/>
          <w:lang w:val="en-AU"/>
        </w:rPr>
        <w:t xml:space="preserve">draft NEM rule change </w:t>
      </w:r>
      <w:r w:rsidRPr="00A37634">
        <w:rPr>
          <w:rFonts w:ascii="Calibri" w:eastAsia="Calibri" w:hAnsi="Calibri" w:cs="Calibri"/>
          <w:szCs w:val="20"/>
          <w:lang w:val="en-AU"/>
        </w:rPr>
        <w:t>published in July 2019 “implements a wholesale demand response mechanism, which allows third parties to participate directly in the wholesale market as a substitute for generation, and be paid for providing demand response</w:t>
      </w:r>
      <w:r w:rsidR="00FB78EA">
        <w:rPr>
          <w:rFonts w:ascii="Calibri" w:eastAsia="Calibri" w:hAnsi="Calibri" w:cs="Calibri"/>
          <w:szCs w:val="20"/>
          <w:lang w:val="en-AU"/>
        </w:rPr>
        <w:t xml:space="preserve">” but </w:t>
      </w:r>
      <w:r w:rsidRPr="00A37634">
        <w:rPr>
          <w:rFonts w:ascii="Calibri" w:eastAsia="Calibri" w:hAnsi="Calibri" w:cs="Calibri"/>
          <w:szCs w:val="20"/>
          <w:lang w:val="en-AU"/>
        </w:rPr>
        <w:t xml:space="preserve">covers </w:t>
      </w:r>
      <w:r w:rsidR="00FB78EA">
        <w:rPr>
          <w:rFonts w:ascii="Calibri" w:eastAsia="Calibri" w:hAnsi="Calibri" w:cs="Calibri"/>
          <w:szCs w:val="20"/>
          <w:lang w:val="en-AU"/>
        </w:rPr>
        <w:t xml:space="preserve">DR </w:t>
      </w:r>
      <w:r w:rsidRPr="00A37634">
        <w:rPr>
          <w:rFonts w:ascii="Calibri" w:eastAsia="Calibri" w:hAnsi="Calibri" w:cs="Calibri"/>
          <w:szCs w:val="20"/>
          <w:lang w:val="en-AU"/>
        </w:rPr>
        <w:t>by industrial and commercial sector consumers only</w:t>
      </w:r>
      <w:r w:rsidR="00FB78EA">
        <w:rPr>
          <w:rFonts w:ascii="Calibri" w:eastAsia="Calibri" w:hAnsi="Calibri" w:cs="Calibri"/>
          <w:szCs w:val="20"/>
          <w:lang w:val="en-AU"/>
        </w:rPr>
        <w:t>. T</w:t>
      </w:r>
      <w:r w:rsidRPr="00A37634">
        <w:rPr>
          <w:rFonts w:ascii="Calibri" w:eastAsia="Calibri" w:hAnsi="Calibri" w:cs="Calibri"/>
          <w:szCs w:val="20"/>
          <w:lang w:val="en-AU"/>
        </w:rPr>
        <w:t>he Commission has decided to defer a decision on extending the rule to cover small consumers pending a review of consumer protections.</w:t>
      </w:r>
      <w:r w:rsidR="00FB78EA" w:rsidRPr="00FB78EA">
        <w:rPr>
          <w:rFonts w:ascii="Calibri" w:eastAsia="Calibri" w:hAnsi="Calibri" w:cs="Calibri"/>
          <w:szCs w:val="20"/>
          <w:vertAlign w:val="superscript"/>
          <w:lang w:val="en-AU"/>
        </w:rPr>
        <w:t xml:space="preserve"> </w:t>
      </w:r>
      <w:r w:rsidR="00FB78EA" w:rsidRPr="00A37634">
        <w:rPr>
          <w:rFonts w:ascii="Calibri" w:eastAsia="Calibri" w:hAnsi="Calibri" w:cs="Calibri"/>
          <w:szCs w:val="20"/>
          <w:vertAlign w:val="superscript"/>
          <w:lang w:val="en-AU"/>
        </w:rPr>
        <w:footnoteReference w:id="25"/>
      </w:r>
      <w:r w:rsidR="00FB78EA" w:rsidRPr="00A37634">
        <w:rPr>
          <w:rFonts w:ascii="Calibri" w:eastAsia="Calibri" w:hAnsi="Calibri" w:cs="Calibri"/>
          <w:szCs w:val="20"/>
          <w:lang w:val="en-AU"/>
        </w:rPr>
        <w:t xml:space="preserve"> </w:t>
      </w:r>
      <w:r w:rsidRPr="00A37634">
        <w:rPr>
          <w:rFonts w:ascii="Calibri" w:eastAsia="Calibri" w:hAnsi="Calibri" w:cs="Calibri"/>
          <w:szCs w:val="20"/>
          <w:lang w:val="en-AU"/>
        </w:rPr>
        <w:t xml:space="preserve">  </w:t>
      </w:r>
    </w:p>
    <w:p w14:paraId="73DEE63A" w14:textId="09474C96" w:rsidR="00334C33" w:rsidRPr="00A37634" w:rsidRDefault="00334C33" w:rsidP="00334C3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Removal of regulatory barriers would not on its own overcome the technical barriers. The development of a DR services market in which small consumers can participate requires DRSPs to be able to engage large numbers of consumers and to aggregate appliances of many different types from different manufacturers. Otherwise, costs will remain prohibitively high. At present, neither appliance manufacturers nor DRSPs are willing to risk investing in any </w:t>
      </w:r>
      <w:proofErr w:type="gramStart"/>
      <w:r w:rsidRPr="00A37634">
        <w:rPr>
          <w:rFonts w:ascii="Calibri" w:eastAsia="Calibri" w:hAnsi="Calibri" w:cs="Calibri"/>
          <w:szCs w:val="20"/>
          <w:lang w:val="en-AU"/>
        </w:rPr>
        <w:t xml:space="preserve">particular </w:t>
      </w:r>
      <w:r w:rsidR="00717C8B">
        <w:rPr>
          <w:rFonts w:ascii="Calibri" w:eastAsia="Calibri" w:hAnsi="Calibri" w:cs="Calibri"/>
          <w:szCs w:val="20"/>
          <w:lang w:val="en-AU"/>
        </w:rPr>
        <w:t>DR</w:t>
      </w:r>
      <w:proofErr w:type="gramEnd"/>
      <w:r w:rsidR="00717C8B">
        <w:rPr>
          <w:rFonts w:ascii="Calibri" w:eastAsia="Calibri" w:hAnsi="Calibri" w:cs="Calibri"/>
          <w:szCs w:val="20"/>
          <w:lang w:val="en-AU"/>
        </w:rPr>
        <w:t xml:space="preserve"> </w:t>
      </w:r>
      <w:r w:rsidRPr="00A37634">
        <w:rPr>
          <w:rFonts w:ascii="Calibri" w:eastAsia="Calibri" w:hAnsi="Calibri" w:cs="Calibri"/>
          <w:szCs w:val="20"/>
          <w:lang w:val="en-AU"/>
        </w:rPr>
        <w:t xml:space="preserve">technology because of the fragmentation of the market. </w:t>
      </w:r>
    </w:p>
    <w:p w14:paraId="12BD2D2E" w14:textId="5019FCA0"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low incidence of TOU signals in electricity pricing is a regulatory failure that needs to be addressed through the actions of governments, electricity regulators and consumers. However, it is compounded by a market failure in the provision of services and technologies that can contribute to more economically efficient load management, irrespective of the pricing regime.  </w:t>
      </w:r>
    </w:p>
    <w:p w14:paraId="7E7AF18F" w14:textId="20F87347" w:rsidR="00A37634" w:rsidRPr="00A37634" w:rsidRDefault="00446204"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One option </w:t>
      </w:r>
      <w:r w:rsidR="00A37634" w:rsidRPr="00A37634">
        <w:rPr>
          <w:rFonts w:ascii="Calibri" w:eastAsia="Calibri" w:hAnsi="Calibri" w:cs="Calibri"/>
          <w:szCs w:val="20"/>
          <w:lang w:val="en-AU"/>
        </w:rPr>
        <w:t xml:space="preserve">to address this market failure </w:t>
      </w:r>
      <w:r>
        <w:rPr>
          <w:rFonts w:ascii="Calibri" w:eastAsia="Calibri" w:hAnsi="Calibri" w:cs="Calibri"/>
          <w:szCs w:val="20"/>
          <w:lang w:val="en-AU"/>
        </w:rPr>
        <w:t xml:space="preserve">is to </w:t>
      </w:r>
      <w:r w:rsidR="00A37634" w:rsidRPr="00A37634">
        <w:rPr>
          <w:rFonts w:ascii="Calibri" w:eastAsia="Calibri" w:hAnsi="Calibri" w:cs="Calibri"/>
          <w:szCs w:val="20"/>
          <w:lang w:val="en-AU"/>
        </w:rPr>
        <w:t>facilitat</w:t>
      </w:r>
      <w:r>
        <w:rPr>
          <w:rFonts w:ascii="Calibri" w:eastAsia="Calibri" w:hAnsi="Calibri" w:cs="Calibri"/>
          <w:szCs w:val="20"/>
          <w:lang w:val="en-AU"/>
        </w:rPr>
        <w:t>e</w:t>
      </w:r>
      <w:r w:rsidR="00A37634" w:rsidRPr="00A37634">
        <w:rPr>
          <w:rFonts w:ascii="Calibri" w:eastAsia="Calibri" w:hAnsi="Calibri" w:cs="Calibri"/>
          <w:szCs w:val="20"/>
          <w:lang w:val="en-AU"/>
        </w:rPr>
        <w:t xml:space="preserve"> the supply of an enabling technology – demand-responsive or “smart” appliances. This will support the development of a DLC DR market which does not rely on TOU pricing, but which will provide more options to consumers to respond to price signals as they become more prevalent in the electricity market.</w:t>
      </w:r>
    </w:p>
    <w:p w14:paraId="4D91EF76" w14:textId="5977E5F9"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development of demand-responsive appliances is inhibited by market failure in the form of “network externality” in which the benefit an individual can derive from a product or service depends on the number of other users. </w:t>
      </w:r>
      <w:r w:rsidR="00717C8B" w:rsidRPr="00A37634">
        <w:rPr>
          <w:rFonts w:ascii="Calibri" w:eastAsia="Calibri" w:hAnsi="Calibri" w:cs="Calibri"/>
          <w:szCs w:val="20"/>
          <w:lang w:val="en-AU"/>
        </w:rPr>
        <w:t>For</w:t>
      </w:r>
      <w:r w:rsidRPr="00A37634">
        <w:rPr>
          <w:rFonts w:ascii="Calibri" w:eastAsia="Calibri" w:hAnsi="Calibri" w:cs="Calibri"/>
          <w:szCs w:val="20"/>
          <w:lang w:val="en-AU"/>
        </w:rPr>
        <w:t xml:space="preserve"> an individual consumer to benefit from having an appliance with a </w:t>
      </w:r>
      <w:proofErr w:type="gramStart"/>
      <w:r w:rsidRPr="00A37634">
        <w:rPr>
          <w:rFonts w:ascii="Calibri" w:eastAsia="Calibri" w:hAnsi="Calibri" w:cs="Calibri"/>
          <w:szCs w:val="20"/>
          <w:lang w:val="en-AU"/>
        </w:rPr>
        <w:t>particular DR</w:t>
      </w:r>
      <w:proofErr w:type="gramEnd"/>
      <w:r w:rsidRPr="00A37634">
        <w:rPr>
          <w:rFonts w:ascii="Calibri" w:eastAsia="Calibri" w:hAnsi="Calibri" w:cs="Calibri"/>
          <w:szCs w:val="20"/>
          <w:lang w:val="en-AU"/>
        </w:rPr>
        <w:t xml:space="preserve"> capability, a sufficient number of other consumers must have products with the same capabilities. This </w:t>
      </w:r>
      <w:r w:rsidRPr="00A37634">
        <w:rPr>
          <w:rFonts w:ascii="Calibri" w:eastAsia="Calibri" w:hAnsi="Calibri" w:cs="Calibri"/>
          <w:szCs w:val="20"/>
          <w:lang w:val="en-AU"/>
        </w:rPr>
        <w:lastRenderedPageBreak/>
        <w:t xml:space="preserve">enables DRSPs to achieve economies of scale, making it feasible for them to offer DR schemes to all consumers. </w:t>
      </w:r>
    </w:p>
    <w:p w14:paraId="19D91BB6" w14:textId="6C46BBD5" w:rsidR="0064708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Currently, competing technologies and a lack of standardisation undermine the economies of scale, increasing costs and risks for appliance manufacturers and deterring potential DR</w:t>
      </w:r>
      <w:r w:rsidR="00D12547">
        <w:rPr>
          <w:rFonts w:ascii="Calibri" w:eastAsia="Calibri" w:hAnsi="Calibri" w:cs="Calibri"/>
          <w:szCs w:val="20"/>
          <w:lang w:val="en-AU"/>
        </w:rPr>
        <w:t>SPs.</w:t>
      </w:r>
      <w:r w:rsidRPr="00A37634">
        <w:rPr>
          <w:rFonts w:ascii="Calibri" w:eastAsia="Calibri" w:hAnsi="Calibri" w:cs="Calibri"/>
          <w:szCs w:val="20"/>
          <w:lang w:val="en-AU"/>
        </w:rPr>
        <w:t xml:space="preserve"> They also increase transaction costs for DRSPs, who </w:t>
      </w:r>
      <w:proofErr w:type="gramStart"/>
      <w:r w:rsidRPr="00A37634">
        <w:rPr>
          <w:rFonts w:ascii="Calibri" w:eastAsia="Calibri" w:hAnsi="Calibri" w:cs="Calibri"/>
          <w:szCs w:val="20"/>
          <w:lang w:val="en-AU"/>
        </w:rPr>
        <w:t>have to</w:t>
      </w:r>
      <w:proofErr w:type="gramEnd"/>
      <w:r w:rsidRPr="00A37634">
        <w:rPr>
          <w:rFonts w:ascii="Calibri" w:eastAsia="Calibri" w:hAnsi="Calibri" w:cs="Calibri"/>
          <w:szCs w:val="20"/>
          <w:lang w:val="en-AU"/>
        </w:rPr>
        <w:t xml:space="preserve"> pay large upfront incentives to get consumers to purchase specific technologies or models compatible with the service provider’s systems. </w:t>
      </w:r>
      <w:r w:rsidR="00647084">
        <w:rPr>
          <w:rFonts w:ascii="Calibri" w:eastAsia="Calibri" w:hAnsi="Calibri" w:cs="Calibri"/>
          <w:szCs w:val="20"/>
          <w:lang w:val="en-AU"/>
        </w:rPr>
        <w:t>These barriers would be much reduced if there were a consistent platform supporting DR</w:t>
      </w:r>
      <w:r w:rsidR="00B461F6">
        <w:rPr>
          <w:rFonts w:ascii="Calibri" w:eastAsia="Calibri" w:hAnsi="Calibri" w:cs="Calibri"/>
          <w:szCs w:val="20"/>
          <w:lang w:val="en-AU"/>
        </w:rPr>
        <w:t xml:space="preserve">, based on a suitable </w:t>
      </w:r>
      <w:r w:rsidR="00D12547">
        <w:rPr>
          <w:rFonts w:ascii="Calibri" w:eastAsia="Calibri" w:hAnsi="Calibri" w:cs="Calibri"/>
          <w:szCs w:val="20"/>
          <w:lang w:val="en-AU"/>
        </w:rPr>
        <w:t xml:space="preserve">non-proprietary </w:t>
      </w:r>
      <w:r w:rsidR="00B461F6">
        <w:rPr>
          <w:rFonts w:ascii="Calibri" w:eastAsia="Calibri" w:hAnsi="Calibri" w:cs="Calibri"/>
          <w:szCs w:val="20"/>
          <w:lang w:val="en-AU"/>
        </w:rPr>
        <w:t>technical standard</w:t>
      </w:r>
      <w:r w:rsidR="00D12547">
        <w:rPr>
          <w:rFonts w:ascii="Calibri" w:eastAsia="Calibri" w:hAnsi="Calibri" w:cs="Calibri"/>
          <w:szCs w:val="20"/>
          <w:lang w:val="en-AU"/>
        </w:rPr>
        <w:t>, such as t</w:t>
      </w:r>
      <w:r w:rsidRPr="00A37634">
        <w:rPr>
          <w:rFonts w:ascii="Calibri" w:eastAsia="Calibri" w:hAnsi="Calibri" w:cs="Calibri"/>
          <w:szCs w:val="20"/>
          <w:lang w:val="en-AU"/>
        </w:rPr>
        <w:t>he Australian and New Zealand Standard AS/NZS 4755</w:t>
      </w:r>
      <w:r w:rsidR="00717C8B">
        <w:rPr>
          <w:rFonts w:ascii="Calibri" w:eastAsia="Calibri" w:hAnsi="Calibri" w:cs="Calibri"/>
          <w:szCs w:val="20"/>
          <w:lang w:val="en-AU"/>
        </w:rPr>
        <w:t>:</w:t>
      </w:r>
      <w:r w:rsidRPr="00A37634">
        <w:rPr>
          <w:rFonts w:ascii="Calibri" w:eastAsia="Calibri" w:hAnsi="Calibri" w:cs="Calibri"/>
          <w:szCs w:val="20"/>
          <w:lang w:val="en-AU"/>
        </w:rPr>
        <w:t xml:space="preserve"> </w:t>
      </w:r>
      <w:r w:rsidRPr="00A37634">
        <w:rPr>
          <w:rFonts w:ascii="Calibri" w:eastAsia="Calibri" w:hAnsi="Calibri" w:cs="Calibri"/>
          <w:i/>
          <w:iCs/>
          <w:szCs w:val="20"/>
          <w:lang w:val="en-AU"/>
        </w:rPr>
        <w:t>Demand response capabilities and supporting technologies for electrical products</w:t>
      </w:r>
      <w:r w:rsidRPr="00A37634">
        <w:rPr>
          <w:rFonts w:ascii="Calibri" w:eastAsia="Calibri" w:hAnsi="Calibri" w:cs="Calibri"/>
          <w:szCs w:val="20"/>
          <w:lang w:val="en-AU"/>
        </w:rPr>
        <w:t>. Using a</w:t>
      </w:r>
      <w:r w:rsidR="00D12547">
        <w:rPr>
          <w:rFonts w:ascii="Calibri" w:eastAsia="Calibri" w:hAnsi="Calibri" w:cs="Calibri"/>
          <w:szCs w:val="20"/>
          <w:lang w:val="en-AU"/>
        </w:rPr>
        <w:t xml:space="preserve"> uniform public</w:t>
      </w:r>
      <w:r w:rsidRPr="00A37634">
        <w:rPr>
          <w:rFonts w:ascii="Calibri" w:eastAsia="Calibri" w:hAnsi="Calibri" w:cs="Calibri"/>
          <w:szCs w:val="20"/>
          <w:lang w:val="en-AU"/>
        </w:rPr>
        <w:t xml:space="preserve"> standard would lower costs for manufacturers and DRSPs, and facilitate the development of DR.</w:t>
      </w:r>
    </w:p>
    <w:p w14:paraId="7611E26B" w14:textId="386609ED" w:rsidR="00A37634" w:rsidRDefault="00B461F6"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Co-ordinated action by national, State and Territory Governments and the mandatory adoption of un</w:t>
      </w:r>
      <w:r w:rsidR="00D12547">
        <w:rPr>
          <w:rFonts w:ascii="Calibri" w:eastAsia="Calibri" w:hAnsi="Calibri" w:cs="Calibri"/>
          <w:szCs w:val="20"/>
          <w:lang w:val="en-AU"/>
        </w:rPr>
        <w:t xml:space="preserve">iform </w:t>
      </w:r>
      <w:r>
        <w:rPr>
          <w:rFonts w:ascii="Calibri" w:eastAsia="Calibri" w:hAnsi="Calibri" w:cs="Calibri"/>
          <w:szCs w:val="20"/>
          <w:lang w:val="en-AU"/>
        </w:rPr>
        <w:t xml:space="preserve">technical standards was necessary for the establishment of the trans-Tasman energy efficiency labelling and minimum energy performance standards (MEPS) scheme, now embodied in the Commonwealth Greenhouse and Energy Minimum Standards </w:t>
      </w:r>
      <w:r w:rsidR="00717C8B">
        <w:rPr>
          <w:rFonts w:ascii="Calibri" w:eastAsia="Calibri" w:hAnsi="Calibri" w:cs="Calibri"/>
          <w:szCs w:val="20"/>
          <w:lang w:val="en-AU"/>
        </w:rPr>
        <w:t xml:space="preserve">(GEMS) </w:t>
      </w:r>
      <w:r>
        <w:rPr>
          <w:rFonts w:ascii="Calibri" w:eastAsia="Calibri" w:hAnsi="Calibri" w:cs="Calibri"/>
          <w:szCs w:val="20"/>
          <w:lang w:val="en-AU"/>
        </w:rPr>
        <w:t xml:space="preserve">Act 2012 and the </w:t>
      </w:r>
      <w:r w:rsidR="00F34936">
        <w:rPr>
          <w:rFonts w:ascii="Calibri" w:eastAsia="Calibri" w:hAnsi="Calibri" w:cs="Calibri"/>
          <w:szCs w:val="20"/>
          <w:lang w:val="en-AU"/>
        </w:rPr>
        <w:t xml:space="preserve">New Zealand Energy Efficiency and Conservation Act 2000. </w:t>
      </w:r>
      <w:r w:rsidR="00D12547">
        <w:rPr>
          <w:rFonts w:ascii="Calibri" w:eastAsia="Calibri" w:hAnsi="Calibri" w:cs="Calibri"/>
          <w:szCs w:val="20"/>
          <w:lang w:val="en-AU"/>
        </w:rPr>
        <w:t xml:space="preserve">After some 14 years of inconclusive trials, </w:t>
      </w:r>
      <w:r w:rsidR="00F34936">
        <w:rPr>
          <w:rFonts w:ascii="Calibri" w:eastAsia="Calibri" w:hAnsi="Calibri" w:cs="Calibri"/>
          <w:szCs w:val="20"/>
          <w:lang w:val="en-AU"/>
        </w:rPr>
        <w:t>Government action may also be necessary to facilitate the development of demand response quickly and reliably enough to manage the problems and costs caused by the growing variability in electricity demand and supply.</w:t>
      </w:r>
    </w:p>
    <w:p w14:paraId="41E4FBFC" w14:textId="77777777" w:rsidR="00D02533" w:rsidRPr="00A37634" w:rsidRDefault="00D02533" w:rsidP="00A37634">
      <w:pPr>
        <w:spacing w:before="120" w:after="120" w:line="276" w:lineRule="auto"/>
        <w:rPr>
          <w:rFonts w:ascii="Calibri" w:eastAsia="Calibri" w:hAnsi="Calibri" w:cs="Calibri"/>
          <w:szCs w:val="20"/>
          <w:lang w:val="en-AU"/>
        </w:rPr>
      </w:pPr>
    </w:p>
    <w:p w14:paraId="272825C6" w14:textId="372A5DC6" w:rsidR="00A37634" w:rsidRDefault="00A37634" w:rsidP="00A37634">
      <w:pPr>
        <w:spacing w:after="120" w:line="276" w:lineRule="auto"/>
        <w:jc w:val="both"/>
        <w:rPr>
          <w:rFonts w:ascii="Calibri" w:eastAsia="Calibri" w:hAnsi="Calibri" w:cs="Calibri"/>
          <w:szCs w:val="20"/>
          <w:lang w:val="en-AU"/>
        </w:rPr>
      </w:pPr>
    </w:p>
    <w:p w14:paraId="6F5C46C0" w14:textId="42131B14" w:rsidR="00544292" w:rsidRDefault="00544292" w:rsidP="00A37634">
      <w:pPr>
        <w:spacing w:after="120" w:line="276" w:lineRule="auto"/>
        <w:jc w:val="both"/>
        <w:rPr>
          <w:rFonts w:ascii="Calibri" w:eastAsia="Calibri" w:hAnsi="Calibri" w:cs="Calibri"/>
          <w:szCs w:val="20"/>
          <w:lang w:val="en-AU"/>
        </w:rPr>
      </w:pPr>
    </w:p>
    <w:p w14:paraId="72029452" w14:textId="65B1241B" w:rsidR="00544292" w:rsidRDefault="00544292" w:rsidP="00A37634">
      <w:pPr>
        <w:spacing w:after="120" w:line="276" w:lineRule="auto"/>
        <w:jc w:val="both"/>
        <w:rPr>
          <w:rFonts w:ascii="Calibri" w:eastAsia="Calibri" w:hAnsi="Calibri" w:cs="Calibri"/>
          <w:szCs w:val="20"/>
          <w:lang w:val="en-AU"/>
        </w:rPr>
      </w:pPr>
    </w:p>
    <w:p w14:paraId="57C30B1B" w14:textId="037DB4E9" w:rsidR="00544292" w:rsidRPr="005C1841" w:rsidRDefault="00544292" w:rsidP="00FF17C7">
      <w:pPr>
        <w:pStyle w:val="ListParagraph"/>
        <w:pageBreakBefore/>
        <w:numPr>
          <w:ilvl w:val="0"/>
          <w:numId w:val="18"/>
        </w:numPr>
        <w:pBdr>
          <w:bottom w:val="single" w:sz="12" w:space="1" w:color="ED1B24"/>
        </w:pBdr>
        <w:spacing w:before="200" w:after="600" w:line="240" w:lineRule="auto"/>
        <w:outlineLvl w:val="0"/>
        <w:rPr>
          <w:rFonts w:eastAsia="Times New Roman" w:cs="Calibri"/>
          <w:b/>
          <w:bCs/>
          <w:color w:val="ED1B24"/>
          <w:sz w:val="50"/>
          <w:szCs w:val="28"/>
        </w:rPr>
      </w:pPr>
      <w:bookmarkStart w:id="30" w:name="_Toc22485213"/>
      <w:r w:rsidRPr="005C1841">
        <w:rPr>
          <w:rFonts w:eastAsia="Times New Roman" w:cs="Calibri"/>
          <w:b/>
          <w:bCs/>
          <w:color w:val="ED1B24"/>
          <w:sz w:val="50"/>
          <w:szCs w:val="28"/>
        </w:rPr>
        <w:lastRenderedPageBreak/>
        <w:t>The Objectives of Government Action</w:t>
      </w:r>
      <w:bookmarkEnd w:id="30"/>
    </w:p>
    <w:p w14:paraId="540BCF13" w14:textId="687E3F79" w:rsidR="00544292" w:rsidRPr="00A37634" w:rsidRDefault="00544292" w:rsidP="00544292">
      <w:pPr>
        <w:spacing w:before="120" w:after="120" w:line="276" w:lineRule="auto"/>
        <w:rPr>
          <w:rFonts w:ascii="Calibri" w:eastAsia="Calibri" w:hAnsi="Calibri" w:cs="Calibri"/>
          <w:b/>
          <w:bCs/>
          <w:szCs w:val="20"/>
          <w:lang w:val="en-AU"/>
        </w:rPr>
      </w:pPr>
      <w:r w:rsidRPr="00A37634">
        <w:rPr>
          <w:rFonts w:ascii="Calibri" w:eastAsia="Calibri" w:hAnsi="Calibri" w:cs="Calibri"/>
          <w:szCs w:val="20"/>
          <w:lang w:val="en-AU"/>
        </w:rPr>
        <w:t xml:space="preserve">The objective of the proposal is </w:t>
      </w:r>
      <w:r w:rsidR="00717C8B">
        <w:rPr>
          <w:rFonts w:ascii="Calibri" w:eastAsia="Calibri" w:hAnsi="Calibri" w:cs="Calibri"/>
          <w:szCs w:val="20"/>
          <w:lang w:val="en-AU"/>
        </w:rPr>
        <w:t>“</w:t>
      </w:r>
      <w:r w:rsidRPr="00A37634">
        <w:rPr>
          <w:rFonts w:ascii="Calibri" w:eastAsia="Calibri" w:hAnsi="Calibri" w:cs="Calibri"/>
          <w:b/>
          <w:bCs/>
          <w:szCs w:val="20"/>
          <w:lang w:val="en-AU"/>
        </w:rPr>
        <w:t>to contribute to reducing the future investment requirements for electricity network, generation and transmission infrastructure due to growth in peak electricity demand, and to address network costs arising from the rapid growth in customer-side renewable generation, by facilitating development of the demand response market</w:t>
      </w:r>
      <w:r w:rsidR="00717C8B">
        <w:rPr>
          <w:rFonts w:ascii="Calibri" w:eastAsia="Calibri" w:hAnsi="Calibri" w:cs="Calibri"/>
          <w:b/>
          <w:bCs/>
          <w:szCs w:val="20"/>
          <w:lang w:val="en-AU"/>
        </w:rPr>
        <w:t>”</w:t>
      </w:r>
      <w:r w:rsidRPr="00A37634">
        <w:rPr>
          <w:rFonts w:ascii="Calibri" w:eastAsia="Calibri" w:hAnsi="Calibri" w:cs="Calibri"/>
          <w:b/>
          <w:bCs/>
          <w:szCs w:val="20"/>
          <w:lang w:val="en-AU"/>
        </w:rPr>
        <w:t xml:space="preserve">. </w:t>
      </w:r>
    </w:p>
    <w:p w14:paraId="4201DDB7" w14:textId="5CA3868D" w:rsidR="00544292" w:rsidRDefault="00544292" w:rsidP="00A37634">
      <w:pPr>
        <w:spacing w:after="120" w:line="276" w:lineRule="auto"/>
        <w:jc w:val="both"/>
        <w:rPr>
          <w:rFonts w:ascii="Calibri" w:eastAsia="Calibri" w:hAnsi="Calibri" w:cs="Calibri"/>
          <w:szCs w:val="20"/>
          <w:lang w:val="en-AU"/>
        </w:rPr>
      </w:pPr>
    </w:p>
    <w:p w14:paraId="086DBD99" w14:textId="77777777" w:rsidR="00544292" w:rsidRPr="00A37634" w:rsidRDefault="00544292" w:rsidP="00A37634">
      <w:pPr>
        <w:spacing w:after="120" w:line="276" w:lineRule="auto"/>
        <w:jc w:val="both"/>
        <w:rPr>
          <w:rFonts w:ascii="Calibri" w:eastAsia="Calibri" w:hAnsi="Calibri" w:cs="Calibri"/>
          <w:szCs w:val="20"/>
          <w:lang w:val="en-AU"/>
        </w:rPr>
      </w:pPr>
    </w:p>
    <w:p w14:paraId="4A3DDCFE" w14:textId="46CD82D7" w:rsidR="00A37634" w:rsidRPr="005C1841" w:rsidRDefault="00A37634" w:rsidP="00FF17C7">
      <w:pPr>
        <w:pStyle w:val="ListParagraph"/>
        <w:pageBreakBefore/>
        <w:numPr>
          <w:ilvl w:val="0"/>
          <w:numId w:val="18"/>
        </w:numPr>
        <w:pBdr>
          <w:bottom w:val="single" w:sz="12" w:space="1" w:color="ED1B24"/>
        </w:pBdr>
        <w:spacing w:before="200" w:after="600" w:line="240" w:lineRule="auto"/>
        <w:outlineLvl w:val="0"/>
        <w:rPr>
          <w:rFonts w:eastAsia="Times New Roman" w:cs="Calibri"/>
          <w:b/>
          <w:bCs/>
          <w:color w:val="ED1B24"/>
          <w:sz w:val="50"/>
          <w:szCs w:val="28"/>
        </w:rPr>
      </w:pPr>
      <w:bookmarkStart w:id="31" w:name="_Toc349659342"/>
      <w:bookmarkStart w:id="32" w:name="_Toc349829772"/>
      <w:bookmarkStart w:id="33" w:name="_Toc351542072"/>
      <w:bookmarkStart w:id="34" w:name="_Toc11360528"/>
      <w:bookmarkStart w:id="35" w:name="_Toc22485214"/>
      <w:r w:rsidRPr="005C1841">
        <w:rPr>
          <w:rFonts w:eastAsia="Times New Roman" w:cs="Calibri"/>
          <w:b/>
          <w:bCs/>
          <w:color w:val="ED1B24"/>
          <w:sz w:val="50"/>
          <w:szCs w:val="28"/>
        </w:rPr>
        <w:lastRenderedPageBreak/>
        <w:t>Options</w:t>
      </w:r>
      <w:bookmarkEnd w:id="31"/>
      <w:bookmarkEnd w:id="32"/>
      <w:bookmarkEnd w:id="33"/>
      <w:bookmarkEnd w:id="34"/>
      <w:r w:rsidRPr="005C1841">
        <w:rPr>
          <w:rFonts w:eastAsia="Times New Roman" w:cs="Calibri"/>
          <w:b/>
          <w:bCs/>
          <w:color w:val="ED1B24"/>
          <w:sz w:val="50"/>
          <w:szCs w:val="28"/>
        </w:rPr>
        <w:t xml:space="preserve"> and Regulatory Drivers</w:t>
      </w:r>
      <w:bookmarkEnd w:id="35"/>
    </w:p>
    <w:p w14:paraId="4253E1BA" w14:textId="77777777" w:rsidR="00A37634" w:rsidRPr="00A37634" w:rsidRDefault="00A37634" w:rsidP="00A37634">
      <w:pPr>
        <w:spacing w:before="120" w:after="120" w:line="276" w:lineRule="auto"/>
        <w:rPr>
          <w:rFonts w:ascii="Calibri" w:eastAsia="Calibri" w:hAnsi="Calibri" w:cs="Calibri"/>
          <w:szCs w:val="20"/>
          <w:lang w:val="en-AU"/>
        </w:rPr>
      </w:pPr>
      <w:bookmarkStart w:id="36" w:name="_Hlk22399914"/>
      <w:r w:rsidRPr="00A37634">
        <w:rPr>
          <w:rFonts w:ascii="Calibri" w:eastAsia="Calibri" w:hAnsi="Calibri" w:cs="Calibri"/>
          <w:szCs w:val="20"/>
          <w:lang w:val="en-AU"/>
        </w:rPr>
        <w:t xml:space="preserve">Of the </w:t>
      </w:r>
      <w:proofErr w:type="gramStart"/>
      <w:r w:rsidRPr="00A37634">
        <w:rPr>
          <w:rFonts w:ascii="Calibri" w:eastAsia="Calibri" w:hAnsi="Calibri" w:cs="Calibri"/>
          <w:szCs w:val="20"/>
          <w:lang w:val="en-AU"/>
        </w:rPr>
        <w:t>options</w:t>
      </w:r>
      <w:proofErr w:type="gramEnd"/>
      <w:r w:rsidRPr="00A37634">
        <w:rPr>
          <w:rFonts w:ascii="Calibri" w:eastAsia="Calibri" w:hAnsi="Calibri" w:cs="Calibri"/>
          <w:szCs w:val="20"/>
          <w:lang w:val="en-AU"/>
        </w:rPr>
        <w:t xml:space="preserve"> available to governments to address the objectives of the proposal, the following are considered:</w:t>
      </w:r>
    </w:p>
    <w:p w14:paraId="2707742A" w14:textId="5BCF0328" w:rsidR="00A37634" w:rsidRPr="00A37634" w:rsidRDefault="00A37634" w:rsidP="00FF17C7">
      <w:pPr>
        <w:numPr>
          <w:ilvl w:val="0"/>
          <w:numId w:val="4"/>
        </w:numPr>
        <w:spacing w:before="120" w:after="120" w:line="240" w:lineRule="auto"/>
        <w:ind w:left="714" w:hanging="357"/>
        <w:contextualSpacing/>
        <w:rPr>
          <w:rFonts w:ascii="Calibri" w:eastAsia="Calibri" w:hAnsi="Calibri" w:cs="Calibri"/>
          <w:szCs w:val="20"/>
          <w:lang w:val="en-AU"/>
        </w:rPr>
      </w:pPr>
      <w:r w:rsidRPr="00A37634">
        <w:rPr>
          <w:rFonts w:ascii="Calibri" w:eastAsia="Calibri" w:hAnsi="Calibri" w:cs="Calibri"/>
          <w:szCs w:val="20"/>
          <w:lang w:val="en-AU"/>
        </w:rPr>
        <w:t>Business as Usual (BAU) – no new regulation</w:t>
      </w:r>
      <w:r w:rsidR="00D12547">
        <w:rPr>
          <w:rFonts w:ascii="Calibri" w:eastAsia="Calibri" w:hAnsi="Calibri" w:cs="Calibri"/>
          <w:szCs w:val="20"/>
          <w:lang w:val="en-AU"/>
        </w:rPr>
        <w:t>s</w:t>
      </w:r>
      <w:r w:rsidRPr="00A37634">
        <w:rPr>
          <w:rFonts w:ascii="Calibri" w:eastAsia="Calibri" w:hAnsi="Calibri" w:cs="Calibri"/>
          <w:szCs w:val="20"/>
          <w:lang w:val="en-AU"/>
        </w:rPr>
        <w:t>;</w:t>
      </w:r>
    </w:p>
    <w:p w14:paraId="64002FB2" w14:textId="77777777" w:rsidR="00A37634" w:rsidRPr="00A37634" w:rsidRDefault="00A37634" w:rsidP="00FF17C7">
      <w:pPr>
        <w:numPr>
          <w:ilvl w:val="0"/>
          <w:numId w:val="4"/>
        </w:numPr>
        <w:spacing w:before="120" w:after="120" w:line="240" w:lineRule="auto"/>
        <w:ind w:left="714" w:hanging="357"/>
        <w:contextualSpacing/>
        <w:rPr>
          <w:rFonts w:ascii="Calibri" w:eastAsia="Calibri" w:hAnsi="Calibri" w:cs="Calibri"/>
          <w:szCs w:val="20"/>
          <w:lang w:val="en-AU"/>
        </w:rPr>
      </w:pPr>
      <w:r w:rsidRPr="00A37634">
        <w:rPr>
          <w:rFonts w:ascii="Calibri" w:eastAsia="Calibri" w:hAnsi="Calibri" w:cs="Calibri"/>
          <w:szCs w:val="20"/>
          <w:lang w:val="en-AU"/>
        </w:rPr>
        <w:t xml:space="preserve">Encourage the voluntary adoption of demand responsive appliances; or </w:t>
      </w:r>
    </w:p>
    <w:p w14:paraId="7632A198" w14:textId="77777777" w:rsidR="00A37634" w:rsidRPr="00A37634" w:rsidRDefault="00A37634" w:rsidP="00FF17C7">
      <w:pPr>
        <w:numPr>
          <w:ilvl w:val="0"/>
          <w:numId w:val="4"/>
        </w:numPr>
        <w:spacing w:before="120" w:after="120" w:line="240" w:lineRule="auto"/>
        <w:ind w:left="714" w:hanging="357"/>
        <w:contextualSpacing/>
        <w:rPr>
          <w:rFonts w:ascii="Calibri" w:eastAsia="Calibri" w:hAnsi="Calibri" w:cs="Calibri"/>
          <w:szCs w:val="20"/>
          <w:lang w:val="en-AU"/>
        </w:rPr>
      </w:pPr>
      <w:r w:rsidRPr="00A37634">
        <w:rPr>
          <w:rFonts w:ascii="Calibri" w:eastAsia="Calibri" w:hAnsi="Calibri" w:cs="Calibri"/>
          <w:szCs w:val="20"/>
          <w:lang w:val="en-AU"/>
        </w:rPr>
        <w:t>Mandate the presence of DR capabilities in the products which contribute (or are likely to contribute) most to peak demand, and for the products where DR could help alleviate network and power quality problems.</w:t>
      </w:r>
    </w:p>
    <w:bookmarkEnd w:id="36"/>
    <w:p w14:paraId="0F6E2D92" w14:textId="77777777" w:rsidR="00A37634" w:rsidRPr="00A37634" w:rsidRDefault="00A37634" w:rsidP="00A37634">
      <w:pPr>
        <w:keepNext/>
        <w:keepLines/>
        <w:spacing w:before="240" w:after="240" w:line="278" w:lineRule="auto"/>
        <w:outlineLvl w:val="4"/>
        <w:rPr>
          <w:rFonts w:ascii="Calibri" w:eastAsia="Times New Roman" w:hAnsi="Calibri" w:cs="Calibri"/>
          <w:b/>
          <w:color w:val="FF0000"/>
          <w:sz w:val="32"/>
          <w:szCs w:val="24"/>
          <w:lang w:val="en-AU"/>
        </w:rPr>
      </w:pPr>
      <w:r w:rsidRPr="00A37634">
        <w:rPr>
          <w:rFonts w:ascii="Calibri" w:eastAsia="Times New Roman" w:hAnsi="Calibri" w:cs="Calibri"/>
          <w:b/>
          <w:color w:val="FF0000"/>
          <w:sz w:val="32"/>
          <w:szCs w:val="24"/>
          <w:lang w:val="en-AU"/>
        </w:rPr>
        <w:t xml:space="preserve">Option 1 – Business as Usual (BAU) – No New Regulations </w:t>
      </w:r>
    </w:p>
    <w:p w14:paraId="10D6FC81"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Under this scenario, the development of DR initiative would be left to the market. Compliance with AS/NZS 4755 or any other standard would not be mandated. </w:t>
      </w:r>
      <w:r w:rsidRPr="00A37634">
        <w:rPr>
          <w:rFonts w:ascii="Calibri" w:eastAsia="Calibri" w:hAnsi="Calibri" w:cs="Calibri"/>
          <w:color w:val="000000"/>
          <w:szCs w:val="20"/>
          <w:lang w:val="en-AU"/>
        </w:rPr>
        <w:t>Any DRSP could offer incentives for consumers to purchase products with any capability.</w:t>
      </w:r>
      <w:r w:rsidRPr="00A37634">
        <w:rPr>
          <w:rFonts w:ascii="Calibri" w:eastAsia="Calibri" w:hAnsi="Calibri" w:cs="Calibri"/>
          <w:color w:val="FF0000"/>
          <w:szCs w:val="20"/>
          <w:lang w:val="en-AU"/>
        </w:rPr>
        <w:t xml:space="preserve"> </w:t>
      </w:r>
      <w:r w:rsidRPr="00A37634">
        <w:rPr>
          <w:rFonts w:ascii="Calibri" w:eastAsia="Calibri" w:hAnsi="Calibri" w:cs="Calibri"/>
          <w:szCs w:val="20"/>
          <w:lang w:val="en-AU"/>
        </w:rPr>
        <w:t>Although some DLC initiatives may continue, management of peak demand and power quality would probably rely primarily on electricity pricing and price-related DR.</w:t>
      </w:r>
    </w:p>
    <w:p w14:paraId="22A198C3"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If the voluntary adoption of demand responsive appliances were sufficient to support a DR market, this approach would be more flexible than a mandatory scheme. The inclusion of DR capability in appliances would be market led rather than determined by government, and would not impose additional mandatory requirements on manufacturers.</w:t>
      </w:r>
    </w:p>
    <w:p w14:paraId="2C6E37A6" w14:textId="22DDEC57" w:rsid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Phasing in cost reflective electricity pricing would create some interest in DR, but most consumers would need to respond manually because automated DR programs would be limited in number and scale. It is expected that only a minority of AC owners would respond manually to cost-reflective pricing during extreme summer peak demand events, which is when a response is most needed. Consumer awareness of the risk of increased energy costs during peak periods would most likely increase resistance to adopting cost-reflective pricing.</w:t>
      </w:r>
    </w:p>
    <w:p w14:paraId="1B59A7BC" w14:textId="7EB05A20" w:rsidR="00A37634" w:rsidRPr="00A37634" w:rsidRDefault="00EA1934"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Trials of behavioural DR would be expected to continue, with some of them possibly leading to market offerings. </w:t>
      </w:r>
      <w:r w:rsidRPr="00A37634">
        <w:rPr>
          <w:rFonts w:ascii="Calibri" w:eastAsia="Calibri" w:hAnsi="Calibri" w:cs="Calibri"/>
          <w:szCs w:val="20"/>
          <w:lang w:val="en-AU"/>
        </w:rPr>
        <w:t xml:space="preserve">Some DLC trials could </w:t>
      </w:r>
      <w:r>
        <w:rPr>
          <w:rFonts w:ascii="Calibri" w:eastAsia="Calibri" w:hAnsi="Calibri" w:cs="Calibri"/>
          <w:szCs w:val="20"/>
          <w:lang w:val="en-AU"/>
        </w:rPr>
        <w:t xml:space="preserve">also </w:t>
      </w:r>
      <w:r w:rsidRPr="00A37634">
        <w:rPr>
          <w:rFonts w:ascii="Calibri" w:eastAsia="Calibri" w:hAnsi="Calibri" w:cs="Calibri"/>
          <w:szCs w:val="20"/>
          <w:lang w:val="en-AU"/>
        </w:rPr>
        <w:t xml:space="preserve">evolve into local programs, but the diversity and incompatibility of the platforms, their reliance on proprietary technology and the risk to consumers of being stranded with incompatible appliances if they change retailers will limit their reach. </w:t>
      </w:r>
      <w:r w:rsidR="00A37634" w:rsidRPr="00A37634">
        <w:rPr>
          <w:rFonts w:ascii="Calibri" w:eastAsia="Calibri" w:hAnsi="Calibri" w:cs="Calibri"/>
          <w:szCs w:val="20"/>
          <w:lang w:val="en-AU"/>
        </w:rPr>
        <w:t xml:space="preserve">Some reduction in peak demand may also occur </w:t>
      </w:r>
      <w:proofErr w:type="gramStart"/>
      <w:r w:rsidR="00A37634" w:rsidRPr="00A37634">
        <w:rPr>
          <w:rFonts w:ascii="Calibri" w:eastAsia="Calibri" w:hAnsi="Calibri" w:cs="Calibri"/>
          <w:szCs w:val="20"/>
          <w:lang w:val="en-AU"/>
        </w:rPr>
        <w:t>as a result of</w:t>
      </w:r>
      <w:proofErr w:type="gramEnd"/>
      <w:r w:rsidR="00A37634" w:rsidRPr="00A37634">
        <w:rPr>
          <w:rFonts w:ascii="Calibri" w:eastAsia="Calibri" w:hAnsi="Calibri" w:cs="Calibri"/>
          <w:szCs w:val="20"/>
          <w:lang w:val="en-AU"/>
        </w:rPr>
        <w:t xml:space="preserve"> existing E3 energy efficiency measures such as more stringent MEPS for the products in question.</w:t>
      </w:r>
    </w:p>
    <w:p w14:paraId="2F959907" w14:textId="77777777" w:rsidR="00A37634" w:rsidRPr="00A37634" w:rsidRDefault="00A37634" w:rsidP="00A37634">
      <w:pPr>
        <w:spacing w:before="240" w:after="240" w:line="276" w:lineRule="auto"/>
        <w:rPr>
          <w:rFonts w:ascii="Calibri" w:eastAsia="Calibri" w:hAnsi="Calibri" w:cs="Calibri"/>
          <w:b/>
          <w:bCs/>
          <w:color w:val="FF0000"/>
          <w:sz w:val="28"/>
          <w:szCs w:val="20"/>
          <w:lang w:val="en-AU"/>
        </w:rPr>
      </w:pPr>
      <w:r w:rsidRPr="00A37634">
        <w:rPr>
          <w:rFonts w:ascii="Calibri" w:eastAsia="Calibri" w:hAnsi="Calibri" w:cs="Calibri"/>
          <w:b/>
          <w:bCs/>
          <w:color w:val="FF0000"/>
          <w:sz w:val="28"/>
          <w:szCs w:val="20"/>
          <w:lang w:val="en-AU"/>
        </w:rPr>
        <w:t xml:space="preserve">Voluntary Compliance with AS/NZS 4755 </w:t>
      </w:r>
    </w:p>
    <w:p w14:paraId="191C7DDB" w14:textId="3C371F8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As the option of voluntary compliance with AS/NZS 4755.3.1 has been available since 2008, it is possible to gauge the level of supplier response. In November 2010, only 0.2% of household size AC models had the capability built in, rising to 1.2% by August 2011. There was some increase in compliance in early 2012 by </w:t>
      </w:r>
      <w:r w:rsidRPr="00A37634">
        <w:rPr>
          <w:rFonts w:ascii="Calibri" w:eastAsia="Calibri" w:hAnsi="Calibri" w:cs="Calibri"/>
          <w:szCs w:val="20"/>
          <w:lang w:val="en-AU"/>
        </w:rPr>
        <w:lastRenderedPageBreak/>
        <w:t>suppliers wishing to take advantage of the Energex PeakSmart rebate offer, but the share of models with the capability built in was still less than 5%. It reached 14% by mid-2014, then 33% by April 2019.</w:t>
      </w:r>
      <w:r w:rsidR="00EA1934">
        <w:rPr>
          <w:rStyle w:val="FootnoteReference"/>
          <w:rFonts w:ascii="Calibri" w:eastAsia="Calibri" w:hAnsi="Calibri" w:cs="Calibri"/>
          <w:szCs w:val="20"/>
          <w:lang w:val="en-AU"/>
        </w:rPr>
        <w:footnoteReference w:id="26"/>
      </w:r>
      <w:r w:rsidRPr="00A37634">
        <w:rPr>
          <w:rFonts w:ascii="Calibri" w:eastAsia="Calibri" w:hAnsi="Calibri" w:cs="Calibri"/>
          <w:szCs w:val="20"/>
          <w:lang w:val="en-AU"/>
        </w:rPr>
        <w:t xml:space="preserve"> </w:t>
      </w:r>
    </w:p>
    <w:p w14:paraId="75150C01" w14:textId="5B96BF9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It is likely that the original driver for introduction of AS/NZS 4755 compliant ACs was the expectation among manufacturers, following publication of the Consultation </w:t>
      </w:r>
      <w:r w:rsidR="00717C8B">
        <w:rPr>
          <w:rFonts w:ascii="Calibri" w:eastAsia="Calibri" w:hAnsi="Calibri" w:cs="Calibri"/>
          <w:szCs w:val="20"/>
          <w:lang w:val="en-AU"/>
        </w:rPr>
        <w:t>Regulation Impact Statement (</w:t>
      </w:r>
      <w:r w:rsidRPr="00A37634">
        <w:rPr>
          <w:rFonts w:ascii="Calibri" w:eastAsia="Calibri" w:hAnsi="Calibri" w:cs="Calibri"/>
          <w:szCs w:val="20"/>
          <w:lang w:val="en-AU"/>
        </w:rPr>
        <w:t>RIS</w:t>
      </w:r>
      <w:r w:rsidR="00717C8B">
        <w:rPr>
          <w:rFonts w:ascii="Calibri" w:eastAsia="Calibri" w:hAnsi="Calibri" w:cs="Calibri"/>
          <w:szCs w:val="20"/>
          <w:lang w:val="en-AU"/>
        </w:rPr>
        <w:t>)</w:t>
      </w:r>
      <w:r w:rsidRPr="00A37634">
        <w:rPr>
          <w:rFonts w:ascii="Calibri" w:eastAsia="Calibri" w:hAnsi="Calibri" w:cs="Calibri"/>
          <w:szCs w:val="20"/>
          <w:lang w:val="en-AU"/>
        </w:rPr>
        <w:t xml:space="preserve"> in April 2013, that compliance would become mandatory and there would be a nation-wide advantage in moving early. In the end, the commercial advantage was restricted to the region where the PeakSmart program supported compliant AC sales with cash incentives. It is questionable whether PeakSmart would have been possible at all had manufacturers not anticipated a mandatory requirement. </w:t>
      </w:r>
    </w:p>
    <w:p w14:paraId="437A6D36" w14:textId="2473F70E"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market share of AS/NZS 4755-compliant ACs may be different from the model share. If the market share were lower than the model share, it would indicate that models which are not compliant with AS/NZS 4755 outsell those that are.</w:t>
      </w:r>
      <w:r w:rsidRPr="00A37634">
        <w:rPr>
          <w:rFonts w:ascii="Calibri" w:eastAsia="Calibri" w:hAnsi="Calibri" w:cs="Calibri"/>
          <w:szCs w:val="20"/>
          <w:vertAlign w:val="superscript"/>
          <w:lang w:val="en-AU"/>
        </w:rPr>
        <w:footnoteReference w:id="27"/>
      </w:r>
      <w:r w:rsidRPr="00A37634" w:rsidDel="00150D26">
        <w:rPr>
          <w:rFonts w:ascii="Calibri" w:eastAsia="Calibri" w:hAnsi="Calibri" w:cs="Calibri"/>
          <w:szCs w:val="20"/>
          <w:lang w:val="en-AU"/>
        </w:rPr>
        <w:t xml:space="preserve"> </w:t>
      </w:r>
      <w:r w:rsidRPr="00A37634">
        <w:rPr>
          <w:rFonts w:ascii="Calibri" w:eastAsia="Calibri" w:hAnsi="Calibri" w:cs="Calibri"/>
          <w:szCs w:val="20"/>
          <w:lang w:val="en-AU"/>
        </w:rPr>
        <w:t>The Department of the Environment and Energy estimated in 2018 that “about 20 per cent of air conditioners installed in homes today are capable of having their demand remotely controlled by third party operators.”</w:t>
      </w:r>
      <w:r w:rsidRPr="00A37634">
        <w:rPr>
          <w:rFonts w:ascii="Calibri" w:eastAsia="Calibri" w:hAnsi="Calibri" w:cs="Calibri"/>
          <w:szCs w:val="20"/>
          <w:vertAlign w:val="superscript"/>
          <w:lang w:val="en-AU"/>
        </w:rPr>
        <w:footnoteReference w:id="28"/>
      </w:r>
      <w:r w:rsidRPr="00A37634">
        <w:rPr>
          <w:rFonts w:ascii="Calibri" w:eastAsia="Calibri" w:hAnsi="Calibri" w:cs="Calibri"/>
          <w:szCs w:val="20"/>
          <w:lang w:val="en-AU"/>
        </w:rPr>
        <w:t xml:space="preserve"> The share participating in DR programs is lower still: outside the Queensland PeakSmart program the number is negligible.</w:t>
      </w:r>
      <w:r w:rsidR="0051702F">
        <w:rPr>
          <w:rFonts w:ascii="Calibri" w:eastAsia="Calibri" w:hAnsi="Calibri" w:cs="Calibri"/>
          <w:szCs w:val="20"/>
          <w:lang w:val="en-AU"/>
        </w:rPr>
        <w:t xml:space="preserve"> </w:t>
      </w:r>
    </w:p>
    <w:p w14:paraId="4ABC8B5B"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parts of AS/NZS 4755 applying to pool pump controllers and electric water heaters have been available since 2012 and 2014 respectively, but no complying products have been introduced. Therefore, it is unlikely that there will ever be a sufficient critical mass of pool pump controllers and electric water heaters with standard capabilities to make DR through DLC cost-effective for utilities or DRSPs.</w:t>
      </w:r>
    </w:p>
    <w:p w14:paraId="3E3AFAA0" w14:textId="77777777" w:rsidR="00A37634" w:rsidRPr="00A37634" w:rsidRDefault="00A37634" w:rsidP="00A37634">
      <w:pPr>
        <w:spacing w:before="240" w:after="240" w:line="276" w:lineRule="auto"/>
        <w:rPr>
          <w:rFonts w:ascii="Calibri" w:eastAsia="Calibri" w:hAnsi="Calibri" w:cs="Calibri"/>
          <w:b/>
          <w:bCs/>
          <w:color w:val="FF0000"/>
          <w:sz w:val="28"/>
          <w:szCs w:val="20"/>
          <w:lang w:val="en-AU"/>
        </w:rPr>
      </w:pPr>
      <w:r w:rsidRPr="00A37634">
        <w:rPr>
          <w:rFonts w:ascii="Calibri" w:eastAsia="Calibri" w:hAnsi="Calibri" w:cs="Calibri"/>
          <w:b/>
          <w:bCs/>
          <w:color w:val="FF0000"/>
          <w:sz w:val="28"/>
          <w:szCs w:val="20"/>
          <w:lang w:val="en-AU"/>
        </w:rPr>
        <w:t>Electricity Pricing</w:t>
      </w:r>
    </w:p>
    <w:p w14:paraId="77AD9A6C"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phasing in of cost reflective pricing could eventually have a significant impact on peak demand, but it is difficult to predict the extent or the timing. In seven Australian trials of TOU and Critical Peak Pricing (CPP), the average reductions in peak demand were between 13-40% during peak events.</w:t>
      </w:r>
      <w:r w:rsidRPr="00A37634">
        <w:rPr>
          <w:rFonts w:ascii="Calibri" w:eastAsia="Calibri" w:hAnsi="Calibri" w:cs="Calibri"/>
          <w:szCs w:val="20"/>
          <w:vertAlign w:val="superscript"/>
          <w:lang w:val="en-AU"/>
        </w:rPr>
        <w:footnoteReference w:id="29"/>
      </w:r>
      <w:r w:rsidRPr="00A37634">
        <w:rPr>
          <w:rFonts w:ascii="Calibri" w:eastAsia="Calibri" w:hAnsi="Calibri" w:cs="Calibri"/>
          <w:szCs w:val="20"/>
          <w:lang w:val="en-AU"/>
        </w:rPr>
        <w:t xml:space="preserve"> The reductions under CPP were four times as great as under conventional TOU tariffs, which were much flatter.</w:t>
      </w:r>
      <w:r w:rsidRPr="00A37634">
        <w:rPr>
          <w:rFonts w:ascii="Calibri" w:eastAsia="Calibri" w:hAnsi="Calibri" w:cs="Calibri"/>
          <w:szCs w:val="20"/>
          <w:vertAlign w:val="superscript"/>
          <w:lang w:val="en-AU"/>
        </w:rPr>
        <w:footnoteReference w:id="30"/>
      </w:r>
      <w:r w:rsidRPr="00A37634">
        <w:rPr>
          <w:rFonts w:ascii="Calibri" w:eastAsia="Calibri" w:hAnsi="Calibri" w:cs="Calibri"/>
          <w:szCs w:val="20"/>
          <w:lang w:val="en-AU"/>
        </w:rPr>
        <w:t xml:space="preserve"> </w:t>
      </w:r>
    </w:p>
    <w:p w14:paraId="5A0A1A51"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However, no government has permitted retailers to force residential consumers to accept TOU tariffs (let alone CPP) and only 12% have chosen to do so.</w:t>
      </w:r>
      <w:r w:rsidRPr="00A37634">
        <w:rPr>
          <w:rFonts w:ascii="Calibri" w:eastAsia="Calibri" w:hAnsi="Calibri" w:cs="Calibri"/>
          <w:szCs w:val="20"/>
          <w:vertAlign w:val="superscript"/>
          <w:lang w:val="en-AU"/>
        </w:rPr>
        <w:footnoteReference w:id="31"/>
      </w:r>
      <w:r w:rsidRPr="00A37634">
        <w:rPr>
          <w:rFonts w:ascii="Calibri" w:eastAsia="Calibri" w:hAnsi="Calibri" w:cs="Calibri"/>
          <w:szCs w:val="20"/>
          <w:lang w:val="en-AU"/>
        </w:rPr>
        <w:t xml:space="preserve"> One disincentive for consumers is the risk of being unable to avoid energy use at high-price periods, if they are out or have forgotten to turn off or reset appliances. Offering TOU pricing is not enough, on its own, to support an efficient consumption response. </w:t>
      </w:r>
    </w:p>
    <w:p w14:paraId="50A083A5" w14:textId="77777777" w:rsidR="00A37634" w:rsidRPr="00A37634" w:rsidRDefault="00A37634" w:rsidP="00A37634">
      <w:pPr>
        <w:spacing w:before="240" w:after="240" w:line="276" w:lineRule="auto"/>
        <w:rPr>
          <w:rFonts w:ascii="Calibri" w:eastAsia="Calibri" w:hAnsi="Calibri" w:cs="Calibri"/>
          <w:b/>
          <w:bCs/>
          <w:color w:val="FF0000"/>
          <w:sz w:val="28"/>
          <w:szCs w:val="20"/>
          <w:lang w:val="en-AU"/>
        </w:rPr>
      </w:pPr>
      <w:r w:rsidRPr="00A37634">
        <w:rPr>
          <w:rFonts w:ascii="Calibri" w:eastAsia="Calibri" w:hAnsi="Calibri" w:cs="Calibri"/>
          <w:b/>
          <w:bCs/>
          <w:color w:val="FF0000"/>
          <w:sz w:val="28"/>
          <w:szCs w:val="20"/>
          <w:lang w:val="en-AU"/>
        </w:rPr>
        <w:t>E3 Program Measures</w:t>
      </w:r>
    </w:p>
    <w:p w14:paraId="38E73233"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Equipment Energy Efficiency (E3) program has </w:t>
      </w:r>
      <w:proofErr w:type="gramStart"/>
      <w:r w:rsidRPr="00A37634">
        <w:rPr>
          <w:rFonts w:ascii="Calibri" w:eastAsia="Calibri" w:hAnsi="Calibri" w:cs="Calibri"/>
          <w:szCs w:val="20"/>
          <w:lang w:val="en-AU"/>
        </w:rPr>
        <w:t>a number of</w:t>
      </w:r>
      <w:proofErr w:type="gramEnd"/>
      <w:r w:rsidRPr="00A37634">
        <w:rPr>
          <w:rFonts w:ascii="Calibri" w:eastAsia="Calibri" w:hAnsi="Calibri" w:cs="Calibri"/>
          <w:szCs w:val="20"/>
          <w:lang w:val="en-AU"/>
        </w:rPr>
        <w:t xml:space="preserve"> policy measures in place that are aimed at improving the energy efficiency of ACs, water heaters and pool pumps. Pool pump controllers and electric vehicle (EV) chargers are not currently regulated by the E3 program.</w:t>
      </w:r>
    </w:p>
    <w:p w14:paraId="6F265093" w14:textId="67BE6C9A" w:rsidR="0051702F"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lastRenderedPageBreak/>
        <w:t>AC energy efficiency requirements have been updated several times, most recently in 2019. While this has led to an improvement in the efficiency of ACs and has contributed to reduced household energy consumption, the impact on peak demand</w:t>
      </w:r>
      <w:r w:rsidR="0051702F">
        <w:rPr>
          <w:rFonts w:ascii="Calibri" w:eastAsia="Calibri" w:hAnsi="Calibri" w:cs="Calibri"/>
          <w:szCs w:val="20"/>
          <w:lang w:val="en-AU"/>
        </w:rPr>
        <w:t xml:space="preserve"> has been limited and may have reached its limits, </w:t>
      </w:r>
      <w:proofErr w:type="gramStart"/>
      <w:r w:rsidR="0051702F">
        <w:rPr>
          <w:rFonts w:ascii="Calibri" w:eastAsia="Calibri" w:hAnsi="Calibri" w:cs="Calibri"/>
          <w:szCs w:val="20"/>
          <w:lang w:val="en-AU"/>
        </w:rPr>
        <w:t>according to</w:t>
      </w:r>
      <w:proofErr w:type="gramEnd"/>
      <w:r w:rsidR="0051702F">
        <w:rPr>
          <w:rFonts w:ascii="Calibri" w:eastAsia="Calibri" w:hAnsi="Calibri" w:cs="Calibri"/>
          <w:szCs w:val="20"/>
          <w:lang w:val="en-AU"/>
        </w:rPr>
        <w:t xml:space="preserve"> the AEMO 2019 Statement of Opportunities: </w:t>
      </w:r>
    </w:p>
    <w:p w14:paraId="6620DD18" w14:textId="5C5CEB4B" w:rsidR="0051702F" w:rsidRDefault="0051702F" w:rsidP="0051702F">
      <w:pPr>
        <w:spacing w:before="120" w:after="120" w:line="276" w:lineRule="auto"/>
        <w:ind w:left="720"/>
        <w:rPr>
          <w:rFonts w:ascii="Calibri" w:eastAsia="Calibri" w:hAnsi="Calibri" w:cs="Calibri"/>
          <w:szCs w:val="20"/>
          <w:lang w:val="en-AU"/>
        </w:rPr>
      </w:pPr>
      <w:r w:rsidRPr="0051702F">
        <w:rPr>
          <w:rFonts w:ascii="Calibri" w:eastAsia="Calibri" w:hAnsi="Calibri" w:cs="Calibri"/>
          <w:szCs w:val="20"/>
          <w:lang w:val="en-AU"/>
        </w:rPr>
        <w:t>In Queensland, for example, the average monthly maxima in the past 12 months are up 3% compared to a year ago, but annual energy is down 0.7%. Discussions with local network companies suggest a driver may be an increase in air-conditioner ownership coupled with consumers changing the way they use cooling, with less tolerance for high temperatures towards the end of summer. Moreover, while rooftop PV uptake continues to have noticeable impacts on operational consumption, the forecast impact on operational maximum demand, which now occurs closer to sunset, is reduced.</w:t>
      </w:r>
      <w:r>
        <w:rPr>
          <w:rStyle w:val="FootnoteReference"/>
          <w:rFonts w:ascii="Calibri" w:eastAsia="Calibri" w:hAnsi="Calibri" w:cs="Calibri"/>
          <w:szCs w:val="20"/>
          <w:lang w:val="en-AU"/>
        </w:rPr>
        <w:footnoteReference w:id="32"/>
      </w:r>
    </w:p>
    <w:p w14:paraId="187D9F87" w14:textId="07997040"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Maximum demand occurs on the hottest days when most ACs are operating at maximum output, irrespective of their efficiency. Extreme hot days have become more frequent in recent years.</w:t>
      </w:r>
      <w:r w:rsidRPr="00A37634">
        <w:rPr>
          <w:rFonts w:ascii="Calibri" w:eastAsia="Calibri" w:hAnsi="Calibri" w:cs="Calibri"/>
          <w:szCs w:val="20"/>
          <w:vertAlign w:val="superscript"/>
          <w:lang w:val="en-AU"/>
        </w:rPr>
        <w:footnoteReference w:id="33"/>
      </w:r>
      <w:r w:rsidRPr="00A37634">
        <w:rPr>
          <w:rFonts w:ascii="Calibri" w:eastAsia="Calibri" w:hAnsi="Calibri" w:cs="Calibri"/>
          <w:szCs w:val="20"/>
          <w:lang w:val="en-AU"/>
        </w:rPr>
        <w:t xml:space="preserve"> </w:t>
      </w:r>
    </w:p>
    <w:p w14:paraId="265DBF15" w14:textId="77777777" w:rsidR="00A37634" w:rsidRPr="00A37634" w:rsidRDefault="00A37634" w:rsidP="00A37634">
      <w:pPr>
        <w:spacing w:before="120" w:after="120" w:line="276" w:lineRule="auto"/>
        <w:rPr>
          <w:rFonts w:ascii="Calibri" w:eastAsia="Calibri" w:hAnsi="Calibri" w:cs="Calibri"/>
          <w:szCs w:val="20"/>
          <w:lang w:val="en-AU"/>
        </w:rPr>
      </w:pPr>
      <w:r w:rsidRPr="00086503">
        <w:rPr>
          <w:rFonts w:ascii="Calibri" w:eastAsia="Calibri" w:hAnsi="Calibri" w:cs="Calibri"/>
          <w:szCs w:val="20"/>
          <w:lang w:val="en-AU"/>
        </w:rPr>
        <w:t>A Decision RIS recommending mandatory labelling and MEPS for swimming pool pumps was approved by the Council of Australian Governments (COAG) Energy Council and published in December 2018.</w:t>
      </w:r>
      <w:r w:rsidRPr="00086503">
        <w:rPr>
          <w:rFonts w:ascii="Calibri" w:eastAsia="Calibri" w:hAnsi="Calibri" w:cs="Calibri"/>
          <w:szCs w:val="20"/>
          <w:vertAlign w:val="superscript"/>
          <w:lang w:val="en-AU"/>
        </w:rPr>
        <w:footnoteReference w:id="34"/>
      </w:r>
      <w:r w:rsidRPr="00086503">
        <w:rPr>
          <w:rFonts w:ascii="Calibri" w:eastAsia="Calibri" w:hAnsi="Calibri" w:cs="Calibri"/>
          <w:szCs w:val="20"/>
          <w:lang w:val="en-AU"/>
        </w:rPr>
        <w:t xml:space="preserve"> These measures should help reduce peak demand, because it is estimated that around 50% of pool pumps are also operating during AC-induced peak events.</w:t>
      </w:r>
      <w:r w:rsidRPr="00086503">
        <w:rPr>
          <w:rFonts w:ascii="Calibri" w:eastAsia="Calibri" w:hAnsi="Calibri" w:cs="Calibri"/>
          <w:szCs w:val="20"/>
          <w:vertAlign w:val="superscript"/>
          <w:lang w:val="en-AU"/>
        </w:rPr>
        <w:footnoteReference w:id="35"/>
      </w:r>
      <w:r w:rsidRPr="00A37634">
        <w:rPr>
          <w:rFonts w:ascii="Calibri" w:eastAsia="Calibri" w:hAnsi="Calibri" w:cs="Calibri"/>
          <w:szCs w:val="20"/>
          <w:lang w:val="en-AU"/>
        </w:rPr>
        <w:t xml:space="preserve"> </w:t>
      </w:r>
    </w:p>
    <w:p w14:paraId="75785594" w14:textId="11B4DCCA"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widespread adoption of EVs would almost certainly exacerbate electricity network constraints and peak demand problems. A Level 2 (fixed-wired) home charger will have a maximum demand of 6 to 10 kilowatts (kW), making it the highest single load in most homes. The energy-efficiency of EV chargers will probably be high, so MEPS may not be required. However, energy-efficiency will have negligible impact on easing demand if users initiate charging on their return from work.</w:t>
      </w:r>
      <w:r w:rsidRPr="00A37634">
        <w:rPr>
          <w:rFonts w:ascii="Calibri" w:eastAsia="Calibri" w:hAnsi="Calibri" w:cs="Calibri"/>
          <w:szCs w:val="20"/>
          <w:vertAlign w:val="superscript"/>
          <w:lang w:val="en-AU"/>
        </w:rPr>
        <w:footnoteReference w:id="36"/>
      </w:r>
      <w:r w:rsidRPr="00A37634">
        <w:rPr>
          <w:rFonts w:ascii="Calibri" w:eastAsia="Calibri" w:hAnsi="Calibri" w:cs="Calibri"/>
          <w:szCs w:val="20"/>
          <w:lang w:val="en-AU"/>
        </w:rPr>
        <w:t xml:space="preserve"> </w:t>
      </w:r>
    </w:p>
    <w:p w14:paraId="2477FD83" w14:textId="77777777" w:rsidR="00A37634" w:rsidRPr="00A37634" w:rsidRDefault="00A37634" w:rsidP="00A37634">
      <w:pPr>
        <w:keepNext/>
        <w:keepLines/>
        <w:spacing w:before="240" w:after="240" w:line="278" w:lineRule="auto"/>
        <w:outlineLvl w:val="4"/>
        <w:rPr>
          <w:rFonts w:ascii="Calibri" w:eastAsia="Times New Roman" w:hAnsi="Calibri" w:cs="Calibri"/>
          <w:b/>
          <w:color w:val="FF0000"/>
          <w:sz w:val="28"/>
          <w:szCs w:val="28"/>
          <w:lang w:val="en-AU"/>
        </w:rPr>
      </w:pPr>
      <w:r w:rsidRPr="00A37634">
        <w:rPr>
          <w:rFonts w:ascii="Calibri" w:eastAsia="Times New Roman" w:hAnsi="Calibri" w:cs="Calibri"/>
          <w:b/>
          <w:color w:val="FF0000"/>
          <w:sz w:val="28"/>
          <w:szCs w:val="28"/>
          <w:lang w:val="en-AU"/>
        </w:rPr>
        <w:t xml:space="preserve">Option 2 – </w:t>
      </w:r>
      <w:bookmarkStart w:id="38" w:name="_Hlk14770855"/>
      <w:r w:rsidRPr="00A37634">
        <w:rPr>
          <w:rFonts w:ascii="Calibri" w:eastAsia="Times New Roman" w:hAnsi="Calibri" w:cs="Calibri"/>
          <w:b/>
          <w:color w:val="FF0000"/>
          <w:sz w:val="28"/>
          <w:szCs w:val="28"/>
          <w:lang w:val="en-AU"/>
        </w:rPr>
        <w:t>Encourage Voluntary Adoption of Demand Responsive Appliances</w:t>
      </w:r>
      <w:bookmarkEnd w:id="38"/>
    </w:p>
    <w:p w14:paraId="2A45500D" w14:textId="66DB8E15"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means available to government to encourage the voluntary adoption of demand responsive appliances include the funding of trials and demonstrations, mandating the disclosure of the DR capabilities of products and offering cash incentives for the purchase of DR capable products. The funding of trials and demonstrations through ARENA is already under way, so is part of the BAU option. </w:t>
      </w:r>
    </w:p>
    <w:p w14:paraId="401CC4CF" w14:textId="77777777" w:rsidR="00A37634" w:rsidRPr="00A37634" w:rsidRDefault="00A37634" w:rsidP="00A37634">
      <w:pPr>
        <w:spacing w:before="240" w:after="240" w:line="276" w:lineRule="auto"/>
        <w:rPr>
          <w:rFonts w:ascii="Calibri" w:eastAsia="Calibri" w:hAnsi="Calibri" w:cs="Calibri"/>
          <w:b/>
          <w:bCs/>
          <w:color w:val="FF0000"/>
          <w:sz w:val="28"/>
          <w:szCs w:val="20"/>
          <w:lang w:val="en-AU"/>
        </w:rPr>
      </w:pPr>
      <w:r w:rsidRPr="00A37634">
        <w:rPr>
          <w:rFonts w:ascii="Calibri" w:eastAsia="Calibri" w:hAnsi="Calibri" w:cs="Calibri"/>
          <w:b/>
          <w:bCs/>
          <w:color w:val="FF0000"/>
          <w:sz w:val="28"/>
          <w:szCs w:val="20"/>
          <w:lang w:val="en-AU"/>
        </w:rPr>
        <w:t xml:space="preserve">Labelling DR Capability </w:t>
      </w:r>
    </w:p>
    <w:p w14:paraId="2AB71AFB"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At present, any manufacturer </w:t>
      </w:r>
      <w:proofErr w:type="gramStart"/>
      <w:r w:rsidRPr="00A37634">
        <w:rPr>
          <w:rFonts w:ascii="Calibri" w:eastAsia="Calibri" w:hAnsi="Calibri" w:cs="Calibri"/>
          <w:szCs w:val="20"/>
          <w:lang w:val="en-AU"/>
        </w:rPr>
        <w:t>is able to</w:t>
      </w:r>
      <w:proofErr w:type="gramEnd"/>
      <w:r w:rsidRPr="00A37634">
        <w:rPr>
          <w:rFonts w:ascii="Calibri" w:eastAsia="Calibri" w:hAnsi="Calibri" w:cs="Calibri"/>
          <w:szCs w:val="20"/>
          <w:lang w:val="en-AU"/>
        </w:rPr>
        <w:t xml:space="preserve"> claim that their product is “smart” because “smart” is not a technical term but an undefined marketing term (such as “sustainable” or “eco-friendly”).</w:t>
      </w:r>
      <w:r w:rsidRPr="00A37634">
        <w:rPr>
          <w:rFonts w:ascii="Calibri" w:eastAsia="Calibri" w:hAnsi="Calibri" w:cs="Calibri"/>
          <w:szCs w:val="20"/>
          <w:vertAlign w:val="superscript"/>
          <w:lang w:val="en-AU"/>
        </w:rPr>
        <w:footnoteReference w:id="37"/>
      </w:r>
      <w:r w:rsidRPr="00A37634">
        <w:rPr>
          <w:rFonts w:ascii="Calibri" w:eastAsia="Calibri" w:hAnsi="Calibri" w:cs="Calibri"/>
          <w:szCs w:val="20"/>
          <w:lang w:val="en-AU"/>
        </w:rPr>
        <w:t xml:space="preserve"> A consumer cannot know if the purchase of one particular product will have some additional DR value to them unless they are aware that it complies with a standard or specification or has certain capabilities that enable it to </w:t>
      </w:r>
      <w:r w:rsidRPr="00A37634">
        <w:rPr>
          <w:rFonts w:ascii="Calibri" w:eastAsia="Calibri" w:hAnsi="Calibri" w:cs="Calibri"/>
          <w:szCs w:val="20"/>
          <w:lang w:val="en-AU"/>
        </w:rPr>
        <w:lastRenderedPageBreak/>
        <w:t>participate in a DR program. Even if it does, the consumer may still need access to a third party offering a DR program compatible with those standards and capabilities.</w:t>
      </w:r>
    </w:p>
    <w:p w14:paraId="4D92EA98" w14:textId="0F594669"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In this respect, the status of the term “smart” is </w:t>
      </w:r>
      <w:proofErr w:type="gramStart"/>
      <w:r w:rsidRPr="00A37634">
        <w:rPr>
          <w:rFonts w:ascii="Calibri" w:eastAsia="Calibri" w:hAnsi="Calibri" w:cs="Calibri"/>
          <w:szCs w:val="20"/>
          <w:lang w:val="en-AU"/>
        </w:rPr>
        <w:t>similar to</w:t>
      </w:r>
      <w:proofErr w:type="gramEnd"/>
      <w:r w:rsidRPr="00A37634">
        <w:rPr>
          <w:rFonts w:ascii="Calibri" w:eastAsia="Calibri" w:hAnsi="Calibri" w:cs="Calibri"/>
          <w:szCs w:val="20"/>
          <w:lang w:val="en-AU"/>
        </w:rPr>
        <w:t xml:space="preserve"> the status of the term “energy-efficient” in the 1980s. Several manufacturers claimed that their products were energy-efficient, using criteria of their own devising and which naturally favoured their own products. Consumers were unable to compare products from different manufacturers. This prompted the New South Wales</w:t>
      </w:r>
      <w:r w:rsidR="00BE0157">
        <w:rPr>
          <w:rFonts w:ascii="Calibri" w:eastAsia="Calibri" w:hAnsi="Calibri" w:cs="Calibri"/>
          <w:szCs w:val="20"/>
          <w:lang w:val="en-AU"/>
        </w:rPr>
        <w:t xml:space="preserve"> (NSW)</w:t>
      </w:r>
      <w:r w:rsidR="00C12AFF">
        <w:rPr>
          <w:rFonts w:ascii="Calibri" w:eastAsia="Calibri" w:hAnsi="Calibri" w:cs="Calibri"/>
          <w:szCs w:val="20"/>
          <w:lang w:val="en-AU"/>
        </w:rPr>
        <w:t xml:space="preserve"> </w:t>
      </w:r>
      <w:r w:rsidRPr="00A37634">
        <w:rPr>
          <w:rFonts w:ascii="Calibri" w:eastAsia="Calibri" w:hAnsi="Calibri" w:cs="Calibri"/>
          <w:szCs w:val="20"/>
          <w:lang w:val="en-AU"/>
        </w:rPr>
        <w:t xml:space="preserve">and Victorian governments to introduce, in 1985, mandatory energy labelling for refrigerators, freezers, </w:t>
      </w:r>
      <w:r w:rsidR="00BE0157">
        <w:rPr>
          <w:rFonts w:ascii="Calibri" w:eastAsia="Calibri" w:hAnsi="Calibri" w:cs="Calibri"/>
          <w:szCs w:val="20"/>
          <w:lang w:val="en-AU"/>
        </w:rPr>
        <w:t xml:space="preserve">ACs </w:t>
      </w:r>
      <w:r w:rsidRPr="00A37634">
        <w:rPr>
          <w:rFonts w:ascii="Calibri" w:eastAsia="Calibri" w:hAnsi="Calibri" w:cs="Calibri"/>
          <w:szCs w:val="20"/>
          <w:lang w:val="en-AU"/>
        </w:rPr>
        <w:t xml:space="preserve">and dishwashers, based on Australian Standard tests (the origins of the existing </w:t>
      </w:r>
      <w:r w:rsidR="00C12AFF" w:rsidRPr="00A37634">
        <w:rPr>
          <w:rFonts w:ascii="Calibri" w:eastAsia="Calibri" w:hAnsi="Calibri" w:cs="Calibri"/>
          <w:szCs w:val="20"/>
          <w:lang w:val="en-AU"/>
        </w:rPr>
        <w:t xml:space="preserve">E3 program </w:t>
      </w:r>
      <w:r w:rsidR="00C12AFF">
        <w:rPr>
          <w:rFonts w:ascii="Calibri" w:eastAsia="Calibri" w:hAnsi="Calibri" w:cs="Calibri"/>
          <w:szCs w:val="20"/>
          <w:lang w:val="en-AU"/>
        </w:rPr>
        <w:t xml:space="preserve">and </w:t>
      </w:r>
      <w:r w:rsidRPr="00A37634">
        <w:rPr>
          <w:rFonts w:ascii="Calibri" w:eastAsia="Calibri" w:hAnsi="Calibri" w:cs="Calibri"/>
          <w:szCs w:val="20"/>
          <w:lang w:val="en-AU"/>
        </w:rPr>
        <w:t xml:space="preserve">GEMS Act). </w:t>
      </w:r>
    </w:p>
    <w:p w14:paraId="09EED243" w14:textId="6EEEE449" w:rsidR="00C856FC"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In 2010, the E3 program changed the </w:t>
      </w:r>
      <w:r w:rsidR="00BE0157">
        <w:rPr>
          <w:rFonts w:ascii="Calibri" w:eastAsia="Calibri" w:hAnsi="Calibri" w:cs="Calibri"/>
          <w:szCs w:val="20"/>
          <w:lang w:val="en-AU"/>
        </w:rPr>
        <w:t xml:space="preserve">AC </w:t>
      </w:r>
      <w:r w:rsidRPr="00A37634">
        <w:rPr>
          <w:rFonts w:ascii="Calibri" w:eastAsia="Calibri" w:hAnsi="Calibri" w:cs="Calibri"/>
          <w:szCs w:val="20"/>
          <w:lang w:val="en-AU"/>
        </w:rPr>
        <w:t xml:space="preserve">energy rating label to enable manufacturers to indicate whether a model complies with AS/NZS 4755.3.1. This </w:t>
      </w:r>
      <w:r w:rsidR="00C12AFF">
        <w:rPr>
          <w:rFonts w:ascii="Calibri" w:eastAsia="Calibri" w:hAnsi="Calibri" w:cs="Calibri"/>
          <w:szCs w:val="20"/>
          <w:lang w:val="en-AU"/>
        </w:rPr>
        <w:t xml:space="preserve">was intended to </w:t>
      </w:r>
      <w:r w:rsidRPr="00A37634">
        <w:rPr>
          <w:rFonts w:ascii="Calibri" w:eastAsia="Calibri" w:hAnsi="Calibri" w:cs="Calibri"/>
          <w:szCs w:val="20"/>
          <w:lang w:val="en-AU"/>
        </w:rPr>
        <w:t>enable them to voluntarily introduce compliant products and to indicate this on the energy label. Recently however, the AC label design has been changed again, and no longer offers the option of indicating DR capability.</w:t>
      </w:r>
      <w:r w:rsidRPr="00A37634">
        <w:rPr>
          <w:rFonts w:ascii="Calibri" w:eastAsia="Calibri" w:hAnsi="Calibri" w:cs="Calibri"/>
          <w:szCs w:val="20"/>
          <w:vertAlign w:val="superscript"/>
          <w:lang w:val="en-AU"/>
        </w:rPr>
        <w:footnoteReference w:id="38"/>
      </w:r>
      <w:r w:rsidRPr="00A37634">
        <w:rPr>
          <w:rFonts w:ascii="Calibri" w:eastAsia="Calibri" w:hAnsi="Calibri" w:cs="Calibri"/>
          <w:szCs w:val="20"/>
          <w:lang w:val="en-AU"/>
        </w:rPr>
        <w:t xml:space="preserve"> </w:t>
      </w:r>
      <w:r w:rsidR="00C12AFF">
        <w:rPr>
          <w:rFonts w:ascii="Calibri" w:eastAsia="Calibri" w:hAnsi="Calibri" w:cs="Calibri"/>
          <w:szCs w:val="20"/>
          <w:lang w:val="en-AU"/>
        </w:rPr>
        <w:t xml:space="preserve">While </w:t>
      </w:r>
      <w:r w:rsidRPr="00A37634">
        <w:rPr>
          <w:rFonts w:ascii="Calibri" w:eastAsia="Calibri" w:hAnsi="Calibri" w:cs="Calibri"/>
          <w:szCs w:val="20"/>
          <w:lang w:val="en-AU"/>
        </w:rPr>
        <w:t xml:space="preserve">the main reason for dropping the option was lack of space, </w:t>
      </w:r>
      <w:r w:rsidR="00C12AFF">
        <w:rPr>
          <w:rFonts w:ascii="Calibri" w:eastAsia="Calibri" w:hAnsi="Calibri" w:cs="Calibri"/>
          <w:szCs w:val="20"/>
          <w:lang w:val="en-AU"/>
        </w:rPr>
        <w:t xml:space="preserve">it had not had the market transformative effects intended. The introduction of compliant models was due largely to the Energex PeakSmart program in southeast Queensland </w:t>
      </w:r>
      <w:r w:rsidR="00C856FC">
        <w:rPr>
          <w:rFonts w:ascii="Calibri" w:eastAsia="Calibri" w:hAnsi="Calibri" w:cs="Calibri"/>
          <w:szCs w:val="20"/>
          <w:lang w:val="en-AU"/>
        </w:rPr>
        <w:t xml:space="preserve">(as well as the expectation in the industry that compliance would be mandated after the 2013 Consultation RIS).  </w:t>
      </w:r>
    </w:p>
    <w:p w14:paraId="11DB81A7" w14:textId="30119F41" w:rsidR="00C856FC" w:rsidRDefault="00C12AFF"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Labelling </w:t>
      </w:r>
      <w:r w:rsidR="00C856FC">
        <w:rPr>
          <w:rFonts w:ascii="Calibri" w:eastAsia="Calibri" w:hAnsi="Calibri" w:cs="Calibri"/>
          <w:szCs w:val="20"/>
          <w:lang w:val="en-AU"/>
        </w:rPr>
        <w:t xml:space="preserve">of DR capability </w:t>
      </w:r>
      <w:r>
        <w:rPr>
          <w:rFonts w:ascii="Calibri" w:eastAsia="Calibri" w:hAnsi="Calibri" w:cs="Calibri"/>
          <w:szCs w:val="20"/>
          <w:lang w:val="en-AU"/>
        </w:rPr>
        <w:t>had no value to c</w:t>
      </w:r>
      <w:r w:rsidR="00C856FC">
        <w:rPr>
          <w:rFonts w:ascii="Calibri" w:eastAsia="Calibri" w:hAnsi="Calibri" w:cs="Calibri"/>
          <w:szCs w:val="20"/>
          <w:lang w:val="en-AU"/>
        </w:rPr>
        <w:t>onsumers outside SE Queensland, since no other utilities offered the same type of program. Even in the PeakSmart region, eligible model</w:t>
      </w:r>
      <w:r w:rsidR="00A31A66">
        <w:rPr>
          <w:rFonts w:ascii="Calibri" w:eastAsia="Calibri" w:hAnsi="Calibri" w:cs="Calibri"/>
          <w:szCs w:val="20"/>
          <w:lang w:val="en-AU"/>
        </w:rPr>
        <w:t>s</w:t>
      </w:r>
      <w:r w:rsidR="00C856FC">
        <w:rPr>
          <w:rFonts w:ascii="Calibri" w:eastAsia="Calibri" w:hAnsi="Calibri" w:cs="Calibri"/>
          <w:szCs w:val="20"/>
          <w:lang w:val="en-AU"/>
        </w:rPr>
        <w:t xml:space="preserve"> were identified not by their energy label but from a list published by Energex. </w:t>
      </w:r>
    </w:p>
    <w:p w14:paraId="183EBA23" w14:textId="1E48A3B3" w:rsid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 further barrier in Australia is the fact that there is no energy labelling for electric water heaters, pool pump controllers or EV chargers, so a new “DR capable” labelling system would need to be introduced for those products. </w:t>
      </w:r>
    </w:p>
    <w:p w14:paraId="63BCD062" w14:textId="32EF4A2E" w:rsidR="00C856FC" w:rsidRPr="00A37634" w:rsidRDefault="00A31A66"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T</w:t>
      </w:r>
      <w:r w:rsidR="00C856FC">
        <w:rPr>
          <w:rFonts w:ascii="Calibri" w:eastAsia="Calibri" w:hAnsi="Calibri" w:cs="Calibri"/>
          <w:szCs w:val="20"/>
          <w:lang w:val="en-AU"/>
        </w:rPr>
        <w:t>he unanimous response from submissions who addressed this question was that</w:t>
      </w:r>
      <w:r>
        <w:rPr>
          <w:rFonts w:ascii="Calibri" w:eastAsia="Calibri" w:hAnsi="Calibri" w:cs="Calibri"/>
          <w:szCs w:val="20"/>
          <w:lang w:val="en-AU"/>
        </w:rPr>
        <w:t xml:space="preserve"> it will remain </w:t>
      </w:r>
      <w:r w:rsidR="00C856FC">
        <w:rPr>
          <w:rFonts w:ascii="Calibri" w:eastAsia="Calibri" w:hAnsi="Calibri" w:cs="Calibri"/>
          <w:szCs w:val="20"/>
          <w:lang w:val="en-AU"/>
        </w:rPr>
        <w:t>ineffective</w:t>
      </w:r>
      <w:r>
        <w:rPr>
          <w:rFonts w:ascii="Calibri" w:eastAsia="Calibri" w:hAnsi="Calibri" w:cs="Calibri"/>
          <w:szCs w:val="20"/>
          <w:lang w:val="en-AU"/>
        </w:rPr>
        <w:t xml:space="preserve"> unless supported by other measures.</w:t>
      </w:r>
      <w:r w:rsidR="00C856FC">
        <w:rPr>
          <w:rFonts w:ascii="Calibri" w:eastAsia="Calibri" w:hAnsi="Calibri" w:cs="Calibri"/>
          <w:szCs w:val="20"/>
          <w:lang w:val="en-AU"/>
        </w:rPr>
        <w:t xml:space="preserve"> </w:t>
      </w:r>
      <w:r>
        <w:rPr>
          <w:rFonts w:ascii="Calibri" w:eastAsia="Calibri" w:hAnsi="Calibri" w:cs="Calibri"/>
          <w:szCs w:val="20"/>
          <w:lang w:val="en-AU"/>
        </w:rPr>
        <w:t>U</w:t>
      </w:r>
      <w:r w:rsidRPr="00A37634">
        <w:rPr>
          <w:rFonts w:ascii="Calibri" w:eastAsia="Calibri" w:hAnsi="Calibri" w:cs="Calibri"/>
          <w:szCs w:val="20"/>
          <w:lang w:val="en-AU"/>
        </w:rPr>
        <w:t xml:space="preserve">sing energy labels as a means of encouraging consumers to prefer appliances with “smart” or DR capabilities is problematic and has not succeeded </w:t>
      </w:r>
      <w:r>
        <w:rPr>
          <w:rFonts w:ascii="Calibri" w:eastAsia="Calibri" w:hAnsi="Calibri" w:cs="Calibri"/>
          <w:szCs w:val="20"/>
          <w:lang w:val="en-AU"/>
        </w:rPr>
        <w:t xml:space="preserve">in </w:t>
      </w:r>
      <w:r w:rsidRPr="00A37634">
        <w:rPr>
          <w:rFonts w:ascii="Calibri" w:eastAsia="Calibri" w:hAnsi="Calibri" w:cs="Calibri"/>
          <w:szCs w:val="20"/>
          <w:lang w:val="en-AU"/>
        </w:rPr>
        <w:t xml:space="preserve">the USA </w:t>
      </w:r>
      <w:r>
        <w:rPr>
          <w:rFonts w:ascii="Calibri" w:eastAsia="Calibri" w:hAnsi="Calibri" w:cs="Calibri"/>
          <w:szCs w:val="20"/>
          <w:lang w:val="en-AU"/>
        </w:rPr>
        <w:t xml:space="preserve">or </w:t>
      </w:r>
      <w:r w:rsidRPr="00A37634">
        <w:rPr>
          <w:rFonts w:ascii="Calibri" w:eastAsia="Calibri" w:hAnsi="Calibri" w:cs="Calibri"/>
          <w:szCs w:val="20"/>
          <w:lang w:val="en-AU"/>
        </w:rPr>
        <w:t>Japan</w:t>
      </w:r>
      <w:r>
        <w:rPr>
          <w:rFonts w:ascii="Calibri" w:eastAsia="Calibri" w:hAnsi="Calibri" w:cs="Calibri"/>
          <w:szCs w:val="20"/>
          <w:lang w:val="en-AU"/>
        </w:rPr>
        <w:t xml:space="preserve"> either</w:t>
      </w:r>
      <w:r w:rsidRPr="00A37634">
        <w:rPr>
          <w:rFonts w:ascii="Calibri" w:eastAsia="Calibri" w:hAnsi="Calibri" w:cs="Calibri"/>
          <w:szCs w:val="20"/>
          <w:lang w:val="en-AU"/>
        </w:rPr>
        <w:t>.</w:t>
      </w:r>
      <w:r w:rsidRPr="00A37634">
        <w:rPr>
          <w:rFonts w:ascii="Calibri" w:eastAsia="Calibri" w:hAnsi="Calibri" w:cs="Calibri"/>
          <w:szCs w:val="20"/>
          <w:vertAlign w:val="superscript"/>
          <w:lang w:val="en-AU"/>
        </w:rPr>
        <w:footnoteReference w:id="39"/>
      </w:r>
    </w:p>
    <w:p w14:paraId="3977A04A" w14:textId="77777777" w:rsidR="00A37634" w:rsidRPr="00A37634" w:rsidRDefault="00A37634" w:rsidP="00A37634">
      <w:pPr>
        <w:spacing w:before="240" w:after="240" w:line="276" w:lineRule="auto"/>
        <w:rPr>
          <w:rFonts w:ascii="Calibri" w:eastAsia="Calibri" w:hAnsi="Calibri" w:cs="Calibri"/>
          <w:b/>
          <w:bCs/>
          <w:color w:val="FF0000"/>
          <w:sz w:val="28"/>
          <w:szCs w:val="20"/>
          <w:lang w:val="en-AU"/>
        </w:rPr>
      </w:pPr>
      <w:r w:rsidRPr="00A37634">
        <w:rPr>
          <w:rFonts w:ascii="Calibri" w:eastAsia="Calibri" w:hAnsi="Calibri" w:cs="Calibri"/>
          <w:b/>
          <w:bCs/>
          <w:color w:val="FF0000"/>
          <w:sz w:val="28"/>
          <w:szCs w:val="20"/>
          <w:lang w:val="en-AU"/>
        </w:rPr>
        <w:t>Cash incentives</w:t>
      </w:r>
    </w:p>
    <w:p w14:paraId="3D4D0CFA" w14:textId="1E24BAD2"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Cash incentive payments provide another means of encouraging buyers to voluntarily purchase products with specific DR capabilities. </w:t>
      </w:r>
      <w:r w:rsidR="00A31A66">
        <w:rPr>
          <w:rFonts w:ascii="Calibri" w:eastAsia="Calibri" w:hAnsi="Calibri" w:cs="Calibri"/>
          <w:szCs w:val="20"/>
          <w:lang w:val="en-AU"/>
        </w:rPr>
        <w:t xml:space="preserve">Under the PeakSmart program established in 2013, </w:t>
      </w:r>
      <w:r w:rsidRPr="00A37634">
        <w:rPr>
          <w:rFonts w:ascii="Calibri" w:eastAsia="Calibri" w:hAnsi="Calibri" w:cs="Calibri"/>
          <w:szCs w:val="20"/>
          <w:lang w:val="en-AU"/>
        </w:rPr>
        <w:t xml:space="preserve">Energex and Ergon offer cash incentives to customers in designated areas who purchase AS/NZS 4755-compliant ACs and have them activated on installation (see Appendix </w:t>
      </w:r>
      <w:r w:rsidR="00355AC2">
        <w:rPr>
          <w:rFonts w:ascii="Calibri" w:eastAsia="Calibri" w:hAnsi="Calibri" w:cs="Calibri"/>
          <w:szCs w:val="20"/>
          <w:lang w:val="en-AU"/>
        </w:rPr>
        <w:t>2</w:t>
      </w:r>
      <w:r w:rsidRPr="00A37634">
        <w:rPr>
          <w:rFonts w:ascii="Calibri" w:eastAsia="Calibri" w:hAnsi="Calibri" w:cs="Calibri"/>
          <w:szCs w:val="20"/>
          <w:lang w:val="en-AU"/>
        </w:rPr>
        <w:t xml:space="preserve">). </w:t>
      </w:r>
      <w:r w:rsidR="004220C0">
        <w:rPr>
          <w:rFonts w:ascii="Calibri" w:eastAsia="Calibri" w:hAnsi="Calibri" w:cs="Calibri"/>
          <w:szCs w:val="20"/>
          <w:lang w:val="en-AU"/>
        </w:rPr>
        <w:t xml:space="preserve">Energex </w:t>
      </w:r>
      <w:r w:rsidR="00355AC2">
        <w:rPr>
          <w:rFonts w:ascii="Calibri" w:eastAsia="Calibri" w:hAnsi="Calibri" w:cs="Calibri"/>
          <w:szCs w:val="20"/>
          <w:lang w:val="en-AU"/>
        </w:rPr>
        <w:t>report</w:t>
      </w:r>
      <w:r w:rsidR="004220C0">
        <w:rPr>
          <w:rFonts w:ascii="Calibri" w:eastAsia="Calibri" w:hAnsi="Calibri" w:cs="Calibri"/>
          <w:szCs w:val="20"/>
          <w:lang w:val="en-AU"/>
        </w:rPr>
        <w:t>s</w:t>
      </w:r>
      <w:r w:rsidR="00355AC2">
        <w:rPr>
          <w:rFonts w:ascii="Calibri" w:eastAsia="Calibri" w:hAnsi="Calibri" w:cs="Calibri"/>
          <w:szCs w:val="20"/>
          <w:lang w:val="en-AU"/>
        </w:rPr>
        <w:t xml:space="preserve"> that the cost of acquiring load control in this way is lower than </w:t>
      </w:r>
      <w:r w:rsidR="004220C0">
        <w:rPr>
          <w:rFonts w:ascii="Calibri" w:eastAsia="Calibri" w:hAnsi="Calibri" w:cs="Calibri"/>
          <w:szCs w:val="20"/>
          <w:lang w:val="en-AU"/>
        </w:rPr>
        <w:t xml:space="preserve">the cost of </w:t>
      </w:r>
      <w:r w:rsidR="00355AC2">
        <w:rPr>
          <w:rFonts w:ascii="Calibri" w:eastAsia="Calibri" w:hAnsi="Calibri" w:cs="Calibri"/>
          <w:szCs w:val="20"/>
          <w:lang w:val="en-AU"/>
        </w:rPr>
        <w:t>building new capacity.</w:t>
      </w:r>
      <w:r w:rsidR="00355AC2">
        <w:rPr>
          <w:rStyle w:val="FootnoteReference"/>
          <w:rFonts w:ascii="Calibri" w:eastAsia="Calibri" w:hAnsi="Calibri" w:cs="Calibri"/>
          <w:szCs w:val="20"/>
          <w:lang w:val="en-AU"/>
        </w:rPr>
        <w:footnoteReference w:id="40"/>
      </w:r>
    </w:p>
    <w:p w14:paraId="1B5C78A5" w14:textId="64B5406C" w:rsidR="004220C0" w:rsidRDefault="004220C0"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lastRenderedPageBreak/>
        <w:t xml:space="preserve">In their submissions on the Consultation Paper, most manufacturers favoured the option of offering cash incentives to consumers over the option of mandating compliance with AS/NZS 4755. This would leave the decision of whether to supply compliant products to the market up to them. </w:t>
      </w:r>
    </w:p>
    <w:p w14:paraId="71DA950F" w14:textId="77777777" w:rsidR="00E572F0" w:rsidRDefault="004220C0"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However, it is not clear how a national-scale incentive program could be implemented. </w:t>
      </w:r>
    </w:p>
    <w:p w14:paraId="69F59498" w14:textId="1B83EF34"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An upfront cash incentive serves </w:t>
      </w:r>
      <w:r w:rsidR="00E572F0">
        <w:rPr>
          <w:rFonts w:ascii="Calibri" w:eastAsia="Calibri" w:hAnsi="Calibri" w:cs="Calibri"/>
          <w:szCs w:val="20"/>
          <w:lang w:val="en-AU"/>
        </w:rPr>
        <w:t xml:space="preserve">several </w:t>
      </w:r>
      <w:r w:rsidRPr="00A37634">
        <w:rPr>
          <w:rFonts w:ascii="Calibri" w:eastAsia="Calibri" w:hAnsi="Calibri" w:cs="Calibri"/>
          <w:szCs w:val="20"/>
          <w:lang w:val="en-AU"/>
        </w:rPr>
        <w:t xml:space="preserve">objectives: </w:t>
      </w:r>
    </w:p>
    <w:p w14:paraId="5149FDCD" w14:textId="7EB9B683" w:rsidR="00E572F0" w:rsidRDefault="00E572F0" w:rsidP="00FF17C7">
      <w:pPr>
        <w:numPr>
          <w:ilvl w:val="0"/>
          <w:numId w:val="14"/>
        </w:numPr>
        <w:spacing w:before="120" w:after="120" w:line="276" w:lineRule="auto"/>
        <w:contextualSpacing/>
        <w:rPr>
          <w:rFonts w:ascii="Calibri" w:eastAsia="Calibri" w:hAnsi="Calibri" w:cs="Calibri"/>
          <w:szCs w:val="20"/>
          <w:lang w:val="en-AU"/>
        </w:rPr>
      </w:pPr>
      <w:r>
        <w:rPr>
          <w:rFonts w:ascii="Calibri" w:eastAsia="Calibri" w:hAnsi="Calibri" w:cs="Calibri"/>
          <w:szCs w:val="20"/>
          <w:lang w:val="en-AU"/>
        </w:rPr>
        <w:t xml:space="preserve">targeting consumers in areas where load modification has value (e.g. by restricting offers to consumers living near problem substations); </w:t>
      </w:r>
    </w:p>
    <w:p w14:paraId="0D526D14" w14:textId="59F52A40" w:rsidR="00A37634" w:rsidRPr="00A37634" w:rsidRDefault="00A37634" w:rsidP="00FF17C7">
      <w:pPr>
        <w:numPr>
          <w:ilvl w:val="0"/>
          <w:numId w:val="14"/>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motivat</w:t>
      </w:r>
      <w:r w:rsidR="00E572F0">
        <w:rPr>
          <w:rFonts w:ascii="Calibri" w:eastAsia="Calibri" w:hAnsi="Calibri" w:cs="Calibri"/>
          <w:szCs w:val="20"/>
          <w:lang w:val="en-AU"/>
        </w:rPr>
        <w:t xml:space="preserve">ing </w:t>
      </w:r>
      <w:r w:rsidRPr="00A37634">
        <w:rPr>
          <w:rFonts w:ascii="Calibri" w:eastAsia="Calibri" w:hAnsi="Calibri" w:cs="Calibri"/>
          <w:szCs w:val="20"/>
          <w:lang w:val="en-AU"/>
        </w:rPr>
        <w:t xml:space="preserve">consumers to seek out products that </w:t>
      </w:r>
      <w:proofErr w:type="gramStart"/>
      <w:r w:rsidRPr="00A37634">
        <w:rPr>
          <w:rFonts w:ascii="Calibri" w:eastAsia="Calibri" w:hAnsi="Calibri" w:cs="Calibri"/>
          <w:szCs w:val="20"/>
          <w:lang w:val="en-AU"/>
        </w:rPr>
        <w:t>are capable of linking</w:t>
      </w:r>
      <w:proofErr w:type="gramEnd"/>
      <w:r w:rsidRPr="00A37634">
        <w:rPr>
          <w:rFonts w:ascii="Calibri" w:eastAsia="Calibri" w:hAnsi="Calibri" w:cs="Calibri"/>
          <w:szCs w:val="20"/>
          <w:lang w:val="en-AU"/>
        </w:rPr>
        <w:t xml:space="preserve"> to the DRSPs communications platform</w:t>
      </w:r>
      <w:r w:rsidR="00E572F0">
        <w:rPr>
          <w:rFonts w:ascii="Calibri" w:eastAsia="Calibri" w:hAnsi="Calibri" w:cs="Calibri"/>
          <w:szCs w:val="20"/>
          <w:lang w:val="en-AU"/>
        </w:rPr>
        <w:t xml:space="preserve"> (by restricting appliance eligibility)</w:t>
      </w:r>
      <w:r w:rsidRPr="00A37634">
        <w:rPr>
          <w:rFonts w:ascii="Calibri" w:eastAsia="Calibri" w:hAnsi="Calibri" w:cs="Calibri"/>
          <w:szCs w:val="20"/>
          <w:lang w:val="en-AU"/>
        </w:rPr>
        <w:t xml:space="preserve">; </w:t>
      </w:r>
    </w:p>
    <w:p w14:paraId="2E2F5449" w14:textId="7D52CA52" w:rsidR="00A37634" w:rsidRPr="00A37634" w:rsidRDefault="00A37634" w:rsidP="00FF17C7">
      <w:pPr>
        <w:numPr>
          <w:ilvl w:val="0"/>
          <w:numId w:val="14"/>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enabl</w:t>
      </w:r>
      <w:r w:rsidR="00E572F0">
        <w:rPr>
          <w:rFonts w:ascii="Calibri" w:eastAsia="Calibri" w:hAnsi="Calibri" w:cs="Calibri"/>
          <w:szCs w:val="20"/>
          <w:lang w:val="en-AU"/>
        </w:rPr>
        <w:t xml:space="preserve">ing </w:t>
      </w:r>
      <w:r w:rsidRPr="00A37634">
        <w:rPr>
          <w:rFonts w:ascii="Calibri" w:eastAsia="Calibri" w:hAnsi="Calibri" w:cs="Calibri"/>
          <w:szCs w:val="20"/>
          <w:lang w:val="en-AU"/>
        </w:rPr>
        <w:t>the service provider to identify consumers who have purchased those products (they will be the ones claiming the incentive); and</w:t>
      </w:r>
    </w:p>
    <w:p w14:paraId="68C13AF3" w14:textId="6C28A3AC" w:rsidR="00A37634" w:rsidRPr="00A37634" w:rsidRDefault="00A37634" w:rsidP="00FF17C7">
      <w:pPr>
        <w:numPr>
          <w:ilvl w:val="0"/>
          <w:numId w:val="14"/>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rewarding those consumers for participating in the DR program</w:t>
      </w:r>
      <w:r w:rsidR="00E572F0">
        <w:rPr>
          <w:rFonts w:ascii="Calibri" w:eastAsia="Calibri" w:hAnsi="Calibri" w:cs="Calibri"/>
          <w:szCs w:val="20"/>
          <w:lang w:val="en-AU"/>
        </w:rPr>
        <w:t xml:space="preserve"> (</w:t>
      </w:r>
      <w:proofErr w:type="gramStart"/>
      <w:r w:rsidR="00E572F0">
        <w:rPr>
          <w:rFonts w:ascii="Calibri" w:eastAsia="Calibri" w:hAnsi="Calibri" w:cs="Calibri"/>
          <w:szCs w:val="20"/>
          <w:lang w:val="en-AU"/>
        </w:rPr>
        <w:t>whether or not</w:t>
      </w:r>
      <w:proofErr w:type="gramEnd"/>
      <w:r w:rsidR="00E572F0">
        <w:rPr>
          <w:rFonts w:ascii="Calibri" w:eastAsia="Calibri" w:hAnsi="Calibri" w:cs="Calibri"/>
          <w:szCs w:val="20"/>
          <w:lang w:val="en-AU"/>
        </w:rPr>
        <w:t xml:space="preserve"> other rewards are also offered – such as pay per event – depends on the program design).</w:t>
      </w:r>
      <w:r w:rsidRPr="00A37634">
        <w:rPr>
          <w:rFonts w:ascii="Calibri" w:eastAsia="Calibri" w:hAnsi="Calibri" w:cs="Calibri"/>
          <w:szCs w:val="20"/>
          <w:lang w:val="en-AU"/>
        </w:rPr>
        <w:t xml:space="preserve"> </w:t>
      </w:r>
    </w:p>
    <w:p w14:paraId="6CB67850" w14:textId="141AC210" w:rsidR="004C415C"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If it is mandatory for all products sold to have a uniform, non-proprietary capability that is accessible to all DRSPs, then it is not necessary to offer incentives for objective (</w:t>
      </w:r>
      <w:r w:rsidR="00E572F0">
        <w:rPr>
          <w:rFonts w:ascii="Calibri" w:eastAsia="Calibri" w:hAnsi="Calibri" w:cs="Calibri"/>
          <w:szCs w:val="20"/>
          <w:lang w:val="en-AU"/>
        </w:rPr>
        <w:t>b</w:t>
      </w:r>
      <w:r w:rsidRPr="00A37634">
        <w:rPr>
          <w:rFonts w:ascii="Calibri" w:eastAsia="Calibri" w:hAnsi="Calibri" w:cs="Calibri"/>
          <w:szCs w:val="20"/>
          <w:lang w:val="en-AU"/>
        </w:rPr>
        <w:t>) or (</w:t>
      </w:r>
      <w:r w:rsidR="00E572F0">
        <w:rPr>
          <w:rFonts w:ascii="Calibri" w:eastAsia="Calibri" w:hAnsi="Calibri" w:cs="Calibri"/>
          <w:szCs w:val="20"/>
          <w:lang w:val="en-AU"/>
        </w:rPr>
        <w:t>c</w:t>
      </w:r>
      <w:r w:rsidRPr="00A37634">
        <w:rPr>
          <w:rFonts w:ascii="Calibri" w:eastAsia="Calibri" w:hAnsi="Calibri" w:cs="Calibri"/>
          <w:szCs w:val="20"/>
          <w:lang w:val="en-AU"/>
        </w:rPr>
        <w:t>)</w:t>
      </w:r>
      <w:r w:rsidR="00E572F0">
        <w:rPr>
          <w:rFonts w:ascii="Calibri" w:eastAsia="Calibri" w:hAnsi="Calibri" w:cs="Calibri"/>
          <w:szCs w:val="20"/>
          <w:lang w:val="en-AU"/>
        </w:rPr>
        <w:t xml:space="preserve">. </w:t>
      </w:r>
      <w:r w:rsidR="004C415C">
        <w:rPr>
          <w:rFonts w:ascii="Calibri" w:eastAsia="Calibri" w:hAnsi="Calibri" w:cs="Calibri"/>
          <w:szCs w:val="20"/>
          <w:lang w:val="en-AU"/>
        </w:rPr>
        <w:t xml:space="preserve">The number of DR-capable products will build up at a predictable rate. DRSPs will still be able to target problem areas, and will in fact </w:t>
      </w:r>
      <w:proofErr w:type="gramStart"/>
      <w:r w:rsidR="004C415C">
        <w:rPr>
          <w:rFonts w:ascii="Calibri" w:eastAsia="Calibri" w:hAnsi="Calibri" w:cs="Calibri"/>
          <w:szCs w:val="20"/>
          <w:lang w:val="en-AU"/>
        </w:rPr>
        <w:t>be able to</w:t>
      </w:r>
      <w:proofErr w:type="gramEnd"/>
      <w:r w:rsidR="004C415C">
        <w:rPr>
          <w:rFonts w:ascii="Calibri" w:eastAsia="Calibri" w:hAnsi="Calibri" w:cs="Calibri"/>
          <w:szCs w:val="20"/>
          <w:lang w:val="en-AU"/>
        </w:rPr>
        <w:t xml:space="preserve"> achieve more rapid </w:t>
      </w:r>
      <w:r w:rsidR="0096095E">
        <w:rPr>
          <w:rFonts w:ascii="Calibri" w:eastAsia="Calibri" w:hAnsi="Calibri" w:cs="Calibri"/>
          <w:szCs w:val="20"/>
          <w:lang w:val="en-AU"/>
        </w:rPr>
        <w:t>take-ups</w:t>
      </w:r>
      <w:r w:rsidR="004C415C">
        <w:rPr>
          <w:rFonts w:ascii="Calibri" w:eastAsia="Calibri" w:hAnsi="Calibri" w:cs="Calibri"/>
          <w:szCs w:val="20"/>
          <w:lang w:val="en-AU"/>
        </w:rPr>
        <w:t xml:space="preserve">, since they will be able to draw on unactivated products already in the stock, rather than being restricted to the rate at which new products are purchased (as is the case with PeakSmart). </w:t>
      </w:r>
    </w:p>
    <w:p w14:paraId="0B7EE926" w14:textId="044B98ED" w:rsidR="004C415C" w:rsidRDefault="004C415C"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Therefore</w:t>
      </w:r>
      <w:r w:rsidR="0096095E">
        <w:rPr>
          <w:rFonts w:ascii="Calibri" w:eastAsia="Calibri" w:hAnsi="Calibri" w:cs="Calibri"/>
          <w:szCs w:val="20"/>
          <w:lang w:val="en-AU"/>
        </w:rPr>
        <w:t>,</w:t>
      </w:r>
      <w:r>
        <w:rPr>
          <w:rFonts w:ascii="Calibri" w:eastAsia="Calibri" w:hAnsi="Calibri" w:cs="Calibri"/>
          <w:szCs w:val="20"/>
          <w:lang w:val="en-AU"/>
        </w:rPr>
        <w:t xml:space="preserve"> incentives can work well with mandatory compliance, but </w:t>
      </w:r>
      <w:r w:rsidR="00762ABC">
        <w:rPr>
          <w:rFonts w:ascii="Calibri" w:eastAsia="Calibri" w:hAnsi="Calibri" w:cs="Calibri"/>
          <w:szCs w:val="20"/>
          <w:lang w:val="en-AU"/>
        </w:rPr>
        <w:t xml:space="preserve">to </w:t>
      </w:r>
      <w:r w:rsidRPr="00762ABC">
        <w:rPr>
          <w:rFonts w:ascii="Calibri" w:eastAsia="Calibri" w:hAnsi="Calibri" w:cs="Calibri"/>
          <w:szCs w:val="20"/>
          <w:u w:val="single"/>
          <w:lang w:val="en-AU"/>
        </w:rPr>
        <w:t>replace</w:t>
      </w:r>
      <w:r w:rsidRPr="008E7146">
        <w:rPr>
          <w:rFonts w:ascii="Calibri" w:eastAsia="Calibri" w:hAnsi="Calibri" w:cs="Calibri"/>
          <w:szCs w:val="20"/>
          <w:lang w:val="en-AU"/>
        </w:rPr>
        <w:t xml:space="preserve"> </w:t>
      </w:r>
      <w:r>
        <w:rPr>
          <w:rFonts w:ascii="Calibri" w:eastAsia="Calibri" w:hAnsi="Calibri" w:cs="Calibri"/>
          <w:szCs w:val="20"/>
          <w:lang w:val="en-AU"/>
        </w:rPr>
        <w:t>mandatory compliance</w:t>
      </w:r>
      <w:r w:rsidR="00762ABC">
        <w:rPr>
          <w:rFonts w:ascii="Calibri" w:eastAsia="Calibri" w:hAnsi="Calibri" w:cs="Calibri"/>
          <w:szCs w:val="20"/>
          <w:lang w:val="en-AU"/>
        </w:rPr>
        <w:t xml:space="preserve"> and achieve similar outcomes,</w:t>
      </w:r>
      <w:r>
        <w:rPr>
          <w:rFonts w:ascii="Calibri" w:eastAsia="Calibri" w:hAnsi="Calibri" w:cs="Calibri"/>
          <w:szCs w:val="20"/>
          <w:lang w:val="en-AU"/>
        </w:rPr>
        <w:t xml:space="preserve"> the following conditions </w:t>
      </w:r>
      <w:r w:rsidR="00762ABC">
        <w:rPr>
          <w:rFonts w:ascii="Calibri" w:eastAsia="Calibri" w:hAnsi="Calibri" w:cs="Calibri"/>
          <w:szCs w:val="20"/>
          <w:lang w:val="en-AU"/>
        </w:rPr>
        <w:t xml:space="preserve">would need to be </w:t>
      </w:r>
      <w:r>
        <w:rPr>
          <w:rFonts w:ascii="Calibri" w:eastAsia="Calibri" w:hAnsi="Calibri" w:cs="Calibri"/>
          <w:szCs w:val="20"/>
          <w:lang w:val="en-AU"/>
        </w:rPr>
        <w:t>met:</w:t>
      </w:r>
    </w:p>
    <w:p w14:paraId="3C17D633" w14:textId="0AA44DEA" w:rsidR="004C415C" w:rsidRPr="005C1841" w:rsidRDefault="00762ABC" w:rsidP="00FF17C7">
      <w:pPr>
        <w:pStyle w:val="ListParagraph"/>
        <w:numPr>
          <w:ilvl w:val="0"/>
          <w:numId w:val="17"/>
        </w:numPr>
        <w:spacing w:before="120"/>
        <w:rPr>
          <w:rFonts w:eastAsia="Calibri" w:cs="Calibri"/>
        </w:rPr>
      </w:pPr>
      <w:r w:rsidRPr="005C1841">
        <w:rPr>
          <w:rFonts w:eastAsia="Calibri" w:cs="Calibri"/>
        </w:rPr>
        <w:t xml:space="preserve">Eligibility would need to be restricted to products that comply with AS/NZS 4755. Otherwise incentives would turbocharge the fragmentation of the market by underwriting products with unknown, unpredictable, untestable and divergent DR capabilities; </w:t>
      </w:r>
    </w:p>
    <w:p w14:paraId="5C4DD05D" w14:textId="38F7A752" w:rsidR="00762ABC" w:rsidRPr="005C1841" w:rsidRDefault="00762ABC" w:rsidP="00FF17C7">
      <w:pPr>
        <w:pStyle w:val="ListParagraph"/>
        <w:numPr>
          <w:ilvl w:val="0"/>
          <w:numId w:val="17"/>
        </w:numPr>
        <w:spacing w:before="120"/>
        <w:rPr>
          <w:rFonts w:eastAsia="Calibri" w:cs="Calibri"/>
        </w:rPr>
      </w:pPr>
      <w:r w:rsidRPr="005C1841">
        <w:rPr>
          <w:rFonts w:eastAsia="Calibri" w:cs="Calibri"/>
        </w:rPr>
        <w:t xml:space="preserve">Purchases made in any part of Australia or New Zealand would need to be eligible, to match the geographical scope of a mandatory program; </w:t>
      </w:r>
      <w:r w:rsidR="0096095E">
        <w:rPr>
          <w:rFonts w:eastAsia="Calibri" w:cs="Calibri"/>
        </w:rPr>
        <w:t>and</w:t>
      </w:r>
      <w:r w:rsidRPr="005C1841">
        <w:rPr>
          <w:rFonts w:eastAsia="Calibri" w:cs="Calibri"/>
        </w:rPr>
        <w:t xml:space="preserve">  </w:t>
      </w:r>
    </w:p>
    <w:p w14:paraId="41C90C8F" w14:textId="7413803C" w:rsidR="004C415C" w:rsidRPr="005C1841" w:rsidRDefault="00762ABC" w:rsidP="00FF17C7">
      <w:pPr>
        <w:pStyle w:val="ListParagraph"/>
        <w:numPr>
          <w:ilvl w:val="0"/>
          <w:numId w:val="17"/>
        </w:numPr>
        <w:spacing w:before="120"/>
        <w:rPr>
          <w:rFonts w:eastAsia="Calibri" w:cs="Calibri"/>
        </w:rPr>
      </w:pPr>
      <w:r w:rsidRPr="005C1841">
        <w:rPr>
          <w:rFonts w:eastAsia="Calibri" w:cs="Calibri"/>
        </w:rPr>
        <w:t>There would need to be a means of funding the incentives</w:t>
      </w:r>
      <w:r w:rsidR="005C1841" w:rsidRPr="005C1841">
        <w:rPr>
          <w:rFonts w:eastAsia="Calibri" w:cs="Calibri"/>
        </w:rPr>
        <w:t xml:space="preserve"> that does not depend on utilities or DNSPs (otherwise it would default to Option 1</w:t>
      </w:r>
      <w:r w:rsidR="0096095E">
        <w:rPr>
          <w:rFonts w:eastAsia="Calibri" w:cs="Calibri"/>
        </w:rPr>
        <w:t xml:space="preserve"> –</w:t>
      </w:r>
      <w:r w:rsidR="005C1841" w:rsidRPr="005C1841">
        <w:rPr>
          <w:rFonts w:eastAsia="Calibri" w:cs="Calibri"/>
        </w:rPr>
        <w:t xml:space="preserve"> BAU). A new nationally available funding mechanism would need to be established. Funding could come from Commonwealth, or from States, or from surcharge on wholesale market participants including DRSPs. The funding formula would be complicated and no doubt contested.</w:t>
      </w:r>
    </w:p>
    <w:p w14:paraId="544BD96D" w14:textId="267F80BD" w:rsidR="00E572F0" w:rsidRDefault="005C1841"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If these conditions could be met, the most significant benefit compared with mandatory compliance is that non-activated products need not comply. The magnitude of this benefit (and any offsetting losses in terms of activation rates) are explored in Chapter 5. </w:t>
      </w:r>
    </w:p>
    <w:p w14:paraId="1C053385" w14:textId="65B00EAC" w:rsidR="004220C0" w:rsidRPr="00A37634" w:rsidRDefault="004220C0" w:rsidP="004220C0">
      <w:pPr>
        <w:spacing w:before="120" w:after="120" w:line="276" w:lineRule="auto"/>
        <w:rPr>
          <w:rFonts w:ascii="Calibri" w:eastAsia="Calibri" w:hAnsi="Calibri" w:cs="Calibri"/>
          <w:szCs w:val="20"/>
          <w:lang w:val="en-AU"/>
        </w:rPr>
      </w:pPr>
      <w:r w:rsidRPr="004220C0">
        <w:rPr>
          <w:rFonts w:ascii="Calibri" w:eastAsia="Calibri" w:hAnsi="Calibri" w:cs="Calibri"/>
          <w:szCs w:val="20"/>
          <w:lang w:val="en-AU"/>
        </w:rPr>
        <w:t>While local incentive programs would increase the take-up of DR-capable appliances in the areas where they are offered, and for the duration of the offers, they are unlikely to create a permanent market shift towards demand-responsive appliances throughout Australia. A sustained and near-universal incentive program where governments require utilities or independent DRSPs to offer the necessary incentives may well have this outcome.</w:t>
      </w:r>
    </w:p>
    <w:p w14:paraId="3FF99993" w14:textId="77777777" w:rsidR="00A37634" w:rsidRPr="00A37634" w:rsidRDefault="00A37634" w:rsidP="00A37634">
      <w:pPr>
        <w:keepNext/>
        <w:keepLines/>
        <w:spacing w:before="240" w:after="240" w:line="278" w:lineRule="auto"/>
        <w:outlineLvl w:val="4"/>
        <w:rPr>
          <w:rFonts w:ascii="Calibri" w:eastAsia="Times New Roman" w:hAnsi="Calibri" w:cs="Calibri"/>
          <w:b/>
          <w:color w:val="FF0000"/>
          <w:sz w:val="28"/>
          <w:szCs w:val="24"/>
          <w:lang w:val="en-AU"/>
        </w:rPr>
      </w:pPr>
      <w:r w:rsidRPr="00A37634">
        <w:rPr>
          <w:rFonts w:ascii="Calibri" w:eastAsia="Times New Roman" w:hAnsi="Calibri" w:cs="Calibri"/>
          <w:b/>
          <w:color w:val="FF0000"/>
          <w:sz w:val="28"/>
          <w:szCs w:val="24"/>
          <w:lang w:val="en-AU"/>
        </w:rPr>
        <w:lastRenderedPageBreak/>
        <w:t xml:space="preserve">Option 3 – Mandate the Presence of Demand Response Capabilities </w:t>
      </w:r>
    </w:p>
    <w:p w14:paraId="6585824E" w14:textId="2D10F0F5"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Under this option, all ACs, electric storage water heaters, pool pump controllers and EV charge/discharge controllers intended for household use would have to comply with AS/NZS 4755. These appliances will to be sold with standardised DR capabilities built-in</w:t>
      </w:r>
      <w:r w:rsidR="00EB6BA3">
        <w:rPr>
          <w:rFonts w:ascii="Calibri" w:eastAsia="Calibri" w:hAnsi="Calibri" w:cs="Calibri"/>
          <w:szCs w:val="20"/>
          <w:lang w:val="en-AU"/>
        </w:rPr>
        <w:t xml:space="preserve"> (or in some cases accessible with a</w:t>
      </w:r>
      <w:r w:rsidR="00243B9C">
        <w:rPr>
          <w:rFonts w:ascii="Calibri" w:eastAsia="Calibri" w:hAnsi="Calibri" w:cs="Calibri"/>
          <w:szCs w:val="20"/>
          <w:lang w:val="en-AU"/>
        </w:rPr>
        <w:t xml:space="preserve">n added </w:t>
      </w:r>
      <w:r w:rsidR="00EB6BA3">
        <w:rPr>
          <w:rFonts w:ascii="Calibri" w:eastAsia="Calibri" w:hAnsi="Calibri" w:cs="Calibri"/>
          <w:szCs w:val="20"/>
          <w:lang w:val="en-AU"/>
        </w:rPr>
        <w:t>component)</w:t>
      </w:r>
      <w:r w:rsidR="00EB6BA3">
        <w:rPr>
          <w:rStyle w:val="FootnoteReference"/>
          <w:rFonts w:ascii="Calibri" w:eastAsia="Calibri" w:hAnsi="Calibri" w:cs="Calibri"/>
          <w:szCs w:val="20"/>
          <w:lang w:val="en-AU"/>
        </w:rPr>
        <w:footnoteReference w:id="41"/>
      </w:r>
      <w:r w:rsidR="00EB6BA3">
        <w:rPr>
          <w:rFonts w:ascii="Calibri" w:eastAsia="Calibri" w:hAnsi="Calibri" w:cs="Calibri"/>
          <w:szCs w:val="20"/>
          <w:lang w:val="en-AU"/>
        </w:rPr>
        <w:t>,</w:t>
      </w:r>
      <w:r w:rsidRPr="00A37634">
        <w:rPr>
          <w:rFonts w:ascii="Calibri" w:eastAsia="Calibri" w:hAnsi="Calibri" w:cs="Calibri"/>
          <w:szCs w:val="20"/>
          <w:lang w:val="en-AU"/>
        </w:rPr>
        <w:t xml:space="preserve"> to allow them to connect to a range of communications systems and to participate in the DR market. </w:t>
      </w:r>
      <w:r w:rsidR="00EB6BA3">
        <w:rPr>
          <w:rFonts w:ascii="Calibri" w:eastAsia="Calibri" w:hAnsi="Calibri" w:cs="Calibri"/>
          <w:szCs w:val="20"/>
          <w:lang w:val="en-AU"/>
        </w:rPr>
        <w:t xml:space="preserve">For those </w:t>
      </w:r>
      <w:proofErr w:type="gramStart"/>
      <w:r w:rsidR="00EB6BA3">
        <w:rPr>
          <w:rFonts w:ascii="Calibri" w:eastAsia="Calibri" w:hAnsi="Calibri" w:cs="Calibri"/>
          <w:szCs w:val="20"/>
          <w:lang w:val="en-AU"/>
        </w:rPr>
        <w:t>products</w:t>
      </w:r>
      <w:proofErr w:type="gramEnd"/>
      <w:r w:rsidR="00EB6BA3">
        <w:rPr>
          <w:rFonts w:ascii="Calibri" w:eastAsia="Calibri" w:hAnsi="Calibri" w:cs="Calibri"/>
          <w:szCs w:val="20"/>
          <w:lang w:val="en-AU"/>
        </w:rPr>
        <w:t xml:space="preserve"> not already compliant, this </w:t>
      </w:r>
      <w:r w:rsidRPr="00A37634">
        <w:rPr>
          <w:rFonts w:ascii="Calibri" w:eastAsia="Calibri" w:hAnsi="Calibri" w:cs="Calibri"/>
          <w:szCs w:val="20"/>
          <w:lang w:val="en-AU"/>
        </w:rPr>
        <w:t xml:space="preserve">will require changes in product design and manufacture, the costs of which will be passed on to all purchasers. </w:t>
      </w:r>
    </w:p>
    <w:p w14:paraId="4DE4C560"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There will be additional costs for those products that are “activated” (connected to a communications platform). As </w:t>
      </w:r>
      <w:proofErr w:type="gramStart"/>
      <w:r w:rsidRPr="00A37634">
        <w:rPr>
          <w:rFonts w:ascii="Calibri" w:eastAsia="Calibri" w:hAnsi="Calibri" w:cs="Calibri"/>
          <w:szCs w:val="20"/>
          <w:lang w:val="en-AU"/>
        </w:rPr>
        <w:t>activation</w:t>
      </w:r>
      <w:proofErr w:type="gramEnd"/>
      <w:r w:rsidRPr="00A37634">
        <w:rPr>
          <w:rFonts w:ascii="Calibri" w:eastAsia="Calibri" w:hAnsi="Calibri" w:cs="Calibri"/>
          <w:szCs w:val="20"/>
          <w:lang w:val="en-AU"/>
        </w:rPr>
        <w:t xml:space="preserve"> would be at the choice of the consumer, only a proportion of products would be activated (whether at the time of installation or later) and the DR capability of the rest would remain unused.  </w:t>
      </w:r>
    </w:p>
    <w:p w14:paraId="5C74C1F3" w14:textId="1C11E0CD"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Mandating compliance with AS/NZS 4755 in ACs and other appliances would mean that </w:t>
      </w:r>
      <w:proofErr w:type="gramStart"/>
      <w:r w:rsidRPr="00A37634">
        <w:rPr>
          <w:rFonts w:ascii="Calibri" w:eastAsia="Calibri" w:hAnsi="Calibri" w:cs="Calibri"/>
          <w:szCs w:val="20"/>
          <w:lang w:val="en-AU"/>
        </w:rPr>
        <w:t>the majority of</w:t>
      </w:r>
      <w:proofErr w:type="gramEnd"/>
      <w:r w:rsidRPr="00A37634">
        <w:rPr>
          <w:rFonts w:ascii="Calibri" w:eastAsia="Calibri" w:hAnsi="Calibri" w:cs="Calibri"/>
          <w:szCs w:val="20"/>
          <w:lang w:val="en-AU"/>
        </w:rPr>
        <w:t xml:space="preserve"> models would need to be redesigned</w:t>
      </w:r>
      <w:r w:rsidR="00243B9C">
        <w:rPr>
          <w:rFonts w:ascii="Calibri" w:eastAsia="Calibri" w:hAnsi="Calibri" w:cs="Calibri"/>
          <w:szCs w:val="20"/>
          <w:lang w:val="en-AU"/>
        </w:rPr>
        <w:t xml:space="preserve"> </w:t>
      </w:r>
      <w:r w:rsidRPr="00A37634">
        <w:rPr>
          <w:rFonts w:ascii="Calibri" w:eastAsia="Calibri" w:hAnsi="Calibri" w:cs="Calibri"/>
          <w:szCs w:val="20"/>
          <w:lang w:val="en-AU"/>
        </w:rPr>
        <w:t xml:space="preserve">to comply with the proposed regulation. The stock of DR-capable appliances would build up at a predictable rate to the thresholds at which it becomes cost-effective for utilities and DRSPs to market commercial offerings to consumers. </w:t>
      </w:r>
    </w:p>
    <w:p w14:paraId="06416B76"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A DR capability that is reliable and of sufficient scale can provide a viable alternative to supply side investment for meeting future demands on the electricity network. It would enable DR to be targeted to the parts of the network under stress, so reducing the risk of network outages. At the same time, all consumers – not just those participating in DR programs – would benefit from lower electricity prices and greater protection from the impacts of peak load events, including the risk of blackouts.</w:t>
      </w:r>
    </w:p>
    <w:p w14:paraId="16C43BBA" w14:textId="3DAA81E4"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If there were evidence of significant BAU </w:t>
      </w:r>
      <w:r w:rsidR="0096095E" w:rsidRPr="00A37634">
        <w:rPr>
          <w:rFonts w:ascii="Calibri" w:eastAsia="Calibri" w:hAnsi="Calibri" w:cs="Calibri"/>
          <w:szCs w:val="20"/>
          <w:lang w:val="en-AU"/>
        </w:rPr>
        <w:t>take up</w:t>
      </w:r>
      <w:r w:rsidRPr="00A37634">
        <w:rPr>
          <w:rFonts w:ascii="Calibri" w:eastAsia="Calibri" w:hAnsi="Calibri" w:cs="Calibri"/>
          <w:szCs w:val="20"/>
          <w:lang w:val="en-AU"/>
        </w:rPr>
        <w:t xml:space="preserve"> of appliances with other DR capabilities (in addition to or in place of AS/NZS 4755 compliance) prior to the announcement of a decision to implement the proposed </w:t>
      </w:r>
      <w:proofErr w:type="gramStart"/>
      <w:r w:rsidRPr="00A37634">
        <w:rPr>
          <w:rFonts w:ascii="Calibri" w:eastAsia="Calibri" w:hAnsi="Calibri" w:cs="Calibri"/>
          <w:szCs w:val="20"/>
          <w:lang w:val="en-AU"/>
        </w:rPr>
        <w:t>measure</w:t>
      </w:r>
      <w:proofErr w:type="gramEnd"/>
      <w:r w:rsidRPr="00A37634">
        <w:rPr>
          <w:rFonts w:ascii="Calibri" w:eastAsia="Calibri" w:hAnsi="Calibri" w:cs="Calibri"/>
          <w:szCs w:val="20"/>
          <w:lang w:val="en-AU"/>
        </w:rPr>
        <w:t xml:space="preserve"> then this would be a reason to reconsider. This </w:t>
      </w:r>
      <w:proofErr w:type="gramStart"/>
      <w:r w:rsidRPr="00A37634">
        <w:rPr>
          <w:rFonts w:ascii="Calibri" w:eastAsia="Calibri" w:hAnsi="Calibri" w:cs="Calibri"/>
          <w:szCs w:val="20"/>
          <w:lang w:val="en-AU"/>
        </w:rPr>
        <w:t>was seen as</w:t>
      </w:r>
      <w:proofErr w:type="gramEnd"/>
      <w:r w:rsidRPr="00A37634">
        <w:rPr>
          <w:rFonts w:ascii="Calibri" w:eastAsia="Calibri" w:hAnsi="Calibri" w:cs="Calibri"/>
          <w:szCs w:val="20"/>
          <w:lang w:val="en-AU"/>
        </w:rPr>
        <w:t xml:space="preserve"> a risk in 2005, when Standards Australia started working on AS/NZS 4755, and 14 years later that standard still appears to be the most effective option. Therefore, while a (currently unforeseeable) global standard may make AS/NZS 4755 obsolete, there is an equal risk that failure to adopt it will miss the benefits of DR. Also, compliance with AS/NZS 4755 does not preclude building in other types of “smart” capability into the same product, so it is not a binary decision. </w:t>
      </w:r>
    </w:p>
    <w:p w14:paraId="01340858" w14:textId="77777777" w:rsidR="00A37634" w:rsidRPr="00A37634" w:rsidRDefault="00A37634" w:rsidP="00A37634">
      <w:pPr>
        <w:keepNext/>
        <w:keepLines/>
        <w:spacing w:before="240" w:after="240" w:line="278" w:lineRule="auto"/>
        <w:outlineLvl w:val="4"/>
        <w:rPr>
          <w:rFonts w:ascii="Calibri" w:eastAsia="Times New Roman" w:hAnsi="Calibri" w:cs="Calibri"/>
          <w:b/>
          <w:color w:val="FF0000"/>
          <w:sz w:val="28"/>
          <w:szCs w:val="24"/>
          <w:lang w:val="en-AU"/>
        </w:rPr>
      </w:pPr>
      <w:r w:rsidRPr="00A37634">
        <w:rPr>
          <w:rFonts w:ascii="Calibri" w:eastAsia="Times New Roman" w:hAnsi="Calibri" w:cs="Calibri"/>
          <w:b/>
          <w:color w:val="FF0000"/>
          <w:sz w:val="28"/>
          <w:szCs w:val="24"/>
          <w:lang w:val="en-AU"/>
        </w:rPr>
        <w:lastRenderedPageBreak/>
        <w:t>Regulatory Drivers</w:t>
      </w:r>
    </w:p>
    <w:p w14:paraId="4430CD2B" w14:textId="5145CD83"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proposal is intended to provide a technical platform that would lower the costs and increase the take-up of DR programs throughout Australia and New Zealand, so enabling a significant increase in the supply of DR services. </w:t>
      </w:r>
      <w:r w:rsidR="0096095E" w:rsidRPr="00A37634">
        <w:rPr>
          <w:rFonts w:ascii="Calibri" w:eastAsia="Calibri" w:hAnsi="Calibri" w:cs="Calibri"/>
          <w:szCs w:val="20"/>
          <w:lang w:val="en-AU"/>
        </w:rPr>
        <w:t>However,</w:t>
      </w:r>
      <w:r w:rsidRPr="00A37634">
        <w:rPr>
          <w:rFonts w:ascii="Calibri" w:eastAsia="Calibri" w:hAnsi="Calibri" w:cs="Calibri"/>
          <w:szCs w:val="20"/>
          <w:lang w:val="en-AU"/>
        </w:rPr>
        <w:t xml:space="preserve"> demand for DR services is ultimately determined by regulatory drivers. </w:t>
      </w:r>
    </w:p>
    <w:p w14:paraId="1F3BC31D"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revenues which the Australian Energy Regulator (AER) permits to regulated network services providers depends partly on the value of their asset base and on the prudent expenditures which they claim will be necessary to maintain electricity supply at acceptable (sometimes statutory) levels of reliability and security. To counter any bias towards maximising capital investment to boost the asset base (“gold plating”), the AER applies tests of “prudence” – whether the purpose of expenditure is legitimate and whether it is possible to achieve the objective at lower cost. </w:t>
      </w:r>
    </w:p>
    <w:p w14:paraId="52B90255" w14:textId="340B0A0B" w:rsidR="00A37634" w:rsidRPr="00A37634" w:rsidRDefault="00A37634" w:rsidP="00A37634">
      <w:pPr>
        <w:spacing w:before="120" w:after="120" w:line="276" w:lineRule="auto"/>
        <w:rPr>
          <w:rFonts w:ascii="Calibri" w:eastAsia="Calibri" w:hAnsi="Calibri" w:cs="Calibri"/>
          <w:szCs w:val="20"/>
          <w:lang w:val="en-AU"/>
        </w:rPr>
      </w:pPr>
      <w:r w:rsidRPr="00541269">
        <w:rPr>
          <w:rStyle w:val="FigreferenceChar"/>
        </w:rPr>
        <w:fldChar w:fldCharType="begin"/>
      </w:r>
      <w:r w:rsidRPr="00541269">
        <w:rPr>
          <w:rStyle w:val="FigreferenceChar"/>
        </w:rPr>
        <w:instrText xml:space="preserve"> REF _Ref13755236 \h  \* MERGEFORMAT </w:instrText>
      </w:r>
      <w:r w:rsidRPr="00541269">
        <w:rPr>
          <w:rStyle w:val="FigreferenceChar"/>
        </w:rPr>
      </w:r>
      <w:r w:rsidRPr="00541269">
        <w:rPr>
          <w:rStyle w:val="FigreferenceChar"/>
        </w:rPr>
        <w:fldChar w:fldCharType="separate"/>
      </w:r>
      <w:r w:rsidR="00541269" w:rsidRPr="00541269">
        <w:rPr>
          <w:rStyle w:val="FigreferenceChar"/>
        </w:rPr>
        <w:t>Table 6</w:t>
      </w:r>
      <w:r w:rsidRPr="00541269">
        <w:rPr>
          <w:rStyle w:val="FigreferenceChar"/>
        </w:rPr>
        <w:fldChar w:fldCharType="end"/>
      </w:r>
      <w:r w:rsidRPr="00541269">
        <w:rPr>
          <w:rStyle w:val="FigreferenceChar"/>
        </w:rPr>
        <w:t xml:space="preserve"> </w:t>
      </w:r>
      <w:r w:rsidRPr="00A37634">
        <w:rPr>
          <w:rFonts w:ascii="Calibri" w:eastAsia="Calibri" w:hAnsi="Calibri" w:cs="Calibri"/>
          <w:szCs w:val="20"/>
          <w:lang w:val="en-AU"/>
        </w:rPr>
        <w:t xml:space="preserve">summarises the classification of DR services for the Australian NEM adopted by the ACCC and the AEMC, along with their status under the current regulatory drivers. </w:t>
      </w:r>
      <w:proofErr w:type="gramStart"/>
      <w:r w:rsidRPr="00A37634">
        <w:rPr>
          <w:rFonts w:ascii="Calibri" w:eastAsia="Calibri" w:hAnsi="Calibri" w:cs="Calibri"/>
          <w:szCs w:val="20"/>
          <w:lang w:val="en-AU"/>
        </w:rPr>
        <w:t>All of these</w:t>
      </w:r>
      <w:proofErr w:type="gramEnd"/>
      <w:r w:rsidRPr="00A37634">
        <w:rPr>
          <w:rFonts w:ascii="Calibri" w:eastAsia="Calibri" w:hAnsi="Calibri" w:cs="Calibri"/>
          <w:szCs w:val="20"/>
          <w:lang w:val="en-AU"/>
        </w:rPr>
        <w:t xml:space="preserve"> drivers would enable DRSPs to realise the value for DR programs for the appliances in scope, provided the costs of such programs were low enough and yielded DR resources of sufficient a scale and reliability for DRSPs to bid into the relevant DR markets: </w:t>
      </w:r>
    </w:p>
    <w:p w14:paraId="1E9B45B5" w14:textId="77777777" w:rsidR="00A37634" w:rsidRPr="00A37634" w:rsidRDefault="00A37634" w:rsidP="00FF17C7">
      <w:pPr>
        <w:numPr>
          <w:ilvl w:val="0"/>
          <w:numId w:val="8"/>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Network DR: The largest Australian residential AC DR program to date (PeakSmart) was implemented and continues under existing Demand Management Incentive Scheme (DMIS) and Demand Management Incentive Allowance (DMIA) rules, so there are no regulatory barriers.</w:t>
      </w:r>
      <w:r w:rsidRPr="00A37634">
        <w:rPr>
          <w:rFonts w:ascii="Calibri" w:eastAsia="Calibri" w:hAnsi="Calibri" w:cs="Calibri"/>
          <w:szCs w:val="20"/>
          <w:vertAlign w:val="superscript"/>
          <w:lang w:val="en-AU"/>
        </w:rPr>
        <w:footnoteReference w:id="42"/>
      </w:r>
      <w:r w:rsidRPr="00A37634">
        <w:rPr>
          <w:rFonts w:ascii="Calibri" w:eastAsia="Calibri" w:hAnsi="Calibri" w:cs="Calibri"/>
          <w:szCs w:val="20"/>
          <w:lang w:val="en-AU"/>
        </w:rPr>
        <w:t xml:space="preserve">  </w:t>
      </w:r>
    </w:p>
    <w:p w14:paraId="45CDE787" w14:textId="268D267C" w:rsidR="00A37634" w:rsidRPr="00A37634" w:rsidRDefault="00A37634" w:rsidP="00FF17C7">
      <w:pPr>
        <w:numPr>
          <w:ilvl w:val="0"/>
          <w:numId w:val="8"/>
        </w:numPr>
        <w:spacing w:before="120" w:after="120" w:line="276" w:lineRule="auto"/>
        <w:contextualSpacing/>
        <w:rPr>
          <w:rFonts w:ascii="Calibri" w:eastAsia="Calibri" w:hAnsi="Calibri" w:cs="Calibri"/>
          <w:szCs w:val="20"/>
          <w:lang w:val="en-AU"/>
        </w:rPr>
      </w:pPr>
      <w:bookmarkStart w:id="39" w:name="_Hlk13772076"/>
      <w:r w:rsidRPr="00A37634">
        <w:rPr>
          <w:rFonts w:ascii="Calibri" w:eastAsia="Calibri" w:hAnsi="Calibri" w:cs="Calibri"/>
          <w:szCs w:val="20"/>
          <w:lang w:val="en-AU"/>
        </w:rPr>
        <w:t xml:space="preserve">Emergency DR: </w:t>
      </w:r>
      <w:proofErr w:type="gramStart"/>
      <w:r w:rsidRPr="00A37634">
        <w:rPr>
          <w:rFonts w:ascii="Calibri" w:eastAsia="Calibri" w:hAnsi="Calibri" w:cs="Calibri"/>
          <w:szCs w:val="20"/>
          <w:lang w:val="en-AU"/>
        </w:rPr>
        <w:t>A number of</w:t>
      </w:r>
      <w:proofErr w:type="gramEnd"/>
      <w:r w:rsidRPr="00A37634">
        <w:rPr>
          <w:rFonts w:ascii="Calibri" w:eastAsia="Calibri" w:hAnsi="Calibri" w:cs="Calibri"/>
          <w:szCs w:val="20"/>
          <w:lang w:val="en-AU"/>
        </w:rPr>
        <w:t xml:space="preserve"> large commercial and industrial consumers already participate in the Reliability and Emergency Reserve Trader (RERT) market. In 2017, ARENA and AEMO called for proposals to trial ways of involving residential consumers in emergency DR. The barriers to doing so are technical (scale, cost and reliability) rather than regulatory</w:t>
      </w:r>
      <w:bookmarkEnd w:id="39"/>
      <w:r w:rsidRPr="00A37634">
        <w:rPr>
          <w:rFonts w:ascii="Calibri" w:eastAsia="Calibri" w:hAnsi="Calibri" w:cs="Calibri"/>
          <w:szCs w:val="20"/>
          <w:lang w:val="en-AU"/>
        </w:rPr>
        <w:t>.</w:t>
      </w:r>
      <w:r w:rsidRPr="00A37634">
        <w:rPr>
          <w:rFonts w:ascii="Calibri" w:eastAsia="Calibri" w:hAnsi="Calibri" w:cs="Calibri"/>
          <w:szCs w:val="20"/>
          <w:vertAlign w:val="superscript"/>
          <w:lang w:val="en-AU"/>
        </w:rPr>
        <w:footnoteReference w:id="43"/>
      </w:r>
      <w:r w:rsidRPr="00A37634">
        <w:rPr>
          <w:rFonts w:ascii="Calibri" w:eastAsia="Calibri" w:hAnsi="Calibri" w:cs="Calibri"/>
          <w:szCs w:val="20"/>
          <w:lang w:val="en-AU"/>
        </w:rPr>
        <w:t xml:space="preserve">  </w:t>
      </w:r>
    </w:p>
    <w:p w14:paraId="0737F76B" w14:textId="36CB2914" w:rsidR="00A37634" w:rsidRPr="00A37634" w:rsidRDefault="00A37634" w:rsidP="008E7146">
      <w:pPr>
        <w:spacing w:before="24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Electricity retailers can already use DR resources to reduce price risk in the wholesale market. However, </w:t>
      </w:r>
      <w:proofErr w:type="gramStart"/>
      <w:r w:rsidRPr="00A37634">
        <w:rPr>
          <w:rFonts w:ascii="Calibri" w:eastAsia="Calibri" w:hAnsi="Calibri" w:cs="Calibri"/>
          <w:szCs w:val="20"/>
          <w:lang w:val="en-AU"/>
        </w:rPr>
        <w:t>according to</w:t>
      </w:r>
      <w:proofErr w:type="gramEnd"/>
      <w:r w:rsidRPr="00A37634">
        <w:rPr>
          <w:rFonts w:ascii="Calibri" w:eastAsia="Calibri" w:hAnsi="Calibri" w:cs="Calibri"/>
          <w:szCs w:val="20"/>
          <w:lang w:val="en-AU"/>
        </w:rPr>
        <w:t xml:space="preserve"> four applicants who requested the AEMC to make rule changes under the National Electricity Law (NEL): </w:t>
      </w:r>
    </w:p>
    <w:p w14:paraId="091B8164" w14:textId="77777777" w:rsidR="00A37634" w:rsidRPr="00A37634" w:rsidRDefault="00A37634" w:rsidP="00FF17C7">
      <w:pPr>
        <w:numPr>
          <w:ilvl w:val="0"/>
          <w:numId w:val="9"/>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The requirement that third party DRSPs either be registered as a retailer or have a commercial relationship with a retailer to provide wholesale demand response is creating challenges for the integration of DR in the NEM;  </w:t>
      </w:r>
    </w:p>
    <w:p w14:paraId="7F3F91AC" w14:textId="77777777" w:rsidR="00A37634" w:rsidRPr="00A37634" w:rsidRDefault="00A37634" w:rsidP="00FF17C7">
      <w:pPr>
        <w:numPr>
          <w:ilvl w:val="0"/>
          <w:numId w:val="9"/>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There are commercial barriers to developing the required partnerships between retailers and DRSPs, which has contributed to a sub-optimal level of DR in the NEM in comparison to other energy markets; </w:t>
      </w:r>
    </w:p>
    <w:p w14:paraId="44C4641A" w14:textId="77777777" w:rsidR="00A37634" w:rsidRPr="00A37634" w:rsidRDefault="00A37634" w:rsidP="00FF17C7">
      <w:pPr>
        <w:numPr>
          <w:ilvl w:val="0"/>
          <w:numId w:val="9"/>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A key concern of DRSPs is that their investments (for example, in equipment to facilitate DR) are at risk of becoming stranded should their customers change retailers, as a subsequent retailer may decide not to continue with the previous retailer’s existing demand response arrangement; </w:t>
      </w:r>
    </w:p>
    <w:p w14:paraId="3D411396" w14:textId="58AC13A9" w:rsidR="00A37634" w:rsidRPr="00A37634" w:rsidRDefault="00A37634" w:rsidP="00FF17C7">
      <w:pPr>
        <w:numPr>
          <w:ilvl w:val="0"/>
          <w:numId w:val="9"/>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If a retailer does not offer DR products, or provide a direct signal of the wholesale price to customers, its customers have no incentive to change their energy consumption; and </w:t>
      </w:r>
    </w:p>
    <w:p w14:paraId="049928AE" w14:textId="77777777" w:rsidR="00A37634" w:rsidRPr="00A37634" w:rsidRDefault="00A37634" w:rsidP="00FF17C7">
      <w:pPr>
        <w:numPr>
          <w:ilvl w:val="0"/>
          <w:numId w:val="9"/>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lastRenderedPageBreak/>
        <w:t xml:space="preserve">the lack of a mechanism for portfolio DR, and the fact that consumers may not have the capacity to manage their demand </w:t>
      </w:r>
      <w:proofErr w:type="gramStart"/>
      <w:r w:rsidRPr="00A37634">
        <w:rPr>
          <w:rFonts w:ascii="Calibri" w:eastAsia="Calibri" w:hAnsi="Calibri" w:cs="Calibri"/>
          <w:szCs w:val="20"/>
          <w:lang w:val="en-AU"/>
        </w:rPr>
        <w:t>at all times</w:t>
      </w:r>
      <w:proofErr w:type="gramEnd"/>
      <w:r w:rsidRPr="00A37634">
        <w:rPr>
          <w:rFonts w:ascii="Calibri" w:eastAsia="Calibri" w:hAnsi="Calibri" w:cs="Calibri"/>
          <w:szCs w:val="20"/>
          <w:lang w:val="en-AU"/>
        </w:rPr>
        <w:t>, limits consumers’ ability to take advantage of DR offerings.</w:t>
      </w:r>
      <w:r w:rsidRPr="00A37634">
        <w:rPr>
          <w:rFonts w:ascii="Calibri" w:eastAsia="Calibri" w:hAnsi="Calibri" w:cs="Calibri"/>
          <w:szCs w:val="20"/>
          <w:vertAlign w:val="superscript"/>
          <w:lang w:val="en-AU"/>
        </w:rPr>
        <w:footnoteReference w:id="44"/>
      </w:r>
    </w:p>
    <w:p w14:paraId="0E20A35F" w14:textId="77777777" w:rsidR="00210351" w:rsidRDefault="00A37634" w:rsidP="008E7146">
      <w:pPr>
        <w:spacing w:before="240" w:after="120" w:line="276" w:lineRule="auto"/>
        <w:rPr>
          <w:rFonts w:ascii="Calibri" w:eastAsia="Calibri" w:hAnsi="Calibri" w:cs="Calibri"/>
          <w:szCs w:val="20"/>
          <w:lang w:val="en-AU"/>
        </w:rPr>
      </w:pPr>
      <w:r w:rsidRPr="00A37634">
        <w:rPr>
          <w:rFonts w:ascii="Calibri" w:eastAsia="Calibri" w:hAnsi="Calibri" w:cs="Calibri"/>
          <w:szCs w:val="20"/>
          <w:lang w:val="en-AU"/>
        </w:rPr>
        <w:t>The applicants proposed the introduction of a wholesale demand response mechanism in the NEM and creation of a new category of market participant, to be called either a DRSP or demand response aggregator.</w:t>
      </w:r>
      <w:r w:rsidR="00210351">
        <w:rPr>
          <w:rFonts w:ascii="Calibri" w:eastAsia="Calibri" w:hAnsi="Calibri" w:cs="Calibri"/>
          <w:szCs w:val="20"/>
          <w:lang w:val="en-AU"/>
        </w:rPr>
        <w:t xml:space="preserve"> </w:t>
      </w:r>
    </w:p>
    <w:p w14:paraId="3DDFE4D6" w14:textId="4ADB19B7" w:rsidR="00A37634" w:rsidRPr="00A37634" w:rsidRDefault="00210351"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AEMC accepted most of these arguments and published a </w:t>
      </w:r>
      <w:r w:rsidR="00A37634" w:rsidRPr="00A37634">
        <w:rPr>
          <w:rFonts w:ascii="Calibri" w:eastAsia="Calibri" w:hAnsi="Calibri" w:cs="Calibri"/>
          <w:szCs w:val="20"/>
          <w:lang w:val="en-AU"/>
        </w:rPr>
        <w:t xml:space="preserve">Draft Determination and the text of </w:t>
      </w:r>
      <w:r>
        <w:rPr>
          <w:rFonts w:ascii="Calibri" w:eastAsia="Calibri" w:hAnsi="Calibri" w:cs="Calibri"/>
          <w:szCs w:val="20"/>
          <w:lang w:val="en-AU"/>
        </w:rPr>
        <w:t xml:space="preserve">a </w:t>
      </w:r>
      <w:r w:rsidR="00A37634" w:rsidRPr="00A37634">
        <w:rPr>
          <w:rFonts w:ascii="Calibri" w:eastAsia="Calibri" w:hAnsi="Calibri" w:cs="Calibri"/>
          <w:szCs w:val="20"/>
          <w:lang w:val="en-AU"/>
        </w:rPr>
        <w:t xml:space="preserve">proposed rule change </w:t>
      </w:r>
      <w:r>
        <w:rPr>
          <w:rFonts w:ascii="Calibri" w:eastAsia="Calibri" w:hAnsi="Calibri" w:cs="Calibri"/>
          <w:szCs w:val="20"/>
          <w:lang w:val="en-AU"/>
        </w:rPr>
        <w:t xml:space="preserve">in </w:t>
      </w:r>
      <w:r w:rsidR="00A37634" w:rsidRPr="00A37634">
        <w:rPr>
          <w:rFonts w:ascii="Calibri" w:eastAsia="Calibri" w:hAnsi="Calibri" w:cs="Calibri"/>
          <w:szCs w:val="20"/>
          <w:lang w:val="en-AU"/>
        </w:rPr>
        <w:t>18 July 2019.</w:t>
      </w:r>
      <w:r w:rsidR="00A37634" w:rsidRPr="00A37634">
        <w:rPr>
          <w:rFonts w:ascii="Calibri" w:eastAsia="Calibri" w:hAnsi="Calibri" w:cs="Calibri"/>
          <w:szCs w:val="20"/>
          <w:vertAlign w:val="superscript"/>
          <w:lang w:val="en-AU"/>
        </w:rPr>
        <w:footnoteReference w:id="45"/>
      </w:r>
      <w:r w:rsidR="00A37634" w:rsidRPr="00A37634">
        <w:rPr>
          <w:rFonts w:ascii="Calibri" w:eastAsia="Calibri" w:hAnsi="Calibri" w:cs="Calibri"/>
          <w:szCs w:val="20"/>
          <w:lang w:val="en-AU"/>
        </w:rPr>
        <w:t xml:space="preserve"> The introduction states: </w:t>
      </w:r>
    </w:p>
    <w:p w14:paraId="515AC9C6" w14:textId="77777777" w:rsidR="00A37634" w:rsidRPr="00A37634" w:rsidRDefault="00A37634" w:rsidP="00A37634">
      <w:pPr>
        <w:spacing w:before="120" w:after="120" w:line="276" w:lineRule="auto"/>
        <w:ind w:left="720"/>
        <w:rPr>
          <w:rFonts w:ascii="Calibri" w:eastAsia="Calibri" w:hAnsi="Calibri" w:cs="Calibri"/>
          <w:szCs w:val="20"/>
          <w:lang w:val="en-AU"/>
        </w:rPr>
      </w:pPr>
      <w:r w:rsidRPr="00A37634">
        <w:rPr>
          <w:rFonts w:ascii="Calibri" w:eastAsia="Calibri" w:hAnsi="Calibri" w:cs="Calibri"/>
          <w:szCs w:val="20"/>
          <w:lang w:val="en-AU"/>
        </w:rPr>
        <w:t xml:space="preserve">“The draft rule implements a wholesale demand response mechanism, which allows third parties to participate directly in the wholesale market as a substitute for </w:t>
      </w:r>
      <w:r w:rsidRPr="00A37634">
        <w:rPr>
          <w:rFonts w:ascii="Calibri" w:eastAsia="Calibri" w:hAnsi="Calibri" w:cs="Calibri"/>
          <w:i/>
          <w:iCs/>
          <w:szCs w:val="20"/>
          <w:lang w:val="en-AU"/>
        </w:rPr>
        <w:t>generation,</w:t>
      </w:r>
      <w:r w:rsidRPr="00A37634">
        <w:rPr>
          <w:rFonts w:ascii="Calibri" w:eastAsia="Calibri" w:hAnsi="Calibri" w:cs="Calibri"/>
          <w:szCs w:val="20"/>
          <w:lang w:val="en-AU"/>
        </w:rPr>
        <w:t xml:space="preserve"> and be paid for providing demand response. The draft rule also makes </w:t>
      </w:r>
      <w:proofErr w:type="gramStart"/>
      <w:r w:rsidRPr="00A37634">
        <w:rPr>
          <w:rFonts w:ascii="Calibri" w:eastAsia="Calibri" w:hAnsi="Calibri" w:cs="Calibri"/>
          <w:szCs w:val="20"/>
          <w:lang w:val="en-AU"/>
        </w:rPr>
        <w:t>a number of</w:t>
      </w:r>
      <w:proofErr w:type="gramEnd"/>
      <w:r w:rsidRPr="00A37634">
        <w:rPr>
          <w:rFonts w:ascii="Calibri" w:eastAsia="Calibri" w:hAnsi="Calibri" w:cs="Calibri"/>
          <w:szCs w:val="20"/>
          <w:lang w:val="en-AU"/>
        </w:rPr>
        <w:t xml:space="preserve"> complementary changes to increase the transparency of other types of wholesale demand response.” (p3/228, emphasis added). </w:t>
      </w:r>
    </w:p>
    <w:p w14:paraId="22FB8E38"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w:t>
      </w:r>
      <w:proofErr w:type="gramStart"/>
      <w:r w:rsidRPr="00A37634">
        <w:rPr>
          <w:rFonts w:ascii="Calibri" w:eastAsia="Calibri" w:hAnsi="Calibri" w:cs="Calibri"/>
          <w:szCs w:val="20"/>
          <w:lang w:val="en-AU"/>
        </w:rPr>
        <w:t>main focus</w:t>
      </w:r>
      <w:proofErr w:type="gramEnd"/>
      <w:r w:rsidRPr="00A37634">
        <w:rPr>
          <w:rFonts w:ascii="Calibri" w:eastAsia="Calibri" w:hAnsi="Calibri" w:cs="Calibri"/>
          <w:szCs w:val="20"/>
          <w:lang w:val="en-AU"/>
        </w:rPr>
        <w:t xml:space="preserve"> of the rule is on addressing shortfalls in generation (by rewarding reductions in load or additional generation), but it would also have secondary effects on local network problems. While the rule change would incentivise a new group of DRSPs, at present these would only be able to bid the loads of industrial and commercial consumers into the wholesale market:</w:t>
      </w:r>
    </w:p>
    <w:p w14:paraId="278BB34B" w14:textId="17839630" w:rsidR="00A37634" w:rsidRPr="00A37634" w:rsidRDefault="00A37634" w:rsidP="00A37634">
      <w:pPr>
        <w:spacing w:before="120" w:after="120" w:line="276" w:lineRule="auto"/>
        <w:ind w:left="720"/>
        <w:rPr>
          <w:rFonts w:ascii="Calibri" w:eastAsia="Calibri" w:hAnsi="Calibri" w:cs="Calibri"/>
          <w:szCs w:val="20"/>
          <w:lang w:val="en-AU"/>
        </w:rPr>
      </w:pPr>
      <w:r w:rsidRPr="00A37634">
        <w:rPr>
          <w:rFonts w:ascii="Calibri" w:eastAsia="Calibri" w:hAnsi="Calibri" w:cs="Calibri"/>
          <w:szCs w:val="20"/>
          <w:lang w:val="en-AU"/>
        </w:rPr>
        <w:t xml:space="preserve"> “For the purposes of this draft rule determination, the Commission has determined to not make a draft rule in relation to the retail rules for this request. Instead, the Commission will consider, in a formal review, the application of consumer protections to new energy service providers more generally, including DRSPs. The Commission considers that this approach is preferable given that it allows consumer protections to be considered in a holistic, comprehensive manner so that these can be made fit for purpose, no matter what the future may bring.”</w:t>
      </w:r>
      <w:r w:rsidR="00210351">
        <w:rPr>
          <w:rFonts w:ascii="Calibri" w:eastAsia="Calibri" w:hAnsi="Calibri" w:cs="Calibri"/>
          <w:szCs w:val="20"/>
          <w:lang w:val="en-AU"/>
        </w:rPr>
        <w:t xml:space="preserve"> (p67/228)</w:t>
      </w:r>
    </w:p>
    <w:p w14:paraId="3569F985" w14:textId="100A1866"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rule change would commence on 1 July 2022. If a retail rule change is also approved, by then or later, DRSPs would be </w:t>
      </w:r>
      <w:proofErr w:type="gramStart"/>
      <w:r w:rsidRPr="00A37634">
        <w:rPr>
          <w:rFonts w:ascii="Calibri" w:eastAsia="Calibri" w:hAnsi="Calibri" w:cs="Calibri"/>
          <w:szCs w:val="20"/>
          <w:lang w:val="en-AU"/>
        </w:rPr>
        <w:t>in a position to</w:t>
      </w:r>
      <w:proofErr w:type="gramEnd"/>
      <w:r w:rsidRPr="00A37634">
        <w:rPr>
          <w:rFonts w:ascii="Calibri" w:eastAsia="Calibri" w:hAnsi="Calibri" w:cs="Calibri"/>
          <w:szCs w:val="20"/>
          <w:lang w:val="en-AU"/>
        </w:rPr>
        <w:t xml:space="preserve"> engage residential consumers. If not, then the wholesale market benefits attributed to the mandating of AS/NZS 4755 could only be realised by retailers. In either case, a build-up of AS/NZS 4755 compliant appliances in the stock would provide a cost-effective, reliable and universally available DR platform to any stakeholder permitted to engage with residential consumers (and</w:t>
      </w:r>
      <w:r w:rsidR="00210351">
        <w:rPr>
          <w:rFonts w:ascii="Calibri" w:eastAsia="Calibri" w:hAnsi="Calibri" w:cs="Calibri"/>
          <w:szCs w:val="20"/>
          <w:lang w:val="en-AU"/>
        </w:rPr>
        <w:t xml:space="preserve"> air conditioners </w:t>
      </w:r>
      <w:r w:rsidRPr="00A37634">
        <w:rPr>
          <w:rFonts w:ascii="Calibri" w:eastAsia="Calibri" w:hAnsi="Calibri" w:cs="Calibri"/>
          <w:szCs w:val="20"/>
          <w:lang w:val="en-AU"/>
        </w:rPr>
        <w:t xml:space="preserve">could be </w:t>
      </w:r>
      <w:r w:rsidR="00210351">
        <w:rPr>
          <w:rFonts w:ascii="Calibri" w:eastAsia="Calibri" w:hAnsi="Calibri" w:cs="Calibri"/>
          <w:szCs w:val="20"/>
          <w:lang w:val="en-AU"/>
        </w:rPr>
        <w:t xml:space="preserve">part </w:t>
      </w:r>
      <w:r w:rsidRPr="00A37634">
        <w:rPr>
          <w:rFonts w:ascii="Calibri" w:eastAsia="Calibri" w:hAnsi="Calibri" w:cs="Calibri"/>
          <w:szCs w:val="20"/>
          <w:lang w:val="en-AU"/>
        </w:rPr>
        <w:t>of commercial DR programs under the rule change as it stands</w:t>
      </w:r>
      <w:r w:rsidR="00210351">
        <w:rPr>
          <w:rFonts w:ascii="Calibri" w:eastAsia="Calibri" w:hAnsi="Calibri" w:cs="Calibri"/>
          <w:szCs w:val="20"/>
          <w:lang w:val="en-AU"/>
        </w:rPr>
        <w:t>, since residential type products are often used by small businesses</w:t>
      </w:r>
      <w:r w:rsidRPr="00A37634">
        <w:rPr>
          <w:rFonts w:ascii="Calibri" w:eastAsia="Calibri" w:hAnsi="Calibri" w:cs="Calibri"/>
          <w:szCs w:val="20"/>
          <w:lang w:val="en-AU"/>
        </w:rPr>
        <w:t xml:space="preserve">). </w:t>
      </w:r>
    </w:p>
    <w:p w14:paraId="3D9642C7" w14:textId="1FD0367E"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AS/NZS 4755 is an open standard and so investment in using it could not be stranded, because another DRSP could take over </w:t>
      </w:r>
      <w:r w:rsidR="00210351">
        <w:rPr>
          <w:rFonts w:ascii="Calibri" w:eastAsia="Calibri" w:hAnsi="Calibri" w:cs="Calibri"/>
          <w:szCs w:val="20"/>
          <w:lang w:val="en-AU"/>
        </w:rPr>
        <w:t xml:space="preserve">management </w:t>
      </w:r>
      <w:r w:rsidRPr="00A37634">
        <w:rPr>
          <w:rFonts w:ascii="Calibri" w:eastAsia="Calibri" w:hAnsi="Calibri" w:cs="Calibri"/>
          <w:szCs w:val="20"/>
          <w:lang w:val="en-AU"/>
        </w:rPr>
        <w:t xml:space="preserve">of the same appliance (with the consumer’s consent) without even visiting the site – addressing issue (c) above. Its adoption would help address the retail consumer protection issues which the AEMC is now intending to investigate. </w:t>
      </w:r>
    </w:p>
    <w:p w14:paraId="760BCCBC" w14:textId="4735DC3D" w:rsidR="00A37634" w:rsidRPr="00A37634" w:rsidRDefault="00A37634" w:rsidP="000E245E">
      <w:pPr>
        <w:pageBreakBefore/>
        <w:spacing w:before="240" w:after="120" w:line="240" w:lineRule="auto"/>
        <w:jc w:val="center"/>
        <w:rPr>
          <w:rFonts w:ascii="Calibri" w:eastAsia="Cambria" w:hAnsi="Calibri" w:cs="Calibri"/>
          <w:b/>
          <w:bCs/>
          <w:sz w:val="20"/>
          <w:szCs w:val="16"/>
          <w:lang w:val="en-AU"/>
        </w:rPr>
      </w:pPr>
      <w:bookmarkStart w:id="40" w:name="_Ref13755236"/>
      <w:bookmarkStart w:id="41" w:name="_Toc22486950"/>
      <w:r w:rsidRPr="00A37634">
        <w:rPr>
          <w:rFonts w:ascii="Calibri" w:eastAsia="Cambria" w:hAnsi="Calibri" w:cs="Calibri"/>
          <w:b/>
          <w:bCs/>
          <w:sz w:val="20"/>
          <w:szCs w:val="16"/>
          <w:lang w:val="en-AU"/>
        </w:rPr>
        <w:lastRenderedPageBreak/>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B1ACD">
        <w:rPr>
          <w:rFonts w:ascii="Calibri" w:eastAsia="Cambria" w:hAnsi="Calibri" w:cs="Calibri"/>
          <w:b/>
          <w:bCs/>
          <w:noProof/>
          <w:sz w:val="20"/>
          <w:szCs w:val="16"/>
          <w:lang w:val="en-AU"/>
        </w:rPr>
        <w:t>6</w:t>
      </w:r>
      <w:r w:rsidRPr="00A37634">
        <w:rPr>
          <w:rFonts w:ascii="Calibri" w:eastAsia="Cambria" w:hAnsi="Calibri" w:cs="Calibri"/>
          <w:b/>
          <w:bCs/>
          <w:noProof/>
          <w:sz w:val="20"/>
          <w:szCs w:val="16"/>
          <w:lang w:val="en-AU"/>
        </w:rPr>
        <w:fldChar w:fldCharType="end"/>
      </w:r>
      <w:bookmarkEnd w:id="40"/>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Types of Demand Response in the NEM</w:t>
      </w:r>
      <w:bookmarkEnd w:id="41"/>
    </w:p>
    <w:tbl>
      <w:tblPr>
        <w:tblStyle w:val="TableGrid"/>
        <w:tblW w:w="0" w:type="auto"/>
        <w:tblLook w:val="04A0" w:firstRow="1" w:lastRow="0" w:firstColumn="1" w:lastColumn="0" w:noHBand="0" w:noVBand="1"/>
        <w:tblCaption w:val="&quot;0&quot;"/>
      </w:tblPr>
      <w:tblGrid>
        <w:gridCol w:w="1271"/>
        <w:gridCol w:w="3402"/>
        <w:gridCol w:w="4947"/>
      </w:tblGrid>
      <w:tr w:rsidR="00A37634" w:rsidRPr="00A37634" w14:paraId="0D60D599" w14:textId="77777777" w:rsidTr="007C7289">
        <w:trPr>
          <w:tblHeader/>
        </w:trPr>
        <w:tc>
          <w:tcPr>
            <w:tcW w:w="1271" w:type="dxa"/>
          </w:tcPr>
          <w:p w14:paraId="3DBA32EC" w14:textId="77777777" w:rsidR="00A37634" w:rsidRPr="00A37634" w:rsidRDefault="00A37634" w:rsidP="00A37634">
            <w:pPr>
              <w:spacing w:after="120" w:line="276" w:lineRule="auto"/>
              <w:jc w:val="center"/>
              <w:rPr>
                <w:rFonts w:ascii="Calibri" w:eastAsia="Calibri" w:hAnsi="Calibri" w:cs="Calibri"/>
                <w:b/>
                <w:bCs/>
                <w:lang w:val="en-AU"/>
              </w:rPr>
            </w:pPr>
            <w:r w:rsidRPr="00A37634">
              <w:rPr>
                <w:rFonts w:ascii="Calibri" w:eastAsia="Calibri" w:hAnsi="Calibri" w:cs="Calibri"/>
                <w:b/>
                <w:bCs/>
                <w:lang w:val="en-AU"/>
              </w:rPr>
              <w:t>Type</w:t>
            </w:r>
          </w:p>
        </w:tc>
        <w:tc>
          <w:tcPr>
            <w:tcW w:w="3402" w:type="dxa"/>
          </w:tcPr>
          <w:p w14:paraId="2B404D7F" w14:textId="77777777" w:rsidR="00A37634" w:rsidRPr="00A37634" w:rsidRDefault="00A37634" w:rsidP="00A37634">
            <w:pPr>
              <w:spacing w:after="120" w:line="276" w:lineRule="auto"/>
              <w:jc w:val="center"/>
              <w:rPr>
                <w:rFonts w:ascii="Calibri" w:eastAsia="Calibri" w:hAnsi="Calibri" w:cs="Calibri"/>
                <w:b/>
                <w:bCs/>
                <w:lang w:val="en-AU"/>
              </w:rPr>
            </w:pPr>
            <w:r w:rsidRPr="00A37634">
              <w:rPr>
                <w:rFonts w:ascii="Calibri" w:eastAsia="Calibri" w:hAnsi="Calibri" w:cs="Calibri"/>
                <w:b/>
                <w:bCs/>
                <w:lang w:val="en-AU"/>
              </w:rPr>
              <w:t>Description</w:t>
            </w:r>
          </w:p>
        </w:tc>
        <w:tc>
          <w:tcPr>
            <w:tcW w:w="4947" w:type="dxa"/>
          </w:tcPr>
          <w:p w14:paraId="5CE9B8BB" w14:textId="77777777" w:rsidR="00A37634" w:rsidRPr="00A37634" w:rsidRDefault="00A37634" w:rsidP="00A37634">
            <w:pPr>
              <w:spacing w:after="120" w:line="276" w:lineRule="auto"/>
              <w:jc w:val="center"/>
              <w:rPr>
                <w:rFonts w:ascii="Calibri" w:eastAsia="Calibri" w:hAnsi="Calibri" w:cs="Calibri"/>
                <w:b/>
                <w:bCs/>
                <w:lang w:val="en-AU"/>
              </w:rPr>
            </w:pPr>
            <w:proofErr w:type="gramStart"/>
            <w:r w:rsidRPr="00A37634">
              <w:rPr>
                <w:rFonts w:ascii="Calibri" w:eastAsia="Calibri" w:hAnsi="Calibri" w:cs="Calibri"/>
                <w:b/>
                <w:bCs/>
                <w:lang w:val="en-AU"/>
              </w:rPr>
              <w:t>Current Status</w:t>
            </w:r>
            <w:proofErr w:type="gramEnd"/>
          </w:p>
        </w:tc>
      </w:tr>
      <w:tr w:rsidR="00A37634" w:rsidRPr="00A37634" w14:paraId="2BB6980F" w14:textId="77777777" w:rsidTr="007C7289">
        <w:tc>
          <w:tcPr>
            <w:tcW w:w="1271" w:type="dxa"/>
          </w:tcPr>
          <w:p w14:paraId="56EF0521" w14:textId="77777777" w:rsidR="00A37634" w:rsidRPr="00A37634" w:rsidRDefault="00A37634" w:rsidP="00A37634">
            <w:pPr>
              <w:autoSpaceDE w:val="0"/>
              <w:autoSpaceDN w:val="0"/>
              <w:adjustRightInd w:val="0"/>
              <w:rPr>
                <w:rFonts w:ascii="Calibri" w:eastAsia="Calibri" w:hAnsi="Calibri" w:cs="Calibri"/>
                <w:b/>
                <w:bCs/>
                <w:color w:val="272626"/>
                <w:lang w:val="en-AU"/>
              </w:rPr>
            </w:pPr>
            <w:r w:rsidRPr="00A37634">
              <w:rPr>
                <w:rFonts w:ascii="Calibri" w:eastAsia="Calibri" w:hAnsi="Calibri" w:cs="Calibri"/>
                <w:b/>
                <w:bCs/>
                <w:color w:val="272626"/>
                <w:lang w:val="en-AU"/>
              </w:rPr>
              <w:t>Wholesale</w:t>
            </w:r>
          </w:p>
          <w:p w14:paraId="2AA4A5D2" w14:textId="77777777" w:rsidR="00A37634" w:rsidRPr="00A37634" w:rsidRDefault="00A37634" w:rsidP="00A37634">
            <w:pPr>
              <w:autoSpaceDE w:val="0"/>
              <w:autoSpaceDN w:val="0"/>
              <w:adjustRightInd w:val="0"/>
              <w:rPr>
                <w:rFonts w:ascii="Calibri" w:eastAsia="Calibri" w:hAnsi="Calibri" w:cs="Calibri"/>
                <w:b/>
                <w:bCs/>
                <w:color w:val="272626"/>
                <w:lang w:val="en-AU"/>
              </w:rPr>
            </w:pPr>
            <w:r w:rsidRPr="00A37634">
              <w:rPr>
                <w:rFonts w:ascii="Calibri" w:eastAsia="Calibri" w:hAnsi="Calibri" w:cs="Calibri"/>
                <w:b/>
                <w:bCs/>
                <w:color w:val="272626"/>
                <w:lang w:val="en-AU"/>
              </w:rPr>
              <w:t>demand</w:t>
            </w:r>
          </w:p>
          <w:p w14:paraId="097A332C"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b/>
                <w:bCs/>
                <w:color w:val="272626"/>
                <w:lang w:val="en-AU"/>
              </w:rPr>
              <w:t>response</w:t>
            </w:r>
          </w:p>
        </w:tc>
        <w:tc>
          <w:tcPr>
            <w:tcW w:w="3402" w:type="dxa"/>
          </w:tcPr>
          <w:p w14:paraId="3009D635" w14:textId="77777777" w:rsidR="00A37634" w:rsidRPr="00A37634" w:rsidRDefault="00A37634" w:rsidP="00A37634">
            <w:pPr>
              <w:autoSpaceDE w:val="0"/>
              <w:autoSpaceDN w:val="0"/>
              <w:adjustRightInd w:val="0"/>
              <w:spacing w:after="120"/>
              <w:rPr>
                <w:rFonts w:ascii="Calibri" w:eastAsia="Calibri" w:hAnsi="Calibri" w:cs="Calibri"/>
                <w:lang w:val="en-AU"/>
              </w:rPr>
            </w:pPr>
            <w:r w:rsidRPr="00A37634">
              <w:rPr>
                <w:rFonts w:ascii="Calibri" w:eastAsia="Calibri" w:hAnsi="Calibri" w:cs="Calibri"/>
                <w:color w:val="272626"/>
                <w:lang w:val="en-AU"/>
              </w:rPr>
              <w:t>Demand response used to change the quantity of electricity bought in the wholesale market, which could be used to manage spot price exposure, or to help market participants manage their positions.</w:t>
            </w:r>
          </w:p>
        </w:tc>
        <w:tc>
          <w:tcPr>
            <w:tcW w:w="4947" w:type="dxa"/>
          </w:tcPr>
          <w:p w14:paraId="046B8414" w14:textId="77777777" w:rsidR="00A37634" w:rsidRPr="00A37634" w:rsidRDefault="00A37634" w:rsidP="00A37634">
            <w:pPr>
              <w:autoSpaceDE w:val="0"/>
              <w:autoSpaceDN w:val="0"/>
              <w:adjustRightInd w:val="0"/>
              <w:rPr>
                <w:rFonts w:ascii="Calibri" w:eastAsia="Calibri" w:hAnsi="Calibri" w:cs="Calibri"/>
                <w:lang w:val="en-AU"/>
              </w:rPr>
            </w:pPr>
            <w:r w:rsidRPr="00A37634">
              <w:rPr>
                <w:rFonts w:ascii="Calibri" w:eastAsia="Calibri" w:hAnsi="Calibri" w:cs="Calibri"/>
                <w:color w:val="272626"/>
                <w:lang w:val="en-AU"/>
              </w:rPr>
              <w:t>Due to the lack of transparency around how much wholesale demand response is currently being utilised, it is difficult to draw firm conclusions about how much demand response is occurring in the NEM, or whether this level is efficient.</w:t>
            </w:r>
          </w:p>
        </w:tc>
      </w:tr>
      <w:tr w:rsidR="00A37634" w:rsidRPr="00A37634" w14:paraId="03575E57" w14:textId="77777777" w:rsidTr="007C7289">
        <w:tc>
          <w:tcPr>
            <w:tcW w:w="1271" w:type="dxa"/>
          </w:tcPr>
          <w:p w14:paraId="16F4320C" w14:textId="77777777" w:rsidR="00A37634" w:rsidRPr="00A37634" w:rsidRDefault="00A37634" w:rsidP="00A37634">
            <w:pPr>
              <w:autoSpaceDE w:val="0"/>
              <w:autoSpaceDN w:val="0"/>
              <w:adjustRightInd w:val="0"/>
              <w:rPr>
                <w:rFonts w:ascii="Calibri" w:eastAsia="Calibri" w:hAnsi="Calibri" w:cs="Calibri"/>
                <w:b/>
                <w:bCs/>
                <w:color w:val="272626"/>
                <w:lang w:val="en-AU"/>
              </w:rPr>
            </w:pPr>
            <w:r w:rsidRPr="00A37634">
              <w:rPr>
                <w:rFonts w:ascii="Calibri" w:eastAsia="Calibri" w:hAnsi="Calibri" w:cs="Calibri"/>
                <w:b/>
                <w:bCs/>
                <w:color w:val="272626"/>
                <w:lang w:val="en-AU"/>
              </w:rPr>
              <w:t>Ancillary</w:t>
            </w:r>
          </w:p>
          <w:p w14:paraId="3130AB7C" w14:textId="77777777" w:rsidR="00A37634" w:rsidRPr="00A37634" w:rsidRDefault="00A37634" w:rsidP="00A37634">
            <w:pPr>
              <w:autoSpaceDE w:val="0"/>
              <w:autoSpaceDN w:val="0"/>
              <w:adjustRightInd w:val="0"/>
              <w:rPr>
                <w:rFonts w:ascii="Calibri" w:eastAsia="Calibri" w:hAnsi="Calibri" w:cs="Calibri"/>
                <w:b/>
                <w:bCs/>
                <w:color w:val="272626"/>
                <w:lang w:val="en-AU"/>
              </w:rPr>
            </w:pPr>
            <w:r w:rsidRPr="00A37634">
              <w:rPr>
                <w:rFonts w:ascii="Calibri" w:eastAsia="Calibri" w:hAnsi="Calibri" w:cs="Calibri"/>
                <w:b/>
                <w:bCs/>
                <w:color w:val="272626"/>
                <w:lang w:val="en-AU"/>
              </w:rPr>
              <w:t>service</w:t>
            </w:r>
          </w:p>
          <w:p w14:paraId="332F8592" w14:textId="77777777" w:rsidR="00A37634" w:rsidRPr="00A37634" w:rsidRDefault="00A37634" w:rsidP="00A37634">
            <w:pPr>
              <w:autoSpaceDE w:val="0"/>
              <w:autoSpaceDN w:val="0"/>
              <w:adjustRightInd w:val="0"/>
              <w:rPr>
                <w:rFonts w:ascii="Calibri" w:eastAsia="Calibri" w:hAnsi="Calibri" w:cs="Calibri"/>
                <w:b/>
                <w:bCs/>
                <w:color w:val="272626"/>
                <w:lang w:val="en-AU"/>
              </w:rPr>
            </w:pPr>
            <w:r w:rsidRPr="00A37634">
              <w:rPr>
                <w:rFonts w:ascii="Calibri" w:eastAsia="Calibri" w:hAnsi="Calibri" w:cs="Calibri"/>
                <w:b/>
                <w:bCs/>
                <w:color w:val="272626"/>
                <w:lang w:val="en-AU"/>
              </w:rPr>
              <w:t>demand</w:t>
            </w:r>
          </w:p>
          <w:p w14:paraId="4123FD7E" w14:textId="77777777" w:rsidR="00A37634" w:rsidRPr="00A37634" w:rsidRDefault="00A37634" w:rsidP="00A37634">
            <w:pPr>
              <w:spacing w:after="120" w:line="276" w:lineRule="auto"/>
              <w:rPr>
                <w:rFonts w:ascii="Calibri" w:eastAsia="Calibri" w:hAnsi="Calibri" w:cs="Calibri"/>
                <w:b/>
                <w:bCs/>
                <w:color w:val="272626"/>
                <w:lang w:val="en-AU"/>
              </w:rPr>
            </w:pPr>
            <w:r w:rsidRPr="00A37634">
              <w:rPr>
                <w:rFonts w:ascii="Calibri" w:eastAsia="Calibri" w:hAnsi="Calibri" w:cs="Calibri"/>
                <w:b/>
                <w:bCs/>
                <w:color w:val="272626"/>
                <w:lang w:val="en-AU"/>
              </w:rPr>
              <w:t>response</w:t>
            </w:r>
          </w:p>
        </w:tc>
        <w:tc>
          <w:tcPr>
            <w:tcW w:w="3402" w:type="dxa"/>
          </w:tcPr>
          <w:p w14:paraId="1CC0A13E"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Demand response employed by the</w:t>
            </w:r>
          </w:p>
          <w:p w14:paraId="24F69287"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system operator during supply</w:t>
            </w:r>
          </w:p>
          <w:p w14:paraId="22601811"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emergencies, with the service</w:t>
            </w:r>
          </w:p>
          <w:p w14:paraId="5B88018A"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being centrally dispatched or</w:t>
            </w:r>
          </w:p>
          <w:p w14:paraId="0BB00246"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controlled to avoid involuntary load</w:t>
            </w:r>
          </w:p>
          <w:p w14:paraId="7A53E38F"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shedding. This is generally provided</w:t>
            </w:r>
          </w:p>
          <w:p w14:paraId="7F4DE4A0" w14:textId="77777777" w:rsidR="00A37634" w:rsidRPr="00A37634" w:rsidRDefault="00A37634" w:rsidP="00A37634">
            <w:pPr>
              <w:spacing w:after="120" w:line="276" w:lineRule="auto"/>
              <w:rPr>
                <w:rFonts w:ascii="Calibri" w:eastAsia="Calibri" w:hAnsi="Calibri" w:cs="Calibri"/>
                <w:color w:val="272626"/>
                <w:lang w:val="en-AU"/>
              </w:rPr>
            </w:pPr>
            <w:r w:rsidRPr="00A37634">
              <w:rPr>
                <w:rFonts w:ascii="Calibri" w:eastAsia="Calibri" w:hAnsi="Calibri" w:cs="Calibri"/>
                <w:color w:val="272626"/>
                <w:lang w:val="en-AU"/>
              </w:rPr>
              <w:t>by out-of-market reserves.</w:t>
            </w:r>
          </w:p>
        </w:tc>
        <w:tc>
          <w:tcPr>
            <w:tcW w:w="4947" w:type="dxa"/>
          </w:tcPr>
          <w:p w14:paraId="6A48BBBE"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Large energy users have used demand response to provide FCAS. Market ancillary service providers (MASPs) can offer customers’ loads into FCAS markets. Currently, there are two MASPs using demand response to provide FCAS.</w:t>
            </w:r>
          </w:p>
        </w:tc>
      </w:tr>
      <w:tr w:rsidR="00A37634" w:rsidRPr="00A37634" w14:paraId="7CADECED" w14:textId="77777777" w:rsidTr="007C7289">
        <w:tc>
          <w:tcPr>
            <w:tcW w:w="1271" w:type="dxa"/>
          </w:tcPr>
          <w:p w14:paraId="49CADBD0" w14:textId="77777777" w:rsidR="00A37634" w:rsidRPr="00A37634" w:rsidRDefault="00A37634" w:rsidP="00A37634">
            <w:pPr>
              <w:autoSpaceDE w:val="0"/>
              <w:autoSpaceDN w:val="0"/>
              <w:adjustRightInd w:val="0"/>
              <w:rPr>
                <w:rFonts w:ascii="Calibri" w:eastAsia="Calibri" w:hAnsi="Calibri" w:cs="Calibri"/>
                <w:b/>
                <w:bCs/>
                <w:color w:val="272626"/>
                <w:lang w:val="en-AU"/>
              </w:rPr>
            </w:pPr>
            <w:r w:rsidRPr="00A37634">
              <w:rPr>
                <w:rFonts w:ascii="Calibri" w:eastAsia="Calibri" w:hAnsi="Calibri" w:cs="Calibri"/>
                <w:b/>
                <w:bCs/>
                <w:color w:val="272626"/>
                <w:lang w:val="en-AU"/>
              </w:rPr>
              <w:t>Emergency</w:t>
            </w:r>
          </w:p>
          <w:p w14:paraId="065F9AD9" w14:textId="77777777" w:rsidR="00A37634" w:rsidRPr="00A37634" w:rsidRDefault="00A37634" w:rsidP="00A37634">
            <w:pPr>
              <w:autoSpaceDE w:val="0"/>
              <w:autoSpaceDN w:val="0"/>
              <w:adjustRightInd w:val="0"/>
              <w:rPr>
                <w:rFonts w:ascii="Calibri" w:eastAsia="Calibri" w:hAnsi="Calibri" w:cs="Calibri"/>
                <w:b/>
                <w:bCs/>
                <w:color w:val="272626"/>
                <w:lang w:val="en-AU"/>
              </w:rPr>
            </w:pPr>
            <w:r w:rsidRPr="00A37634">
              <w:rPr>
                <w:rFonts w:ascii="Calibri" w:eastAsia="Calibri" w:hAnsi="Calibri" w:cs="Calibri"/>
                <w:b/>
                <w:bCs/>
                <w:color w:val="272626"/>
                <w:lang w:val="en-AU"/>
              </w:rPr>
              <w:t>demand</w:t>
            </w:r>
          </w:p>
          <w:p w14:paraId="1CC439F8" w14:textId="77777777" w:rsidR="00A37634" w:rsidRPr="00A37634" w:rsidRDefault="00A37634" w:rsidP="00A37634">
            <w:pPr>
              <w:spacing w:after="120" w:line="276" w:lineRule="auto"/>
              <w:rPr>
                <w:rFonts w:ascii="Calibri" w:eastAsia="Calibri" w:hAnsi="Calibri" w:cs="Calibri"/>
                <w:b/>
                <w:bCs/>
                <w:color w:val="272626"/>
                <w:lang w:val="en-AU"/>
              </w:rPr>
            </w:pPr>
            <w:r w:rsidRPr="00A37634">
              <w:rPr>
                <w:rFonts w:ascii="Calibri" w:eastAsia="Calibri" w:hAnsi="Calibri" w:cs="Calibri"/>
                <w:b/>
                <w:bCs/>
                <w:color w:val="272626"/>
                <w:lang w:val="en-AU"/>
              </w:rPr>
              <w:t>response</w:t>
            </w:r>
          </w:p>
        </w:tc>
        <w:tc>
          <w:tcPr>
            <w:tcW w:w="3402" w:type="dxa"/>
          </w:tcPr>
          <w:p w14:paraId="2EF0AF58"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Demand response employed by the</w:t>
            </w:r>
          </w:p>
          <w:p w14:paraId="62838B0C"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system operator during supply</w:t>
            </w:r>
          </w:p>
          <w:p w14:paraId="6B7A4185"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emergencies, with the service</w:t>
            </w:r>
          </w:p>
          <w:p w14:paraId="4C307650"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being centrally dispatched or</w:t>
            </w:r>
          </w:p>
          <w:p w14:paraId="7A37C396"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controlled to avoid involuntary load</w:t>
            </w:r>
          </w:p>
          <w:p w14:paraId="48573A3E"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shedding. This is generally provided</w:t>
            </w:r>
          </w:p>
          <w:p w14:paraId="556233F7" w14:textId="77777777" w:rsidR="00A37634" w:rsidRPr="00A37634" w:rsidRDefault="00A37634" w:rsidP="00A37634">
            <w:pPr>
              <w:autoSpaceDE w:val="0"/>
              <w:autoSpaceDN w:val="0"/>
              <w:adjustRightInd w:val="0"/>
              <w:spacing w:after="120"/>
              <w:rPr>
                <w:rFonts w:ascii="Calibri" w:eastAsia="Calibri" w:hAnsi="Calibri" w:cs="Calibri"/>
                <w:lang w:val="en-AU"/>
              </w:rPr>
            </w:pPr>
            <w:r w:rsidRPr="00A37634">
              <w:rPr>
                <w:rFonts w:ascii="Calibri" w:eastAsia="Calibri" w:hAnsi="Calibri" w:cs="Calibri"/>
                <w:color w:val="272626"/>
                <w:lang w:val="en-AU"/>
              </w:rPr>
              <w:t>by out-of-market reserves.</w:t>
            </w:r>
          </w:p>
        </w:tc>
        <w:tc>
          <w:tcPr>
            <w:tcW w:w="4947" w:type="dxa"/>
          </w:tcPr>
          <w:p w14:paraId="33706399"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Demand response can – and currently is – participating in the Reliability and Emergency Reserve Trader (RERT). The Commission is currently considering ways to enhance the</w:t>
            </w:r>
          </w:p>
          <w:p w14:paraId="79A9A864" w14:textId="77777777" w:rsidR="00A37634" w:rsidRPr="00A37634" w:rsidRDefault="00A37634" w:rsidP="00A37634">
            <w:pPr>
              <w:autoSpaceDE w:val="0"/>
              <w:autoSpaceDN w:val="0"/>
              <w:adjustRightInd w:val="0"/>
              <w:rPr>
                <w:rFonts w:ascii="Calibri" w:eastAsia="Calibri" w:hAnsi="Calibri" w:cs="Calibri"/>
                <w:lang w:val="en-AU"/>
              </w:rPr>
            </w:pPr>
            <w:r w:rsidRPr="00A37634">
              <w:rPr>
                <w:rFonts w:ascii="Calibri" w:eastAsia="Calibri" w:hAnsi="Calibri" w:cs="Calibri"/>
                <w:color w:val="272626"/>
                <w:lang w:val="en-AU"/>
              </w:rPr>
              <w:t>RERT through its consideration of AEMO’s rule change request on enhancing the RERT</w:t>
            </w:r>
          </w:p>
        </w:tc>
      </w:tr>
      <w:tr w:rsidR="00A37634" w:rsidRPr="00A37634" w14:paraId="733E9F7A" w14:textId="77777777" w:rsidTr="007C7289">
        <w:tc>
          <w:tcPr>
            <w:tcW w:w="1271" w:type="dxa"/>
          </w:tcPr>
          <w:p w14:paraId="37672FD1" w14:textId="77777777" w:rsidR="00A37634" w:rsidRPr="00A37634" w:rsidRDefault="00A37634" w:rsidP="00A37634">
            <w:pPr>
              <w:autoSpaceDE w:val="0"/>
              <w:autoSpaceDN w:val="0"/>
              <w:adjustRightInd w:val="0"/>
              <w:rPr>
                <w:rFonts w:ascii="Calibri" w:eastAsia="Calibri" w:hAnsi="Calibri" w:cs="Calibri"/>
                <w:b/>
                <w:bCs/>
                <w:color w:val="272626"/>
                <w:lang w:val="en-AU"/>
              </w:rPr>
            </w:pPr>
            <w:r w:rsidRPr="00A37634">
              <w:rPr>
                <w:rFonts w:ascii="Calibri" w:eastAsia="Calibri" w:hAnsi="Calibri" w:cs="Calibri"/>
                <w:b/>
                <w:bCs/>
                <w:color w:val="272626"/>
                <w:lang w:val="en-AU"/>
              </w:rPr>
              <w:t>Network</w:t>
            </w:r>
          </w:p>
          <w:p w14:paraId="0CA2382D" w14:textId="77777777" w:rsidR="00A37634" w:rsidRPr="00A37634" w:rsidRDefault="00A37634" w:rsidP="00A37634">
            <w:pPr>
              <w:autoSpaceDE w:val="0"/>
              <w:autoSpaceDN w:val="0"/>
              <w:adjustRightInd w:val="0"/>
              <w:rPr>
                <w:rFonts w:ascii="Calibri" w:eastAsia="Calibri" w:hAnsi="Calibri" w:cs="Calibri"/>
                <w:lang w:val="en-AU"/>
              </w:rPr>
            </w:pPr>
            <w:r w:rsidRPr="00A37634">
              <w:rPr>
                <w:rFonts w:ascii="Calibri" w:eastAsia="Calibri" w:hAnsi="Calibri" w:cs="Calibri"/>
                <w:b/>
                <w:bCs/>
                <w:color w:val="272626"/>
                <w:lang w:val="en-AU"/>
              </w:rPr>
              <w:t>demand response</w:t>
            </w:r>
          </w:p>
        </w:tc>
        <w:tc>
          <w:tcPr>
            <w:tcW w:w="3402" w:type="dxa"/>
          </w:tcPr>
          <w:p w14:paraId="4651C241"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Demand response employed to</w:t>
            </w:r>
          </w:p>
          <w:p w14:paraId="49962263"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help a network business to provide</w:t>
            </w:r>
          </w:p>
          <w:p w14:paraId="1FB20396" w14:textId="77777777" w:rsidR="00A37634" w:rsidRPr="00A37634" w:rsidRDefault="00A37634" w:rsidP="00A37634">
            <w:pPr>
              <w:autoSpaceDE w:val="0"/>
              <w:autoSpaceDN w:val="0"/>
              <w:adjustRightInd w:val="0"/>
              <w:rPr>
                <w:rFonts w:ascii="Calibri" w:eastAsia="Calibri" w:hAnsi="Calibri" w:cs="Calibri"/>
                <w:lang w:val="en-AU"/>
              </w:rPr>
            </w:pPr>
            <w:r w:rsidRPr="00A37634">
              <w:rPr>
                <w:rFonts w:ascii="Calibri" w:eastAsia="Calibri" w:hAnsi="Calibri" w:cs="Calibri"/>
                <w:color w:val="272626"/>
                <w:lang w:val="en-AU"/>
              </w:rPr>
              <w:t>network services to consumers.</w:t>
            </w:r>
          </w:p>
        </w:tc>
        <w:tc>
          <w:tcPr>
            <w:tcW w:w="4947" w:type="dxa"/>
          </w:tcPr>
          <w:p w14:paraId="0B40603F"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 xml:space="preserve">The existing regulatory framework provides </w:t>
            </w:r>
            <w:proofErr w:type="gramStart"/>
            <w:r w:rsidRPr="00A37634">
              <w:rPr>
                <w:rFonts w:ascii="Calibri" w:eastAsia="Calibri" w:hAnsi="Calibri" w:cs="Calibri"/>
                <w:color w:val="272626"/>
                <w:lang w:val="en-AU"/>
              </w:rPr>
              <w:t>a number of</w:t>
            </w:r>
            <w:proofErr w:type="gramEnd"/>
            <w:r w:rsidRPr="00A37634">
              <w:rPr>
                <w:rFonts w:ascii="Calibri" w:eastAsia="Calibri" w:hAnsi="Calibri" w:cs="Calibri"/>
                <w:color w:val="272626"/>
                <w:lang w:val="en-AU"/>
              </w:rPr>
              <w:t xml:space="preserve"> incentives and obligations for non-network options</w:t>
            </w:r>
          </w:p>
          <w:p w14:paraId="3FB900B1"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(including demand response) to be adopted by a network service provider where it is efficient to do so. For example, the Demand Management Incentive Scheme</w:t>
            </w:r>
          </w:p>
          <w:p w14:paraId="375C5BCB" w14:textId="77777777" w:rsidR="00A37634" w:rsidRPr="00A37634" w:rsidRDefault="00A37634" w:rsidP="00A37634">
            <w:pPr>
              <w:autoSpaceDE w:val="0"/>
              <w:autoSpaceDN w:val="0"/>
              <w:adjustRightInd w:val="0"/>
              <w:rPr>
                <w:rFonts w:ascii="Calibri" w:eastAsia="Calibri" w:hAnsi="Calibri" w:cs="Calibri"/>
                <w:color w:val="272626"/>
                <w:lang w:val="en-AU"/>
              </w:rPr>
            </w:pPr>
            <w:r w:rsidRPr="00A37634">
              <w:rPr>
                <w:rFonts w:ascii="Calibri" w:eastAsia="Calibri" w:hAnsi="Calibri" w:cs="Calibri"/>
                <w:color w:val="272626"/>
                <w:lang w:val="en-AU"/>
              </w:rPr>
              <w:t>(DMIS) provides distribution network service providers (DNSPs) with an incentive to undertake efficient</w:t>
            </w:r>
          </w:p>
          <w:p w14:paraId="6D3A5E40" w14:textId="77777777" w:rsidR="00A37634" w:rsidRPr="00A37634" w:rsidRDefault="00A37634" w:rsidP="00A37634">
            <w:pPr>
              <w:autoSpaceDE w:val="0"/>
              <w:autoSpaceDN w:val="0"/>
              <w:adjustRightInd w:val="0"/>
              <w:spacing w:after="120"/>
              <w:rPr>
                <w:rFonts w:ascii="Calibri" w:eastAsia="Calibri" w:hAnsi="Calibri" w:cs="Calibri"/>
                <w:color w:val="272626"/>
                <w:lang w:val="en-AU"/>
              </w:rPr>
            </w:pPr>
            <w:r w:rsidRPr="00A37634">
              <w:rPr>
                <w:rFonts w:ascii="Calibri" w:eastAsia="Calibri" w:hAnsi="Calibri" w:cs="Calibri"/>
                <w:color w:val="272626"/>
                <w:lang w:val="en-AU"/>
              </w:rPr>
              <w:t>expenditure on relevant non-network options relating to demand management and the Demand Management Incentive Allowance (DMIA) mechanism provides an allowance to DNSPs to undertake innovative projects related to demand management. The ACCC recommended in its Retail Electricity Pricing Inquiry that both the DMIS and DMIA be extended to also apply to transmission network service providers (TNSPs).</w:t>
            </w:r>
          </w:p>
        </w:tc>
      </w:tr>
    </w:tbl>
    <w:p w14:paraId="4479109E" w14:textId="77777777" w:rsidR="00A37634" w:rsidRPr="00A37634" w:rsidRDefault="00A37634" w:rsidP="00A37634">
      <w:pPr>
        <w:autoSpaceDE w:val="0"/>
        <w:autoSpaceDN w:val="0"/>
        <w:adjustRightInd w:val="0"/>
        <w:spacing w:after="0" w:line="240" w:lineRule="auto"/>
        <w:rPr>
          <w:rFonts w:ascii="Calibri" w:eastAsia="Calibri" w:hAnsi="Calibri" w:cs="Calibri"/>
          <w:color w:val="272626"/>
          <w:sz w:val="20"/>
          <w:szCs w:val="20"/>
          <w:lang w:val="en-AU"/>
        </w:rPr>
      </w:pPr>
      <w:r w:rsidRPr="00A37634">
        <w:rPr>
          <w:rFonts w:ascii="Calibri" w:eastAsia="Calibri" w:hAnsi="Calibri" w:cs="Calibri"/>
          <w:sz w:val="20"/>
          <w:szCs w:val="20"/>
          <w:lang w:val="en-AU"/>
        </w:rPr>
        <w:t xml:space="preserve">Source: AEMC (2019), Table 2.1. </w:t>
      </w:r>
      <w:r w:rsidRPr="00A37634">
        <w:rPr>
          <w:rFonts w:ascii="Calibri" w:eastAsia="Calibri" w:hAnsi="Calibri" w:cs="Calibri"/>
          <w:color w:val="272626"/>
          <w:sz w:val="20"/>
          <w:szCs w:val="20"/>
          <w:lang w:val="en-AU"/>
        </w:rPr>
        <w:t>Wholesale and emergency demand response are the focus of the rule change determination published by the AEMC in July 2019.</w:t>
      </w:r>
    </w:p>
    <w:p w14:paraId="0B5872F3" w14:textId="113B815B" w:rsidR="00210351" w:rsidRPr="00A37634" w:rsidRDefault="00210351" w:rsidP="00210351">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Adoption of AS/NZS 4755-compliant products can help address issues (d) and (e) under existing regulations, even without a retail rule change. There is nothing to prevent DNSPs approaching customers on their network to engage them in Network Demand Response programs even if the retailer is unwilling to engage them in wholesale market demand response. In fact, the DNSP can sell the use of the same DR capability to retailers, for use at times when it will have a wholesale market value rather than a network value (provided this is consistent with the terms of the DNSP’s contract with the customer). </w:t>
      </w:r>
    </w:p>
    <w:p w14:paraId="5B3E9A8F" w14:textId="77777777" w:rsidR="00210351" w:rsidRPr="00A37634" w:rsidRDefault="00210351" w:rsidP="00210351">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AS/NZS is designed expressly to address issue (e), by automating response for consumers who do not have the capacity to manage their demand </w:t>
      </w:r>
      <w:proofErr w:type="gramStart"/>
      <w:r w:rsidRPr="00A37634">
        <w:rPr>
          <w:rFonts w:ascii="Calibri" w:eastAsia="Calibri" w:hAnsi="Calibri" w:cs="Calibri"/>
          <w:szCs w:val="20"/>
          <w:lang w:val="en-AU"/>
        </w:rPr>
        <w:t>at all times</w:t>
      </w:r>
      <w:proofErr w:type="gramEnd"/>
      <w:r w:rsidRPr="00A37634">
        <w:rPr>
          <w:rFonts w:ascii="Calibri" w:eastAsia="Calibri" w:hAnsi="Calibri" w:cs="Calibri"/>
          <w:szCs w:val="20"/>
          <w:lang w:val="en-AU"/>
        </w:rPr>
        <w:t>.</w:t>
      </w:r>
    </w:p>
    <w:p w14:paraId="0BBC56B4" w14:textId="635E7829" w:rsidR="00210351" w:rsidRPr="00A37634" w:rsidRDefault="00210351" w:rsidP="00210351">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extent to which the AEMC rule changes could impact on the categories of DR in </w:t>
      </w:r>
      <w:r w:rsidRPr="00541269">
        <w:rPr>
          <w:rStyle w:val="FigreferenceChar"/>
        </w:rPr>
        <w:fldChar w:fldCharType="begin"/>
      </w:r>
      <w:r w:rsidRPr="00541269">
        <w:rPr>
          <w:rStyle w:val="FigreferenceChar"/>
        </w:rPr>
        <w:instrText xml:space="preserve"> REF _Ref13755236 \h  \* MERGEFORMAT </w:instrText>
      </w:r>
      <w:r w:rsidRPr="00541269">
        <w:rPr>
          <w:rStyle w:val="FigreferenceChar"/>
        </w:rPr>
      </w:r>
      <w:r w:rsidRPr="00541269">
        <w:rPr>
          <w:rStyle w:val="FigreferenceChar"/>
        </w:rPr>
        <w:fldChar w:fldCharType="separate"/>
      </w:r>
      <w:r w:rsidR="00541269" w:rsidRPr="00541269">
        <w:rPr>
          <w:rStyle w:val="FigreferenceChar"/>
        </w:rPr>
        <w:t>Table 6</w:t>
      </w:r>
      <w:r w:rsidRPr="00541269">
        <w:rPr>
          <w:rStyle w:val="FigreferenceChar"/>
        </w:rPr>
        <w:fldChar w:fldCharType="end"/>
      </w:r>
      <w:r w:rsidRPr="00A37634">
        <w:rPr>
          <w:rFonts w:ascii="Calibri" w:eastAsia="Calibri" w:hAnsi="Calibri" w:cs="Calibri"/>
          <w:szCs w:val="20"/>
          <w:lang w:val="en-AU"/>
        </w:rPr>
        <w:t>, and so reduce the benefits obtainable from the proposal to mandate AS/NZS 4755 compliance, can be reflected by:</w:t>
      </w:r>
    </w:p>
    <w:p w14:paraId="5356FE1F" w14:textId="0C4198B0" w:rsidR="00210351" w:rsidRPr="00BB0627" w:rsidRDefault="00210351" w:rsidP="00FF17C7">
      <w:pPr>
        <w:numPr>
          <w:ilvl w:val="0"/>
          <w:numId w:val="16"/>
        </w:numPr>
        <w:spacing w:before="120" w:after="120" w:line="276" w:lineRule="auto"/>
        <w:contextualSpacing/>
        <w:rPr>
          <w:rFonts w:ascii="Calibri" w:eastAsia="Calibri" w:hAnsi="Calibri" w:cs="Calibri"/>
          <w:szCs w:val="20"/>
          <w:lang w:val="en-AU"/>
        </w:rPr>
      </w:pPr>
      <w:r w:rsidRPr="00BB0627">
        <w:rPr>
          <w:rFonts w:ascii="Calibri" w:eastAsia="Calibri" w:hAnsi="Calibri" w:cs="Calibri"/>
          <w:szCs w:val="20"/>
          <w:lang w:val="en-AU"/>
        </w:rPr>
        <w:lastRenderedPageBreak/>
        <w:t xml:space="preserve">Subtracting the wholesale market benefits (separately identified in </w:t>
      </w:r>
      <w:r w:rsidRPr="00541269">
        <w:rPr>
          <w:rStyle w:val="FigreferenceChar"/>
        </w:rPr>
        <w:fldChar w:fldCharType="begin"/>
      </w:r>
      <w:r w:rsidRPr="00541269">
        <w:rPr>
          <w:rStyle w:val="FigreferenceChar"/>
        </w:rPr>
        <w:instrText xml:space="preserve"> REF _Ref14777407 \h  \* MERGEFORMAT </w:instrText>
      </w:r>
      <w:r w:rsidRPr="00541269">
        <w:rPr>
          <w:rStyle w:val="FigreferenceChar"/>
        </w:rPr>
      </w:r>
      <w:r w:rsidRPr="00541269">
        <w:rPr>
          <w:rStyle w:val="FigreferenceChar"/>
        </w:rPr>
        <w:fldChar w:fldCharType="separate"/>
      </w:r>
      <w:r w:rsidR="00541269" w:rsidRPr="00541269">
        <w:rPr>
          <w:rStyle w:val="FigreferenceChar"/>
        </w:rPr>
        <w:t>Table 10</w:t>
      </w:r>
      <w:r w:rsidRPr="00541269">
        <w:rPr>
          <w:rStyle w:val="FigreferenceChar"/>
        </w:rPr>
        <w:fldChar w:fldCharType="end"/>
      </w:r>
      <w:r w:rsidRPr="00BB0627">
        <w:rPr>
          <w:rFonts w:ascii="Calibri" w:eastAsia="Calibri" w:hAnsi="Calibri" w:cs="Calibri"/>
          <w:szCs w:val="20"/>
          <w:lang w:val="en-AU"/>
        </w:rPr>
        <w:t xml:space="preserve">, and </w:t>
      </w:r>
      <w:r w:rsidRPr="00BB0627">
        <w:rPr>
          <w:rFonts w:ascii="Calibri" w:eastAsia="Calibri" w:hAnsi="Calibri" w:cs="Calibri"/>
          <w:b/>
          <w:szCs w:val="20"/>
          <w:lang w:val="en-AU"/>
        </w:rPr>
        <w:fldChar w:fldCharType="begin"/>
      </w:r>
      <w:r w:rsidRPr="00BB0627">
        <w:rPr>
          <w:rFonts w:ascii="Calibri" w:eastAsia="Calibri" w:hAnsi="Calibri" w:cs="Calibri"/>
          <w:b/>
          <w:szCs w:val="20"/>
          <w:lang w:val="en-AU"/>
        </w:rPr>
        <w:instrText xml:space="preserve"> REF _Ref392238878 \h  \* MERGEFORMAT </w:instrText>
      </w:r>
      <w:r w:rsidRPr="00BB0627">
        <w:rPr>
          <w:rFonts w:ascii="Calibri" w:eastAsia="Calibri" w:hAnsi="Calibri" w:cs="Calibri"/>
          <w:b/>
          <w:szCs w:val="20"/>
          <w:lang w:val="en-AU"/>
        </w:rPr>
      </w:r>
      <w:r w:rsidRPr="00BB0627">
        <w:rPr>
          <w:rFonts w:ascii="Calibri" w:eastAsia="Calibri" w:hAnsi="Calibri" w:cs="Calibri"/>
          <w:b/>
          <w:szCs w:val="20"/>
          <w:lang w:val="en-AU"/>
        </w:rPr>
        <w:fldChar w:fldCharType="separate"/>
      </w:r>
      <w:r w:rsidR="00541269" w:rsidRPr="00541269">
        <w:rPr>
          <w:rFonts w:ascii="Calibri" w:eastAsia="Calibri" w:hAnsi="Calibri" w:cs="Calibri"/>
          <w:b/>
          <w:szCs w:val="20"/>
          <w:lang w:val="en-AU"/>
        </w:rPr>
        <w:t xml:space="preserve">Table </w:t>
      </w:r>
      <w:r w:rsidR="00541269" w:rsidRPr="00541269">
        <w:rPr>
          <w:rFonts w:ascii="Calibri" w:eastAsia="Calibri" w:hAnsi="Calibri" w:cs="Calibri"/>
          <w:b/>
          <w:noProof/>
          <w:szCs w:val="20"/>
          <w:lang w:val="en-AU"/>
        </w:rPr>
        <w:t>12</w:t>
      </w:r>
      <w:r w:rsidRPr="00BB0627">
        <w:rPr>
          <w:rFonts w:ascii="Calibri" w:eastAsia="Calibri" w:hAnsi="Calibri" w:cs="Calibri"/>
          <w:b/>
          <w:szCs w:val="20"/>
          <w:lang w:val="en-AU"/>
        </w:rPr>
        <w:fldChar w:fldCharType="end"/>
      </w:r>
      <w:r w:rsidRPr="00BB0627">
        <w:rPr>
          <w:rFonts w:ascii="Calibri" w:eastAsia="Calibri" w:hAnsi="Calibri" w:cs="Calibri"/>
          <w:szCs w:val="20"/>
          <w:lang w:val="en-AU"/>
        </w:rPr>
        <w:t xml:space="preserve">) and </w:t>
      </w:r>
    </w:p>
    <w:p w14:paraId="4B5FD715" w14:textId="77777777" w:rsidR="00210351" w:rsidRPr="00A37634" w:rsidRDefault="00210351" w:rsidP="00FF17C7">
      <w:pPr>
        <w:numPr>
          <w:ilvl w:val="0"/>
          <w:numId w:val="16"/>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assuming a lower activation rate among the range modelled (say a “low” rather than a “medium” activation rate).</w:t>
      </w:r>
    </w:p>
    <w:p w14:paraId="737F5CA1" w14:textId="77777777" w:rsidR="00A37634" w:rsidRPr="00A37634" w:rsidRDefault="00A37634" w:rsidP="00A37634">
      <w:pPr>
        <w:spacing w:before="24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To sum up, the deployment of a DR capability based on AS/NZS 4755 would interact with the DR regulatory environment in the following ways: </w:t>
      </w:r>
    </w:p>
    <w:p w14:paraId="78118784" w14:textId="77777777" w:rsidR="00A37634" w:rsidRPr="00A37634" w:rsidRDefault="00A37634" w:rsidP="00FF17C7">
      <w:pPr>
        <w:numPr>
          <w:ilvl w:val="0"/>
          <w:numId w:val="10"/>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Network DR: The proposal is consistent with and would have value under the existing rules, by lowering the costs of DR programs for DNSPs and their contracted DRSPs; </w:t>
      </w:r>
    </w:p>
    <w:p w14:paraId="5388DD0C" w14:textId="77777777" w:rsidR="00A37634" w:rsidRPr="00A37634" w:rsidRDefault="00A37634" w:rsidP="00FF17C7">
      <w:pPr>
        <w:widowControl w:val="0"/>
        <w:numPr>
          <w:ilvl w:val="0"/>
          <w:numId w:val="10"/>
        </w:numPr>
        <w:spacing w:before="120" w:after="120" w:line="276" w:lineRule="auto"/>
        <w:ind w:left="714" w:hanging="357"/>
        <w:contextualSpacing/>
        <w:rPr>
          <w:rFonts w:ascii="Calibri" w:eastAsia="Calibri" w:hAnsi="Calibri" w:cs="Calibri"/>
          <w:szCs w:val="20"/>
          <w:lang w:val="en-AU"/>
        </w:rPr>
      </w:pPr>
      <w:r w:rsidRPr="00A37634">
        <w:rPr>
          <w:rFonts w:ascii="Calibri" w:eastAsia="Calibri" w:hAnsi="Calibri" w:cs="Calibri"/>
          <w:szCs w:val="20"/>
          <w:lang w:val="en-AU"/>
        </w:rPr>
        <w:t>Emergency DR: The proposal is consistent with and would have value under the existing rules, and would lower the costs of DR programs for retailers and their contracted DRSPs, so helping resolve the technical and cost barriers identified in the current ARENA trials;</w:t>
      </w:r>
    </w:p>
    <w:p w14:paraId="4494E635" w14:textId="07E8A9EB" w:rsidR="00A37634" w:rsidRPr="00A37634" w:rsidRDefault="00A37634" w:rsidP="00FF17C7">
      <w:pPr>
        <w:numPr>
          <w:ilvl w:val="0"/>
          <w:numId w:val="10"/>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Ancillary services DR: the proposal could help create value in this market</w:t>
      </w:r>
      <w:r w:rsidR="00342FF7">
        <w:rPr>
          <w:rFonts w:ascii="Calibri" w:eastAsia="Calibri" w:hAnsi="Calibri" w:cs="Calibri"/>
          <w:szCs w:val="20"/>
          <w:lang w:val="en-AU"/>
        </w:rPr>
        <w:t>;</w:t>
      </w:r>
      <w:r w:rsidRPr="00A37634">
        <w:rPr>
          <w:rFonts w:ascii="Calibri" w:eastAsia="Calibri" w:hAnsi="Calibri" w:cs="Calibri"/>
          <w:szCs w:val="20"/>
          <w:lang w:val="en-AU"/>
        </w:rPr>
        <w:t xml:space="preserve"> and</w:t>
      </w:r>
    </w:p>
    <w:p w14:paraId="1F5058B8" w14:textId="7615EA06" w:rsidR="00A37634" w:rsidRPr="00A37634" w:rsidRDefault="00A37634" w:rsidP="00FF17C7">
      <w:pPr>
        <w:numPr>
          <w:ilvl w:val="0"/>
          <w:numId w:val="10"/>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Wholesale DR: The proposal is consistent with and would have value under the existing rules, and would lower the costs of using small-consumer DR as a wholesale market </w:t>
      </w:r>
      <w:r w:rsidR="00342FF7">
        <w:rPr>
          <w:rFonts w:ascii="Calibri" w:eastAsia="Calibri" w:hAnsi="Calibri" w:cs="Calibri"/>
          <w:szCs w:val="20"/>
          <w:lang w:val="en-AU"/>
        </w:rPr>
        <w:t xml:space="preserve">DR </w:t>
      </w:r>
      <w:r w:rsidRPr="00A37634">
        <w:rPr>
          <w:rFonts w:ascii="Calibri" w:eastAsia="Calibri" w:hAnsi="Calibri" w:cs="Calibri"/>
          <w:szCs w:val="20"/>
          <w:lang w:val="en-AU"/>
        </w:rPr>
        <w:t xml:space="preserve">strategy. </w:t>
      </w:r>
    </w:p>
    <w:p w14:paraId="68686009" w14:textId="24DE37C2" w:rsidR="00A37634" w:rsidRPr="00A37634" w:rsidRDefault="00A37634" w:rsidP="008E7146">
      <w:pPr>
        <w:spacing w:before="24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Enactment of the wholesale price mechanism rule changes </w:t>
      </w:r>
      <w:r w:rsidR="00342FF7">
        <w:rPr>
          <w:rFonts w:ascii="Calibri" w:eastAsia="Calibri" w:hAnsi="Calibri" w:cs="Calibri"/>
          <w:szCs w:val="20"/>
          <w:lang w:val="en-AU"/>
        </w:rPr>
        <w:t xml:space="preserve">proposed by the </w:t>
      </w:r>
      <w:r w:rsidRPr="00A37634">
        <w:rPr>
          <w:rFonts w:ascii="Calibri" w:eastAsia="Calibri" w:hAnsi="Calibri" w:cs="Calibri"/>
          <w:szCs w:val="20"/>
          <w:lang w:val="en-AU"/>
        </w:rPr>
        <w:t>AEMC is likely to lead to the entry of a new class of DR aggregators into the wholesale market</w:t>
      </w:r>
      <w:r w:rsidR="00342FF7">
        <w:rPr>
          <w:rFonts w:ascii="Calibri" w:eastAsia="Calibri" w:hAnsi="Calibri" w:cs="Calibri"/>
          <w:szCs w:val="20"/>
          <w:lang w:val="en-AU"/>
        </w:rPr>
        <w:t xml:space="preserve">, </w:t>
      </w:r>
      <w:r w:rsidRPr="00A37634">
        <w:rPr>
          <w:rFonts w:ascii="Calibri" w:eastAsia="Calibri" w:hAnsi="Calibri" w:cs="Calibri"/>
          <w:szCs w:val="20"/>
          <w:lang w:val="en-AU"/>
        </w:rPr>
        <w:t xml:space="preserve">who would most likely make use of a universal AS/NZS 4755 DR platform if it were available. While the two measures would be mutually reinforcing, realising the benefits of the present proposal does not depend on the AEMC rule changes. </w:t>
      </w:r>
    </w:p>
    <w:p w14:paraId="07392745"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Retailer Reliability Obligation (RRO), which took effect on 1 July 2019, could increase the value of the proposed measure.</w:t>
      </w:r>
      <w:r w:rsidRPr="00A37634">
        <w:rPr>
          <w:rFonts w:ascii="Calibri" w:eastAsia="Calibri" w:hAnsi="Calibri" w:cs="Calibri"/>
          <w:szCs w:val="20"/>
          <w:vertAlign w:val="superscript"/>
          <w:lang w:val="en-AU"/>
        </w:rPr>
        <w:t xml:space="preserve"> </w:t>
      </w:r>
      <w:r w:rsidRPr="00A37634">
        <w:rPr>
          <w:rFonts w:ascii="Calibri" w:eastAsia="Calibri" w:hAnsi="Calibri" w:cs="Calibri"/>
          <w:szCs w:val="20"/>
          <w:lang w:val="en-AU"/>
        </w:rPr>
        <w:t>The RRO is designed to incentivise retailers and other market customers to support the reliability of the NEM by wholesale supply contracting strategies which reduce wholesale spot price volatility, increase DR and invest in dispatchable energy.</w:t>
      </w:r>
      <w:r w:rsidRPr="00A37634">
        <w:rPr>
          <w:rFonts w:ascii="Calibri" w:eastAsia="Calibri" w:hAnsi="Calibri" w:cs="Calibri"/>
          <w:szCs w:val="20"/>
          <w:vertAlign w:val="superscript"/>
          <w:lang w:val="en-AU"/>
        </w:rPr>
        <w:footnoteReference w:id="46"/>
      </w:r>
    </w:p>
    <w:p w14:paraId="36A4280E"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Under the RRO, AEMO must undertake an annual assessment of potential reliability gaps in future years. If it assesses that there will be a material reliability gap, it may request that the AER make a reliability instrument.</w:t>
      </w:r>
    </w:p>
    <w:p w14:paraId="52A17E72"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A reliability instrument would trigger an obligation on energy retailers to make adequate contracts with generation, storage or DRSPs to meet their share of a one-in-two-year peak demand, should it occur during the forecast reliability gap period. AEMO will be empowered to act as “Procurer of Last Resort” if a gap is still evident one year out. This will create a strong new regulatory driver for DR capability which can be deployed quickly, reliably and at scale. A pool of AS/NZS-compliant appliances already present in households would provide an ideal resource to support the RRO.</w:t>
      </w:r>
      <w:bookmarkEnd w:id="18"/>
    </w:p>
    <w:p w14:paraId="187CC1B2" w14:textId="1761A6C4" w:rsidR="00A37634" w:rsidRPr="005C1841" w:rsidRDefault="00A37634" w:rsidP="00FF17C7">
      <w:pPr>
        <w:pStyle w:val="ListParagraph"/>
        <w:pageBreakBefore/>
        <w:numPr>
          <w:ilvl w:val="0"/>
          <w:numId w:val="4"/>
        </w:numPr>
        <w:pBdr>
          <w:bottom w:val="single" w:sz="12" w:space="1" w:color="ED1B24"/>
        </w:pBdr>
        <w:spacing w:before="200" w:after="600" w:line="240" w:lineRule="auto"/>
        <w:outlineLvl w:val="0"/>
        <w:rPr>
          <w:rFonts w:eastAsia="Times New Roman" w:cs="Calibri"/>
          <w:b/>
          <w:bCs/>
          <w:color w:val="ED1B24"/>
          <w:sz w:val="50"/>
          <w:szCs w:val="28"/>
        </w:rPr>
      </w:pPr>
      <w:bookmarkStart w:id="42" w:name="_Toc22485215"/>
      <w:r w:rsidRPr="005C1841">
        <w:rPr>
          <w:rFonts w:eastAsia="Times New Roman" w:cs="Calibri"/>
          <w:b/>
          <w:bCs/>
          <w:color w:val="ED1B24"/>
          <w:sz w:val="50"/>
          <w:szCs w:val="28"/>
        </w:rPr>
        <w:lastRenderedPageBreak/>
        <w:t>Pr</w:t>
      </w:r>
      <w:r w:rsidR="0051702F" w:rsidRPr="005C1841">
        <w:rPr>
          <w:rFonts w:eastAsia="Times New Roman" w:cs="Calibri"/>
          <w:b/>
          <w:bCs/>
          <w:color w:val="ED1B24"/>
          <w:sz w:val="50"/>
          <w:szCs w:val="28"/>
        </w:rPr>
        <w:t>eferred Option</w:t>
      </w:r>
      <w:bookmarkEnd w:id="42"/>
    </w:p>
    <w:p w14:paraId="239286F9" w14:textId="77777777" w:rsidR="00EB6BA3" w:rsidRPr="00A37634" w:rsidRDefault="00EB6BA3" w:rsidP="00EB6BA3">
      <w:pPr>
        <w:keepNext/>
        <w:keepLines/>
        <w:spacing w:before="240" w:after="240" w:line="278" w:lineRule="auto"/>
        <w:outlineLvl w:val="4"/>
        <w:rPr>
          <w:rFonts w:ascii="Calibri" w:eastAsia="Times New Roman" w:hAnsi="Calibri" w:cs="Calibri"/>
          <w:b/>
          <w:color w:val="FF0000"/>
          <w:sz w:val="28"/>
          <w:szCs w:val="28"/>
          <w:lang w:val="en-AU"/>
        </w:rPr>
      </w:pPr>
      <w:r w:rsidRPr="00A37634">
        <w:rPr>
          <w:rFonts w:ascii="Calibri" w:eastAsia="Times New Roman" w:hAnsi="Calibri" w:cs="Calibri"/>
          <w:b/>
          <w:color w:val="FF0000"/>
          <w:sz w:val="28"/>
          <w:szCs w:val="28"/>
          <w:lang w:val="en-AU"/>
        </w:rPr>
        <w:t>Assessment of Options 1 and 2</w:t>
      </w:r>
    </w:p>
    <w:p w14:paraId="4750C33E" w14:textId="77777777" w:rsidR="00EB6BA3" w:rsidRPr="00A37634" w:rsidRDefault="00EB6BA3" w:rsidP="00EB6BA3">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Voluntary adoption of AS/NZS 4755 has been available to manufacturers for over a decade. There has been considerable adoption for ACs, but not for the other products, and only where cash incentives are offered. Indicating the presence of DR capabilities on energy labels has not been effective.</w:t>
      </w:r>
    </w:p>
    <w:p w14:paraId="005EF1A0" w14:textId="3142E658" w:rsidR="00EB6BA3" w:rsidRPr="00A37634" w:rsidRDefault="00EB6BA3" w:rsidP="008A0096">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In the absence of a uniform DR capability, incentive payments need to be high enough to motivate suppliers to introduce, and for consumers to seek out, compatible DR-capable models. </w:t>
      </w:r>
      <w:r w:rsidR="000E38A5">
        <w:rPr>
          <w:rFonts w:ascii="Calibri" w:eastAsia="Calibri" w:hAnsi="Calibri" w:cs="Calibri"/>
          <w:szCs w:val="20"/>
          <w:lang w:val="en-AU"/>
        </w:rPr>
        <w:t>For this to occur on a national scale, t</w:t>
      </w:r>
      <w:r w:rsidR="000E38A5" w:rsidRPr="005C1841">
        <w:rPr>
          <w:rFonts w:eastAsia="Calibri" w:cs="Calibri"/>
        </w:rPr>
        <w:t>here would need to be a means of funding the incentives that does not depend on utilities or DNSPs (otherwise it would default to Option 1</w:t>
      </w:r>
      <w:r w:rsidR="0096095E">
        <w:rPr>
          <w:rFonts w:eastAsia="Calibri" w:cs="Calibri"/>
        </w:rPr>
        <w:t xml:space="preserve"> –</w:t>
      </w:r>
      <w:r w:rsidR="000E38A5" w:rsidRPr="005C1841">
        <w:rPr>
          <w:rFonts w:eastAsia="Calibri" w:cs="Calibri"/>
        </w:rPr>
        <w:t xml:space="preserve"> BAU).</w:t>
      </w:r>
      <w:r w:rsidR="000E38A5">
        <w:rPr>
          <w:rFonts w:eastAsia="Calibri" w:cs="Calibri"/>
        </w:rPr>
        <w:t xml:space="preserve"> </w:t>
      </w:r>
      <w:r w:rsidR="008A0096" w:rsidRPr="00A37634">
        <w:rPr>
          <w:rFonts w:ascii="Calibri" w:eastAsia="Calibri" w:hAnsi="Calibri" w:cs="Calibri"/>
          <w:szCs w:val="20"/>
          <w:lang w:val="en-AU"/>
        </w:rPr>
        <w:t>Given the network regulatory regime, governments are not able to force utilities or DRSPs to offer cash incentives</w:t>
      </w:r>
      <w:r w:rsidR="008A0096">
        <w:rPr>
          <w:rFonts w:ascii="Calibri" w:eastAsia="Calibri" w:hAnsi="Calibri" w:cs="Calibri"/>
          <w:szCs w:val="20"/>
          <w:lang w:val="en-AU"/>
        </w:rPr>
        <w:t>, so t</w:t>
      </w:r>
      <w:r w:rsidR="000E38A5">
        <w:rPr>
          <w:rFonts w:eastAsia="Calibri" w:cs="Calibri"/>
        </w:rPr>
        <w:t>his would require a new funding mech</w:t>
      </w:r>
      <w:r w:rsidR="008A0096">
        <w:rPr>
          <w:rFonts w:eastAsia="Calibri" w:cs="Calibri"/>
        </w:rPr>
        <w:t>a</w:t>
      </w:r>
      <w:r w:rsidR="000E38A5">
        <w:rPr>
          <w:rFonts w:eastAsia="Calibri" w:cs="Calibri"/>
        </w:rPr>
        <w:t>ni</w:t>
      </w:r>
      <w:r w:rsidR="008A0096">
        <w:rPr>
          <w:rFonts w:eastAsia="Calibri" w:cs="Calibri"/>
        </w:rPr>
        <w:t>s</w:t>
      </w:r>
      <w:r w:rsidR="000E38A5">
        <w:rPr>
          <w:rFonts w:eastAsia="Calibri" w:cs="Calibri"/>
        </w:rPr>
        <w:t>m</w:t>
      </w:r>
      <w:r w:rsidR="008A0096">
        <w:rPr>
          <w:rFonts w:eastAsia="Calibri" w:cs="Calibri"/>
        </w:rPr>
        <w:t xml:space="preserve">. This is </w:t>
      </w:r>
      <w:r w:rsidR="000E38A5">
        <w:rPr>
          <w:rFonts w:eastAsia="Calibri" w:cs="Calibri"/>
        </w:rPr>
        <w:t>outsi</w:t>
      </w:r>
      <w:r w:rsidR="008A0096">
        <w:rPr>
          <w:rFonts w:eastAsia="Calibri" w:cs="Calibri"/>
        </w:rPr>
        <w:t>d</w:t>
      </w:r>
      <w:r w:rsidR="000E38A5">
        <w:rPr>
          <w:rFonts w:eastAsia="Calibri" w:cs="Calibri"/>
        </w:rPr>
        <w:t xml:space="preserve">e the scope of </w:t>
      </w:r>
      <w:r w:rsidR="008A0096">
        <w:rPr>
          <w:rFonts w:eastAsia="Calibri" w:cs="Calibri"/>
        </w:rPr>
        <w:t xml:space="preserve">the GEMS Act 2012. </w:t>
      </w:r>
    </w:p>
    <w:p w14:paraId="55684145" w14:textId="69DF1511" w:rsidR="00EB6BA3" w:rsidRPr="00A37634" w:rsidRDefault="008A0096" w:rsidP="00EB6BA3">
      <w:pPr>
        <w:spacing w:before="120" w:after="120" w:line="276" w:lineRule="auto"/>
        <w:rPr>
          <w:rFonts w:ascii="Calibri" w:eastAsia="Calibri" w:hAnsi="Calibri" w:cs="Calibri"/>
          <w:szCs w:val="20"/>
          <w:lang w:val="en-AU"/>
        </w:rPr>
      </w:pPr>
      <w:r>
        <w:rPr>
          <w:rFonts w:ascii="Calibri" w:eastAsia="Calibri" w:hAnsi="Calibri" w:cs="Calibri"/>
          <w:szCs w:val="20"/>
          <w:lang w:val="en-AU"/>
        </w:rPr>
        <w:t>S</w:t>
      </w:r>
      <w:r w:rsidR="00EB6BA3" w:rsidRPr="00A37634">
        <w:rPr>
          <w:rFonts w:ascii="Calibri" w:eastAsia="Calibri" w:hAnsi="Calibri" w:cs="Calibri"/>
          <w:szCs w:val="20"/>
          <w:lang w:val="en-AU"/>
        </w:rPr>
        <w:t>ome continuing DR activity is assumed under the BAU scenario:</w:t>
      </w:r>
    </w:p>
    <w:p w14:paraId="1B9CCC1C" w14:textId="4187E7D4" w:rsidR="00EB6BA3" w:rsidRPr="00A37634" w:rsidRDefault="00EB6BA3" w:rsidP="00FF17C7">
      <w:pPr>
        <w:numPr>
          <w:ilvl w:val="0"/>
          <w:numId w:val="15"/>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the rates of DR activation at the time of air conditioner purchase that are currently being achieved in Queensland (</w:t>
      </w:r>
      <w:r w:rsidRPr="00EB6BA3">
        <w:rPr>
          <w:rFonts w:ascii="Calibri" w:eastAsia="Calibri" w:hAnsi="Calibri" w:cs="Calibri"/>
          <w:bCs/>
          <w:szCs w:val="20"/>
          <w:lang w:val="en-AU"/>
        </w:rPr>
        <w:fldChar w:fldCharType="begin"/>
      </w:r>
      <w:r w:rsidRPr="00EB6BA3">
        <w:rPr>
          <w:rFonts w:ascii="Calibri" w:eastAsia="Calibri" w:hAnsi="Calibri" w:cs="Calibri"/>
          <w:bCs/>
          <w:szCs w:val="20"/>
          <w:lang w:val="en-AU"/>
        </w:rPr>
        <w:instrText xml:space="preserve"> REF _Ref12982313 \h  \* MERGEFORMAT </w:instrText>
      </w:r>
      <w:r w:rsidRPr="00EB6BA3">
        <w:rPr>
          <w:rFonts w:ascii="Calibri" w:eastAsia="Calibri" w:hAnsi="Calibri" w:cs="Calibri"/>
          <w:bCs/>
          <w:szCs w:val="20"/>
          <w:lang w:val="en-AU"/>
        </w:rPr>
      </w:r>
      <w:r w:rsidRPr="00EB6BA3">
        <w:rPr>
          <w:rFonts w:ascii="Calibri" w:eastAsia="Calibri" w:hAnsi="Calibri" w:cs="Calibri"/>
          <w:bCs/>
          <w:szCs w:val="20"/>
          <w:lang w:val="en-AU"/>
        </w:rPr>
        <w:fldChar w:fldCharType="separate"/>
      </w:r>
      <w:r w:rsidR="006B22A7" w:rsidRPr="006B22A7">
        <w:rPr>
          <w:rFonts w:ascii="Calibri" w:eastAsia="Calibri" w:hAnsi="Calibri" w:cs="Calibri"/>
          <w:bCs/>
          <w:szCs w:val="20"/>
          <w:lang w:val="en-AU"/>
        </w:rPr>
        <w:t xml:space="preserve">Figure </w:t>
      </w:r>
      <w:r w:rsidR="006B22A7" w:rsidRPr="006B22A7">
        <w:rPr>
          <w:rFonts w:ascii="Calibri" w:eastAsia="Calibri" w:hAnsi="Calibri" w:cs="Calibri"/>
          <w:bCs/>
          <w:noProof/>
          <w:szCs w:val="20"/>
          <w:lang w:val="en-AU"/>
        </w:rPr>
        <w:t>21</w:t>
      </w:r>
      <w:r w:rsidRPr="00EB6BA3">
        <w:rPr>
          <w:rFonts w:ascii="Calibri" w:eastAsia="Calibri" w:hAnsi="Calibri" w:cs="Calibri"/>
          <w:bCs/>
          <w:szCs w:val="20"/>
          <w:lang w:val="en-AU"/>
        </w:rPr>
        <w:fldChar w:fldCharType="end"/>
      </w:r>
      <w:r w:rsidRPr="00A37634">
        <w:rPr>
          <w:rFonts w:ascii="Calibri" w:eastAsia="Calibri" w:hAnsi="Calibri" w:cs="Calibri"/>
          <w:szCs w:val="20"/>
          <w:lang w:val="en-AU"/>
        </w:rPr>
        <w:t>) increase slightly over time (whether through continuation of PeakSmart or other means); and</w:t>
      </w:r>
    </w:p>
    <w:p w14:paraId="694F2071" w14:textId="77777777" w:rsidR="00EB6BA3" w:rsidRPr="00A37634" w:rsidRDefault="00EB6BA3" w:rsidP="00FF17C7">
      <w:pPr>
        <w:numPr>
          <w:ilvl w:val="0"/>
          <w:numId w:val="15"/>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there is some activation of ACs post-purchase in Queensland, (i.e. through programs introduced by new DRSPs taking advantage of the build-up of DR-capable units); </w:t>
      </w:r>
    </w:p>
    <w:p w14:paraId="1B9C79D3" w14:textId="77777777" w:rsidR="00EB6BA3" w:rsidRPr="00A37634" w:rsidRDefault="00EB6BA3" w:rsidP="00FF17C7">
      <w:pPr>
        <w:numPr>
          <w:ilvl w:val="0"/>
          <w:numId w:val="15"/>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in other jurisdictions, the activations of ACs due to existing DR trials resulting in limited DR programs is very low; and </w:t>
      </w:r>
    </w:p>
    <w:p w14:paraId="5CFA6745" w14:textId="77777777" w:rsidR="00EB6BA3" w:rsidRPr="00A37634" w:rsidRDefault="00EB6BA3" w:rsidP="00FF17C7">
      <w:pPr>
        <w:numPr>
          <w:ilvl w:val="0"/>
          <w:numId w:val="15"/>
        </w:numPr>
        <w:spacing w:before="120" w:after="120" w:line="276"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there are no DR activations of water heaters, pool pump controllers or EV chargers in any jurisdiction (beyond continued access to traditional controlled load tariffs). </w:t>
      </w:r>
    </w:p>
    <w:p w14:paraId="1F7835E1" w14:textId="143D3EC4" w:rsidR="00EB6BA3" w:rsidRPr="00A37634" w:rsidRDefault="00EB6BA3" w:rsidP="008E7146">
      <w:pPr>
        <w:spacing w:before="240" w:after="120" w:line="276" w:lineRule="auto"/>
        <w:rPr>
          <w:rFonts w:ascii="Calibri" w:eastAsia="Calibri" w:hAnsi="Calibri" w:cs="Calibri"/>
          <w:szCs w:val="20"/>
          <w:lang w:val="en-AU"/>
        </w:rPr>
      </w:pPr>
      <w:r w:rsidRPr="00A37634">
        <w:rPr>
          <w:rFonts w:ascii="Calibri" w:eastAsia="Calibri" w:hAnsi="Calibri" w:cs="Calibri"/>
          <w:szCs w:val="20"/>
          <w:lang w:val="en-AU"/>
        </w:rPr>
        <w:t>The costs and benefits of (a) and (b) above</w:t>
      </w:r>
      <w:r w:rsidR="00210351">
        <w:rPr>
          <w:rFonts w:ascii="Calibri" w:eastAsia="Calibri" w:hAnsi="Calibri" w:cs="Calibri"/>
          <w:szCs w:val="20"/>
          <w:lang w:val="en-AU"/>
        </w:rPr>
        <w:t xml:space="preserve"> can be </w:t>
      </w:r>
      <w:r w:rsidRPr="00A37634">
        <w:rPr>
          <w:rFonts w:ascii="Calibri" w:eastAsia="Calibri" w:hAnsi="Calibri" w:cs="Calibri"/>
          <w:szCs w:val="20"/>
          <w:lang w:val="en-AU"/>
        </w:rPr>
        <w:t xml:space="preserve">quantified, and used as the baseline for calculating the additional costs and benefits of Option 3. The impact of (c) </w:t>
      </w:r>
      <w:r w:rsidR="00342FF7">
        <w:rPr>
          <w:rFonts w:ascii="Calibri" w:eastAsia="Calibri" w:hAnsi="Calibri" w:cs="Calibri"/>
          <w:szCs w:val="20"/>
          <w:lang w:val="en-AU"/>
        </w:rPr>
        <w:t xml:space="preserve">cannot be </w:t>
      </w:r>
      <w:r w:rsidRPr="00A37634">
        <w:rPr>
          <w:rFonts w:ascii="Calibri" w:eastAsia="Calibri" w:hAnsi="Calibri" w:cs="Calibri"/>
          <w:szCs w:val="20"/>
          <w:lang w:val="en-AU"/>
        </w:rPr>
        <w:t xml:space="preserve">quantified. If at the time of a DR event the load was already modified (upward or downward) due to the operation of DR approaches not involving AS/NZS 4755 capabilities, then the additional benefits from AS/NZS product compliance and activation would be lower. The implications for cost-benefit analysis can be inferred by assuming a lower activation rate among the range modelled (say a “low” rather than a “medium” activation rate). </w:t>
      </w:r>
    </w:p>
    <w:p w14:paraId="61F78677" w14:textId="72382A8A" w:rsidR="00EB6BA3" w:rsidRPr="00EB6BA3" w:rsidRDefault="00EB6BA3" w:rsidP="00EB6BA3">
      <w:pPr>
        <w:keepNext/>
        <w:keepLines/>
        <w:spacing w:before="240" w:after="240" w:line="278" w:lineRule="auto"/>
        <w:outlineLvl w:val="4"/>
        <w:rPr>
          <w:rFonts w:ascii="Calibri" w:eastAsia="Times New Roman" w:hAnsi="Calibri" w:cs="Calibri"/>
          <w:b/>
          <w:color w:val="FF0000"/>
          <w:sz w:val="28"/>
          <w:szCs w:val="28"/>
          <w:lang w:val="en-AU"/>
        </w:rPr>
      </w:pPr>
      <w:r w:rsidRPr="00EB6BA3">
        <w:rPr>
          <w:rFonts w:ascii="Calibri" w:eastAsia="Times New Roman" w:hAnsi="Calibri" w:cs="Calibri"/>
          <w:b/>
          <w:color w:val="FF0000"/>
          <w:sz w:val="28"/>
          <w:szCs w:val="28"/>
          <w:lang w:val="en-AU"/>
        </w:rPr>
        <w:t xml:space="preserve">Preferred Option: Option 3 </w:t>
      </w:r>
    </w:p>
    <w:p w14:paraId="051F7AD2" w14:textId="6FEE66E2"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Suitability for DR depends on whether appliances are (or are likely to be) major contributors to peak demand, and whether their demand can be reduced. Appliances whose operation can be modified or rescheduled at minimal cost and inconvenience to consumers will also provide significant benefits for network reliability and security. </w:t>
      </w:r>
    </w:p>
    <w:p w14:paraId="23B783C3"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Shifting the operation of electric storage water heaters, swimming pool pumps and EV chargers out of peak and into low-load periods will have negligible impact on consumer utility but significant effect on demand. By contrast, consumers will not tolerate automatic curtailment of activities with high value to them and which cannot be rescheduled or substituted – for example lighting, television and cooking. </w:t>
      </w:r>
    </w:p>
    <w:p w14:paraId="52468F87" w14:textId="77777777" w:rsidR="00A37634" w:rsidRPr="00A37634" w:rsidRDefault="00A37634" w:rsidP="00A37634">
      <w:pPr>
        <w:keepNext/>
        <w:keepLines/>
        <w:spacing w:before="240" w:after="240" w:line="278" w:lineRule="auto"/>
        <w:outlineLvl w:val="4"/>
        <w:rPr>
          <w:rFonts w:ascii="Calibri" w:eastAsia="Times New Roman" w:hAnsi="Calibri" w:cs="Calibri"/>
          <w:b/>
          <w:color w:val="FF0000"/>
          <w:sz w:val="28"/>
          <w:szCs w:val="24"/>
          <w:lang w:val="en-AU"/>
        </w:rPr>
      </w:pPr>
      <w:r w:rsidRPr="00A37634">
        <w:rPr>
          <w:rFonts w:ascii="Calibri" w:eastAsia="Times New Roman" w:hAnsi="Calibri" w:cs="Calibri"/>
          <w:b/>
          <w:color w:val="FF0000"/>
          <w:sz w:val="28"/>
          <w:szCs w:val="24"/>
          <w:lang w:val="en-AU"/>
        </w:rPr>
        <w:lastRenderedPageBreak/>
        <w:t>Air Conditioners</w:t>
      </w:r>
    </w:p>
    <w:p w14:paraId="77FD1704" w14:textId="5BD25DF8"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In the case of ACs, which are the largest contributor to summer maximum demand,</w:t>
      </w:r>
      <w:r w:rsidRPr="00A37634">
        <w:rPr>
          <w:rFonts w:ascii="Calibri" w:eastAsia="Calibri" w:hAnsi="Calibri" w:cs="Calibri"/>
          <w:szCs w:val="20"/>
          <w:vertAlign w:val="superscript"/>
          <w:lang w:val="en-AU"/>
        </w:rPr>
        <w:footnoteReference w:id="47"/>
      </w:r>
      <w:r w:rsidRPr="00A37634">
        <w:rPr>
          <w:rFonts w:ascii="Calibri" w:eastAsia="Calibri" w:hAnsi="Calibri" w:cs="Calibri"/>
          <w:szCs w:val="20"/>
          <w:lang w:val="en-AU"/>
        </w:rPr>
        <w:t xml:space="preserve"> many consumers have already shown their willingness to accept a reduced level of service at times of high demand in return for financial incentives. DR programs and trials in Australia have shown that most consumers will tolerate interruptions to air conditioner operations, and that reduced levels of cooling for short periods cause little or no discomfort. Indeed, </w:t>
      </w:r>
      <w:proofErr w:type="gramStart"/>
      <w:r w:rsidRPr="00A37634">
        <w:rPr>
          <w:rFonts w:ascii="Calibri" w:eastAsia="Calibri" w:hAnsi="Calibri" w:cs="Calibri"/>
          <w:szCs w:val="20"/>
          <w:lang w:val="en-AU"/>
        </w:rPr>
        <w:t>the majority of</w:t>
      </w:r>
      <w:proofErr w:type="gramEnd"/>
      <w:r w:rsidRPr="00A37634">
        <w:rPr>
          <w:rFonts w:ascii="Calibri" w:eastAsia="Calibri" w:hAnsi="Calibri" w:cs="Calibri"/>
          <w:szCs w:val="20"/>
          <w:lang w:val="en-AU"/>
        </w:rPr>
        <w:t xml:space="preserve"> participants are not even aware when a DR event has occurred (see Appendix </w:t>
      </w:r>
      <w:r w:rsidR="00342FF7">
        <w:rPr>
          <w:rFonts w:ascii="Calibri" w:eastAsia="Calibri" w:hAnsi="Calibri" w:cs="Calibri"/>
          <w:szCs w:val="20"/>
          <w:lang w:val="en-AU"/>
        </w:rPr>
        <w:t>3</w:t>
      </w:r>
      <w:r w:rsidRPr="00A37634">
        <w:rPr>
          <w:rFonts w:ascii="Calibri" w:eastAsia="Calibri" w:hAnsi="Calibri" w:cs="Calibri"/>
          <w:szCs w:val="20"/>
          <w:lang w:val="en-AU"/>
        </w:rPr>
        <w:t xml:space="preserve">). </w:t>
      </w:r>
    </w:p>
    <w:p w14:paraId="297F253C" w14:textId="1BF79AD0"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proportion of Australian households with at least one refrigerative AC was steady at around 25% through the 1990s, but reached 56% in 2010 and is projected to exceed 70% by 2020. Rising incomes</w:t>
      </w:r>
      <w:r w:rsidR="00342FF7">
        <w:rPr>
          <w:rFonts w:ascii="Calibri" w:eastAsia="Calibri" w:hAnsi="Calibri" w:cs="Calibri"/>
          <w:szCs w:val="20"/>
          <w:lang w:val="en-AU"/>
        </w:rPr>
        <w:t>, hotter summers</w:t>
      </w:r>
      <w:r w:rsidRPr="00A37634">
        <w:rPr>
          <w:rFonts w:ascii="Calibri" w:eastAsia="Calibri" w:hAnsi="Calibri" w:cs="Calibri"/>
          <w:szCs w:val="20"/>
          <w:lang w:val="en-AU"/>
        </w:rPr>
        <w:t xml:space="preserve"> and the declining cost of ACs are key causes of this trend, along with the increasing size of new homes. </w:t>
      </w:r>
    </w:p>
    <w:p w14:paraId="0DC43BFA"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ownership rate in New Zealand, where ACs are usually called “heat pumps”, is about half the Australian rate, and the products are used for heating rather than cooling.  </w:t>
      </w:r>
    </w:p>
    <w:p w14:paraId="3C3D9CBE" w14:textId="3C33F3A8"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Household ACs have contributed to emergency load shedding and blackouts in several Australian States since February 2004, when heavy AC use during heat waves caused blackouts in Perth and parts of Melbourne.</w:t>
      </w:r>
      <w:r w:rsidRPr="00A37634">
        <w:rPr>
          <w:rFonts w:ascii="Calibri" w:eastAsia="Calibri" w:hAnsi="Calibri" w:cs="Calibri"/>
          <w:szCs w:val="20"/>
          <w:vertAlign w:val="superscript"/>
          <w:lang w:val="en-AU"/>
        </w:rPr>
        <w:footnoteReference w:id="48"/>
      </w:r>
      <w:r w:rsidRPr="00A37634">
        <w:rPr>
          <w:rFonts w:ascii="Calibri" w:eastAsia="Calibri" w:hAnsi="Calibri" w:cs="Calibri"/>
          <w:szCs w:val="20"/>
          <w:lang w:val="en-AU"/>
        </w:rPr>
        <w:t xml:space="preserve"> There were more such events in </w:t>
      </w:r>
      <w:r w:rsidR="0096095E">
        <w:rPr>
          <w:rFonts w:ascii="Calibri" w:eastAsia="Calibri" w:hAnsi="Calibri" w:cs="Calibri"/>
          <w:szCs w:val="20"/>
          <w:lang w:val="en-AU"/>
        </w:rPr>
        <w:t>South Australia (</w:t>
      </w:r>
      <w:r w:rsidRPr="00A37634">
        <w:rPr>
          <w:rFonts w:ascii="Calibri" w:eastAsia="Calibri" w:hAnsi="Calibri" w:cs="Calibri"/>
          <w:szCs w:val="20"/>
          <w:lang w:val="en-AU"/>
        </w:rPr>
        <w:t>SA</w:t>
      </w:r>
      <w:r w:rsidR="0096095E">
        <w:rPr>
          <w:rFonts w:ascii="Calibri" w:eastAsia="Calibri" w:hAnsi="Calibri" w:cs="Calibri"/>
          <w:szCs w:val="20"/>
          <w:lang w:val="en-AU"/>
        </w:rPr>
        <w:t>)</w:t>
      </w:r>
      <w:r w:rsidRPr="00A37634">
        <w:rPr>
          <w:rFonts w:ascii="Calibri" w:eastAsia="Calibri" w:hAnsi="Calibri" w:cs="Calibri"/>
          <w:szCs w:val="20"/>
          <w:lang w:val="en-AU"/>
        </w:rPr>
        <w:t xml:space="preserve"> and Victoria in January and February 2009, during the period of record temperatures leading up to the Victorian bushfires,</w:t>
      </w:r>
      <w:r w:rsidRPr="00A37634">
        <w:rPr>
          <w:rFonts w:ascii="Calibri" w:eastAsia="Calibri" w:hAnsi="Calibri" w:cs="Calibri"/>
          <w:szCs w:val="20"/>
          <w:vertAlign w:val="superscript"/>
          <w:lang w:val="en-AU"/>
        </w:rPr>
        <w:footnoteReference w:id="49"/>
      </w:r>
      <w:r w:rsidRPr="00A37634">
        <w:rPr>
          <w:rFonts w:ascii="Calibri" w:eastAsia="Calibri" w:hAnsi="Calibri" w:cs="Calibri"/>
          <w:szCs w:val="20"/>
          <w:lang w:val="en-AU"/>
        </w:rPr>
        <w:t xml:space="preserve"> and in Melbourne again as recently as January 2018</w:t>
      </w:r>
      <w:r w:rsidRPr="00A37634">
        <w:rPr>
          <w:rFonts w:ascii="Calibri" w:eastAsia="Calibri" w:hAnsi="Calibri" w:cs="Calibri"/>
          <w:szCs w:val="20"/>
          <w:vertAlign w:val="superscript"/>
          <w:lang w:val="en-AU"/>
        </w:rPr>
        <w:footnoteReference w:id="50"/>
      </w:r>
      <w:r w:rsidRPr="00A37634">
        <w:rPr>
          <w:rFonts w:ascii="Calibri" w:eastAsia="Calibri" w:hAnsi="Calibri" w:cs="Calibri"/>
          <w:szCs w:val="20"/>
          <w:lang w:val="en-AU"/>
        </w:rPr>
        <w:t xml:space="preserve"> and January 2019.</w:t>
      </w:r>
      <w:r w:rsidRPr="00A37634">
        <w:rPr>
          <w:rFonts w:ascii="Calibri" w:eastAsia="Calibri" w:hAnsi="Calibri" w:cs="Calibri"/>
          <w:szCs w:val="20"/>
          <w:vertAlign w:val="superscript"/>
          <w:lang w:val="en-AU"/>
        </w:rPr>
        <w:footnoteReference w:id="51"/>
      </w:r>
      <w:r w:rsidRPr="00A37634">
        <w:rPr>
          <w:rFonts w:ascii="Calibri" w:eastAsia="Calibri" w:hAnsi="Calibri" w:cs="Calibri"/>
          <w:szCs w:val="20"/>
          <w:lang w:val="en-AU"/>
        </w:rPr>
        <w:t xml:space="preserve"> Apart from these State- and city-wide events, many network constraints are local, and occur at times when there is more than enough total generation available.</w:t>
      </w:r>
      <w:r w:rsidRPr="00A37634">
        <w:rPr>
          <w:rFonts w:ascii="Calibri" w:eastAsia="Calibri" w:hAnsi="Calibri" w:cs="Calibri"/>
          <w:szCs w:val="20"/>
          <w:vertAlign w:val="superscript"/>
          <w:lang w:val="en-AU"/>
        </w:rPr>
        <w:footnoteReference w:id="52"/>
      </w:r>
      <w:r w:rsidRPr="00A37634">
        <w:rPr>
          <w:rFonts w:ascii="Calibri" w:eastAsia="Calibri" w:hAnsi="Calibri" w:cs="Calibri"/>
          <w:szCs w:val="20"/>
          <w:lang w:val="en-AU"/>
        </w:rPr>
        <w:t xml:space="preserve">    </w:t>
      </w:r>
    </w:p>
    <w:p w14:paraId="22B30456"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About 920,000 refrigerative ACs are sold each year, with Queensland accounting for about 30% of the market, NSW for 26%, Victoria for 19%, WA for 13%, SA for 7% and the Australian Capital Territory (ACT), Northern Territory (NT) and Tasmania combined for 5%.</w:t>
      </w:r>
      <w:r w:rsidRPr="00A37634">
        <w:rPr>
          <w:rFonts w:ascii="Calibri" w:eastAsia="Calibri" w:hAnsi="Calibri" w:cs="Calibri"/>
          <w:szCs w:val="20"/>
          <w:vertAlign w:val="superscript"/>
          <w:lang w:val="en-AU"/>
        </w:rPr>
        <w:footnoteReference w:id="53"/>
      </w:r>
      <w:r w:rsidRPr="00A37634">
        <w:rPr>
          <w:rFonts w:ascii="Calibri" w:eastAsia="Calibri" w:hAnsi="Calibri" w:cs="Calibri"/>
          <w:szCs w:val="20"/>
          <w:lang w:val="en-AU"/>
        </w:rPr>
        <w:t xml:space="preserve"> There are 50 registered AC suppliers in Australia and New Zealand. </w:t>
      </w:r>
      <w:proofErr w:type="gramStart"/>
      <w:r w:rsidRPr="00A37634">
        <w:rPr>
          <w:rFonts w:ascii="Calibri" w:eastAsia="Calibri" w:hAnsi="Calibri" w:cs="Calibri"/>
          <w:szCs w:val="20"/>
          <w:lang w:val="en-AU"/>
        </w:rPr>
        <w:t>The majority of</w:t>
      </w:r>
      <w:proofErr w:type="gramEnd"/>
      <w:r w:rsidRPr="00A37634">
        <w:rPr>
          <w:rFonts w:ascii="Calibri" w:eastAsia="Calibri" w:hAnsi="Calibri" w:cs="Calibri"/>
          <w:szCs w:val="20"/>
          <w:lang w:val="en-AU"/>
        </w:rPr>
        <w:t xml:space="preserve"> ACs are imported, mainly from China, Thailand, Japan, Korea and Malaysia. There are also some local assemblers, particularly of ducted split systems.</w:t>
      </w:r>
      <w:r w:rsidRPr="00A37634">
        <w:rPr>
          <w:rFonts w:ascii="Calibri" w:eastAsia="Calibri" w:hAnsi="Calibri" w:cs="Calibri"/>
          <w:szCs w:val="20"/>
          <w:vertAlign w:val="superscript"/>
          <w:lang w:val="en-AU"/>
        </w:rPr>
        <w:footnoteReference w:id="54"/>
      </w:r>
      <w:r w:rsidRPr="00A37634">
        <w:rPr>
          <w:rFonts w:ascii="Calibri" w:eastAsia="Calibri" w:hAnsi="Calibri" w:cs="Calibri"/>
          <w:szCs w:val="20"/>
          <w:lang w:val="en-AU"/>
        </w:rPr>
        <w:t xml:space="preserve"> Some imported and locally manufactured models already have AS/NZS 4755 DR capabilities.</w:t>
      </w:r>
    </w:p>
    <w:p w14:paraId="247F036A" w14:textId="28A99CB9"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2013 Consultation RIS proposed that all ACs up to 30 kW cooling capacity should comply with AS/NZS 4755. Stakeholders submitted that the proposal captured many models which sell in low numbers (so requiring high retooling costs per unit) and mainly into the commercial market. This market differs from the residential market in that TOU energy pricing constitutes a greater incentive for reducing electricity consumption at peak times and many commercial buildings have energy management systems which give more sophisticated control than AS/NZS 4755. Therefore, the scope </w:t>
      </w:r>
      <w:r w:rsidR="00342FF7">
        <w:rPr>
          <w:rFonts w:ascii="Calibri" w:eastAsia="Calibri" w:hAnsi="Calibri" w:cs="Calibri"/>
          <w:szCs w:val="20"/>
          <w:lang w:val="en-AU"/>
        </w:rPr>
        <w:t xml:space="preserve">was </w:t>
      </w:r>
      <w:r w:rsidRPr="00A37634">
        <w:rPr>
          <w:rFonts w:ascii="Calibri" w:eastAsia="Calibri" w:hAnsi="Calibri" w:cs="Calibri"/>
          <w:szCs w:val="20"/>
          <w:lang w:val="en-AU"/>
        </w:rPr>
        <w:t xml:space="preserve">narrowed to ACs up to 19 kW cooling capacity in </w:t>
      </w:r>
      <w:r w:rsidR="00342FF7">
        <w:rPr>
          <w:rFonts w:ascii="Calibri" w:eastAsia="Calibri" w:hAnsi="Calibri" w:cs="Calibri"/>
          <w:szCs w:val="20"/>
          <w:lang w:val="en-AU"/>
        </w:rPr>
        <w:t xml:space="preserve">the </w:t>
      </w:r>
      <w:r w:rsidRPr="00A37634">
        <w:rPr>
          <w:rFonts w:ascii="Calibri" w:eastAsia="Calibri" w:hAnsi="Calibri" w:cs="Calibri"/>
          <w:szCs w:val="20"/>
          <w:lang w:val="en-AU"/>
        </w:rPr>
        <w:t>Consultation Paper.</w:t>
      </w:r>
      <w:r w:rsidR="00342FF7">
        <w:rPr>
          <w:rFonts w:ascii="Calibri" w:eastAsia="Calibri" w:hAnsi="Calibri" w:cs="Calibri"/>
          <w:szCs w:val="20"/>
          <w:lang w:val="en-AU"/>
        </w:rPr>
        <w:t xml:space="preserve"> </w:t>
      </w:r>
      <w:r w:rsidRPr="00A37634">
        <w:rPr>
          <w:rFonts w:ascii="Calibri" w:eastAsia="Calibri" w:hAnsi="Calibri" w:cs="Calibri"/>
          <w:szCs w:val="20"/>
          <w:lang w:val="en-AU"/>
        </w:rPr>
        <w:t xml:space="preserve">Comment </w:t>
      </w:r>
      <w:r w:rsidR="00342FF7">
        <w:rPr>
          <w:rFonts w:ascii="Calibri" w:eastAsia="Calibri" w:hAnsi="Calibri" w:cs="Calibri"/>
          <w:szCs w:val="20"/>
          <w:lang w:val="en-AU"/>
        </w:rPr>
        <w:t xml:space="preserve">was </w:t>
      </w:r>
      <w:r w:rsidRPr="00A37634">
        <w:rPr>
          <w:rFonts w:ascii="Calibri" w:eastAsia="Calibri" w:hAnsi="Calibri" w:cs="Calibri"/>
          <w:szCs w:val="20"/>
          <w:lang w:val="en-AU"/>
        </w:rPr>
        <w:t>invited on whether this limitation is still appropriate</w:t>
      </w:r>
      <w:r w:rsidR="00AD7785">
        <w:rPr>
          <w:rFonts w:ascii="Calibri" w:eastAsia="Calibri" w:hAnsi="Calibri" w:cs="Calibri"/>
          <w:szCs w:val="20"/>
          <w:lang w:val="en-AU"/>
        </w:rPr>
        <w:t xml:space="preserve">. While </w:t>
      </w:r>
      <w:r w:rsidR="00342FF7">
        <w:rPr>
          <w:rFonts w:ascii="Calibri" w:eastAsia="Calibri" w:hAnsi="Calibri" w:cs="Calibri"/>
          <w:szCs w:val="20"/>
          <w:lang w:val="en-AU"/>
        </w:rPr>
        <w:t>most submissions indicated that it is</w:t>
      </w:r>
      <w:r w:rsidR="00AD7785">
        <w:rPr>
          <w:rFonts w:ascii="Calibri" w:eastAsia="Calibri" w:hAnsi="Calibri" w:cs="Calibri"/>
          <w:szCs w:val="20"/>
          <w:lang w:val="en-AU"/>
        </w:rPr>
        <w:t xml:space="preserve">, some advocated the limit be raised to 30kW. </w:t>
      </w:r>
    </w:p>
    <w:p w14:paraId="37B2BCB8" w14:textId="5B93717E"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lastRenderedPageBreak/>
        <w:t xml:space="preserve">There is no evidence that any of the AS/NZS 4755 compliant models currently on the market are priced higher than similar non-compliant models. Nevertheless, it </w:t>
      </w:r>
      <w:r w:rsidR="00342FF7">
        <w:rPr>
          <w:rFonts w:ascii="Calibri" w:eastAsia="Calibri" w:hAnsi="Calibri" w:cs="Calibri"/>
          <w:szCs w:val="20"/>
          <w:lang w:val="en-AU"/>
        </w:rPr>
        <w:t xml:space="preserve">was </w:t>
      </w:r>
      <w:r w:rsidRPr="00A37634">
        <w:rPr>
          <w:rFonts w:ascii="Calibri" w:eastAsia="Calibri" w:hAnsi="Calibri" w:cs="Calibri"/>
          <w:szCs w:val="20"/>
          <w:lang w:val="en-AU"/>
        </w:rPr>
        <w:t xml:space="preserve">assumed </w:t>
      </w:r>
      <w:r w:rsidR="00342FF7">
        <w:rPr>
          <w:rFonts w:ascii="Calibri" w:eastAsia="Calibri" w:hAnsi="Calibri" w:cs="Calibri"/>
          <w:szCs w:val="20"/>
          <w:lang w:val="en-AU"/>
        </w:rPr>
        <w:t xml:space="preserve">in the Consultation Paper </w:t>
      </w:r>
      <w:r w:rsidRPr="00A37634">
        <w:rPr>
          <w:rFonts w:ascii="Calibri" w:eastAsia="Calibri" w:hAnsi="Calibri" w:cs="Calibri"/>
          <w:szCs w:val="20"/>
          <w:lang w:val="en-AU"/>
        </w:rPr>
        <w:t xml:space="preserve">that making all AC models compliant would increase average retail prices by $5-15 per unit. </w:t>
      </w:r>
      <w:r w:rsidR="00342FF7">
        <w:rPr>
          <w:rFonts w:ascii="Calibri" w:eastAsia="Calibri" w:hAnsi="Calibri" w:cs="Calibri"/>
          <w:szCs w:val="20"/>
          <w:lang w:val="en-AU"/>
        </w:rPr>
        <w:t xml:space="preserve">After consideration of industry submissions, the </w:t>
      </w:r>
      <w:r w:rsidR="00504A35">
        <w:rPr>
          <w:rFonts w:ascii="Calibri" w:eastAsia="Calibri" w:hAnsi="Calibri" w:cs="Calibri"/>
          <w:szCs w:val="20"/>
          <w:lang w:val="en-AU"/>
        </w:rPr>
        <w:t xml:space="preserve">projected </w:t>
      </w:r>
      <w:r w:rsidR="00342FF7">
        <w:rPr>
          <w:rFonts w:ascii="Calibri" w:eastAsia="Calibri" w:hAnsi="Calibri" w:cs="Calibri"/>
          <w:szCs w:val="20"/>
          <w:lang w:val="en-AU"/>
        </w:rPr>
        <w:t xml:space="preserve">cost impacts were </w:t>
      </w:r>
      <w:r w:rsidR="00504A35">
        <w:rPr>
          <w:rFonts w:ascii="Calibri" w:eastAsia="Calibri" w:hAnsi="Calibri" w:cs="Calibri"/>
          <w:szCs w:val="20"/>
          <w:lang w:val="en-AU"/>
        </w:rPr>
        <w:t xml:space="preserve">doubled, to $10-30 per unit (depending on type). </w:t>
      </w:r>
      <w:r w:rsidR="00342FF7" w:rsidRPr="00A37634">
        <w:rPr>
          <w:rFonts w:ascii="Calibri" w:eastAsia="Calibri" w:hAnsi="Calibri" w:cs="Calibri"/>
          <w:szCs w:val="20"/>
          <w:lang w:val="en-AU"/>
        </w:rPr>
        <w:t xml:space="preserve">Given that the installed cost of a typical 5 kW household AC is about $2,500, this </w:t>
      </w:r>
      <w:r w:rsidR="00504A35">
        <w:rPr>
          <w:rFonts w:ascii="Calibri" w:eastAsia="Calibri" w:hAnsi="Calibri" w:cs="Calibri"/>
          <w:szCs w:val="20"/>
          <w:lang w:val="en-AU"/>
        </w:rPr>
        <w:t xml:space="preserve">less than </w:t>
      </w:r>
      <w:r w:rsidR="00342FF7" w:rsidRPr="00A37634">
        <w:rPr>
          <w:rFonts w:ascii="Calibri" w:eastAsia="Calibri" w:hAnsi="Calibri" w:cs="Calibri"/>
          <w:szCs w:val="20"/>
          <w:lang w:val="en-AU"/>
        </w:rPr>
        <w:t>1% of the installed cost</w:t>
      </w:r>
      <w:r w:rsidR="00504A35">
        <w:rPr>
          <w:rFonts w:ascii="Calibri" w:eastAsia="Calibri" w:hAnsi="Calibri" w:cs="Calibri"/>
          <w:szCs w:val="20"/>
          <w:lang w:val="en-AU"/>
        </w:rPr>
        <w:t xml:space="preserve"> on average</w:t>
      </w:r>
      <w:r w:rsidR="00342FF7" w:rsidRPr="00A37634">
        <w:rPr>
          <w:rFonts w:ascii="Calibri" w:eastAsia="Calibri" w:hAnsi="Calibri" w:cs="Calibri"/>
          <w:szCs w:val="20"/>
          <w:lang w:val="en-AU"/>
        </w:rPr>
        <w:t>.</w:t>
      </w:r>
    </w:p>
    <w:p w14:paraId="5EFEB60F" w14:textId="77777777" w:rsidR="00A37634" w:rsidRPr="00A37634" w:rsidRDefault="00A37634" w:rsidP="00A37634">
      <w:pPr>
        <w:keepNext/>
        <w:keepLines/>
        <w:spacing w:before="240" w:after="240" w:line="278" w:lineRule="auto"/>
        <w:outlineLvl w:val="4"/>
        <w:rPr>
          <w:rFonts w:ascii="Calibri" w:eastAsia="Times New Roman" w:hAnsi="Calibri" w:cs="Calibri"/>
          <w:b/>
          <w:color w:val="FF0000"/>
          <w:sz w:val="28"/>
          <w:szCs w:val="28"/>
          <w:lang w:val="en-AU"/>
        </w:rPr>
      </w:pPr>
      <w:r w:rsidRPr="00A37634">
        <w:rPr>
          <w:rFonts w:ascii="Calibri" w:eastAsia="Times New Roman" w:hAnsi="Calibri" w:cs="Calibri"/>
          <w:b/>
          <w:color w:val="FF0000"/>
          <w:sz w:val="28"/>
          <w:szCs w:val="28"/>
          <w:lang w:val="en-AU"/>
        </w:rPr>
        <w:t>Electric Water Heaters</w:t>
      </w:r>
    </w:p>
    <w:p w14:paraId="6C9B47C5" w14:textId="1A3FF782"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There are about 5.3 million electricity-using storage water heaters in Australia: 83% are electric resistance water heaters, 13% are solar with electric boost and 4% are heat pumps. About </w:t>
      </w:r>
      <w:r w:rsidR="00504A35">
        <w:rPr>
          <w:rFonts w:ascii="Calibri" w:eastAsia="Calibri" w:hAnsi="Calibri" w:cs="Calibri"/>
          <w:szCs w:val="20"/>
          <w:lang w:val="en-AU"/>
        </w:rPr>
        <w:t>395</w:t>
      </w:r>
      <w:r w:rsidRPr="00A37634">
        <w:rPr>
          <w:rFonts w:ascii="Calibri" w:eastAsia="Calibri" w:hAnsi="Calibri" w:cs="Calibri"/>
          <w:szCs w:val="20"/>
          <w:lang w:val="en-AU"/>
        </w:rPr>
        <w:t>,000 electric storage water heaters are sold annually in Australia, mostly of local manufacture.</w:t>
      </w:r>
      <w:r w:rsidR="00504A35">
        <w:rPr>
          <w:rStyle w:val="FootnoteReference"/>
          <w:rFonts w:ascii="Calibri" w:eastAsia="Calibri" w:hAnsi="Calibri" w:cs="Calibri"/>
          <w:szCs w:val="20"/>
          <w:lang w:val="en-AU"/>
        </w:rPr>
        <w:footnoteReference w:id="55"/>
      </w:r>
      <w:r w:rsidRPr="00A37634">
        <w:rPr>
          <w:rFonts w:ascii="Calibri" w:eastAsia="Calibri" w:hAnsi="Calibri" w:cs="Calibri"/>
          <w:szCs w:val="20"/>
          <w:lang w:val="en-AU"/>
        </w:rPr>
        <w:t xml:space="preserve"> The New Zealand market is about 100,000 per year. NSW accounts for about 34% of the Australian market, Queensland 32%, Victoria 11%, WA 7%, SA 6%, Tasmania 5%, the ACT 3% and the NT 2%. </w:t>
      </w:r>
    </w:p>
    <w:p w14:paraId="1C1D471B" w14:textId="671DA08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A DR capability would contribute to reducing winter peak demand more than summer peak demand. Most larger units are already on controlled load off-peak (OP) tariffs and so do not heat during peak periods. However, DR is the only practical option for managing the load of the electric water heaters that are too small to be eligible for OP tariffs.</w:t>
      </w:r>
      <w:r w:rsidR="00504A35">
        <w:rPr>
          <w:rStyle w:val="FootnoteReference"/>
          <w:rFonts w:ascii="Calibri" w:eastAsia="Calibri" w:hAnsi="Calibri" w:cs="Calibri"/>
          <w:szCs w:val="20"/>
          <w:lang w:val="en-AU"/>
        </w:rPr>
        <w:footnoteReference w:id="56"/>
      </w:r>
      <w:r w:rsidRPr="00A37634">
        <w:rPr>
          <w:rFonts w:ascii="Calibri" w:eastAsia="Calibri" w:hAnsi="Calibri" w:cs="Calibri"/>
          <w:szCs w:val="20"/>
          <w:lang w:val="en-AU"/>
        </w:rPr>
        <w:t xml:space="preserve"> Even for larger water heaters, AS/NZS 4755 provides a more flexible form of load management than the simple power on/off exercised by OP controls. </w:t>
      </w:r>
    </w:p>
    <w:p w14:paraId="62BBEC7D" w14:textId="6F4122C2" w:rsidR="00504A35"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Demand-responsive water heaters could be switched on at times when there is excess PV generation, to store energy as heat. </w:t>
      </w:r>
      <w:r w:rsidR="00E7118B">
        <w:rPr>
          <w:rFonts w:ascii="Calibri" w:eastAsia="Calibri" w:hAnsi="Calibri" w:cs="Calibri"/>
          <w:szCs w:val="20"/>
          <w:lang w:val="en-AU"/>
        </w:rPr>
        <w:t>This could be achieved at very low additional cost – tens of dollar per kWh of energy storage capacity compared with $800 - $2,000 per kWh of storage capacity for a household-size battery.</w:t>
      </w:r>
      <w:r w:rsidR="00E7118B">
        <w:rPr>
          <w:rStyle w:val="FootnoteReference"/>
          <w:rFonts w:ascii="Calibri" w:eastAsia="Calibri" w:hAnsi="Calibri" w:cs="Calibri"/>
          <w:szCs w:val="20"/>
          <w:lang w:val="en-AU"/>
        </w:rPr>
        <w:footnoteReference w:id="57"/>
      </w:r>
      <w:r w:rsidR="00E7118B">
        <w:rPr>
          <w:rFonts w:ascii="Calibri" w:eastAsia="Calibri" w:hAnsi="Calibri" w:cs="Calibri"/>
          <w:szCs w:val="20"/>
          <w:lang w:val="en-AU"/>
        </w:rPr>
        <w:t xml:space="preserve">    </w:t>
      </w:r>
    </w:p>
    <w:p w14:paraId="2A3D9813" w14:textId="3C2140B3"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 few manufacturers have introduced “solar diverters” and water heaters with these capabilities, using their own proprietary standards rather than AS/NZS 4755, and limited to installations where both the PV and the water heaters are at the same site. An open standard would enable DRSPs to match PV output to water heater energy storage across an entire suburb. The E3 </w:t>
      </w:r>
      <w:r w:rsidRPr="00A37634">
        <w:rPr>
          <w:rFonts w:ascii="Calibri" w:eastAsia="Calibri" w:hAnsi="Calibri" w:cs="Calibri"/>
          <w:i/>
          <w:iCs/>
          <w:szCs w:val="20"/>
          <w:lang w:val="en-AU"/>
        </w:rPr>
        <w:t xml:space="preserve">Policy Framework for Hot Water Systems in Australia and New Zealand, </w:t>
      </w:r>
      <w:r w:rsidRPr="00A37634">
        <w:rPr>
          <w:rFonts w:ascii="Calibri" w:eastAsia="Calibri" w:hAnsi="Calibri" w:cs="Calibri"/>
          <w:szCs w:val="20"/>
          <w:lang w:val="en-AU"/>
        </w:rPr>
        <w:t>2018, has included ‘smart’ controls and DR in its strategy.</w:t>
      </w:r>
      <w:r w:rsidRPr="00A37634">
        <w:rPr>
          <w:rFonts w:ascii="Calibri" w:eastAsia="Calibri" w:hAnsi="Calibri" w:cs="Calibri"/>
          <w:szCs w:val="20"/>
          <w:vertAlign w:val="superscript"/>
          <w:lang w:val="en-AU"/>
        </w:rPr>
        <w:footnoteReference w:id="58"/>
      </w:r>
    </w:p>
    <w:p w14:paraId="4FC4663B" w14:textId="77777777" w:rsidR="008621C5" w:rsidRDefault="00504A35" w:rsidP="008621C5">
      <w:pPr>
        <w:rPr>
          <w:rFonts w:ascii="Calibri" w:eastAsia="Calibri" w:hAnsi="Calibri" w:cs="Calibri"/>
          <w:szCs w:val="20"/>
          <w:lang w:val="en-AU"/>
        </w:rPr>
      </w:pPr>
      <w:r>
        <w:rPr>
          <w:rFonts w:ascii="Calibri" w:eastAsia="Calibri" w:hAnsi="Calibri" w:cs="Calibri"/>
          <w:szCs w:val="20"/>
          <w:lang w:val="en-AU"/>
        </w:rPr>
        <w:t>AS/NZS 4755.3.3:2014 provides for a Higher Storage Mode Operation (DRM4), in which the water heater over</w:t>
      </w:r>
      <w:r w:rsidR="00E7118B">
        <w:rPr>
          <w:rFonts w:ascii="Calibri" w:eastAsia="Calibri" w:hAnsi="Calibri" w:cs="Calibri"/>
          <w:szCs w:val="20"/>
          <w:lang w:val="en-AU"/>
        </w:rPr>
        <w:t>-</w:t>
      </w:r>
      <w:r>
        <w:rPr>
          <w:rFonts w:ascii="Calibri" w:eastAsia="Calibri" w:hAnsi="Calibri" w:cs="Calibri"/>
          <w:szCs w:val="20"/>
          <w:lang w:val="en-AU"/>
        </w:rPr>
        <w:t>rides the nor</w:t>
      </w:r>
      <w:r w:rsidR="00E7118B">
        <w:rPr>
          <w:rFonts w:ascii="Calibri" w:eastAsia="Calibri" w:hAnsi="Calibri" w:cs="Calibri"/>
          <w:szCs w:val="20"/>
          <w:lang w:val="en-AU"/>
        </w:rPr>
        <w:t xml:space="preserve">mal upper </w:t>
      </w:r>
      <w:r>
        <w:rPr>
          <w:rFonts w:ascii="Calibri" w:eastAsia="Calibri" w:hAnsi="Calibri" w:cs="Calibri"/>
          <w:szCs w:val="20"/>
          <w:lang w:val="en-AU"/>
        </w:rPr>
        <w:t>thermost</w:t>
      </w:r>
      <w:r w:rsidR="00E7118B">
        <w:rPr>
          <w:rFonts w:ascii="Calibri" w:eastAsia="Calibri" w:hAnsi="Calibri" w:cs="Calibri"/>
          <w:szCs w:val="20"/>
          <w:lang w:val="en-AU"/>
        </w:rPr>
        <w:t>a</w:t>
      </w:r>
      <w:r>
        <w:rPr>
          <w:rFonts w:ascii="Calibri" w:eastAsia="Calibri" w:hAnsi="Calibri" w:cs="Calibri"/>
          <w:szCs w:val="20"/>
          <w:lang w:val="en-AU"/>
        </w:rPr>
        <w:t>t setting (typically about 60</w:t>
      </w:r>
      <w:r w:rsidR="00E7118B" w:rsidRPr="00E7118B">
        <w:rPr>
          <w:rFonts w:ascii="Calibri" w:eastAsia="Calibri" w:hAnsi="Calibri" w:cs="Calibri"/>
          <w:szCs w:val="20"/>
          <w:vertAlign w:val="superscript"/>
          <w:lang w:val="en-AU"/>
        </w:rPr>
        <w:t>o</w:t>
      </w:r>
      <w:r w:rsidR="00E7118B">
        <w:rPr>
          <w:rFonts w:ascii="Calibri" w:eastAsia="Calibri" w:hAnsi="Calibri" w:cs="Calibri"/>
          <w:szCs w:val="20"/>
          <w:lang w:val="en-AU"/>
        </w:rPr>
        <w:t>C) and temporarily heat to about 75</w:t>
      </w:r>
      <w:r w:rsidR="00E7118B" w:rsidRPr="00E7118B">
        <w:rPr>
          <w:rFonts w:ascii="Calibri" w:eastAsia="Calibri" w:hAnsi="Calibri" w:cs="Calibri"/>
          <w:szCs w:val="20"/>
          <w:vertAlign w:val="superscript"/>
          <w:lang w:val="en-AU"/>
        </w:rPr>
        <w:t>o</w:t>
      </w:r>
      <w:r w:rsidR="00E7118B" w:rsidRPr="00E7118B">
        <w:rPr>
          <w:rFonts w:ascii="Calibri" w:eastAsia="Calibri" w:hAnsi="Calibri" w:cs="Calibri"/>
          <w:szCs w:val="20"/>
          <w:lang w:val="en-AU"/>
        </w:rPr>
        <w:t>C</w:t>
      </w:r>
      <w:r w:rsidR="00E7118B">
        <w:rPr>
          <w:rFonts w:ascii="Calibri" w:eastAsia="Calibri" w:hAnsi="Calibri" w:cs="Calibri"/>
          <w:szCs w:val="20"/>
          <w:lang w:val="en-AU"/>
        </w:rPr>
        <w:t xml:space="preserve">. During the consultations, the manufacturers indicted that ensuring the integrity of the vitreous enamel lining at higher temperatures would increase manufacturing costs and create warranty problems. </w:t>
      </w:r>
    </w:p>
    <w:p w14:paraId="2AD96DF9" w14:textId="6E8B7CE8" w:rsidR="008621C5" w:rsidRDefault="008621C5" w:rsidP="008621C5">
      <w:r>
        <w:t>Some rapid energy storage capability can be retained by applying DRM 1 (even during OP heating times) on days when high PV output is anticipated, and then relaxing DRM1 during high-PV periods. This gives appliance-level control of heating times, which is more flexible than the circuit-level control that is available (in most areas) from manipulating OP heating periods. It also means that consumers can benefit from DR arrangements for water heaters not on controlled circuits. Therefore</w:t>
      </w:r>
      <w:r w:rsidR="0096095E">
        <w:t>,</w:t>
      </w:r>
      <w:r>
        <w:t xml:space="preserve"> it is recommended that compliance with DRM1 only be mandated, to avoid manufacturer costs associated with DRM4. </w:t>
      </w:r>
    </w:p>
    <w:p w14:paraId="17FFCC66" w14:textId="45DE680F"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lastRenderedPageBreak/>
        <w:t xml:space="preserve">The 2013 Consultation RIS proposed that all electric resistance, solar-electric and heat pump water heaters should comply with AS/NZS 4755. Stakeholders submitted that the reductions in peak demand from controlling solar-electric and heat pump water heaters would be too small to be cost-effective. Therefore, the scope has been narrowed in this Consultation Paper to electric resistance water heaters with a delivery of 10 to 700 litres. Comment </w:t>
      </w:r>
      <w:r w:rsidR="008621C5">
        <w:rPr>
          <w:rFonts w:ascii="Calibri" w:eastAsia="Calibri" w:hAnsi="Calibri" w:cs="Calibri"/>
          <w:szCs w:val="20"/>
          <w:lang w:val="en-AU"/>
        </w:rPr>
        <w:t xml:space="preserve">was </w:t>
      </w:r>
      <w:r w:rsidRPr="00A37634">
        <w:rPr>
          <w:rFonts w:ascii="Calibri" w:eastAsia="Calibri" w:hAnsi="Calibri" w:cs="Calibri"/>
          <w:szCs w:val="20"/>
          <w:lang w:val="en-AU"/>
        </w:rPr>
        <w:t>invited on whether this scope is still appropriate</w:t>
      </w:r>
      <w:r w:rsidR="008621C5">
        <w:rPr>
          <w:rFonts w:ascii="Calibri" w:eastAsia="Calibri" w:hAnsi="Calibri" w:cs="Calibri"/>
          <w:szCs w:val="20"/>
          <w:lang w:val="en-AU"/>
        </w:rPr>
        <w:t>, and all but one submission agreed that it is.</w:t>
      </w:r>
    </w:p>
    <w:p w14:paraId="4B512112" w14:textId="2197708F"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Given sufficient lead time, suppliers of electric storage water heaters to the Australian market could make the necessary design changes. It </w:t>
      </w:r>
      <w:r w:rsidR="008621C5">
        <w:rPr>
          <w:rFonts w:ascii="Calibri" w:eastAsia="Calibri" w:hAnsi="Calibri" w:cs="Calibri"/>
          <w:szCs w:val="20"/>
          <w:lang w:val="en-AU"/>
        </w:rPr>
        <w:t xml:space="preserve">was </w:t>
      </w:r>
      <w:r w:rsidRPr="00A37634">
        <w:rPr>
          <w:rFonts w:ascii="Calibri" w:eastAsia="Calibri" w:hAnsi="Calibri" w:cs="Calibri"/>
          <w:szCs w:val="20"/>
          <w:lang w:val="en-AU"/>
        </w:rPr>
        <w:t xml:space="preserve">estimated </w:t>
      </w:r>
      <w:r w:rsidR="008621C5">
        <w:rPr>
          <w:rFonts w:ascii="Calibri" w:eastAsia="Calibri" w:hAnsi="Calibri" w:cs="Calibri"/>
          <w:szCs w:val="20"/>
          <w:lang w:val="en-AU"/>
        </w:rPr>
        <w:t xml:space="preserve">in the Consultation Paper </w:t>
      </w:r>
      <w:r w:rsidRPr="00A37634">
        <w:rPr>
          <w:rFonts w:ascii="Calibri" w:eastAsia="Calibri" w:hAnsi="Calibri" w:cs="Calibri"/>
          <w:szCs w:val="20"/>
          <w:lang w:val="en-AU"/>
        </w:rPr>
        <w:t xml:space="preserve">that the requirement would add about $70-80 to the cost of electric storage water heaters, since very few models at present have suitable electronic controls and most models would have to be re-designed. </w:t>
      </w:r>
      <w:r w:rsidR="008621C5">
        <w:rPr>
          <w:rFonts w:ascii="Calibri" w:eastAsia="Calibri" w:hAnsi="Calibri" w:cs="Calibri"/>
          <w:szCs w:val="20"/>
          <w:lang w:val="en-AU"/>
        </w:rPr>
        <w:t xml:space="preserve">The industry made submissions to the effect that the additional costs could be as high as $200, but this was with respect to compliance with DRMs 2,3 and 4 as well as DRM1. As the proposal is now for DRM1 only, the cost </w:t>
      </w:r>
      <w:r w:rsidR="00327359">
        <w:rPr>
          <w:rFonts w:ascii="Calibri" w:eastAsia="Calibri" w:hAnsi="Calibri" w:cs="Calibri"/>
          <w:szCs w:val="20"/>
          <w:lang w:val="en-AU"/>
        </w:rPr>
        <w:t>estimate</w:t>
      </w:r>
      <w:r w:rsidR="008621C5">
        <w:rPr>
          <w:rFonts w:ascii="Calibri" w:eastAsia="Calibri" w:hAnsi="Calibri" w:cs="Calibri"/>
          <w:szCs w:val="20"/>
          <w:lang w:val="en-AU"/>
        </w:rPr>
        <w:t xml:space="preserve"> of $70-80 has been retained. </w:t>
      </w:r>
    </w:p>
    <w:p w14:paraId="026E9C57" w14:textId="77777777" w:rsidR="00A37634" w:rsidRPr="00A37634" w:rsidRDefault="00A37634" w:rsidP="00A37634">
      <w:pPr>
        <w:keepNext/>
        <w:keepLines/>
        <w:spacing w:before="240" w:after="240" w:line="278" w:lineRule="auto"/>
        <w:outlineLvl w:val="4"/>
        <w:rPr>
          <w:rFonts w:ascii="Calibri" w:eastAsia="Times New Roman" w:hAnsi="Calibri" w:cs="Calibri"/>
          <w:b/>
          <w:color w:val="FF0000"/>
          <w:sz w:val="28"/>
          <w:szCs w:val="24"/>
          <w:lang w:val="en-AU"/>
        </w:rPr>
      </w:pPr>
      <w:r w:rsidRPr="00A37634">
        <w:rPr>
          <w:rFonts w:ascii="Calibri" w:eastAsia="Times New Roman" w:hAnsi="Calibri" w:cs="Calibri"/>
          <w:b/>
          <w:color w:val="FF0000"/>
          <w:sz w:val="28"/>
          <w:szCs w:val="24"/>
          <w:lang w:val="en-AU"/>
        </w:rPr>
        <w:t>Swimming Pool Pump Controllers</w:t>
      </w:r>
    </w:p>
    <w:p w14:paraId="68705F30"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A DR capability for pool pump controllers would contribute to reducing network summer maximum demand, because it is estimated that around half of pumps are on during AC-induced peak events.</w:t>
      </w:r>
      <w:r w:rsidRPr="00A37634">
        <w:rPr>
          <w:rFonts w:ascii="Calibri" w:eastAsia="Calibri" w:hAnsi="Calibri" w:cs="Calibri"/>
          <w:szCs w:val="20"/>
          <w:vertAlign w:val="superscript"/>
          <w:lang w:val="en-AU"/>
        </w:rPr>
        <w:footnoteReference w:id="59"/>
      </w:r>
      <w:r w:rsidRPr="00A37634">
        <w:rPr>
          <w:rFonts w:ascii="Calibri" w:eastAsia="Calibri" w:hAnsi="Calibri" w:cs="Calibri"/>
          <w:szCs w:val="20"/>
          <w:lang w:val="en-AU"/>
        </w:rPr>
        <w:t xml:space="preserve"> Like water heaters, they could also be switched on at times when there is excess PV generation. One local manufacturer has introduced a pool pump controller with these capabilities, but using its own proprietary standard rather than AS/NZS 4755. </w:t>
      </w:r>
    </w:p>
    <w:p w14:paraId="3A00AD60"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There are about 1.2 million residential pools in Australia: 29% of these are in NSW, 33% in Queensland, 13% in Victoria, 16% in WA, 5% in SA and 4% in Tasmania, NT and ACT combined.</w:t>
      </w:r>
      <w:r w:rsidRPr="00A37634">
        <w:rPr>
          <w:rFonts w:ascii="Calibri" w:eastAsia="Calibri" w:hAnsi="Calibri" w:cs="Calibri"/>
          <w:szCs w:val="20"/>
          <w:vertAlign w:val="superscript"/>
          <w:lang w:val="en-AU"/>
        </w:rPr>
        <w:footnoteReference w:id="60"/>
      </w:r>
      <w:r w:rsidRPr="00A37634">
        <w:rPr>
          <w:rFonts w:ascii="Calibri" w:eastAsia="Calibri" w:hAnsi="Calibri" w:cs="Calibri"/>
          <w:szCs w:val="20"/>
          <w:vertAlign w:val="superscript"/>
          <w:lang w:val="en-AU"/>
        </w:rPr>
        <w:t xml:space="preserve"> </w:t>
      </w:r>
      <w:r w:rsidRPr="00A37634">
        <w:rPr>
          <w:rFonts w:ascii="Calibri" w:eastAsia="Calibri" w:hAnsi="Calibri" w:cs="Calibri"/>
          <w:szCs w:val="20"/>
          <w:lang w:val="en-AU"/>
        </w:rPr>
        <w:t>About 180,000 pool pump-units are sold each year</w:t>
      </w:r>
      <w:r w:rsidRPr="00A37634">
        <w:rPr>
          <w:rFonts w:ascii="Calibri" w:eastAsia="Calibri" w:hAnsi="Calibri" w:cs="Calibri"/>
          <w:szCs w:val="20"/>
          <w:vertAlign w:val="superscript"/>
          <w:lang w:val="en-AU"/>
        </w:rPr>
        <w:footnoteReference w:id="61"/>
      </w:r>
      <w:r w:rsidRPr="00A37634">
        <w:rPr>
          <w:rFonts w:ascii="Calibri" w:eastAsia="Calibri" w:hAnsi="Calibri" w:cs="Calibri"/>
          <w:szCs w:val="20"/>
          <w:lang w:val="en-AU"/>
        </w:rPr>
        <w:t xml:space="preserve"> but fewer controllers, as they have longer service lives.</w:t>
      </w:r>
      <w:r w:rsidRPr="00A37634">
        <w:rPr>
          <w:rFonts w:ascii="Calibri" w:eastAsia="Calibri" w:hAnsi="Calibri" w:cs="Calibri"/>
          <w:szCs w:val="20"/>
          <w:vertAlign w:val="superscript"/>
          <w:lang w:val="en-AU"/>
        </w:rPr>
        <w:t xml:space="preserve"> </w:t>
      </w:r>
      <w:r w:rsidRPr="00A37634">
        <w:rPr>
          <w:rFonts w:ascii="Calibri" w:eastAsia="Calibri" w:hAnsi="Calibri" w:cs="Calibri"/>
          <w:szCs w:val="20"/>
          <w:lang w:val="en-AU"/>
        </w:rPr>
        <w:t xml:space="preserve">Pool pump controllers sold in Australia are a mix of locally manufactured and imported products. </w:t>
      </w:r>
    </w:p>
    <w:p w14:paraId="47080CCC"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Simple controllers attached directly to pump-units themselves would be excluded from the requirement. The DR capabilities would need to be exercised by a </w:t>
      </w:r>
      <w:proofErr w:type="gramStart"/>
      <w:r w:rsidRPr="00A37634">
        <w:rPr>
          <w:rFonts w:ascii="Calibri" w:eastAsia="Calibri" w:hAnsi="Calibri" w:cs="Calibri"/>
          <w:szCs w:val="20"/>
          <w:lang w:val="en-AU"/>
        </w:rPr>
        <w:t>higher level</w:t>
      </w:r>
      <w:proofErr w:type="gramEnd"/>
      <w:r w:rsidRPr="00A37634">
        <w:rPr>
          <w:rFonts w:ascii="Calibri" w:eastAsia="Calibri" w:hAnsi="Calibri" w:cs="Calibri"/>
          <w:szCs w:val="20"/>
          <w:lang w:val="en-AU"/>
        </w:rPr>
        <w:t xml:space="preserve"> controller because of the need to switch other components that rely on water flow for their safe operation, such as chlorinators and heaters. Some pools have multiple pumps, each serving a different water circulation system (e.g. pool filtration, solar heating circuit and spa). AS/NZS 4755 only requires the controller to switch off or modify the operation of the filtration pump. </w:t>
      </w:r>
    </w:p>
    <w:p w14:paraId="1ADFCE8B" w14:textId="37B9CF25"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It is estimated that the compliance would add about $</w:t>
      </w:r>
      <w:r w:rsidR="00D802F5">
        <w:rPr>
          <w:rFonts w:ascii="Calibri" w:eastAsia="Calibri" w:hAnsi="Calibri" w:cs="Calibri"/>
          <w:szCs w:val="20"/>
          <w:lang w:val="en-AU"/>
        </w:rPr>
        <w:t>75</w:t>
      </w:r>
      <w:r w:rsidRPr="00A37634">
        <w:rPr>
          <w:rFonts w:ascii="Calibri" w:eastAsia="Calibri" w:hAnsi="Calibri" w:cs="Calibri"/>
          <w:szCs w:val="20"/>
          <w:lang w:val="en-AU"/>
        </w:rPr>
        <w:t xml:space="preserve"> to the average price of pool pump controllers</w:t>
      </w:r>
      <w:r w:rsidR="00D802F5">
        <w:rPr>
          <w:rFonts w:ascii="Calibri" w:eastAsia="Calibri" w:hAnsi="Calibri" w:cs="Calibri"/>
          <w:szCs w:val="20"/>
          <w:lang w:val="en-AU"/>
        </w:rPr>
        <w:t xml:space="preserve"> (increased from $50 following the consultation period).</w:t>
      </w:r>
      <w:r w:rsidRPr="00A37634">
        <w:rPr>
          <w:rFonts w:ascii="Calibri" w:eastAsia="Calibri" w:hAnsi="Calibri" w:cs="Calibri"/>
          <w:szCs w:val="20"/>
          <w:lang w:val="en-AU"/>
        </w:rPr>
        <w:t xml:space="preserve"> </w:t>
      </w:r>
    </w:p>
    <w:p w14:paraId="17037B92" w14:textId="77777777" w:rsidR="00A37634" w:rsidRPr="00A37634" w:rsidRDefault="00A37634" w:rsidP="00A37634">
      <w:pPr>
        <w:keepNext/>
        <w:keepLines/>
        <w:spacing w:before="240" w:after="240" w:line="278" w:lineRule="auto"/>
        <w:outlineLvl w:val="4"/>
        <w:rPr>
          <w:rFonts w:ascii="Calibri" w:eastAsia="Times New Roman" w:hAnsi="Calibri" w:cs="Calibri"/>
          <w:b/>
          <w:color w:val="FF0000"/>
          <w:sz w:val="28"/>
          <w:szCs w:val="24"/>
          <w:lang w:val="en-AU"/>
        </w:rPr>
      </w:pPr>
      <w:r w:rsidRPr="00A37634">
        <w:rPr>
          <w:rFonts w:ascii="Calibri" w:eastAsia="Times New Roman" w:hAnsi="Calibri" w:cs="Calibri"/>
          <w:b/>
          <w:color w:val="FF0000"/>
          <w:sz w:val="28"/>
          <w:szCs w:val="24"/>
          <w:lang w:val="en-AU"/>
        </w:rPr>
        <w:t>Electric Vehicle Charge/Discharge Controllers</w:t>
      </w:r>
    </w:p>
    <w:p w14:paraId="7BA8580B" w14:textId="7D063F4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There is growing interest in EVs in Australia</w:t>
      </w:r>
      <w:r w:rsidR="00B8594B">
        <w:rPr>
          <w:rFonts w:ascii="Calibri" w:eastAsia="Calibri" w:hAnsi="Calibri" w:cs="Calibri"/>
          <w:szCs w:val="20"/>
          <w:lang w:val="en-AU"/>
        </w:rPr>
        <w:t xml:space="preserve"> and New Zealand</w:t>
      </w:r>
      <w:r w:rsidRPr="00A37634">
        <w:rPr>
          <w:rFonts w:ascii="Calibri" w:eastAsia="Calibri" w:hAnsi="Calibri" w:cs="Calibri"/>
          <w:szCs w:val="20"/>
          <w:lang w:val="en-AU"/>
        </w:rPr>
        <w:t xml:space="preserve">. Although the </w:t>
      </w:r>
      <w:r w:rsidR="00B8594B">
        <w:rPr>
          <w:rFonts w:ascii="Calibri" w:eastAsia="Calibri" w:hAnsi="Calibri" w:cs="Calibri"/>
          <w:szCs w:val="20"/>
          <w:lang w:val="en-AU"/>
        </w:rPr>
        <w:t xml:space="preserve">Australian </w:t>
      </w:r>
      <w:r w:rsidRPr="00A37634">
        <w:rPr>
          <w:rFonts w:ascii="Calibri" w:eastAsia="Calibri" w:hAnsi="Calibri" w:cs="Calibri"/>
          <w:szCs w:val="20"/>
          <w:lang w:val="en-AU"/>
        </w:rPr>
        <w:t xml:space="preserve">EV market is still small (2,300 units in 2017, or 0.2% of the new car market), vehicle manufacturers are importing more </w:t>
      </w:r>
      <w:r w:rsidRPr="00A37634">
        <w:rPr>
          <w:rFonts w:ascii="Calibri" w:eastAsia="Calibri" w:hAnsi="Calibri" w:cs="Calibri"/>
          <w:szCs w:val="20"/>
          <w:lang w:val="en-AU"/>
        </w:rPr>
        <w:lastRenderedPageBreak/>
        <w:t xml:space="preserve">electric models and the market is expected to grow rapidly. </w:t>
      </w:r>
      <w:r w:rsidR="00B8594B">
        <w:rPr>
          <w:rFonts w:ascii="Calibri" w:eastAsia="Calibri" w:hAnsi="Calibri" w:cs="Calibri"/>
          <w:szCs w:val="20"/>
          <w:lang w:val="en-AU"/>
        </w:rPr>
        <w:t>Australia has about 10,000 registered EVs (including plug-in hybrids) and New Zealand has about 15,000.</w:t>
      </w:r>
      <w:r w:rsidR="00B8594B">
        <w:rPr>
          <w:rStyle w:val="FootnoteReference"/>
          <w:rFonts w:ascii="Calibri" w:eastAsia="Calibri" w:hAnsi="Calibri" w:cs="Calibri"/>
          <w:szCs w:val="20"/>
          <w:lang w:val="en-AU"/>
        </w:rPr>
        <w:footnoteReference w:id="62"/>
      </w:r>
      <w:r w:rsidR="00B8594B">
        <w:rPr>
          <w:rFonts w:ascii="Calibri" w:eastAsia="Calibri" w:hAnsi="Calibri" w:cs="Calibri"/>
          <w:szCs w:val="20"/>
          <w:lang w:val="en-AU"/>
        </w:rPr>
        <w:t xml:space="preserve"> </w:t>
      </w:r>
    </w:p>
    <w:p w14:paraId="04468D32" w14:textId="5ABC8BA2"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New Zealand government has set up a contestable fund “to be invested in projects that accelerate the uptake of EVs and for innovations that would not otherwise be funded. This would include initiatives to promote a shift in consumer attitude and facilitate the utilisation of EVs…”</w:t>
      </w:r>
      <w:r w:rsidRPr="00A37634">
        <w:rPr>
          <w:rFonts w:ascii="Calibri" w:eastAsia="Calibri" w:hAnsi="Calibri" w:cs="Calibri"/>
          <w:szCs w:val="20"/>
          <w:vertAlign w:val="superscript"/>
          <w:lang w:val="en-AU"/>
        </w:rPr>
        <w:footnoteReference w:id="63"/>
      </w:r>
      <w:r w:rsidRPr="00A37634">
        <w:rPr>
          <w:rFonts w:ascii="Calibri" w:eastAsia="Calibri" w:hAnsi="Calibri" w:cs="Calibri"/>
          <w:szCs w:val="20"/>
          <w:lang w:val="en-AU"/>
        </w:rPr>
        <w:t xml:space="preserve"> </w:t>
      </w:r>
    </w:p>
    <w:p w14:paraId="21A3598F"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AEMO projects that by 2038, EVs will consume about 9% of the electricity delivered by the NEM. Nearly 80% of the energy used by privately owned EVs is expected to be delivered by home chargers, which will contribute significantly to local network peak demands if charging starts as soon as drivers return home from work.</w:t>
      </w:r>
      <w:r w:rsidRPr="00A37634">
        <w:rPr>
          <w:rFonts w:ascii="Calibri" w:eastAsia="Calibri" w:hAnsi="Calibri" w:cs="Calibri"/>
          <w:szCs w:val="20"/>
          <w:vertAlign w:val="superscript"/>
          <w:lang w:val="en-AU"/>
        </w:rPr>
        <w:footnoteReference w:id="64"/>
      </w:r>
      <w:r w:rsidRPr="00A37634">
        <w:rPr>
          <w:rFonts w:ascii="Calibri" w:eastAsia="Calibri" w:hAnsi="Calibri" w:cs="Calibri"/>
          <w:szCs w:val="20"/>
          <w:lang w:val="en-AU"/>
        </w:rPr>
        <w:t xml:space="preserve">  </w:t>
      </w:r>
    </w:p>
    <w:p w14:paraId="12AF84BD"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2018 Senate </w:t>
      </w:r>
      <w:r w:rsidRPr="00A37634">
        <w:rPr>
          <w:rFonts w:ascii="Calibri" w:eastAsia="Calibri" w:hAnsi="Calibri" w:cs="Calibri"/>
          <w:i/>
          <w:iCs/>
          <w:szCs w:val="20"/>
          <w:lang w:val="en-AU"/>
        </w:rPr>
        <w:t>Select Committee on Electric Vehicles</w:t>
      </w:r>
      <w:r w:rsidRPr="00A37634">
        <w:rPr>
          <w:rFonts w:ascii="Calibri" w:eastAsia="Calibri" w:hAnsi="Calibri" w:cs="Calibri"/>
          <w:szCs w:val="20"/>
          <w:lang w:val="en-AU"/>
        </w:rPr>
        <w:t xml:space="preserve"> concluded that: </w:t>
      </w:r>
    </w:p>
    <w:p w14:paraId="72840C91" w14:textId="77777777" w:rsidR="00A37634" w:rsidRPr="00A37634" w:rsidRDefault="00A37634" w:rsidP="00A37634">
      <w:pPr>
        <w:spacing w:before="120" w:after="120" w:line="276" w:lineRule="auto"/>
        <w:ind w:left="720"/>
        <w:rPr>
          <w:rFonts w:ascii="Calibri" w:eastAsia="Calibri" w:hAnsi="Calibri" w:cs="Calibri"/>
          <w:sz w:val="20"/>
          <w:szCs w:val="20"/>
          <w:lang w:val="en-AU"/>
        </w:rPr>
      </w:pPr>
      <w:r w:rsidRPr="00A37634">
        <w:rPr>
          <w:rFonts w:ascii="Calibri" w:eastAsia="Calibri" w:hAnsi="Calibri" w:cs="Calibri"/>
          <w:lang w:val="en-AU"/>
        </w:rPr>
        <w:t xml:space="preserve">“6.28…The Committee agrees with the evidence </w:t>
      </w:r>
      <w:proofErr w:type="gramStart"/>
      <w:r w:rsidRPr="00A37634">
        <w:rPr>
          <w:rFonts w:ascii="Calibri" w:eastAsia="Calibri" w:hAnsi="Calibri" w:cs="Calibri"/>
          <w:lang w:val="en-AU"/>
        </w:rPr>
        <w:t>provided that</w:t>
      </w:r>
      <w:proofErr w:type="gramEnd"/>
      <w:r w:rsidRPr="00A37634">
        <w:rPr>
          <w:rFonts w:ascii="Calibri" w:eastAsia="Calibri" w:hAnsi="Calibri" w:cs="Calibri"/>
          <w:lang w:val="en-AU"/>
        </w:rPr>
        <w:t xml:space="preserve"> making sure EVs do not overload the electricity network at times of peak demand will also be important for maintaining grid stability and preventing price spikes</w:t>
      </w:r>
      <w:r w:rsidRPr="00A37634">
        <w:rPr>
          <w:rFonts w:ascii="Calibri" w:eastAsia="Calibri" w:hAnsi="Calibri" w:cs="Calibri"/>
          <w:sz w:val="20"/>
          <w:szCs w:val="20"/>
          <w:lang w:val="en-AU"/>
        </w:rPr>
        <w:t>.”</w:t>
      </w:r>
      <w:r w:rsidRPr="00A37634">
        <w:rPr>
          <w:rFonts w:ascii="Calibri" w:eastAsia="Calibri" w:hAnsi="Calibri" w:cs="Calibri"/>
          <w:szCs w:val="20"/>
          <w:vertAlign w:val="superscript"/>
          <w:lang w:val="en-AU"/>
        </w:rPr>
        <w:t xml:space="preserve"> </w:t>
      </w:r>
      <w:r w:rsidRPr="00A37634">
        <w:rPr>
          <w:rFonts w:ascii="Calibri" w:eastAsia="Calibri" w:hAnsi="Calibri" w:cs="Calibri"/>
          <w:szCs w:val="20"/>
          <w:vertAlign w:val="superscript"/>
          <w:lang w:val="en-AU"/>
        </w:rPr>
        <w:footnoteReference w:id="65"/>
      </w:r>
      <w:r w:rsidRPr="00A37634">
        <w:rPr>
          <w:rFonts w:ascii="Calibri" w:eastAsia="Calibri" w:hAnsi="Calibri" w:cs="Calibri"/>
          <w:szCs w:val="20"/>
          <w:lang w:val="en-AU"/>
        </w:rPr>
        <w:t xml:space="preserve"> </w:t>
      </w:r>
      <w:r w:rsidRPr="00A37634">
        <w:rPr>
          <w:rFonts w:ascii="Calibri" w:eastAsia="Calibri" w:hAnsi="Calibri" w:cs="Calibri"/>
          <w:sz w:val="20"/>
          <w:szCs w:val="20"/>
          <w:lang w:val="en-AU"/>
        </w:rPr>
        <w:t xml:space="preserve"> </w:t>
      </w:r>
    </w:p>
    <w:p w14:paraId="4EE30292"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Indeed, many EV industry stakeholders expect that home chargers will be demand-controlled. DR-capable chargers could be managed to interrupt or constrain charging during times of network stress or high wholesale prices, and resume charging when conditions ease.</w:t>
      </w:r>
    </w:p>
    <w:p w14:paraId="75E68A74"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In July 2019, the UK Government commenced a consultation paper on the introduction of mandatory DR standards for EV chargers from 2022.</w:t>
      </w:r>
      <w:r w:rsidRPr="00A37634">
        <w:rPr>
          <w:rFonts w:ascii="Calibri" w:eastAsia="Calibri" w:hAnsi="Calibri" w:cs="Calibri"/>
          <w:szCs w:val="20"/>
          <w:vertAlign w:val="superscript"/>
          <w:lang w:val="en-AU"/>
        </w:rPr>
        <w:footnoteReference w:id="66"/>
      </w:r>
      <w:r w:rsidRPr="00A37634">
        <w:rPr>
          <w:rFonts w:ascii="Calibri" w:eastAsia="Calibri" w:hAnsi="Calibri" w:cs="Calibri"/>
          <w:szCs w:val="20"/>
          <w:lang w:val="en-AU"/>
        </w:rPr>
        <w:t xml:space="preserve"> The paper states:</w:t>
      </w:r>
    </w:p>
    <w:p w14:paraId="285A882B" w14:textId="77777777" w:rsidR="00A37634" w:rsidRPr="00A37634" w:rsidRDefault="00A37634" w:rsidP="00A37634">
      <w:pPr>
        <w:spacing w:before="120" w:after="120" w:line="276" w:lineRule="auto"/>
        <w:ind w:left="720"/>
        <w:rPr>
          <w:rFonts w:ascii="Calibri" w:eastAsia="Calibri" w:hAnsi="Calibri" w:cs="Calibri"/>
          <w:szCs w:val="20"/>
          <w:lang w:val="en-AU"/>
        </w:rPr>
      </w:pPr>
      <w:r w:rsidRPr="00A37634">
        <w:rPr>
          <w:rFonts w:ascii="Calibri" w:eastAsia="Calibri" w:hAnsi="Calibri" w:cs="Calibri"/>
          <w:szCs w:val="20"/>
          <w:lang w:val="en-AU"/>
        </w:rPr>
        <w:t xml:space="preserve">“Without government intervention, it is unlikely that smart charging will be taken up at the rate required to achieve the full benefits for consumers and the electricity system during the mass transition to EVs, and there is a risk of variable standards and inadequate protection for the grid and consumers. </w:t>
      </w:r>
      <w:proofErr w:type="gramStart"/>
      <w:r w:rsidRPr="00A37634">
        <w:rPr>
          <w:rFonts w:ascii="Calibri" w:eastAsia="Calibri" w:hAnsi="Calibri" w:cs="Calibri"/>
          <w:szCs w:val="20"/>
          <w:lang w:val="en-AU"/>
        </w:rPr>
        <w:t>This is why</w:t>
      </w:r>
      <w:proofErr w:type="gramEnd"/>
      <w:r w:rsidRPr="00A37634">
        <w:rPr>
          <w:rFonts w:ascii="Calibri" w:eastAsia="Calibri" w:hAnsi="Calibri" w:cs="Calibri"/>
          <w:szCs w:val="20"/>
          <w:lang w:val="en-AU"/>
        </w:rPr>
        <w:t xml:space="preserve"> the Government proposes to intervene now - to introduce regulations under the AEV Act </w:t>
      </w:r>
      <w:bookmarkStart w:id="44" w:name="_Hlk16191794"/>
      <w:r w:rsidRPr="00A37634">
        <w:rPr>
          <w:rFonts w:ascii="Calibri" w:eastAsia="Calibri" w:hAnsi="Calibri" w:cs="Calibri"/>
          <w:szCs w:val="20"/>
          <w:lang w:val="en-AU"/>
        </w:rPr>
        <w:t xml:space="preserve">[Automated and Electric Vehicles Act 2018] </w:t>
      </w:r>
      <w:bookmarkEnd w:id="44"/>
      <w:r w:rsidRPr="00A37634">
        <w:rPr>
          <w:rFonts w:ascii="Calibri" w:eastAsia="Calibri" w:hAnsi="Calibri" w:cs="Calibri"/>
          <w:szCs w:val="20"/>
          <w:lang w:val="en-AU"/>
        </w:rPr>
        <w:t>to increase uptake and set minimum standards.”</w:t>
      </w:r>
    </w:p>
    <w:p w14:paraId="34268F32" w14:textId="73B685A5"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While EV sales </w:t>
      </w:r>
      <w:bookmarkStart w:id="45" w:name="_Hlk16191844"/>
      <w:r w:rsidRPr="00A37634">
        <w:rPr>
          <w:rFonts w:ascii="Calibri" w:eastAsia="Calibri" w:hAnsi="Calibri" w:cs="Calibri"/>
          <w:szCs w:val="20"/>
          <w:lang w:val="en-AU"/>
        </w:rPr>
        <w:t xml:space="preserve">in Australia and New Zealand </w:t>
      </w:r>
      <w:bookmarkEnd w:id="45"/>
      <w:r w:rsidRPr="00A37634">
        <w:rPr>
          <w:rFonts w:ascii="Calibri" w:eastAsia="Calibri" w:hAnsi="Calibri" w:cs="Calibri"/>
          <w:szCs w:val="20"/>
          <w:lang w:val="en-AU"/>
        </w:rPr>
        <w:t>are currently modest, there is a risk that when the market starts to grow there will be a repeat of the peak load problems caused by the unexpected surge in AC sales in the late 1990s, which contributed to billions of dollars in avoidable network costs. Building DR capabilities into EV chargers at the beginning of market growth is a relatively low-cost risk-management strategy. It is proposed to require DR capabilities in EV charge controllers designed for hard-wired residential use, with capacities up to 20 kVA. These are classified in the relevant US standard as SAE J1772 Level 2</w:t>
      </w:r>
      <w:r w:rsidRPr="00A37634">
        <w:rPr>
          <w:rFonts w:ascii="Calibri" w:eastAsia="Calibri" w:hAnsi="Calibri" w:cs="Calibri"/>
          <w:szCs w:val="20"/>
          <w:vertAlign w:val="superscript"/>
          <w:lang w:val="en-AU"/>
        </w:rPr>
        <w:footnoteReference w:id="67"/>
      </w:r>
      <w:r w:rsidRPr="00A37634">
        <w:rPr>
          <w:rFonts w:ascii="Calibri" w:eastAsia="Calibri" w:hAnsi="Calibri" w:cs="Calibri"/>
          <w:szCs w:val="20"/>
          <w:lang w:val="en-AU"/>
        </w:rPr>
        <w:t xml:space="preserve"> and in the international standard IEC 61851.1 as Mode 3.</w:t>
      </w:r>
      <w:r w:rsidRPr="00A37634">
        <w:rPr>
          <w:rFonts w:ascii="Calibri" w:eastAsia="Calibri" w:hAnsi="Calibri" w:cs="Calibri"/>
          <w:szCs w:val="20"/>
          <w:vertAlign w:val="superscript"/>
          <w:lang w:val="en-AU"/>
        </w:rPr>
        <w:footnoteReference w:id="68"/>
      </w:r>
      <w:r w:rsidRPr="00A37634">
        <w:rPr>
          <w:rFonts w:ascii="Calibri" w:eastAsia="Calibri" w:hAnsi="Calibri" w:cs="Calibri"/>
          <w:szCs w:val="20"/>
          <w:lang w:val="en-AU"/>
        </w:rPr>
        <w:t xml:space="preserve"> </w:t>
      </w:r>
    </w:p>
    <w:p w14:paraId="46504622" w14:textId="5A3512BA"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EV chargers, like pool pump controllers, are electronics-intensive products and it is assumed that DR capability would impose a</w:t>
      </w:r>
      <w:r w:rsidR="009110C0">
        <w:rPr>
          <w:rFonts w:ascii="Calibri" w:eastAsia="Calibri" w:hAnsi="Calibri" w:cs="Calibri"/>
          <w:szCs w:val="20"/>
          <w:lang w:val="en-AU"/>
        </w:rPr>
        <w:t xml:space="preserve">n average </w:t>
      </w:r>
      <w:r w:rsidRPr="00A37634">
        <w:rPr>
          <w:rFonts w:ascii="Calibri" w:eastAsia="Calibri" w:hAnsi="Calibri" w:cs="Calibri"/>
          <w:szCs w:val="20"/>
          <w:lang w:val="en-AU"/>
        </w:rPr>
        <w:t>price penalty of $</w:t>
      </w:r>
      <w:r w:rsidR="009110C0">
        <w:rPr>
          <w:rFonts w:ascii="Calibri" w:eastAsia="Calibri" w:hAnsi="Calibri" w:cs="Calibri"/>
          <w:szCs w:val="20"/>
          <w:lang w:val="en-AU"/>
        </w:rPr>
        <w:t>50</w:t>
      </w:r>
      <w:r w:rsidRPr="00A37634">
        <w:rPr>
          <w:rFonts w:ascii="Calibri" w:eastAsia="Calibri" w:hAnsi="Calibri" w:cs="Calibri"/>
          <w:szCs w:val="20"/>
          <w:lang w:val="en-AU"/>
        </w:rPr>
        <w:t xml:space="preserve"> per unit</w:t>
      </w:r>
      <w:r w:rsidR="009110C0">
        <w:rPr>
          <w:rFonts w:ascii="Calibri" w:eastAsia="Calibri" w:hAnsi="Calibri" w:cs="Calibri"/>
          <w:szCs w:val="20"/>
          <w:lang w:val="en-AU"/>
        </w:rPr>
        <w:t xml:space="preserve">. Following public </w:t>
      </w:r>
      <w:proofErr w:type="gramStart"/>
      <w:r w:rsidR="009110C0">
        <w:rPr>
          <w:rFonts w:ascii="Calibri" w:eastAsia="Calibri" w:hAnsi="Calibri" w:cs="Calibri"/>
          <w:szCs w:val="20"/>
          <w:lang w:val="en-AU"/>
        </w:rPr>
        <w:t>consultations</w:t>
      </w:r>
      <w:proofErr w:type="gramEnd"/>
      <w:r w:rsidR="009110C0">
        <w:rPr>
          <w:rFonts w:ascii="Calibri" w:eastAsia="Calibri" w:hAnsi="Calibri" w:cs="Calibri"/>
          <w:szCs w:val="20"/>
          <w:lang w:val="en-AU"/>
        </w:rPr>
        <w:t xml:space="preserve"> it is now recommended that EV chargers should be able to meet the demand response capability requirements </w:t>
      </w:r>
      <w:r w:rsidR="009110C0">
        <w:rPr>
          <w:rFonts w:ascii="Calibri" w:eastAsia="Calibri" w:hAnsi="Calibri" w:cs="Calibri"/>
          <w:szCs w:val="20"/>
          <w:lang w:val="en-AU"/>
        </w:rPr>
        <w:lastRenderedPageBreak/>
        <w:t xml:space="preserve">through means other than AS/NZS 4755 compliance. </w:t>
      </w:r>
      <w:r w:rsidR="00F32140">
        <w:rPr>
          <w:rFonts w:ascii="Calibri" w:eastAsia="Calibri" w:hAnsi="Calibri" w:cs="Calibri"/>
          <w:szCs w:val="20"/>
          <w:lang w:val="en-AU"/>
        </w:rPr>
        <w:t>The EV industry has submitted that existing charge control standards such as Open Charge Point Protocol are equivalent. If E3 agrees, then products conforming to other standards will also comply, and if those already incorporate the necessary capability the marginal cost should be zero. Therefore</w:t>
      </w:r>
      <w:r w:rsidR="00B915B7">
        <w:rPr>
          <w:rFonts w:ascii="Calibri" w:eastAsia="Calibri" w:hAnsi="Calibri" w:cs="Calibri"/>
          <w:szCs w:val="20"/>
          <w:lang w:val="en-AU"/>
        </w:rPr>
        <w:t>,</w:t>
      </w:r>
      <w:r w:rsidR="00F32140">
        <w:rPr>
          <w:rFonts w:ascii="Calibri" w:eastAsia="Calibri" w:hAnsi="Calibri" w:cs="Calibri"/>
          <w:szCs w:val="20"/>
          <w:lang w:val="en-AU"/>
        </w:rPr>
        <w:t xml:space="preserve"> the cost of $50 has been retained as a weighted average.</w:t>
      </w:r>
      <w:r w:rsidRPr="00A37634">
        <w:rPr>
          <w:rFonts w:ascii="Calibri" w:eastAsia="Calibri" w:hAnsi="Calibri" w:cs="Calibri"/>
          <w:szCs w:val="20"/>
          <w:lang w:val="en-AU"/>
        </w:rPr>
        <w:t xml:space="preserve">  </w:t>
      </w:r>
    </w:p>
    <w:p w14:paraId="109F5F72" w14:textId="36CB27E7" w:rsidR="00A37634" w:rsidRPr="00834708" w:rsidRDefault="00A37634" w:rsidP="00834708">
      <w:pPr>
        <w:keepNext/>
        <w:keepLines/>
        <w:spacing w:before="240" w:after="240" w:line="278" w:lineRule="auto"/>
        <w:outlineLvl w:val="4"/>
        <w:rPr>
          <w:rFonts w:ascii="Calibri" w:eastAsia="Times New Roman" w:hAnsi="Calibri" w:cs="Calibri"/>
          <w:b/>
          <w:color w:val="FF0000"/>
          <w:sz w:val="28"/>
          <w:szCs w:val="28"/>
          <w:lang w:val="en-AU"/>
        </w:rPr>
      </w:pPr>
      <w:r w:rsidRPr="00834708">
        <w:rPr>
          <w:rFonts w:ascii="Calibri" w:eastAsia="Times New Roman" w:hAnsi="Calibri" w:cs="Calibri"/>
          <w:b/>
          <w:color w:val="FF0000"/>
          <w:sz w:val="28"/>
          <w:szCs w:val="28"/>
          <w:lang w:val="en-AU"/>
        </w:rPr>
        <w:t>Proposed Compliance Standard</w:t>
      </w:r>
      <w:r w:rsidR="0020100B">
        <w:rPr>
          <w:rFonts w:ascii="Calibri" w:eastAsia="Times New Roman" w:hAnsi="Calibri" w:cs="Calibri"/>
          <w:b/>
          <w:color w:val="FF0000"/>
          <w:sz w:val="28"/>
          <w:szCs w:val="28"/>
          <w:lang w:val="en-AU"/>
        </w:rPr>
        <w:t>s</w:t>
      </w:r>
    </w:p>
    <w:p w14:paraId="77CA1D70" w14:textId="77777777" w:rsidR="00A37634" w:rsidRPr="00A37634" w:rsidRDefault="00A37634" w:rsidP="00A37634">
      <w:pPr>
        <w:spacing w:before="120" w:after="120" w:line="276" w:lineRule="auto"/>
        <w:rPr>
          <w:rFonts w:ascii="Calibri" w:eastAsia="Calibri" w:hAnsi="Calibri" w:cs="Calibri"/>
          <w:szCs w:val="20"/>
          <w:lang w:val="en-AU" w:eastAsia="en-GB"/>
        </w:rPr>
      </w:pPr>
      <w:r w:rsidRPr="00A37634">
        <w:rPr>
          <w:rFonts w:ascii="Calibri" w:eastAsia="Calibri" w:hAnsi="Calibri" w:cs="Calibri"/>
          <w:szCs w:val="20"/>
          <w:lang w:val="en-AU"/>
        </w:rPr>
        <w:t xml:space="preserve">The previous Consultation RIS proposed that products be required to comply with the relevant parts of AS/NZS 4755 </w:t>
      </w:r>
      <w:r w:rsidRPr="00A37634">
        <w:rPr>
          <w:rFonts w:ascii="Calibri" w:eastAsia="Calibri" w:hAnsi="Calibri" w:cs="Calibri"/>
          <w:i/>
          <w:iCs/>
          <w:szCs w:val="20"/>
          <w:lang w:val="en-AU" w:eastAsia="en-GB"/>
        </w:rPr>
        <w:t xml:space="preserve">Demand response capabilities and supporting technologies for electrical products </w:t>
      </w:r>
      <w:r w:rsidRPr="00A37634">
        <w:rPr>
          <w:rFonts w:ascii="Calibri" w:eastAsia="Calibri" w:hAnsi="Calibri" w:cs="Calibri"/>
          <w:szCs w:val="20"/>
          <w:lang w:val="en-AU" w:eastAsia="en-GB"/>
        </w:rPr>
        <w:t>as published (or expected to be published) at the time</w:t>
      </w:r>
      <w:r w:rsidRPr="00A37634">
        <w:rPr>
          <w:rFonts w:ascii="Calibri" w:eastAsia="Calibri" w:hAnsi="Calibri" w:cs="Calibri"/>
          <w:i/>
          <w:iCs/>
          <w:szCs w:val="20"/>
          <w:lang w:val="en-AU" w:eastAsia="en-GB"/>
        </w:rPr>
        <w:t>.</w:t>
      </w:r>
      <w:r w:rsidRPr="00A37634">
        <w:rPr>
          <w:rFonts w:ascii="Calibri" w:eastAsia="Calibri" w:hAnsi="Calibri" w:cs="Calibri"/>
          <w:szCs w:val="20"/>
          <w:lang w:val="en-AU" w:eastAsia="en-GB"/>
        </w:rPr>
        <w:t xml:space="preserve"> AS/NZS 4755 specifies </w:t>
      </w:r>
      <w:proofErr w:type="gramStart"/>
      <w:r w:rsidRPr="00A37634">
        <w:rPr>
          <w:rFonts w:ascii="Calibri" w:eastAsia="Calibri" w:hAnsi="Calibri" w:cs="Calibri"/>
          <w:szCs w:val="20"/>
          <w:lang w:val="en-AU" w:eastAsia="en-GB"/>
        </w:rPr>
        <w:t>a number of</w:t>
      </w:r>
      <w:proofErr w:type="gramEnd"/>
      <w:r w:rsidRPr="00A37634">
        <w:rPr>
          <w:rFonts w:ascii="Calibri" w:eastAsia="Calibri" w:hAnsi="Calibri" w:cs="Calibri"/>
          <w:szCs w:val="20"/>
          <w:lang w:val="en-AU" w:eastAsia="en-GB"/>
        </w:rPr>
        <w:t xml:space="preserve"> DRMs for each product type, and ways in which the DRMs can be verified through testing. </w:t>
      </w:r>
    </w:p>
    <w:p w14:paraId="790F14BF" w14:textId="7FFC36C7" w:rsidR="000E38A5" w:rsidRPr="00A37634" w:rsidRDefault="00A37634" w:rsidP="000E38A5">
      <w:pPr>
        <w:spacing w:before="120" w:after="120" w:line="276" w:lineRule="auto"/>
        <w:rPr>
          <w:rFonts w:ascii="Calibri" w:eastAsia="Calibri" w:hAnsi="Calibri" w:cs="Calibri"/>
          <w:szCs w:val="20"/>
          <w:lang w:val="en-AU" w:eastAsia="en-GB"/>
        </w:rPr>
      </w:pPr>
      <w:r w:rsidRPr="00A37634">
        <w:rPr>
          <w:rFonts w:ascii="Calibri" w:eastAsia="Calibri" w:hAnsi="Calibri" w:cs="Calibri"/>
          <w:szCs w:val="20"/>
          <w:lang w:val="en-AU" w:eastAsia="en-GB"/>
        </w:rPr>
        <w:t>At the time, there were no internationally accepted standards for appliance demand response capability, and this is still the case</w:t>
      </w:r>
      <w:r w:rsidR="000E38A5">
        <w:rPr>
          <w:rFonts w:ascii="Calibri" w:eastAsia="Calibri" w:hAnsi="Calibri" w:cs="Calibri"/>
          <w:szCs w:val="20"/>
          <w:lang w:val="en-AU" w:eastAsia="en-GB"/>
        </w:rPr>
        <w:t>.</w:t>
      </w:r>
      <w:r w:rsidRPr="00A37634">
        <w:rPr>
          <w:rFonts w:ascii="Calibri" w:eastAsia="Calibri" w:hAnsi="Calibri" w:cs="Calibri"/>
          <w:szCs w:val="20"/>
          <w:lang w:val="en-AU" w:eastAsia="en-GB"/>
        </w:rPr>
        <w:t xml:space="preserve"> </w:t>
      </w:r>
      <w:r w:rsidR="000E38A5">
        <w:rPr>
          <w:rFonts w:ascii="Calibri" w:eastAsia="Calibri" w:hAnsi="Calibri" w:cs="Calibri"/>
          <w:szCs w:val="20"/>
          <w:lang w:val="en-AU" w:eastAsia="en-GB"/>
        </w:rPr>
        <w:t>T</w:t>
      </w:r>
      <w:r w:rsidR="000E38A5" w:rsidRPr="00A37634">
        <w:rPr>
          <w:rFonts w:ascii="Calibri" w:eastAsia="Calibri" w:hAnsi="Calibri" w:cs="Calibri"/>
          <w:szCs w:val="20"/>
          <w:lang w:val="en-AU" w:eastAsia="en-GB"/>
        </w:rPr>
        <w:t xml:space="preserve">here are some open DR standards in use in Japan and the USA, but none have been adopted throughout their home countries or gained widespread international use. The nearest in scope to AS/NZS 4755 is the Japanese Echonet specification, which is supported by </w:t>
      </w:r>
      <w:proofErr w:type="gramStart"/>
      <w:r w:rsidR="000E38A5" w:rsidRPr="00A37634">
        <w:rPr>
          <w:rFonts w:ascii="Calibri" w:eastAsia="Calibri" w:hAnsi="Calibri" w:cs="Calibri"/>
          <w:szCs w:val="20"/>
          <w:lang w:val="en-AU" w:eastAsia="en-GB"/>
        </w:rPr>
        <w:t>a number of</w:t>
      </w:r>
      <w:proofErr w:type="gramEnd"/>
      <w:r w:rsidR="000E38A5" w:rsidRPr="00A37634">
        <w:rPr>
          <w:rFonts w:ascii="Calibri" w:eastAsia="Calibri" w:hAnsi="Calibri" w:cs="Calibri"/>
          <w:szCs w:val="20"/>
          <w:lang w:val="en-AU" w:eastAsia="en-GB"/>
        </w:rPr>
        <w:t xml:space="preserve"> Japanese appliance manufacturers. </w:t>
      </w:r>
      <w:r w:rsidR="000E38A5">
        <w:rPr>
          <w:rFonts w:ascii="Calibri" w:eastAsia="Calibri" w:hAnsi="Calibri" w:cs="Calibri"/>
          <w:szCs w:val="20"/>
          <w:lang w:val="en-AU" w:eastAsia="en-GB"/>
        </w:rPr>
        <w:t xml:space="preserve">These standards and protocols are further described in Appendix 3. </w:t>
      </w:r>
    </w:p>
    <w:p w14:paraId="77229C00" w14:textId="397AD203" w:rsidR="00D802F5" w:rsidRDefault="00D802F5" w:rsidP="00A37634">
      <w:pPr>
        <w:spacing w:before="120" w:after="120" w:line="276" w:lineRule="auto"/>
        <w:rPr>
          <w:rFonts w:ascii="Calibri" w:eastAsia="Calibri" w:hAnsi="Calibri" w:cs="Calibri"/>
          <w:szCs w:val="20"/>
          <w:lang w:val="en-AU" w:eastAsia="en-GB"/>
        </w:rPr>
      </w:pPr>
      <w:r>
        <w:rPr>
          <w:rFonts w:ascii="Calibri" w:eastAsia="Calibri" w:hAnsi="Calibri" w:cs="Calibri"/>
          <w:szCs w:val="20"/>
          <w:lang w:val="en-AU" w:eastAsia="en-GB"/>
        </w:rPr>
        <w:t xml:space="preserve">Some of the </w:t>
      </w:r>
      <w:r w:rsidR="000E38A5">
        <w:rPr>
          <w:rFonts w:ascii="Calibri" w:eastAsia="Calibri" w:hAnsi="Calibri" w:cs="Calibri"/>
          <w:szCs w:val="20"/>
          <w:lang w:val="en-AU" w:eastAsia="en-GB"/>
        </w:rPr>
        <w:t xml:space="preserve">DR trials funded by AREMA </w:t>
      </w:r>
      <w:r>
        <w:rPr>
          <w:rFonts w:ascii="Calibri" w:eastAsia="Calibri" w:hAnsi="Calibri" w:cs="Calibri"/>
          <w:szCs w:val="20"/>
          <w:lang w:val="en-AU" w:eastAsia="en-GB"/>
        </w:rPr>
        <w:t xml:space="preserve">involved </w:t>
      </w:r>
      <w:r w:rsidR="00A37634" w:rsidRPr="00A37634">
        <w:rPr>
          <w:rFonts w:ascii="Calibri" w:eastAsia="Calibri" w:hAnsi="Calibri" w:cs="Calibri"/>
          <w:szCs w:val="20"/>
          <w:lang w:val="en-AU" w:eastAsia="en-GB"/>
        </w:rPr>
        <w:t xml:space="preserve">AS/NZS 4755 </w:t>
      </w:r>
      <w:r w:rsidR="000E38A5">
        <w:rPr>
          <w:rFonts w:ascii="Calibri" w:eastAsia="Calibri" w:hAnsi="Calibri" w:cs="Calibri"/>
          <w:szCs w:val="20"/>
          <w:lang w:val="en-AU" w:eastAsia="en-GB"/>
        </w:rPr>
        <w:t xml:space="preserve">compliant air conditioners </w:t>
      </w:r>
      <w:r>
        <w:rPr>
          <w:rFonts w:ascii="Calibri" w:eastAsia="Calibri" w:hAnsi="Calibri" w:cs="Calibri"/>
          <w:szCs w:val="20"/>
          <w:lang w:val="en-AU" w:eastAsia="en-GB"/>
        </w:rPr>
        <w:t>and some reported difficulties related to incorrect implementation of the standard by the products claiming compliance or too low an occurrence of compliant products in the population to support a cost-effective DR program</w:t>
      </w:r>
      <w:r w:rsidR="00A37634" w:rsidRPr="00A37634">
        <w:rPr>
          <w:rFonts w:ascii="Calibri" w:eastAsia="Calibri" w:hAnsi="Calibri" w:cs="Calibri"/>
          <w:szCs w:val="20"/>
          <w:lang w:val="en-AU" w:eastAsia="en-GB"/>
        </w:rPr>
        <w:t>.</w:t>
      </w:r>
      <w:r w:rsidR="00A37634" w:rsidRPr="00A37634">
        <w:rPr>
          <w:rFonts w:ascii="Calibri" w:eastAsia="Calibri" w:hAnsi="Calibri" w:cs="Calibri"/>
          <w:szCs w:val="20"/>
          <w:vertAlign w:val="superscript"/>
          <w:lang w:val="en-AU" w:eastAsia="en-GB"/>
        </w:rPr>
        <w:footnoteReference w:id="69"/>
      </w:r>
      <w:r w:rsidR="00A37634" w:rsidRPr="00A37634">
        <w:rPr>
          <w:rFonts w:ascii="Calibri" w:eastAsia="Calibri" w:hAnsi="Calibri" w:cs="Calibri"/>
          <w:szCs w:val="20"/>
          <w:lang w:val="en-AU" w:eastAsia="en-GB"/>
        </w:rPr>
        <w:t xml:space="preserve"> </w:t>
      </w:r>
      <w:proofErr w:type="gramStart"/>
      <w:r>
        <w:rPr>
          <w:rFonts w:ascii="Calibri" w:eastAsia="Calibri" w:hAnsi="Calibri" w:cs="Calibri"/>
          <w:szCs w:val="20"/>
          <w:lang w:val="en-AU" w:eastAsia="en-GB"/>
        </w:rPr>
        <w:t>Both of these</w:t>
      </w:r>
      <w:proofErr w:type="gramEnd"/>
      <w:r>
        <w:rPr>
          <w:rFonts w:ascii="Calibri" w:eastAsia="Calibri" w:hAnsi="Calibri" w:cs="Calibri"/>
          <w:szCs w:val="20"/>
          <w:lang w:val="en-AU" w:eastAsia="en-GB"/>
        </w:rPr>
        <w:t xml:space="preserve"> issues would be resolved by making compliance mandatory and checking compliance at the time of registration. </w:t>
      </w:r>
      <w:r w:rsidR="000E38A5">
        <w:rPr>
          <w:rFonts w:ascii="Calibri" w:eastAsia="Calibri" w:hAnsi="Calibri" w:cs="Calibri"/>
          <w:szCs w:val="20"/>
          <w:lang w:val="en-AU" w:eastAsia="en-GB"/>
        </w:rPr>
        <w:t>The PeakSmart program, which manages 108,000 AS/NZS 4755-compliant air conditioners, reports no technical problems with</w:t>
      </w:r>
      <w:r>
        <w:rPr>
          <w:rFonts w:ascii="Calibri" w:eastAsia="Calibri" w:hAnsi="Calibri" w:cs="Calibri"/>
          <w:szCs w:val="20"/>
          <w:lang w:val="en-AU" w:eastAsia="en-GB"/>
        </w:rPr>
        <w:t xml:space="preserve"> properly compliant products</w:t>
      </w:r>
      <w:r w:rsidR="000E38A5">
        <w:rPr>
          <w:rFonts w:ascii="Calibri" w:eastAsia="Calibri" w:hAnsi="Calibri" w:cs="Calibri"/>
          <w:szCs w:val="20"/>
          <w:lang w:val="en-AU" w:eastAsia="en-GB"/>
        </w:rPr>
        <w:t>.</w:t>
      </w:r>
      <w:r>
        <w:rPr>
          <w:rFonts w:ascii="Calibri" w:eastAsia="Calibri" w:hAnsi="Calibri" w:cs="Calibri"/>
          <w:szCs w:val="20"/>
          <w:lang w:val="en-AU" w:eastAsia="en-GB"/>
        </w:rPr>
        <w:t xml:space="preserve">  </w:t>
      </w:r>
    </w:p>
    <w:p w14:paraId="467D2429" w14:textId="6D49897A" w:rsidR="00A37634" w:rsidRPr="00A37634" w:rsidRDefault="000E38A5" w:rsidP="00A37634">
      <w:pPr>
        <w:spacing w:before="120" w:after="120" w:line="276" w:lineRule="auto"/>
        <w:rPr>
          <w:rFonts w:ascii="Calibri" w:eastAsia="Calibri" w:hAnsi="Calibri" w:cs="Calibri"/>
          <w:szCs w:val="20"/>
          <w:lang w:val="en-AU" w:eastAsia="en-GB"/>
        </w:rPr>
      </w:pPr>
      <w:r>
        <w:rPr>
          <w:rFonts w:ascii="Calibri" w:eastAsia="Calibri" w:hAnsi="Calibri" w:cs="Calibri"/>
          <w:szCs w:val="20"/>
          <w:lang w:val="en-AU" w:eastAsia="en-GB"/>
        </w:rPr>
        <w:t>Several m</w:t>
      </w:r>
      <w:r w:rsidR="00A37634" w:rsidRPr="00A37634">
        <w:rPr>
          <w:rFonts w:ascii="Calibri" w:eastAsia="Calibri" w:hAnsi="Calibri" w:cs="Calibri"/>
          <w:szCs w:val="20"/>
          <w:lang w:val="en-AU" w:eastAsia="en-GB"/>
        </w:rPr>
        <w:t xml:space="preserve">anufacturers </w:t>
      </w:r>
      <w:r>
        <w:rPr>
          <w:rFonts w:ascii="Calibri" w:eastAsia="Calibri" w:hAnsi="Calibri" w:cs="Calibri"/>
          <w:szCs w:val="20"/>
          <w:lang w:val="en-AU" w:eastAsia="en-GB"/>
        </w:rPr>
        <w:t xml:space="preserve">now </w:t>
      </w:r>
      <w:r w:rsidR="00A37634" w:rsidRPr="00A37634">
        <w:rPr>
          <w:rFonts w:ascii="Calibri" w:eastAsia="Calibri" w:hAnsi="Calibri" w:cs="Calibri"/>
          <w:szCs w:val="20"/>
          <w:lang w:val="en-AU" w:eastAsia="en-GB"/>
        </w:rPr>
        <w:t>offer consumers remote control and monitoring of their appliances through proprietary apps, some using voice-activated platforms such as Google Assistant or Amazon Alexa</w:t>
      </w:r>
      <w:r>
        <w:rPr>
          <w:rFonts w:ascii="Calibri" w:eastAsia="Calibri" w:hAnsi="Calibri" w:cs="Calibri"/>
          <w:szCs w:val="20"/>
          <w:lang w:val="en-AU" w:eastAsia="en-GB"/>
        </w:rPr>
        <w:t xml:space="preserve"> (see </w:t>
      </w:r>
      <w:r>
        <w:rPr>
          <w:rFonts w:ascii="Calibri" w:eastAsia="Calibri" w:hAnsi="Calibri" w:cs="Calibri"/>
          <w:szCs w:val="20"/>
          <w:lang w:val="en-AU" w:eastAsia="en-GB"/>
        </w:rPr>
        <w:fldChar w:fldCharType="begin"/>
      </w:r>
      <w:r>
        <w:rPr>
          <w:rFonts w:ascii="Calibri" w:eastAsia="Calibri" w:hAnsi="Calibri" w:cs="Calibri"/>
          <w:szCs w:val="20"/>
          <w:lang w:val="en-AU" w:eastAsia="en-GB"/>
        </w:rPr>
        <w:instrText xml:space="preserve"> REF _Ref21959518 \h </w:instrText>
      </w:r>
      <w:r>
        <w:rPr>
          <w:rFonts w:ascii="Calibri" w:eastAsia="Calibri" w:hAnsi="Calibri" w:cs="Calibri"/>
          <w:szCs w:val="20"/>
          <w:lang w:val="en-AU" w:eastAsia="en-GB"/>
        </w:rPr>
      </w:r>
      <w:r>
        <w:rPr>
          <w:rFonts w:ascii="Calibri" w:eastAsia="Calibri" w:hAnsi="Calibri" w:cs="Calibri"/>
          <w:szCs w:val="20"/>
          <w:lang w:val="en-AU" w:eastAsia="en-GB"/>
        </w:rPr>
        <w:fldChar w:fldCharType="separate"/>
      </w:r>
      <w:r w:rsidR="006B22A7" w:rsidRPr="00647084">
        <w:rPr>
          <w:rFonts w:ascii="Calibri" w:eastAsia="Cambria" w:hAnsi="Calibri" w:cs="Calibri"/>
          <w:b/>
          <w:bCs/>
          <w:sz w:val="20"/>
          <w:szCs w:val="16"/>
          <w:lang w:val="en-AU"/>
        </w:rPr>
        <w:t xml:space="preserve">Figure </w:t>
      </w:r>
      <w:r w:rsidR="006B22A7">
        <w:rPr>
          <w:rFonts w:ascii="Calibri" w:eastAsia="Cambria" w:hAnsi="Calibri" w:cs="Calibri"/>
          <w:b/>
          <w:bCs/>
          <w:noProof/>
          <w:sz w:val="20"/>
          <w:szCs w:val="16"/>
          <w:lang w:val="en-AU"/>
        </w:rPr>
        <w:t>5</w:t>
      </w:r>
      <w:r>
        <w:rPr>
          <w:rFonts w:ascii="Calibri" w:eastAsia="Calibri" w:hAnsi="Calibri" w:cs="Calibri"/>
          <w:szCs w:val="20"/>
          <w:lang w:val="en-AU" w:eastAsia="en-GB"/>
        </w:rPr>
        <w:fldChar w:fldCharType="end"/>
      </w:r>
      <w:r>
        <w:rPr>
          <w:rFonts w:ascii="Calibri" w:eastAsia="Calibri" w:hAnsi="Calibri" w:cs="Calibri"/>
          <w:szCs w:val="20"/>
          <w:lang w:val="en-AU" w:eastAsia="en-GB"/>
        </w:rPr>
        <w:t>)</w:t>
      </w:r>
      <w:r w:rsidR="00A37634" w:rsidRPr="00A37634">
        <w:rPr>
          <w:rFonts w:ascii="Calibri" w:eastAsia="Calibri" w:hAnsi="Calibri" w:cs="Calibri"/>
          <w:szCs w:val="20"/>
          <w:lang w:val="en-AU" w:eastAsia="en-GB"/>
        </w:rPr>
        <w:t xml:space="preserve">. However, achieving DR through these channels generally relies on consumers responding personally rather than appliances responding automatically, and so are not alternatives </w:t>
      </w:r>
      <w:r w:rsidR="0020100B">
        <w:rPr>
          <w:rFonts w:ascii="Calibri" w:eastAsia="Calibri" w:hAnsi="Calibri" w:cs="Calibri"/>
          <w:szCs w:val="20"/>
          <w:lang w:val="en-AU" w:eastAsia="en-GB"/>
        </w:rPr>
        <w:t xml:space="preserve">to </w:t>
      </w:r>
      <w:r w:rsidR="00A37634" w:rsidRPr="00A37634">
        <w:rPr>
          <w:rFonts w:ascii="Calibri" w:eastAsia="Calibri" w:hAnsi="Calibri" w:cs="Calibri"/>
          <w:szCs w:val="20"/>
          <w:lang w:val="en-AU" w:eastAsia="en-GB"/>
        </w:rPr>
        <w:t xml:space="preserve">an automated load control platform such as AS/NZS 4755. The most common example of </w:t>
      </w:r>
      <w:r w:rsidR="00A37634" w:rsidRPr="00A37634">
        <w:rPr>
          <w:rFonts w:ascii="Calibri" w:eastAsia="Calibri" w:hAnsi="Calibri" w:cs="Calibri"/>
          <w:i/>
          <w:iCs/>
          <w:szCs w:val="20"/>
          <w:lang w:val="en-AU" w:eastAsia="en-GB"/>
        </w:rPr>
        <w:t xml:space="preserve">automated </w:t>
      </w:r>
      <w:r w:rsidR="00A37634" w:rsidRPr="00A37634">
        <w:rPr>
          <w:rFonts w:ascii="Calibri" w:eastAsia="Calibri" w:hAnsi="Calibri" w:cs="Calibri"/>
          <w:szCs w:val="20"/>
          <w:lang w:val="en-AU" w:eastAsia="en-GB"/>
        </w:rPr>
        <w:t xml:space="preserve">response in the USA, the Programmable Communicating Thermostat (PCT), was developed for ducted ACs and is unsuitable for the split units prevalent in Australia and New Zealand. </w:t>
      </w:r>
    </w:p>
    <w:p w14:paraId="49E1210B" w14:textId="3FB8400D" w:rsidR="00A37634" w:rsidRPr="00A37634" w:rsidRDefault="00A37634" w:rsidP="00A37634">
      <w:pPr>
        <w:spacing w:before="120" w:after="120" w:line="276" w:lineRule="auto"/>
        <w:rPr>
          <w:rFonts w:ascii="Calibri" w:eastAsia="Calibri" w:hAnsi="Calibri" w:cs="Calibri"/>
          <w:szCs w:val="20"/>
          <w:lang w:val="en-AU" w:eastAsia="en-GB"/>
        </w:rPr>
      </w:pPr>
      <w:r w:rsidRPr="00A37634">
        <w:rPr>
          <w:rFonts w:ascii="Calibri" w:eastAsia="Calibri" w:hAnsi="Calibri" w:cs="Calibri"/>
          <w:szCs w:val="20"/>
          <w:lang w:val="en-AU" w:eastAsia="en-GB"/>
        </w:rPr>
        <w:t xml:space="preserve">AS/NZS 4755 remains the most suitable </w:t>
      </w:r>
      <w:r w:rsidR="008A0096">
        <w:rPr>
          <w:rFonts w:ascii="Calibri" w:eastAsia="Calibri" w:hAnsi="Calibri" w:cs="Calibri"/>
          <w:szCs w:val="20"/>
          <w:lang w:val="en-AU" w:eastAsia="en-GB"/>
        </w:rPr>
        <w:t xml:space="preserve">automated </w:t>
      </w:r>
      <w:r w:rsidRPr="00A37634">
        <w:rPr>
          <w:rFonts w:ascii="Calibri" w:eastAsia="Calibri" w:hAnsi="Calibri" w:cs="Calibri"/>
          <w:szCs w:val="20"/>
          <w:lang w:val="en-AU" w:eastAsia="en-GB"/>
        </w:rPr>
        <w:t xml:space="preserve">DR standard for Australia and New Zealand. </w:t>
      </w:r>
      <w:r w:rsidR="008A0096">
        <w:rPr>
          <w:rFonts w:ascii="Calibri" w:eastAsia="Calibri" w:hAnsi="Calibri" w:cs="Calibri"/>
          <w:szCs w:val="20"/>
          <w:lang w:val="en-AU" w:eastAsia="en-GB"/>
        </w:rPr>
        <w:t xml:space="preserve">Most of the </w:t>
      </w:r>
      <w:r w:rsidRPr="00A37634">
        <w:rPr>
          <w:rFonts w:ascii="Calibri" w:eastAsia="Calibri" w:hAnsi="Calibri" w:cs="Calibri"/>
          <w:szCs w:val="20"/>
          <w:lang w:val="en-AU" w:eastAsia="en-GB"/>
        </w:rPr>
        <w:t xml:space="preserve">global AC manufacturers </w:t>
      </w:r>
      <w:r w:rsidR="008A0096">
        <w:rPr>
          <w:rFonts w:ascii="Calibri" w:eastAsia="Calibri" w:hAnsi="Calibri" w:cs="Calibri"/>
          <w:szCs w:val="20"/>
          <w:lang w:val="en-AU" w:eastAsia="en-GB"/>
        </w:rPr>
        <w:t xml:space="preserve">serving the Australian market </w:t>
      </w:r>
      <w:r w:rsidR="0020100B">
        <w:rPr>
          <w:rFonts w:ascii="Calibri" w:eastAsia="Calibri" w:hAnsi="Calibri" w:cs="Calibri"/>
          <w:szCs w:val="20"/>
          <w:lang w:val="en-AU" w:eastAsia="en-GB"/>
        </w:rPr>
        <w:t xml:space="preserve">offer </w:t>
      </w:r>
      <w:r w:rsidRPr="00A37634">
        <w:rPr>
          <w:rFonts w:ascii="Calibri" w:eastAsia="Calibri" w:hAnsi="Calibri" w:cs="Calibri"/>
          <w:szCs w:val="20"/>
          <w:lang w:val="en-AU" w:eastAsia="en-GB"/>
        </w:rPr>
        <w:t xml:space="preserve">AS/NZS 4755 </w:t>
      </w:r>
      <w:r w:rsidR="008A0096">
        <w:rPr>
          <w:rFonts w:ascii="Calibri" w:eastAsia="Calibri" w:hAnsi="Calibri" w:cs="Calibri"/>
          <w:szCs w:val="20"/>
          <w:lang w:val="en-AU" w:eastAsia="en-GB"/>
        </w:rPr>
        <w:t xml:space="preserve">compliant </w:t>
      </w:r>
      <w:r w:rsidRPr="00A37634">
        <w:rPr>
          <w:rFonts w:ascii="Calibri" w:eastAsia="Calibri" w:hAnsi="Calibri" w:cs="Calibri"/>
          <w:szCs w:val="20"/>
          <w:lang w:val="en-AU" w:eastAsia="en-GB"/>
        </w:rPr>
        <w:t>products</w:t>
      </w:r>
      <w:r w:rsidR="0020100B">
        <w:rPr>
          <w:rFonts w:ascii="Calibri" w:eastAsia="Calibri" w:hAnsi="Calibri" w:cs="Calibri"/>
          <w:szCs w:val="20"/>
          <w:lang w:val="en-AU" w:eastAsia="en-GB"/>
        </w:rPr>
        <w:t>;</w:t>
      </w:r>
      <w:r w:rsidRPr="00A37634">
        <w:rPr>
          <w:rFonts w:ascii="Calibri" w:eastAsia="Calibri" w:hAnsi="Calibri" w:cs="Calibri"/>
          <w:szCs w:val="20"/>
          <w:lang w:val="en-AU" w:eastAsia="en-GB"/>
        </w:rPr>
        <w:t xml:space="preserve"> this was made easier by the fact that the capabilities (DRM 1, 2, 3 etc) are consistent with Echonet. A key advantage of AS/NZS 4755 is that compliance can be verified through testing products: an essential requirement for standards that are called up in legislation.</w:t>
      </w:r>
    </w:p>
    <w:p w14:paraId="516A7FFD" w14:textId="683C2225" w:rsidR="00541269" w:rsidRPr="00A37634" w:rsidRDefault="00A37634" w:rsidP="00A37634">
      <w:pPr>
        <w:spacing w:before="120" w:after="120" w:line="276" w:lineRule="auto"/>
        <w:rPr>
          <w:rFonts w:ascii="Calibri" w:eastAsia="Calibri" w:hAnsi="Calibri" w:cs="Calibri"/>
          <w:szCs w:val="20"/>
          <w:lang w:val="en-AU" w:eastAsia="en-GB"/>
        </w:rPr>
      </w:pPr>
      <w:r w:rsidRPr="00A37634">
        <w:rPr>
          <w:rFonts w:ascii="Calibri" w:eastAsia="Calibri" w:hAnsi="Calibri" w:cs="Calibri"/>
          <w:szCs w:val="20"/>
          <w:lang w:val="en-AU" w:eastAsia="en-GB"/>
        </w:rPr>
        <w:t xml:space="preserve">Products complying with AS/NZS 4755.3.1, 3.2 and 3.3 (collectively called ‘Part 3’) must have a physical interface designed to connect to an external Demand Response Enabling Device (DRED) </w:t>
      </w:r>
      <w:r w:rsidRPr="00F32140">
        <w:rPr>
          <w:rStyle w:val="FigreferenceChar"/>
        </w:rPr>
        <w:t>(</w:t>
      </w:r>
      <w:r w:rsidRPr="00F32140">
        <w:rPr>
          <w:rStyle w:val="FigreferenceChar"/>
        </w:rPr>
        <w:fldChar w:fldCharType="begin"/>
      </w:r>
      <w:r w:rsidRPr="00F32140">
        <w:rPr>
          <w:rStyle w:val="FigreferenceChar"/>
        </w:rPr>
        <w:instrText xml:space="preserve"> REF _Ref11680106 \h  \* MERGEFORMAT </w:instrText>
      </w:r>
      <w:r w:rsidRPr="00F32140">
        <w:rPr>
          <w:rStyle w:val="FigreferenceChar"/>
        </w:rPr>
      </w:r>
      <w:r w:rsidRPr="00F32140">
        <w:rPr>
          <w:rStyle w:val="FigreferenceChar"/>
        </w:rPr>
        <w:fldChar w:fldCharType="separate"/>
      </w:r>
      <w:r w:rsidR="006B22A7" w:rsidRPr="006B22A7">
        <w:rPr>
          <w:rStyle w:val="FigreferenceChar"/>
        </w:rPr>
        <w:t>Figure 6</w:t>
      </w:r>
      <w:r w:rsidRPr="00F32140">
        <w:rPr>
          <w:rStyle w:val="FigreferenceChar"/>
        </w:rPr>
        <w:fldChar w:fldCharType="end"/>
      </w:r>
      <w:r w:rsidRPr="00A37634">
        <w:rPr>
          <w:rFonts w:ascii="Calibri" w:eastAsia="Calibri" w:hAnsi="Calibri" w:cs="Calibri"/>
          <w:szCs w:val="20"/>
          <w:lang w:val="en-AU" w:eastAsia="en-GB"/>
        </w:rPr>
        <w:t xml:space="preserve">). The DRED communicates with a “remote agent,” defined in the standard as a “person, organization or entity, </w:t>
      </w:r>
      <w:r w:rsidRPr="00A37634">
        <w:rPr>
          <w:rFonts w:ascii="Calibri" w:eastAsia="Calibri" w:hAnsi="Calibri" w:cs="Calibri"/>
          <w:szCs w:val="20"/>
          <w:lang w:val="en-AU" w:eastAsia="en-GB"/>
        </w:rPr>
        <w:lastRenderedPageBreak/>
        <w:t>other than the user, who is authorised to initiate demand response by transmitting operational instructions in accordance with this Standard.”</w:t>
      </w:r>
      <w:r w:rsidRPr="00A37634">
        <w:rPr>
          <w:rFonts w:ascii="Calibri" w:eastAsia="Calibri" w:hAnsi="Calibri" w:cs="Calibri"/>
          <w:szCs w:val="20"/>
          <w:vertAlign w:val="superscript"/>
          <w:lang w:val="en-AU" w:eastAsia="en-GB"/>
        </w:rPr>
        <w:footnoteReference w:id="70"/>
      </w:r>
      <w:r w:rsidR="0020100B">
        <w:rPr>
          <w:rFonts w:ascii="Calibri" w:eastAsia="Calibri" w:hAnsi="Calibri" w:cs="Calibri"/>
          <w:szCs w:val="20"/>
          <w:lang w:val="en-AU" w:eastAsia="en-GB"/>
        </w:rPr>
        <w:t xml:space="preserve"> </w:t>
      </w:r>
    </w:p>
    <w:p w14:paraId="55195000" w14:textId="00C38848" w:rsidR="00A37634" w:rsidRPr="00A37634" w:rsidRDefault="00A37634" w:rsidP="00A37634">
      <w:pPr>
        <w:spacing w:before="20" w:after="40" w:line="240" w:lineRule="auto"/>
        <w:jc w:val="center"/>
        <w:rPr>
          <w:rFonts w:ascii="Calibri" w:eastAsia="Cambria" w:hAnsi="Calibri" w:cs="Calibri"/>
          <w:b/>
          <w:bCs/>
          <w:sz w:val="20"/>
          <w:szCs w:val="16"/>
          <w:lang w:val="en-AU"/>
        </w:rPr>
      </w:pPr>
      <w:bookmarkStart w:id="46" w:name="_Ref11680106"/>
      <w:bookmarkStart w:id="47" w:name="_Toc22488519"/>
      <w:r w:rsidRPr="00A37634">
        <w:rPr>
          <w:rFonts w:ascii="Calibri" w:eastAsia="Cambria" w:hAnsi="Calibri" w:cs="Calibri"/>
          <w:b/>
          <w:bCs/>
          <w:sz w:val="20"/>
          <w:szCs w:val="16"/>
          <w:lang w:val="en-AU"/>
        </w:rPr>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6</w:t>
      </w:r>
      <w:r w:rsidRPr="00A37634">
        <w:rPr>
          <w:rFonts w:ascii="Calibri" w:eastAsia="Cambria" w:hAnsi="Calibri" w:cs="Calibri"/>
          <w:b/>
          <w:bCs/>
          <w:noProof/>
          <w:sz w:val="20"/>
          <w:szCs w:val="16"/>
          <w:lang w:val="en-AU"/>
        </w:rPr>
        <w:fldChar w:fldCharType="end"/>
      </w:r>
      <w:bookmarkEnd w:id="46"/>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Relationship of Remote Agent and DRED to Air Conditioner</w:t>
      </w:r>
      <w:bookmarkEnd w:id="47"/>
    </w:p>
    <w:p w14:paraId="471EEDBC" w14:textId="77777777" w:rsidR="00A37634" w:rsidRPr="00A37634" w:rsidRDefault="00A37634" w:rsidP="00A37634">
      <w:pPr>
        <w:spacing w:after="120" w:line="276" w:lineRule="auto"/>
        <w:jc w:val="center"/>
        <w:rPr>
          <w:rFonts w:ascii="Calibri" w:eastAsia="Calibri" w:hAnsi="Calibri" w:cs="Calibri"/>
          <w:szCs w:val="20"/>
          <w:lang w:val="en-AU"/>
        </w:rPr>
      </w:pPr>
      <w:r w:rsidRPr="00A37634">
        <w:rPr>
          <w:rFonts w:ascii="Calibri" w:eastAsia="Calibri" w:hAnsi="Calibri" w:cs="Calibri"/>
          <w:noProof/>
          <w:szCs w:val="20"/>
          <w:lang w:val="en-AU" w:eastAsia="en-AU"/>
        </w:rPr>
        <w:drawing>
          <wp:inline distT="0" distB="0" distL="0" distR="0" wp14:anchorId="7927C1C0" wp14:editId="0DE5F10F">
            <wp:extent cx="3724275" cy="1748266"/>
            <wp:effectExtent l="19050" t="19050" r="9525" b="23495"/>
            <wp:docPr id="1" name="Picture 1"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5281" cy="1762821"/>
                    </a:xfrm>
                    <a:prstGeom prst="rect">
                      <a:avLst/>
                    </a:prstGeom>
                    <a:noFill/>
                    <a:ln>
                      <a:solidFill>
                        <a:sysClr val="windowText" lastClr="000000"/>
                      </a:solidFill>
                    </a:ln>
                  </pic:spPr>
                </pic:pic>
              </a:graphicData>
            </a:graphic>
          </wp:inline>
        </w:drawing>
      </w:r>
    </w:p>
    <w:p w14:paraId="0893280E" w14:textId="77777777" w:rsidR="00A37634" w:rsidRPr="00A37634" w:rsidRDefault="00A37634" w:rsidP="00A37634">
      <w:pPr>
        <w:spacing w:after="120" w:line="276" w:lineRule="auto"/>
        <w:jc w:val="center"/>
        <w:rPr>
          <w:rFonts w:ascii="Calibri" w:eastAsia="Calibri" w:hAnsi="Calibri" w:cs="Calibri"/>
          <w:sz w:val="16"/>
          <w:szCs w:val="16"/>
          <w:lang w:val="en-AU"/>
        </w:rPr>
      </w:pPr>
      <w:r w:rsidRPr="00A37634">
        <w:rPr>
          <w:rFonts w:ascii="Calibri" w:eastAsia="Calibri" w:hAnsi="Calibri" w:cs="Calibri"/>
          <w:sz w:val="16"/>
          <w:szCs w:val="16"/>
          <w:lang w:val="en-AU"/>
        </w:rPr>
        <w:t>Source: AS/NZS 4755.3.1</w:t>
      </w:r>
    </w:p>
    <w:p w14:paraId="10746400" w14:textId="36BD8D74" w:rsidR="00A37634" w:rsidRPr="00A37634" w:rsidRDefault="00A37634" w:rsidP="00A37634">
      <w:pPr>
        <w:spacing w:before="120" w:after="40" w:line="240" w:lineRule="auto"/>
        <w:jc w:val="center"/>
        <w:rPr>
          <w:rFonts w:ascii="Calibri" w:eastAsia="Cambria" w:hAnsi="Calibri" w:cs="Calibri"/>
          <w:b/>
          <w:bCs/>
          <w:sz w:val="20"/>
          <w:szCs w:val="16"/>
          <w:lang w:val="en-AU"/>
        </w:rPr>
      </w:pPr>
      <w:bookmarkStart w:id="48" w:name="_Ref11680598"/>
      <w:bookmarkStart w:id="49" w:name="_Toc22488520"/>
      <w:r w:rsidRPr="00A37634">
        <w:rPr>
          <w:rFonts w:ascii="Calibri" w:eastAsia="Cambria" w:hAnsi="Calibri" w:cs="Calibri"/>
          <w:b/>
          <w:bCs/>
          <w:sz w:val="20"/>
          <w:szCs w:val="16"/>
          <w:lang w:val="en-AU"/>
        </w:rPr>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7</w:t>
      </w:r>
      <w:r w:rsidRPr="00A37634">
        <w:rPr>
          <w:rFonts w:ascii="Calibri" w:eastAsia="Cambria" w:hAnsi="Calibri" w:cs="Calibri"/>
          <w:b/>
          <w:bCs/>
          <w:noProof/>
          <w:sz w:val="20"/>
          <w:szCs w:val="16"/>
          <w:lang w:val="en-AU"/>
        </w:rPr>
        <w:fldChar w:fldCharType="end"/>
      </w:r>
      <w:bookmarkEnd w:id="48"/>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New AS/NZS 4755 Framework</w:t>
      </w:r>
      <w:bookmarkEnd w:id="49"/>
    </w:p>
    <w:p w14:paraId="5C2D0F58" w14:textId="77777777" w:rsidR="00A37634" w:rsidRPr="00A37634" w:rsidRDefault="00A37634" w:rsidP="00A37634">
      <w:pPr>
        <w:spacing w:after="120" w:line="276" w:lineRule="auto"/>
        <w:rPr>
          <w:rFonts w:ascii="Calibri" w:eastAsia="Calibri" w:hAnsi="Calibri" w:cs="Calibri"/>
          <w:szCs w:val="20"/>
          <w:lang w:val="en-AU"/>
        </w:rPr>
      </w:pPr>
      <w:r w:rsidRPr="00A37634">
        <w:rPr>
          <w:rFonts w:ascii="Calibri" w:eastAsia="Calibri" w:hAnsi="Calibri" w:cs="Calibri"/>
          <w:noProof/>
          <w:szCs w:val="20"/>
          <w:lang w:val="en-AU" w:eastAsia="en-AU"/>
        </w:rPr>
        <mc:AlternateContent>
          <mc:Choice Requires="wps">
            <w:drawing>
              <wp:anchor distT="0" distB="0" distL="114300" distR="114300" simplePos="0" relativeHeight="251662336" behindDoc="0" locked="0" layoutInCell="1" allowOverlap="1" wp14:anchorId="220DE1E5" wp14:editId="028A0F62">
                <wp:simplePos x="0" y="0"/>
                <wp:positionH relativeFrom="column">
                  <wp:posOffset>3706494</wp:posOffset>
                </wp:positionH>
                <wp:positionV relativeFrom="paragraph">
                  <wp:posOffset>387350</wp:posOffset>
                </wp:positionV>
                <wp:extent cx="1438275" cy="514350"/>
                <wp:effectExtent l="38100" t="38100" r="28575" b="19050"/>
                <wp:wrapNone/>
                <wp:docPr id="15" name="Straight Arrow Connector 15" title="&quot;0&quot;"/>
                <wp:cNvGraphicFramePr/>
                <a:graphic xmlns:a="http://schemas.openxmlformats.org/drawingml/2006/main">
                  <a:graphicData uri="http://schemas.microsoft.com/office/word/2010/wordprocessingShape">
                    <wps:wsp>
                      <wps:cNvCnPr/>
                      <wps:spPr>
                        <a:xfrm flipH="1" flipV="1">
                          <a:off x="0" y="0"/>
                          <a:ext cx="1438275" cy="51435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31760B" id="_x0000_t32" coordsize="21600,21600" o:spt="32" o:oned="t" path="m,l21600,21600e" filled="f">
                <v:path arrowok="t" fillok="f" o:connecttype="none"/>
                <o:lock v:ext="edit" shapetype="t"/>
              </v:shapetype>
              <v:shape id="Straight Arrow Connector 15" o:spid="_x0000_s1026" type="#_x0000_t32" alt="Title: &quot;0&quot;" style="position:absolute;margin-left:291.85pt;margin-top:30.5pt;width:113.25pt;height:4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" strokecolor="red" strokeweight="1.5pt">
                <v:stroke endarrow="block"/>
              </v:shape>
            </w:pict>
          </mc:Fallback>
        </mc:AlternateContent>
      </w:r>
      <w:r w:rsidRPr="00A37634">
        <w:rPr>
          <w:rFonts w:ascii="Calibri" w:eastAsia="Calibri" w:hAnsi="Calibri" w:cs="Calibri"/>
          <w:noProof/>
          <w:szCs w:val="20"/>
          <w:lang w:val="en-AU" w:eastAsia="en-AU"/>
        </w:rPr>
        <mc:AlternateContent>
          <mc:Choice Requires="wps">
            <w:drawing>
              <wp:anchor distT="0" distB="0" distL="114300" distR="114300" simplePos="0" relativeHeight="251663360" behindDoc="0" locked="0" layoutInCell="1" allowOverlap="1" wp14:anchorId="52AFD974" wp14:editId="7F52DAA2">
                <wp:simplePos x="0" y="0"/>
                <wp:positionH relativeFrom="column">
                  <wp:posOffset>3801745</wp:posOffset>
                </wp:positionH>
                <wp:positionV relativeFrom="paragraph">
                  <wp:posOffset>1406525</wp:posOffset>
                </wp:positionV>
                <wp:extent cx="1314450" cy="581025"/>
                <wp:effectExtent l="38100" t="0" r="19050" b="66675"/>
                <wp:wrapNone/>
                <wp:docPr id="16" name="Straight Arrow Connector 16" title="&quot;0&quot;"/>
                <wp:cNvGraphicFramePr/>
                <a:graphic xmlns:a="http://schemas.openxmlformats.org/drawingml/2006/main">
                  <a:graphicData uri="http://schemas.microsoft.com/office/word/2010/wordprocessingShape">
                    <wps:wsp>
                      <wps:cNvCnPr/>
                      <wps:spPr>
                        <a:xfrm flipH="1">
                          <a:off x="0" y="0"/>
                          <a:ext cx="1314450" cy="5810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CF987A" id="Straight Arrow Connector 16" o:spid="_x0000_s1026" type="#_x0000_t32" alt="Title: &quot;0&quot;" style="position:absolute;margin-left:299.35pt;margin-top:110.75pt;width:103.5pt;height:45.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" strokecolor="red" strokeweight="1.5pt">
                <v:stroke endarrow="block"/>
              </v:shape>
            </w:pict>
          </mc:Fallback>
        </mc:AlternateContent>
      </w:r>
      <w:r w:rsidRPr="00A37634">
        <w:rPr>
          <w:rFonts w:ascii="Calibri" w:eastAsia="Calibri" w:hAnsi="Calibri" w:cs="Calibri"/>
          <w:noProof/>
          <w:szCs w:val="20"/>
          <w:lang w:val="en-AU" w:eastAsia="en-AU"/>
        </w:rPr>
        <mc:AlternateContent>
          <mc:Choice Requires="wps">
            <w:drawing>
              <wp:anchor distT="0" distB="0" distL="114300" distR="114300" simplePos="0" relativeHeight="251661312" behindDoc="0" locked="0" layoutInCell="1" allowOverlap="1" wp14:anchorId="19BA4D66" wp14:editId="1B380831">
                <wp:simplePos x="0" y="0"/>
                <wp:positionH relativeFrom="margin">
                  <wp:posOffset>4667250</wp:posOffset>
                </wp:positionH>
                <wp:positionV relativeFrom="paragraph">
                  <wp:posOffset>897890</wp:posOffset>
                </wp:positionV>
                <wp:extent cx="871268" cy="491705"/>
                <wp:effectExtent l="0" t="0" r="24130" b="22860"/>
                <wp:wrapNone/>
                <wp:docPr id="14" name="Text Box 14"/>
                <wp:cNvGraphicFramePr/>
                <a:graphic xmlns:a="http://schemas.openxmlformats.org/drawingml/2006/main">
                  <a:graphicData uri="http://schemas.microsoft.com/office/word/2010/wordprocessingShape">
                    <wps:wsp>
                      <wps:cNvSpPr txBox="1"/>
                      <wps:spPr>
                        <a:xfrm>
                          <a:off x="0" y="0"/>
                          <a:ext cx="871268" cy="491705"/>
                        </a:xfrm>
                        <a:prstGeom prst="rect">
                          <a:avLst/>
                        </a:prstGeom>
                        <a:solidFill>
                          <a:sysClr val="window" lastClr="FFFFFF"/>
                        </a:solidFill>
                        <a:ln w="6350">
                          <a:solidFill>
                            <a:prstClr val="black"/>
                          </a:solidFill>
                        </a:ln>
                      </wps:spPr>
                      <wps:txbx>
                        <w:txbxContent>
                          <w:p w14:paraId="264C0D93" w14:textId="77777777" w:rsidR="00765E31" w:rsidRPr="00E21942" w:rsidRDefault="00765E31" w:rsidP="00A37634">
                            <w:pPr>
                              <w:jc w:val="center"/>
                              <w:rPr>
                                <w:b/>
                                <w:bCs/>
                                <w:color w:val="FF0000"/>
                              </w:rPr>
                            </w:pPr>
                            <w:r w:rsidRPr="00E21942">
                              <w:rPr>
                                <w:b/>
                                <w:bCs/>
                                <w:color w:val="FF0000"/>
                              </w:rPr>
                              <w:t xml:space="preserve">Compliance </w:t>
                            </w:r>
                            <w:r w:rsidRPr="00E21942">
                              <w:rPr>
                                <w:b/>
                                <w:bCs/>
                                <w:color w:val="FF0000"/>
                              </w:rPr>
                              <w:br/>
                              <w:t>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A4D66" id="_x0000_t202" coordsize="21600,21600" o:spt="202" path="m,l,21600r21600,l21600,xe">
                <v:stroke joinstyle="miter"/>
                <v:path gradientshapeok="t" o:connecttype="rect"/>
              </v:shapetype>
              <v:shape id="Text Box 14" o:spid="_x0000_s1026" type="#_x0000_t202" style="position:absolute;margin-left:367.5pt;margin-top:70.7pt;width:68.6pt;height:38.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" fillcolor="window" strokeweight=".5pt">
                <v:textbox>
                  <w:txbxContent>
                    <w:p w14:paraId="264C0D93" w14:textId="77777777" w:rsidR="00765E31" w:rsidRPr="00E21942" w:rsidRDefault="00765E31" w:rsidP="00A37634">
                      <w:pPr>
                        <w:jc w:val="center"/>
                        <w:rPr>
                          <w:b/>
                          <w:bCs/>
                          <w:color w:val="FF0000"/>
                        </w:rPr>
                      </w:pPr>
                      <w:r w:rsidRPr="00E21942">
                        <w:rPr>
                          <w:b/>
                          <w:bCs/>
                          <w:color w:val="FF0000"/>
                        </w:rPr>
                        <w:t xml:space="preserve">Compliance </w:t>
                      </w:r>
                      <w:r w:rsidRPr="00E21942">
                        <w:rPr>
                          <w:b/>
                          <w:bCs/>
                          <w:color w:val="FF0000"/>
                        </w:rPr>
                        <w:br/>
                        <w:t>options</w:t>
                      </w:r>
                    </w:p>
                  </w:txbxContent>
                </v:textbox>
                <w10:wrap anchorx="margin"/>
              </v:shape>
            </w:pict>
          </mc:Fallback>
        </mc:AlternateContent>
      </w:r>
      <w:r w:rsidRPr="00A37634">
        <w:rPr>
          <w:rFonts w:ascii="Calibri" w:eastAsia="Calibri" w:hAnsi="Calibri" w:cs="Calibri"/>
          <w:noProof/>
          <w:szCs w:val="20"/>
          <w:lang w:val="en-AU" w:eastAsia="en-AU"/>
        </w:rPr>
        <mc:AlternateContent>
          <mc:Choice Requires="wps">
            <w:drawing>
              <wp:anchor distT="0" distB="0" distL="114300" distR="114300" simplePos="0" relativeHeight="251659264" behindDoc="0" locked="0" layoutInCell="1" allowOverlap="1" wp14:anchorId="4F9EF3E0" wp14:editId="289A7A97">
                <wp:simplePos x="0" y="0"/>
                <wp:positionH relativeFrom="column">
                  <wp:posOffset>1896745</wp:posOffset>
                </wp:positionH>
                <wp:positionV relativeFrom="paragraph">
                  <wp:posOffset>92076</wp:posOffset>
                </wp:positionV>
                <wp:extent cx="1790700" cy="628650"/>
                <wp:effectExtent l="19050" t="19050" r="19050" b="19050"/>
                <wp:wrapNone/>
                <wp:docPr id="2" name="Rectangle: Rounded Corners 2" title="&quot;0&quot;"/>
                <wp:cNvGraphicFramePr/>
                <a:graphic xmlns:a="http://schemas.openxmlformats.org/drawingml/2006/main">
                  <a:graphicData uri="http://schemas.microsoft.com/office/word/2010/wordprocessingShape">
                    <wps:wsp>
                      <wps:cNvSpPr/>
                      <wps:spPr>
                        <a:xfrm>
                          <a:off x="0" y="0"/>
                          <a:ext cx="1790700" cy="628650"/>
                        </a:xfrm>
                        <a:prstGeom prst="roundRect">
                          <a:avLst/>
                        </a:prstGeom>
                        <a:noFill/>
                        <a:ln w="381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FE4310" id="Rectangle: Rounded Corners 2" o:spid="_x0000_s1026" alt="Title: &quot;0&quot;" style="position:absolute;margin-left:149.35pt;margin-top:7.25pt;width:141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" filled="f" strokecolor="red" strokeweight="3pt">
                <v:stroke dashstyle="dash"/>
              </v:roundrect>
            </w:pict>
          </mc:Fallback>
        </mc:AlternateContent>
      </w:r>
      <w:r w:rsidRPr="00A37634">
        <w:rPr>
          <w:rFonts w:ascii="Calibri" w:eastAsia="Calibri" w:hAnsi="Calibri" w:cs="Calibri"/>
          <w:noProof/>
          <w:szCs w:val="20"/>
          <w:lang w:val="en-AU" w:eastAsia="en-AU"/>
        </w:rPr>
        <mc:AlternateContent>
          <mc:Choice Requires="wps">
            <w:drawing>
              <wp:anchor distT="0" distB="0" distL="114300" distR="114300" simplePos="0" relativeHeight="251660288" behindDoc="0" locked="0" layoutInCell="1" allowOverlap="1" wp14:anchorId="0A6949C0" wp14:editId="495DCD25">
                <wp:simplePos x="0" y="0"/>
                <wp:positionH relativeFrom="column">
                  <wp:posOffset>868046</wp:posOffset>
                </wp:positionH>
                <wp:positionV relativeFrom="paragraph">
                  <wp:posOffset>1625600</wp:posOffset>
                </wp:positionV>
                <wp:extent cx="2914650" cy="638175"/>
                <wp:effectExtent l="19050" t="19050" r="19050" b="28575"/>
                <wp:wrapNone/>
                <wp:docPr id="3" name="Rectangle: Rounded Corners 3" title="&quot;0&quot;"/>
                <wp:cNvGraphicFramePr/>
                <a:graphic xmlns:a="http://schemas.openxmlformats.org/drawingml/2006/main">
                  <a:graphicData uri="http://schemas.microsoft.com/office/word/2010/wordprocessingShape">
                    <wps:wsp>
                      <wps:cNvSpPr/>
                      <wps:spPr>
                        <a:xfrm>
                          <a:off x="0" y="0"/>
                          <a:ext cx="2914650" cy="638175"/>
                        </a:xfrm>
                        <a:prstGeom prst="roundRect">
                          <a:avLst/>
                        </a:prstGeom>
                        <a:noFill/>
                        <a:ln w="381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9BAA693" id="Rectangle: Rounded Corners 3" o:spid="_x0000_s1026" alt="Title: &quot;0&quot;" style="position:absolute;margin-left:68.35pt;margin-top:128pt;width:229.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" filled="f" strokecolor="red" strokeweight="3pt">
                <v:stroke dashstyle="dash"/>
              </v:roundrect>
            </w:pict>
          </mc:Fallback>
        </mc:AlternateContent>
      </w:r>
      <w:r w:rsidRPr="00A37634">
        <w:rPr>
          <w:rFonts w:ascii="Calibri" w:eastAsia="Calibri" w:hAnsi="Calibri" w:cs="Calibri"/>
          <w:noProof/>
          <w:szCs w:val="20"/>
          <w:lang w:val="en-AU" w:eastAsia="en-AU"/>
        </w:rPr>
        <w:drawing>
          <wp:inline distT="0" distB="0" distL="0" distR="0" wp14:anchorId="7E61379C" wp14:editId="2E93D990">
            <wp:extent cx="4105275" cy="2711983"/>
            <wp:effectExtent l="0" t="0" r="0" b="0"/>
            <wp:docPr id="5" name="Picture 5"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8209" cy="2766770"/>
                    </a:xfrm>
                    <a:prstGeom prst="rect">
                      <a:avLst/>
                    </a:prstGeom>
                    <a:noFill/>
                  </pic:spPr>
                </pic:pic>
              </a:graphicData>
            </a:graphic>
          </wp:inline>
        </w:drawing>
      </w:r>
    </w:p>
    <w:p w14:paraId="47B2776A" w14:textId="77777777" w:rsidR="00A37634" w:rsidRPr="00A37634" w:rsidRDefault="00A37634" w:rsidP="00A37634">
      <w:pPr>
        <w:spacing w:after="120" w:line="276" w:lineRule="auto"/>
        <w:jc w:val="center"/>
        <w:rPr>
          <w:rFonts w:ascii="Calibri" w:eastAsia="Calibri" w:hAnsi="Calibri" w:cs="Calibri"/>
          <w:sz w:val="16"/>
          <w:szCs w:val="16"/>
          <w:lang w:val="en-AU"/>
        </w:rPr>
      </w:pPr>
      <w:r w:rsidRPr="00A37634">
        <w:rPr>
          <w:rFonts w:ascii="Calibri" w:eastAsia="Calibri" w:hAnsi="Calibri" w:cs="Calibri"/>
          <w:sz w:val="16"/>
          <w:szCs w:val="16"/>
          <w:lang w:val="en-AU"/>
        </w:rPr>
        <w:t>Source: (DR) AS 4755.2</w:t>
      </w:r>
    </w:p>
    <w:p w14:paraId="1015BFFE" w14:textId="77777777" w:rsidR="00F32140" w:rsidRDefault="00F32140" w:rsidP="00F32140">
      <w:pPr>
        <w:spacing w:before="120" w:after="120" w:line="276" w:lineRule="auto"/>
        <w:rPr>
          <w:rFonts w:ascii="Calibri" w:eastAsia="Calibri" w:hAnsi="Calibri" w:cs="Calibri"/>
          <w:szCs w:val="20"/>
          <w:lang w:val="en-AU" w:eastAsia="en-GB"/>
        </w:rPr>
      </w:pPr>
      <w:r w:rsidRPr="00A37634">
        <w:rPr>
          <w:rFonts w:ascii="Calibri" w:eastAsia="Calibri" w:hAnsi="Calibri" w:cs="Calibri"/>
          <w:szCs w:val="20"/>
          <w:lang w:val="en-AU" w:eastAsia="en-GB"/>
        </w:rPr>
        <w:t xml:space="preserve">AS/NZS 4755 does not specify </w:t>
      </w:r>
      <w:r>
        <w:rPr>
          <w:rFonts w:ascii="Calibri" w:eastAsia="Calibri" w:hAnsi="Calibri" w:cs="Calibri"/>
          <w:szCs w:val="20"/>
          <w:lang w:val="en-AU" w:eastAsia="en-GB"/>
        </w:rPr>
        <w:t xml:space="preserve">the </w:t>
      </w:r>
      <w:r w:rsidRPr="00A37634">
        <w:rPr>
          <w:rFonts w:ascii="Calibri" w:eastAsia="Calibri" w:hAnsi="Calibri" w:cs="Calibri"/>
          <w:szCs w:val="20"/>
          <w:lang w:val="en-AU" w:eastAsia="en-GB"/>
        </w:rPr>
        <w:t xml:space="preserve">communications pathways by which signals are transmitted from a remote agent to the DRED (or, in 4755.2, from the remote agent to the product). Leaving the mode of communication flexible lowers commercial risk for all stakeholders, including appliance manufacturers and DRSPs: any DRSP can connect to any appliance with the standard interface, so appliance manufacturers can realise the commercial value of compliant products irrespective of where they are sold. </w:t>
      </w:r>
      <w:r>
        <w:rPr>
          <w:rFonts w:ascii="Calibri" w:eastAsia="Calibri" w:hAnsi="Calibri" w:cs="Calibri"/>
          <w:szCs w:val="20"/>
          <w:lang w:val="en-AU" w:eastAsia="en-GB"/>
        </w:rPr>
        <w:t xml:space="preserve">The </w:t>
      </w:r>
      <w:r w:rsidRPr="00A37634">
        <w:rPr>
          <w:rFonts w:ascii="Calibri" w:eastAsia="Calibri" w:hAnsi="Calibri" w:cs="Calibri"/>
          <w:szCs w:val="20"/>
          <w:lang w:val="en-AU" w:eastAsia="en-GB"/>
        </w:rPr>
        <w:t xml:space="preserve">DRSPs </w:t>
      </w:r>
      <w:r>
        <w:rPr>
          <w:rFonts w:ascii="Calibri" w:eastAsia="Calibri" w:hAnsi="Calibri" w:cs="Calibri"/>
          <w:szCs w:val="20"/>
          <w:lang w:val="en-AU" w:eastAsia="en-GB"/>
        </w:rPr>
        <w:t xml:space="preserve">then </w:t>
      </w:r>
      <w:r w:rsidRPr="00A37634">
        <w:rPr>
          <w:rFonts w:ascii="Calibri" w:eastAsia="Calibri" w:hAnsi="Calibri" w:cs="Calibri"/>
          <w:szCs w:val="20"/>
          <w:lang w:val="en-AU" w:eastAsia="en-GB"/>
        </w:rPr>
        <w:t xml:space="preserve">arrange the supply and installation of DREDs that connect to their communications systems or platforms. </w:t>
      </w:r>
    </w:p>
    <w:p w14:paraId="249BEC2F" w14:textId="00862074"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eastAsia="en-GB"/>
        </w:rPr>
        <w:t xml:space="preserve">Several parts of AS/NZS 4755 have since been updated, and new parts published (see Appendix </w:t>
      </w:r>
      <w:r w:rsidR="008A0096">
        <w:rPr>
          <w:rFonts w:ascii="Calibri" w:eastAsia="Calibri" w:hAnsi="Calibri" w:cs="Calibri"/>
          <w:szCs w:val="20"/>
          <w:lang w:val="en-AU" w:eastAsia="en-GB"/>
        </w:rPr>
        <w:t>3</w:t>
      </w:r>
      <w:r w:rsidRPr="00A37634">
        <w:rPr>
          <w:rFonts w:ascii="Calibri" w:eastAsia="Calibri" w:hAnsi="Calibri" w:cs="Calibri"/>
          <w:szCs w:val="20"/>
          <w:lang w:val="en-AU" w:eastAsia="en-GB"/>
        </w:rPr>
        <w:t xml:space="preserve">). </w:t>
      </w:r>
      <w:r w:rsidRPr="00A37634">
        <w:rPr>
          <w:rFonts w:ascii="Calibri" w:eastAsia="Calibri" w:hAnsi="Calibri" w:cs="Calibri"/>
          <w:szCs w:val="20"/>
          <w:lang w:val="en-AU"/>
        </w:rPr>
        <w:t xml:space="preserve">The Joint Standards Australia/Standards New Zealand Committee EL-054, </w:t>
      </w:r>
      <w:r w:rsidRPr="00A37634">
        <w:rPr>
          <w:rFonts w:ascii="Calibri" w:eastAsia="Calibri" w:hAnsi="Calibri" w:cs="Calibri"/>
          <w:i/>
          <w:iCs/>
          <w:szCs w:val="20"/>
          <w:lang w:val="en-AU"/>
        </w:rPr>
        <w:t>Remote Demand Management of Electrical</w:t>
      </w:r>
      <w:r w:rsidRPr="00A37634">
        <w:rPr>
          <w:rFonts w:ascii="Calibri" w:eastAsia="Calibri" w:hAnsi="Calibri" w:cs="Calibri"/>
          <w:szCs w:val="20"/>
          <w:lang w:val="en-AU"/>
        </w:rPr>
        <w:t xml:space="preserve"> has recently drafted a new part (DR) AS 4755.2 </w:t>
      </w:r>
      <w:r w:rsidRPr="00A37634">
        <w:rPr>
          <w:rFonts w:ascii="Calibri" w:eastAsia="Calibri" w:hAnsi="Calibri" w:cs="Calibri"/>
          <w:i/>
          <w:iCs/>
          <w:szCs w:val="20"/>
          <w:lang w:val="en-AU"/>
        </w:rPr>
        <w:t xml:space="preserve">Demand response framework and requirements </w:t>
      </w:r>
      <w:r w:rsidRPr="00A37634">
        <w:rPr>
          <w:rFonts w:ascii="Calibri" w:eastAsia="Calibri" w:hAnsi="Calibri" w:cs="Calibri"/>
          <w:i/>
          <w:iCs/>
          <w:szCs w:val="20"/>
          <w:lang w:val="en-AU"/>
        </w:rPr>
        <w:lastRenderedPageBreak/>
        <w:t>for Communications between Remote Agents and Electrical Products</w:t>
      </w:r>
      <w:r w:rsidRPr="00A37634">
        <w:rPr>
          <w:rFonts w:ascii="Calibri" w:eastAsia="Calibri" w:hAnsi="Calibri" w:cs="Calibri"/>
          <w:szCs w:val="20"/>
          <w:lang w:val="en-AU"/>
        </w:rPr>
        <w:t>.</w:t>
      </w:r>
      <w:r w:rsidRPr="00A37634">
        <w:rPr>
          <w:rFonts w:ascii="Calibri" w:eastAsia="Calibri" w:hAnsi="Calibri" w:cs="Calibri"/>
          <w:szCs w:val="20"/>
          <w:vertAlign w:val="superscript"/>
          <w:lang w:val="en-AU"/>
        </w:rPr>
        <w:footnoteReference w:id="71"/>
      </w:r>
      <w:r w:rsidRPr="00A37634">
        <w:rPr>
          <w:rFonts w:ascii="Calibri" w:eastAsia="Calibri" w:hAnsi="Calibri" w:cs="Calibri"/>
          <w:szCs w:val="20"/>
          <w:lang w:val="en-AU"/>
        </w:rPr>
        <w:t xml:space="preserve"> AS 4755.2</w:t>
      </w:r>
      <w:r w:rsidR="0020100B">
        <w:rPr>
          <w:rFonts w:ascii="Calibri" w:eastAsia="Calibri" w:hAnsi="Calibri" w:cs="Calibri"/>
          <w:szCs w:val="20"/>
          <w:lang w:val="en-AU"/>
        </w:rPr>
        <w:t xml:space="preserve">-compliant </w:t>
      </w:r>
      <w:r w:rsidRPr="00A37634">
        <w:rPr>
          <w:rFonts w:ascii="Calibri" w:eastAsia="Calibri" w:hAnsi="Calibri" w:cs="Calibri"/>
          <w:szCs w:val="20"/>
          <w:lang w:val="en-AU"/>
        </w:rPr>
        <w:t xml:space="preserve">electrical products would be able to interact with a remote agent without the presence of a DRED or a physical interface, as is required for products conforming to Part 3. Once (DR) AS 4755.2 is published, there will be two classes of electrical products within the AS/NZS 4755 framework — those conforming to AS/NZS 4755.3 and those </w:t>
      </w:r>
      <w:r w:rsidRPr="008A0096">
        <w:rPr>
          <w:rFonts w:ascii="Calibri" w:eastAsia="Calibri" w:hAnsi="Calibri" w:cs="Calibri"/>
          <w:szCs w:val="20"/>
          <w:lang w:val="en-AU"/>
        </w:rPr>
        <w:t>conforming to AS 4755.2 (</w:t>
      </w:r>
      <w:r w:rsidRPr="008A0096">
        <w:rPr>
          <w:rFonts w:ascii="Calibri" w:eastAsia="Calibri" w:hAnsi="Calibri" w:cs="Calibri"/>
          <w:szCs w:val="20"/>
          <w:lang w:val="en-AU"/>
        </w:rPr>
        <w:fldChar w:fldCharType="begin"/>
      </w:r>
      <w:r w:rsidRPr="008A0096">
        <w:rPr>
          <w:rFonts w:ascii="Calibri" w:eastAsia="Calibri" w:hAnsi="Calibri" w:cs="Calibri"/>
          <w:szCs w:val="20"/>
          <w:lang w:val="en-AU"/>
        </w:rPr>
        <w:instrText xml:space="preserve"> REF _Ref11680598 \h  \* MERGEFORMAT </w:instrText>
      </w:r>
      <w:r w:rsidRPr="008A0096">
        <w:rPr>
          <w:rFonts w:ascii="Calibri" w:eastAsia="Calibri" w:hAnsi="Calibri" w:cs="Calibri"/>
          <w:szCs w:val="20"/>
          <w:lang w:val="en-AU"/>
        </w:rPr>
      </w:r>
      <w:r w:rsidRPr="008A0096">
        <w:rPr>
          <w:rFonts w:ascii="Calibri" w:eastAsia="Calibri" w:hAnsi="Calibri" w:cs="Calibri"/>
          <w:szCs w:val="20"/>
          <w:lang w:val="en-AU"/>
        </w:rPr>
        <w:fldChar w:fldCharType="separate"/>
      </w:r>
      <w:r w:rsidR="00541269" w:rsidRPr="00541269">
        <w:rPr>
          <w:rFonts w:ascii="Calibri" w:eastAsia="Calibri" w:hAnsi="Calibri" w:cs="Calibri"/>
          <w:szCs w:val="20"/>
          <w:lang w:val="en-AU"/>
        </w:rPr>
        <w:t xml:space="preserve">Figure </w:t>
      </w:r>
      <w:r w:rsidR="00541269" w:rsidRPr="00541269">
        <w:rPr>
          <w:rFonts w:ascii="Calibri" w:eastAsia="Calibri" w:hAnsi="Calibri" w:cs="Calibri"/>
          <w:noProof/>
          <w:szCs w:val="20"/>
          <w:lang w:val="en-AU"/>
        </w:rPr>
        <w:t>7</w:t>
      </w:r>
      <w:r w:rsidRPr="008A0096">
        <w:rPr>
          <w:rFonts w:ascii="Calibri" w:eastAsia="Calibri" w:hAnsi="Calibri" w:cs="Calibri"/>
          <w:szCs w:val="20"/>
          <w:lang w:val="en-AU"/>
        </w:rPr>
        <w:fldChar w:fldCharType="end"/>
      </w:r>
      <w:r w:rsidRPr="008A0096">
        <w:rPr>
          <w:rFonts w:ascii="Calibri" w:eastAsia="Calibri" w:hAnsi="Calibri" w:cs="Calibri"/>
          <w:szCs w:val="20"/>
          <w:lang w:val="en-AU"/>
        </w:rPr>
        <w:t xml:space="preserve"> – the 4755.1 framework corresponds to </w:t>
      </w:r>
      <w:r w:rsidRPr="008A0096">
        <w:rPr>
          <w:rFonts w:ascii="Calibri" w:eastAsia="Calibri" w:hAnsi="Calibri" w:cs="Calibri"/>
          <w:szCs w:val="20"/>
          <w:lang w:val="en-AU"/>
        </w:rPr>
        <w:fldChar w:fldCharType="begin"/>
      </w:r>
      <w:r w:rsidRPr="008A0096">
        <w:rPr>
          <w:rFonts w:ascii="Calibri" w:eastAsia="Calibri" w:hAnsi="Calibri" w:cs="Calibri"/>
          <w:szCs w:val="20"/>
          <w:lang w:val="en-AU"/>
        </w:rPr>
        <w:instrText xml:space="preserve"> REF _Ref11680106 \h  \* MERGEFORMAT </w:instrText>
      </w:r>
      <w:r w:rsidRPr="008A0096">
        <w:rPr>
          <w:rFonts w:ascii="Calibri" w:eastAsia="Calibri" w:hAnsi="Calibri" w:cs="Calibri"/>
          <w:szCs w:val="20"/>
          <w:lang w:val="en-AU"/>
        </w:rPr>
      </w:r>
      <w:r w:rsidRPr="008A0096">
        <w:rPr>
          <w:rFonts w:ascii="Calibri" w:eastAsia="Calibri" w:hAnsi="Calibri" w:cs="Calibri"/>
          <w:szCs w:val="20"/>
          <w:lang w:val="en-AU"/>
        </w:rPr>
        <w:fldChar w:fldCharType="separate"/>
      </w:r>
      <w:r w:rsidR="00541269" w:rsidRPr="00541269">
        <w:rPr>
          <w:rFonts w:ascii="Calibri" w:eastAsia="Calibri" w:hAnsi="Calibri" w:cs="Calibri"/>
          <w:szCs w:val="20"/>
          <w:lang w:val="en-AU"/>
        </w:rPr>
        <w:t xml:space="preserve">Figure </w:t>
      </w:r>
      <w:r w:rsidR="00541269" w:rsidRPr="00541269">
        <w:rPr>
          <w:rFonts w:ascii="Calibri" w:eastAsia="Calibri" w:hAnsi="Calibri" w:cs="Calibri"/>
          <w:noProof/>
          <w:szCs w:val="20"/>
          <w:lang w:val="en-AU"/>
        </w:rPr>
        <w:t>6</w:t>
      </w:r>
      <w:r w:rsidRPr="008A0096">
        <w:rPr>
          <w:rFonts w:ascii="Calibri" w:eastAsia="Calibri" w:hAnsi="Calibri" w:cs="Calibri"/>
          <w:szCs w:val="20"/>
          <w:lang w:val="en-AU"/>
        </w:rPr>
        <w:fldChar w:fldCharType="end"/>
      </w:r>
      <w:r w:rsidRPr="008A0096">
        <w:rPr>
          <w:rFonts w:ascii="Calibri" w:eastAsia="Calibri" w:hAnsi="Calibri" w:cs="Calibri"/>
          <w:szCs w:val="20"/>
          <w:lang w:val="en-AU"/>
        </w:rPr>
        <w:t>). An electrical product</w:t>
      </w:r>
      <w:r w:rsidRPr="00A37634">
        <w:rPr>
          <w:rFonts w:ascii="Calibri" w:eastAsia="Calibri" w:hAnsi="Calibri" w:cs="Calibri"/>
          <w:szCs w:val="20"/>
          <w:lang w:val="en-AU"/>
        </w:rPr>
        <w:t xml:space="preserve"> could also comply with both, provided it </w:t>
      </w:r>
      <w:proofErr w:type="gramStart"/>
      <w:r w:rsidRPr="00A37634">
        <w:rPr>
          <w:rFonts w:ascii="Calibri" w:eastAsia="Calibri" w:hAnsi="Calibri" w:cs="Calibri"/>
          <w:szCs w:val="20"/>
          <w:lang w:val="en-AU"/>
        </w:rPr>
        <w:t>is capable of managing</w:t>
      </w:r>
      <w:proofErr w:type="gramEnd"/>
      <w:r w:rsidRPr="00A37634">
        <w:rPr>
          <w:rFonts w:ascii="Calibri" w:eastAsia="Calibri" w:hAnsi="Calibri" w:cs="Calibri"/>
          <w:szCs w:val="20"/>
          <w:lang w:val="en-AU"/>
        </w:rPr>
        <w:t xml:space="preserve"> potential conflicts.</w:t>
      </w:r>
    </w:p>
    <w:p w14:paraId="0CC09647" w14:textId="301CF1F8" w:rsid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It is proposed that the mandatory requirement for DR capabilities could be met either by compliance with AS/NZS 4755.3</w:t>
      </w:r>
      <w:r w:rsidR="0020100B">
        <w:rPr>
          <w:rFonts w:ascii="Calibri" w:eastAsia="Calibri" w:hAnsi="Calibri" w:cs="Calibri"/>
          <w:szCs w:val="20"/>
          <w:lang w:val="en-AU"/>
        </w:rPr>
        <w:t>.X</w:t>
      </w:r>
      <w:r w:rsidRPr="00A37634">
        <w:rPr>
          <w:rFonts w:ascii="Calibri" w:eastAsia="Calibri" w:hAnsi="Calibri" w:cs="Calibri"/>
          <w:szCs w:val="20"/>
          <w:lang w:val="en-AU"/>
        </w:rPr>
        <w:t xml:space="preserve"> or with AS 4755.2. The current draft of AS 4755.2 provides only for communications over HTTP (PULL Server or PUSH Server). However, it is intended to add other options in future, so providing a path to integration with emerging international standards</w:t>
      </w:r>
      <w:r w:rsidR="0020100B">
        <w:rPr>
          <w:rFonts w:ascii="Calibri" w:eastAsia="Calibri" w:hAnsi="Calibri" w:cs="Calibri"/>
          <w:szCs w:val="20"/>
          <w:lang w:val="en-AU"/>
        </w:rPr>
        <w:t>, including OpenADR</w:t>
      </w:r>
      <w:r w:rsidRPr="00A37634">
        <w:rPr>
          <w:rFonts w:ascii="Calibri" w:eastAsia="Calibri" w:hAnsi="Calibri" w:cs="Calibri"/>
          <w:szCs w:val="20"/>
          <w:lang w:val="en-AU"/>
        </w:rPr>
        <w:t xml:space="preserve"> (See Appendix </w:t>
      </w:r>
      <w:r w:rsidR="0020100B">
        <w:rPr>
          <w:rFonts w:ascii="Calibri" w:eastAsia="Calibri" w:hAnsi="Calibri" w:cs="Calibri"/>
          <w:szCs w:val="20"/>
          <w:lang w:val="en-AU"/>
        </w:rPr>
        <w:t>3</w:t>
      </w:r>
      <w:r w:rsidRPr="00A37634">
        <w:rPr>
          <w:rFonts w:ascii="Calibri" w:eastAsia="Calibri" w:hAnsi="Calibri" w:cs="Calibri"/>
          <w:szCs w:val="20"/>
          <w:lang w:val="en-AU"/>
        </w:rPr>
        <w:t>).</w:t>
      </w:r>
      <w:r w:rsidR="0020100B">
        <w:rPr>
          <w:rFonts w:ascii="Calibri" w:eastAsia="Calibri" w:hAnsi="Calibri" w:cs="Calibri"/>
          <w:szCs w:val="20"/>
          <w:lang w:val="en-AU"/>
        </w:rPr>
        <w:t xml:space="preserve"> </w:t>
      </w:r>
    </w:p>
    <w:p w14:paraId="617B73DC" w14:textId="4E29B477" w:rsidR="0020100B" w:rsidRPr="00A37634" w:rsidRDefault="00330B10"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For </w:t>
      </w:r>
      <w:r w:rsidR="0020100B">
        <w:rPr>
          <w:rFonts w:ascii="Calibri" w:eastAsia="Calibri" w:hAnsi="Calibri" w:cs="Calibri"/>
          <w:szCs w:val="20"/>
          <w:lang w:val="en-AU"/>
        </w:rPr>
        <w:t xml:space="preserve">further </w:t>
      </w:r>
      <w:proofErr w:type="gramStart"/>
      <w:r w:rsidR="0020100B">
        <w:rPr>
          <w:rFonts w:ascii="Calibri" w:eastAsia="Calibri" w:hAnsi="Calibri" w:cs="Calibri"/>
          <w:szCs w:val="20"/>
          <w:lang w:val="en-AU"/>
        </w:rPr>
        <w:t>flexibility</w:t>
      </w:r>
      <w:proofErr w:type="gramEnd"/>
      <w:r w:rsidR="0020100B">
        <w:rPr>
          <w:rFonts w:ascii="Calibri" w:eastAsia="Calibri" w:hAnsi="Calibri" w:cs="Calibri"/>
          <w:szCs w:val="20"/>
          <w:lang w:val="en-AU"/>
        </w:rPr>
        <w:t xml:space="preserve"> </w:t>
      </w:r>
      <w:r>
        <w:rPr>
          <w:rFonts w:ascii="Calibri" w:eastAsia="Calibri" w:hAnsi="Calibri" w:cs="Calibri"/>
          <w:szCs w:val="20"/>
          <w:lang w:val="en-AU"/>
        </w:rPr>
        <w:t>it is proposed that</w:t>
      </w:r>
      <w:r w:rsidR="00F13AB4">
        <w:rPr>
          <w:rFonts w:ascii="Calibri" w:eastAsia="Calibri" w:hAnsi="Calibri" w:cs="Calibri"/>
          <w:szCs w:val="20"/>
          <w:lang w:val="en-AU"/>
        </w:rPr>
        <w:t>,</w:t>
      </w:r>
      <w:r>
        <w:rPr>
          <w:rFonts w:ascii="Calibri" w:eastAsia="Calibri" w:hAnsi="Calibri" w:cs="Calibri"/>
          <w:szCs w:val="20"/>
          <w:lang w:val="en-AU"/>
        </w:rPr>
        <w:t xml:space="preserve"> for a limited period</w:t>
      </w:r>
      <w:r w:rsidR="00F13AB4">
        <w:rPr>
          <w:rFonts w:ascii="Calibri" w:eastAsia="Calibri" w:hAnsi="Calibri" w:cs="Calibri"/>
          <w:szCs w:val="20"/>
          <w:lang w:val="en-AU"/>
        </w:rPr>
        <w:t>,</w:t>
      </w:r>
      <w:r>
        <w:rPr>
          <w:rFonts w:ascii="Calibri" w:eastAsia="Calibri" w:hAnsi="Calibri" w:cs="Calibri"/>
          <w:szCs w:val="20"/>
          <w:lang w:val="en-AU"/>
        </w:rPr>
        <w:t xml:space="preserve"> air conditioners should also be able to comply with a previous (now withdrawn) version, AS/NZS 4755.3.1:2012. This specifies DRM 2 and DRM 3 in a different way, with the consequence that demand reductions are lower under some operating conditions.  </w:t>
      </w:r>
    </w:p>
    <w:p w14:paraId="5351D50B" w14:textId="77777777" w:rsidR="00A37634" w:rsidRPr="00A37634" w:rsidRDefault="00A37634" w:rsidP="00A37634">
      <w:pPr>
        <w:keepNext/>
        <w:keepLines/>
        <w:spacing w:before="240" w:after="240" w:line="278" w:lineRule="auto"/>
        <w:outlineLvl w:val="4"/>
        <w:rPr>
          <w:rFonts w:ascii="Calibri" w:eastAsia="Times New Roman" w:hAnsi="Calibri" w:cs="Calibri"/>
          <w:b/>
          <w:color w:val="FF0000"/>
          <w:sz w:val="28"/>
          <w:szCs w:val="28"/>
          <w:lang w:val="en-AU"/>
        </w:rPr>
      </w:pPr>
      <w:r w:rsidRPr="00A37634">
        <w:rPr>
          <w:rFonts w:ascii="Calibri" w:eastAsia="Times New Roman" w:hAnsi="Calibri" w:cs="Calibri"/>
          <w:b/>
          <w:color w:val="FF0000"/>
          <w:sz w:val="28"/>
          <w:szCs w:val="28"/>
          <w:lang w:val="en-AU"/>
        </w:rPr>
        <w:t>Demand Response Modes</w:t>
      </w:r>
    </w:p>
    <w:p w14:paraId="0566EA21"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minimum capability required to comply with AS/NZS 4755 is DRM 1, which is to turn the appliance off or to change it to minimum load settings on receipt of a load control signal. For example, a compliant AC must cease compressor operation during a DRM 1 event. </w:t>
      </w:r>
    </w:p>
    <w:p w14:paraId="5830B360" w14:textId="3219BFCE"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present proposals are broader than those in the 2013 Consultation RIS in that they would require compliance with </w:t>
      </w:r>
      <w:r w:rsidR="00330B10">
        <w:rPr>
          <w:rFonts w:ascii="Calibri" w:eastAsia="Calibri" w:hAnsi="Calibri" w:cs="Calibri"/>
          <w:szCs w:val="20"/>
          <w:lang w:val="en-AU"/>
        </w:rPr>
        <w:t xml:space="preserve">more </w:t>
      </w:r>
      <w:r w:rsidRPr="00A37634">
        <w:rPr>
          <w:rFonts w:ascii="Calibri" w:eastAsia="Calibri" w:hAnsi="Calibri" w:cs="Calibri"/>
          <w:szCs w:val="20"/>
          <w:lang w:val="en-AU"/>
        </w:rPr>
        <w:t>DRMs (</w:t>
      </w:r>
      <w:r w:rsidRPr="00330B10">
        <w:rPr>
          <w:rFonts w:ascii="Calibri" w:eastAsia="Calibri" w:hAnsi="Calibri" w:cs="Calibri"/>
          <w:bCs/>
          <w:szCs w:val="20"/>
          <w:lang w:val="en-AU"/>
        </w:rPr>
        <w:fldChar w:fldCharType="begin"/>
      </w:r>
      <w:r w:rsidRPr="00330B10">
        <w:rPr>
          <w:rFonts w:ascii="Calibri" w:eastAsia="Calibri" w:hAnsi="Calibri" w:cs="Calibri"/>
          <w:bCs/>
          <w:szCs w:val="20"/>
          <w:lang w:val="en-AU"/>
        </w:rPr>
        <w:instrText xml:space="preserve"> REF _Ref317353103 \h  \* MERGEFORMAT </w:instrText>
      </w:r>
      <w:r w:rsidRPr="00330B10">
        <w:rPr>
          <w:rFonts w:ascii="Calibri" w:eastAsia="Calibri" w:hAnsi="Calibri" w:cs="Calibri"/>
          <w:bCs/>
          <w:szCs w:val="20"/>
          <w:lang w:val="en-AU"/>
        </w:rPr>
      </w:r>
      <w:r w:rsidRPr="00330B10">
        <w:rPr>
          <w:rFonts w:ascii="Calibri" w:eastAsia="Calibri" w:hAnsi="Calibri" w:cs="Calibri"/>
          <w:bCs/>
          <w:szCs w:val="20"/>
          <w:lang w:val="en-AU"/>
        </w:rPr>
        <w:fldChar w:fldCharType="separate"/>
      </w:r>
      <w:r w:rsidR="00541269" w:rsidRPr="00541269">
        <w:rPr>
          <w:rFonts w:ascii="Calibri" w:eastAsia="Calibri" w:hAnsi="Calibri" w:cs="Calibri"/>
          <w:bCs/>
          <w:szCs w:val="20"/>
          <w:lang w:val="en-AU"/>
        </w:rPr>
        <w:t xml:space="preserve">Table </w:t>
      </w:r>
      <w:r w:rsidR="00541269" w:rsidRPr="00541269">
        <w:rPr>
          <w:rFonts w:ascii="Calibri" w:eastAsia="Calibri" w:hAnsi="Calibri" w:cs="Calibri"/>
          <w:bCs/>
          <w:noProof/>
          <w:szCs w:val="20"/>
          <w:lang w:val="en-AU"/>
        </w:rPr>
        <w:t>7</w:t>
      </w:r>
      <w:r w:rsidRPr="00330B10">
        <w:rPr>
          <w:rFonts w:ascii="Calibri" w:eastAsia="Calibri" w:hAnsi="Calibri" w:cs="Calibri"/>
          <w:bCs/>
          <w:szCs w:val="20"/>
          <w:lang w:val="en-AU"/>
        </w:rPr>
        <w:fldChar w:fldCharType="end"/>
      </w:r>
      <w:r w:rsidRPr="00330B10">
        <w:rPr>
          <w:rFonts w:ascii="Calibri" w:eastAsia="Calibri" w:hAnsi="Calibri" w:cs="Calibri"/>
          <w:bCs/>
          <w:szCs w:val="20"/>
          <w:lang w:val="en-AU"/>
        </w:rPr>
        <w:t>)</w:t>
      </w:r>
      <w:r w:rsidRPr="00A37634">
        <w:rPr>
          <w:rFonts w:ascii="Calibri" w:eastAsia="Calibri" w:hAnsi="Calibri" w:cs="Calibri"/>
          <w:szCs w:val="20"/>
          <w:lang w:val="en-AU"/>
        </w:rPr>
        <w:t xml:space="preserve">. The potential to limit power to 50% (DRM 2) or to 75% (DRM 3) makes participation in </w:t>
      </w:r>
      <w:r w:rsidR="00330B10">
        <w:rPr>
          <w:rFonts w:ascii="Calibri" w:eastAsia="Calibri" w:hAnsi="Calibri" w:cs="Calibri"/>
          <w:szCs w:val="20"/>
          <w:lang w:val="en-AU"/>
        </w:rPr>
        <w:t xml:space="preserve">air conditioner </w:t>
      </w:r>
      <w:r w:rsidRPr="00A37634">
        <w:rPr>
          <w:rFonts w:ascii="Calibri" w:eastAsia="Calibri" w:hAnsi="Calibri" w:cs="Calibri"/>
          <w:szCs w:val="20"/>
          <w:lang w:val="en-AU"/>
        </w:rPr>
        <w:t xml:space="preserve">DR </w:t>
      </w:r>
      <w:r w:rsidR="00330B10">
        <w:rPr>
          <w:rFonts w:ascii="Calibri" w:eastAsia="Calibri" w:hAnsi="Calibri" w:cs="Calibri"/>
          <w:szCs w:val="20"/>
          <w:lang w:val="en-AU"/>
        </w:rPr>
        <w:t xml:space="preserve">programs </w:t>
      </w:r>
      <w:r w:rsidRPr="00A37634">
        <w:rPr>
          <w:rFonts w:ascii="Calibri" w:eastAsia="Calibri" w:hAnsi="Calibri" w:cs="Calibri"/>
          <w:szCs w:val="20"/>
          <w:lang w:val="en-AU"/>
        </w:rPr>
        <w:t xml:space="preserve">more acceptable to consumers, since they can be assured of some cooling or heating during DR events. The Energex and Ergon PeakSmart program, for example, only incentivises models with all three DRMs.      </w:t>
      </w:r>
    </w:p>
    <w:p w14:paraId="5F5E5D57" w14:textId="1F411675"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50" w:name="_Ref317353103"/>
      <w:bookmarkStart w:id="51" w:name="_Toc333183006"/>
      <w:bookmarkStart w:id="52" w:name="_Toc369633217"/>
      <w:bookmarkStart w:id="53" w:name="_Toc11360591"/>
      <w:bookmarkStart w:id="54" w:name="_Toc22486951"/>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7</w:t>
      </w:r>
      <w:r w:rsidRPr="00A37634">
        <w:rPr>
          <w:rFonts w:ascii="Calibri" w:eastAsia="Cambria" w:hAnsi="Calibri" w:cs="Calibri"/>
          <w:b/>
          <w:bCs/>
          <w:noProof/>
          <w:sz w:val="20"/>
          <w:szCs w:val="16"/>
          <w:lang w:val="en-AU"/>
        </w:rPr>
        <w:fldChar w:fldCharType="end"/>
      </w:r>
      <w:bookmarkEnd w:id="50"/>
      <w:r w:rsidRPr="00A37634">
        <w:rPr>
          <w:rFonts w:ascii="Calibri" w:eastAsia="Cambria" w:hAnsi="Calibri" w:cs="Calibri"/>
          <w:b/>
          <w:bCs/>
          <w:sz w:val="20"/>
          <w:szCs w:val="16"/>
          <w:lang w:val="en-AU"/>
        </w:rPr>
        <w:t>. Proposed mandatory Demand Response Modes in AS/NZS 4755</w:t>
      </w:r>
      <w:bookmarkEnd w:id="51"/>
      <w:bookmarkEnd w:id="52"/>
      <w:bookmarkEnd w:id="53"/>
      <w:bookmarkEnd w:id="54"/>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75"/>
        <w:gridCol w:w="993"/>
        <w:gridCol w:w="949"/>
        <w:gridCol w:w="1072"/>
        <w:gridCol w:w="1073"/>
        <w:gridCol w:w="1072"/>
        <w:gridCol w:w="1073"/>
      </w:tblGrid>
      <w:tr w:rsidR="00A37634" w:rsidRPr="00A37634" w14:paraId="23B3AB86" w14:textId="77777777" w:rsidTr="007C7289">
        <w:trPr>
          <w:cantSplit/>
          <w:tblHeader/>
          <w:jc w:val="center"/>
        </w:trPr>
        <w:tc>
          <w:tcPr>
            <w:tcW w:w="2122" w:type="dxa"/>
            <w:vMerge w:val="restart"/>
          </w:tcPr>
          <w:p w14:paraId="422FA8EC" w14:textId="77777777" w:rsidR="00A37634" w:rsidRPr="00A37634" w:rsidRDefault="00A37634" w:rsidP="00A37634">
            <w:pPr>
              <w:spacing w:before="60" w:after="60" w:line="240" w:lineRule="auto"/>
              <w:rPr>
                <w:rFonts w:ascii="Calibri" w:eastAsia="Times New Roman" w:hAnsi="Calibri" w:cs="Calibri"/>
                <w:b/>
                <w:sz w:val="18"/>
                <w:szCs w:val="18"/>
                <w:lang w:val="en-AU"/>
              </w:rPr>
            </w:pPr>
            <w:r w:rsidRPr="00A37634">
              <w:rPr>
                <w:rFonts w:ascii="Calibri" w:eastAsia="Times New Roman" w:hAnsi="Calibri" w:cs="Calibri"/>
                <w:b/>
                <w:sz w:val="18"/>
                <w:szCs w:val="18"/>
                <w:lang w:val="en-AU"/>
              </w:rPr>
              <w:t>Product</w:t>
            </w:r>
          </w:p>
        </w:tc>
        <w:tc>
          <w:tcPr>
            <w:tcW w:w="7507" w:type="dxa"/>
            <w:gridSpan w:val="7"/>
          </w:tcPr>
          <w:p w14:paraId="3970492A"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r w:rsidRPr="00A37634">
              <w:rPr>
                <w:rFonts w:ascii="Calibri" w:eastAsia="Times New Roman" w:hAnsi="Calibri" w:cs="Calibri"/>
                <w:b/>
                <w:sz w:val="18"/>
                <w:szCs w:val="18"/>
                <w:lang w:val="en-AU"/>
              </w:rPr>
              <w:t>Demand Response Modes (DRMs)</w:t>
            </w:r>
          </w:p>
        </w:tc>
      </w:tr>
      <w:tr w:rsidR="00A37634" w:rsidRPr="00A37634" w14:paraId="5A7E962A" w14:textId="77777777" w:rsidTr="007C7289">
        <w:trPr>
          <w:cantSplit/>
          <w:jc w:val="center"/>
        </w:trPr>
        <w:tc>
          <w:tcPr>
            <w:tcW w:w="2122" w:type="dxa"/>
            <w:vMerge/>
          </w:tcPr>
          <w:p w14:paraId="3EC7F04C" w14:textId="77777777" w:rsidR="00A37634" w:rsidRPr="00A37634" w:rsidRDefault="00A37634" w:rsidP="00A37634">
            <w:pPr>
              <w:spacing w:before="60" w:after="60" w:line="240" w:lineRule="auto"/>
              <w:rPr>
                <w:rFonts w:ascii="Calibri" w:eastAsia="Times New Roman" w:hAnsi="Calibri" w:cs="Calibri"/>
                <w:b/>
                <w:sz w:val="18"/>
                <w:szCs w:val="18"/>
                <w:lang w:val="en-AU"/>
              </w:rPr>
            </w:pPr>
          </w:p>
        </w:tc>
        <w:tc>
          <w:tcPr>
            <w:tcW w:w="1275" w:type="dxa"/>
          </w:tcPr>
          <w:p w14:paraId="175A6B6E"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r w:rsidRPr="00A37634">
              <w:rPr>
                <w:rFonts w:ascii="Calibri" w:eastAsia="Times New Roman" w:hAnsi="Calibri" w:cs="Calibri"/>
                <w:b/>
                <w:sz w:val="18"/>
                <w:szCs w:val="18"/>
                <w:lang w:val="en-AU"/>
              </w:rPr>
              <w:t>AS/NZS</w:t>
            </w:r>
            <w:r w:rsidRPr="00A37634">
              <w:rPr>
                <w:rFonts w:ascii="Calibri" w:eastAsia="Times New Roman" w:hAnsi="Calibri" w:cs="Calibri"/>
                <w:b/>
                <w:sz w:val="18"/>
                <w:szCs w:val="18"/>
                <w:lang w:val="en-AU"/>
              </w:rPr>
              <w:br/>
              <w:t>4755 part</w:t>
            </w:r>
            <w:r w:rsidRPr="00A37634">
              <w:rPr>
                <w:rFonts w:ascii="Calibri" w:eastAsia="Times New Roman" w:hAnsi="Calibri" w:cs="Calibri"/>
                <w:b/>
                <w:sz w:val="18"/>
                <w:szCs w:val="18"/>
                <w:lang w:val="en-AU"/>
              </w:rPr>
              <w:br/>
              <w:t>(alternatives)</w:t>
            </w:r>
          </w:p>
        </w:tc>
        <w:tc>
          <w:tcPr>
            <w:tcW w:w="993" w:type="dxa"/>
          </w:tcPr>
          <w:p w14:paraId="02D809F2"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r w:rsidRPr="00A37634">
              <w:rPr>
                <w:rFonts w:ascii="Calibri" w:eastAsia="Times New Roman" w:hAnsi="Calibri" w:cs="Calibri"/>
                <w:b/>
                <w:sz w:val="18"/>
                <w:szCs w:val="18"/>
                <w:lang w:val="en-AU"/>
              </w:rPr>
              <w:t xml:space="preserve">Safety </w:t>
            </w:r>
            <w:r w:rsidRPr="00A37634">
              <w:rPr>
                <w:rFonts w:ascii="Calibri" w:eastAsia="Times New Roman" w:hAnsi="Calibri" w:cs="Calibri"/>
                <w:b/>
                <w:sz w:val="18"/>
                <w:szCs w:val="18"/>
                <w:lang w:val="en-AU"/>
              </w:rPr>
              <w:br/>
              <w:t>Disc-connect</w:t>
            </w:r>
          </w:p>
        </w:tc>
        <w:tc>
          <w:tcPr>
            <w:tcW w:w="949" w:type="dxa"/>
          </w:tcPr>
          <w:p w14:paraId="3502381F"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r w:rsidRPr="00A37634">
              <w:rPr>
                <w:rFonts w:ascii="Calibri" w:eastAsia="Times New Roman" w:hAnsi="Calibri" w:cs="Calibri"/>
                <w:b/>
                <w:sz w:val="18"/>
                <w:szCs w:val="18"/>
                <w:lang w:val="en-AU"/>
              </w:rPr>
              <w:t>Minimum load/off</w:t>
            </w:r>
          </w:p>
        </w:tc>
        <w:tc>
          <w:tcPr>
            <w:tcW w:w="1072" w:type="dxa"/>
          </w:tcPr>
          <w:p w14:paraId="312FC160"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r w:rsidRPr="00A37634">
              <w:rPr>
                <w:rFonts w:ascii="Calibri" w:eastAsia="Times New Roman" w:hAnsi="Calibri" w:cs="Calibri"/>
                <w:b/>
                <w:sz w:val="18"/>
                <w:szCs w:val="18"/>
                <w:lang w:val="en-AU"/>
              </w:rPr>
              <w:t>Reduce load</w:t>
            </w:r>
          </w:p>
        </w:tc>
        <w:tc>
          <w:tcPr>
            <w:tcW w:w="1073" w:type="dxa"/>
          </w:tcPr>
          <w:p w14:paraId="101A4EA1"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r w:rsidRPr="00A37634">
              <w:rPr>
                <w:rFonts w:ascii="Calibri" w:eastAsia="Times New Roman" w:hAnsi="Calibri" w:cs="Calibri"/>
                <w:b/>
                <w:sz w:val="18"/>
                <w:szCs w:val="18"/>
                <w:lang w:val="en-AU"/>
              </w:rPr>
              <w:t>Switch on</w:t>
            </w:r>
            <w:r w:rsidRPr="00A37634" w:rsidDel="004D390F">
              <w:rPr>
                <w:rFonts w:ascii="Calibri" w:eastAsia="Times New Roman" w:hAnsi="Calibri" w:cs="Calibri"/>
                <w:b/>
                <w:sz w:val="18"/>
                <w:szCs w:val="18"/>
                <w:lang w:val="en-AU"/>
              </w:rPr>
              <w:t xml:space="preserve"> </w:t>
            </w:r>
            <w:r w:rsidRPr="00A37634">
              <w:rPr>
                <w:rFonts w:ascii="Calibri" w:eastAsia="Times New Roman" w:hAnsi="Calibri" w:cs="Calibri"/>
                <w:b/>
                <w:sz w:val="18"/>
                <w:szCs w:val="18"/>
                <w:lang w:val="en-AU"/>
              </w:rPr>
              <w:t>/</w:t>
            </w:r>
            <w:r w:rsidRPr="00A37634">
              <w:rPr>
                <w:rFonts w:ascii="Calibri" w:eastAsia="Times New Roman" w:hAnsi="Calibri" w:cs="Calibri"/>
                <w:b/>
                <w:sz w:val="18"/>
                <w:szCs w:val="18"/>
                <w:lang w:val="en-AU"/>
              </w:rPr>
              <w:br/>
              <w:t>store energy</w:t>
            </w:r>
          </w:p>
        </w:tc>
        <w:tc>
          <w:tcPr>
            <w:tcW w:w="1072" w:type="dxa"/>
          </w:tcPr>
          <w:p w14:paraId="5C47264B"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r w:rsidRPr="00A37634">
              <w:rPr>
                <w:rFonts w:ascii="Calibri" w:eastAsia="Times New Roman" w:hAnsi="Calibri" w:cs="Calibri"/>
                <w:b/>
                <w:sz w:val="18"/>
                <w:szCs w:val="18"/>
                <w:lang w:val="en-AU"/>
              </w:rPr>
              <w:t>Discharge energy if capable</w:t>
            </w:r>
          </w:p>
        </w:tc>
        <w:tc>
          <w:tcPr>
            <w:tcW w:w="1073" w:type="dxa"/>
          </w:tcPr>
          <w:p w14:paraId="3094E0BE"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r w:rsidRPr="00A37634">
              <w:rPr>
                <w:rFonts w:ascii="Calibri" w:eastAsia="Times New Roman" w:hAnsi="Calibri" w:cs="Calibri"/>
                <w:b/>
                <w:sz w:val="18"/>
                <w:szCs w:val="18"/>
                <w:lang w:val="en-AU"/>
              </w:rPr>
              <w:t>Do not discharge energy</w:t>
            </w:r>
          </w:p>
        </w:tc>
      </w:tr>
      <w:tr w:rsidR="00A37634" w:rsidRPr="00A37634" w14:paraId="7C96F880" w14:textId="77777777" w:rsidTr="007C7289">
        <w:trPr>
          <w:jc w:val="center"/>
        </w:trPr>
        <w:tc>
          <w:tcPr>
            <w:tcW w:w="2122" w:type="dxa"/>
          </w:tcPr>
          <w:p w14:paraId="4553AB7D" w14:textId="77777777" w:rsidR="00A37634" w:rsidRPr="00A37634" w:rsidRDefault="00A37634" w:rsidP="00A37634">
            <w:pPr>
              <w:tabs>
                <w:tab w:val="left" w:pos="3293"/>
              </w:tabs>
              <w:spacing w:before="60" w:after="60" w:line="240" w:lineRule="auto"/>
              <w:ind w:left="35"/>
              <w:rPr>
                <w:rFonts w:ascii="Calibri" w:eastAsia="Times New Roman" w:hAnsi="Calibri" w:cs="Calibri"/>
                <w:sz w:val="18"/>
                <w:szCs w:val="18"/>
                <w:lang w:val="en-AU"/>
              </w:rPr>
            </w:pPr>
            <w:r w:rsidRPr="00A37634">
              <w:rPr>
                <w:rFonts w:ascii="Calibri" w:eastAsia="Times New Roman" w:hAnsi="Calibri" w:cs="Calibri"/>
                <w:sz w:val="18"/>
                <w:szCs w:val="18"/>
                <w:lang w:val="en-AU"/>
              </w:rPr>
              <w:t>Air conditioners</w:t>
            </w:r>
          </w:p>
        </w:tc>
        <w:tc>
          <w:tcPr>
            <w:tcW w:w="1275" w:type="dxa"/>
          </w:tcPr>
          <w:p w14:paraId="35E6B945" w14:textId="2E66F33C"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3.1 (a); 2(</w:t>
            </w:r>
            <w:r w:rsidR="00330B10">
              <w:rPr>
                <w:rFonts w:ascii="Calibri" w:eastAsia="Times New Roman" w:hAnsi="Calibri" w:cs="Calibri"/>
                <w:sz w:val="18"/>
                <w:szCs w:val="18"/>
                <w:lang w:val="en-AU"/>
              </w:rPr>
              <w:t>c</w:t>
            </w:r>
            <w:r w:rsidRPr="00A37634">
              <w:rPr>
                <w:rFonts w:ascii="Calibri" w:eastAsia="Times New Roman" w:hAnsi="Calibri" w:cs="Calibri"/>
                <w:sz w:val="18"/>
                <w:szCs w:val="18"/>
                <w:lang w:val="en-AU"/>
              </w:rPr>
              <w:t>)</w:t>
            </w:r>
          </w:p>
        </w:tc>
        <w:tc>
          <w:tcPr>
            <w:tcW w:w="993" w:type="dxa"/>
          </w:tcPr>
          <w:p w14:paraId="6F5E6441"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NA</w:t>
            </w:r>
          </w:p>
        </w:tc>
        <w:tc>
          <w:tcPr>
            <w:tcW w:w="949" w:type="dxa"/>
          </w:tcPr>
          <w:p w14:paraId="133909CD"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1</w:t>
            </w:r>
          </w:p>
        </w:tc>
        <w:tc>
          <w:tcPr>
            <w:tcW w:w="1072" w:type="dxa"/>
          </w:tcPr>
          <w:p w14:paraId="0E39BE70"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2,3</w:t>
            </w:r>
          </w:p>
        </w:tc>
        <w:tc>
          <w:tcPr>
            <w:tcW w:w="1073" w:type="dxa"/>
          </w:tcPr>
          <w:p w14:paraId="584B94AB"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NA</w:t>
            </w:r>
          </w:p>
        </w:tc>
        <w:tc>
          <w:tcPr>
            <w:tcW w:w="1072" w:type="dxa"/>
          </w:tcPr>
          <w:p w14:paraId="669356FC"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NA</w:t>
            </w:r>
          </w:p>
        </w:tc>
        <w:tc>
          <w:tcPr>
            <w:tcW w:w="1073" w:type="dxa"/>
          </w:tcPr>
          <w:p w14:paraId="3D7CECD8"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NA</w:t>
            </w:r>
          </w:p>
        </w:tc>
      </w:tr>
      <w:tr w:rsidR="00A37634" w:rsidRPr="00A37634" w14:paraId="6EA8C34A" w14:textId="77777777" w:rsidTr="007C7289">
        <w:trPr>
          <w:jc w:val="center"/>
        </w:trPr>
        <w:tc>
          <w:tcPr>
            <w:tcW w:w="2122" w:type="dxa"/>
          </w:tcPr>
          <w:p w14:paraId="46C84521" w14:textId="77777777" w:rsidR="00A37634" w:rsidRPr="00A37634" w:rsidRDefault="00A37634" w:rsidP="00A37634">
            <w:pPr>
              <w:tabs>
                <w:tab w:val="left" w:pos="3293"/>
              </w:tabs>
              <w:spacing w:before="60" w:after="60" w:line="240" w:lineRule="auto"/>
              <w:ind w:left="35"/>
              <w:rPr>
                <w:rFonts w:ascii="Calibri" w:eastAsia="Times New Roman" w:hAnsi="Calibri" w:cs="Calibri"/>
                <w:sz w:val="18"/>
                <w:szCs w:val="18"/>
                <w:lang w:val="en-AU"/>
              </w:rPr>
            </w:pPr>
            <w:r w:rsidRPr="00A37634">
              <w:rPr>
                <w:rFonts w:ascii="Calibri" w:eastAsia="Times New Roman" w:hAnsi="Calibri" w:cs="Calibri"/>
                <w:sz w:val="18"/>
                <w:szCs w:val="18"/>
                <w:lang w:val="en-AU"/>
              </w:rPr>
              <w:t>Pool pump controllers</w:t>
            </w:r>
          </w:p>
        </w:tc>
        <w:tc>
          <w:tcPr>
            <w:tcW w:w="1275" w:type="dxa"/>
          </w:tcPr>
          <w:p w14:paraId="0C10DBEF" w14:textId="6DDB1DA4"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3.2 (</w:t>
            </w:r>
            <w:r w:rsidR="00330B10">
              <w:rPr>
                <w:rFonts w:ascii="Calibri" w:eastAsia="Times New Roman" w:hAnsi="Calibri" w:cs="Calibri"/>
                <w:sz w:val="18"/>
                <w:szCs w:val="18"/>
                <w:lang w:val="en-AU"/>
              </w:rPr>
              <w:t>b</w:t>
            </w:r>
            <w:r w:rsidRPr="00A37634">
              <w:rPr>
                <w:rFonts w:ascii="Calibri" w:eastAsia="Times New Roman" w:hAnsi="Calibri" w:cs="Calibri"/>
                <w:sz w:val="18"/>
                <w:szCs w:val="18"/>
                <w:lang w:val="en-AU"/>
              </w:rPr>
              <w:t>); 2(</w:t>
            </w:r>
            <w:r w:rsidR="00330B10">
              <w:rPr>
                <w:rFonts w:ascii="Calibri" w:eastAsia="Times New Roman" w:hAnsi="Calibri" w:cs="Calibri"/>
                <w:sz w:val="18"/>
                <w:szCs w:val="18"/>
                <w:lang w:val="en-AU"/>
              </w:rPr>
              <w:t>c</w:t>
            </w:r>
            <w:r w:rsidRPr="00A37634">
              <w:rPr>
                <w:rFonts w:ascii="Calibri" w:eastAsia="Times New Roman" w:hAnsi="Calibri" w:cs="Calibri"/>
                <w:sz w:val="18"/>
                <w:szCs w:val="18"/>
                <w:lang w:val="en-AU"/>
              </w:rPr>
              <w:t>)</w:t>
            </w:r>
          </w:p>
        </w:tc>
        <w:tc>
          <w:tcPr>
            <w:tcW w:w="993" w:type="dxa"/>
          </w:tcPr>
          <w:p w14:paraId="7DD2043C"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NA</w:t>
            </w:r>
          </w:p>
        </w:tc>
        <w:tc>
          <w:tcPr>
            <w:tcW w:w="949" w:type="dxa"/>
          </w:tcPr>
          <w:p w14:paraId="7CF97CA3"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1</w:t>
            </w:r>
          </w:p>
        </w:tc>
        <w:tc>
          <w:tcPr>
            <w:tcW w:w="1072" w:type="dxa"/>
          </w:tcPr>
          <w:p w14:paraId="0A2F6963" w14:textId="4D101A1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2</w:t>
            </w:r>
            <w:r w:rsidR="00107DBC">
              <w:rPr>
                <w:rFonts w:ascii="Calibri" w:eastAsia="Times New Roman" w:hAnsi="Calibri" w:cs="Calibri"/>
                <w:sz w:val="18"/>
                <w:szCs w:val="18"/>
                <w:lang w:val="en-AU"/>
              </w:rPr>
              <w:t xml:space="preserve"> (g)</w:t>
            </w:r>
          </w:p>
        </w:tc>
        <w:tc>
          <w:tcPr>
            <w:tcW w:w="1073" w:type="dxa"/>
          </w:tcPr>
          <w:p w14:paraId="57EAAB4B" w14:textId="6DD40A35"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4</w:t>
            </w:r>
            <w:r w:rsidR="00107DBC">
              <w:rPr>
                <w:rFonts w:ascii="Calibri" w:eastAsia="Times New Roman" w:hAnsi="Calibri" w:cs="Calibri"/>
                <w:sz w:val="18"/>
                <w:szCs w:val="18"/>
                <w:lang w:val="en-AU"/>
              </w:rPr>
              <w:t xml:space="preserve"> (g)</w:t>
            </w:r>
          </w:p>
        </w:tc>
        <w:tc>
          <w:tcPr>
            <w:tcW w:w="1072" w:type="dxa"/>
          </w:tcPr>
          <w:p w14:paraId="60BA3C27"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NA</w:t>
            </w:r>
          </w:p>
        </w:tc>
        <w:tc>
          <w:tcPr>
            <w:tcW w:w="1073" w:type="dxa"/>
          </w:tcPr>
          <w:p w14:paraId="63A29130"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NA</w:t>
            </w:r>
          </w:p>
        </w:tc>
      </w:tr>
      <w:tr w:rsidR="00A37634" w:rsidRPr="00A37634" w14:paraId="3F6AB5B9" w14:textId="77777777" w:rsidTr="007C7289">
        <w:trPr>
          <w:jc w:val="center"/>
        </w:trPr>
        <w:tc>
          <w:tcPr>
            <w:tcW w:w="2122" w:type="dxa"/>
          </w:tcPr>
          <w:p w14:paraId="5B58DA74" w14:textId="77777777" w:rsidR="00A37634" w:rsidRPr="00A37634" w:rsidRDefault="00A37634" w:rsidP="00A37634">
            <w:pPr>
              <w:tabs>
                <w:tab w:val="left" w:pos="3293"/>
              </w:tabs>
              <w:spacing w:before="60" w:after="60" w:line="240" w:lineRule="auto"/>
              <w:ind w:left="35"/>
              <w:rPr>
                <w:rFonts w:ascii="Calibri" w:eastAsia="Times New Roman" w:hAnsi="Calibri" w:cs="Calibri"/>
                <w:sz w:val="18"/>
                <w:szCs w:val="18"/>
                <w:lang w:val="en-AU"/>
              </w:rPr>
            </w:pPr>
            <w:r w:rsidRPr="00A37634">
              <w:rPr>
                <w:rFonts w:ascii="Calibri" w:eastAsia="Times New Roman" w:hAnsi="Calibri" w:cs="Calibri"/>
                <w:sz w:val="18"/>
                <w:szCs w:val="18"/>
                <w:lang w:val="en-AU"/>
              </w:rPr>
              <w:t>Electric water heaters</w:t>
            </w:r>
          </w:p>
        </w:tc>
        <w:tc>
          <w:tcPr>
            <w:tcW w:w="1275" w:type="dxa"/>
          </w:tcPr>
          <w:p w14:paraId="7AC1759E" w14:textId="33EDB83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3.3 (</w:t>
            </w:r>
            <w:r w:rsidR="00330B10">
              <w:rPr>
                <w:rFonts w:ascii="Calibri" w:eastAsia="Times New Roman" w:hAnsi="Calibri" w:cs="Calibri"/>
                <w:sz w:val="18"/>
                <w:szCs w:val="18"/>
                <w:lang w:val="en-AU"/>
              </w:rPr>
              <w:t>b</w:t>
            </w:r>
            <w:r w:rsidRPr="00A37634">
              <w:rPr>
                <w:rFonts w:ascii="Calibri" w:eastAsia="Times New Roman" w:hAnsi="Calibri" w:cs="Calibri"/>
                <w:sz w:val="18"/>
                <w:szCs w:val="18"/>
                <w:lang w:val="en-AU"/>
              </w:rPr>
              <w:t>); 2(</w:t>
            </w:r>
            <w:r w:rsidR="00330B10">
              <w:rPr>
                <w:rFonts w:ascii="Calibri" w:eastAsia="Times New Roman" w:hAnsi="Calibri" w:cs="Calibri"/>
                <w:sz w:val="18"/>
                <w:szCs w:val="18"/>
                <w:lang w:val="en-AU"/>
              </w:rPr>
              <w:t>c</w:t>
            </w:r>
            <w:r w:rsidRPr="00A37634">
              <w:rPr>
                <w:rFonts w:ascii="Calibri" w:eastAsia="Times New Roman" w:hAnsi="Calibri" w:cs="Calibri"/>
                <w:sz w:val="18"/>
                <w:szCs w:val="18"/>
                <w:lang w:val="en-AU"/>
              </w:rPr>
              <w:t>)</w:t>
            </w:r>
          </w:p>
        </w:tc>
        <w:tc>
          <w:tcPr>
            <w:tcW w:w="993" w:type="dxa"/>
          </w:tcPr>
          <w:p w14:paraId="6ACA3AA9"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NA</w:t>
            </w:r>
          </w:p>
        </w:tc>
        <w:tc>
          <w:tcPr>
            <w:tcW w:w="949" w:type="dxa"/>
          </w:tcPr>
          <w:p w14:paraId="6B3966CB"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1</w:t>
            </w:r>
          </w:p>
        </w:tc>
        <w:tc>
          <w:tcPr>
            <w:tcW w:w="1072" w:type="dxa"/>
          </w:tcPr>
          <w:p w14:paraId="14296E43" w14:textId="63E2E3AE" w:rsidR="00A37634" w:rsidRPr="00A37634" w:rsidRDefault="00215138" w:rsidP="00A37634">
            <w:pPr>
              <w:tabs>
                <w:tab w:val="left" w:pos="3293"/>
              </w:tabs>
              <w:spacing w:before="60" w:after="60" w:line="240" w:lineRule="auto"/>
              <w:ind w:left="35"/>
              <w:jc w:val="center"/>
              <w:rPr>
                <w:rFonts w:ascii="Calibri" w:eastAsia="Times New Roman" w:hAnsi="Calibri" w:cs="Calibri"/>
                <w:sz w:val="18"/>
                <w:szCs w:val="18"/>
                <w:lang w:val="en-AU"/>
              </w:rPr>
            </w:pPr>
            <w:r>
              <w:rPr>
                <w:rFonts w:ascii="Calibri" w:eastAsia="Times New Roman" w:hAnsi="Calibri" w:cs="Calibri"/>
                <w:sz w:val="18"/>
                <w:szCs w:val="18"/>
                <w:lang w:val="en-AU"/>
              </w:rPr>
              <w:t xml:space="preserve">Optional </w:t>
            </w:r>
          </w:p>
        </w:tc>
        <w:tc>
          <w:tcPr>
            <w:tcW w:w="1073" w:type="dxa"/>
          </w:tcPr>
          <w:p w14:paraId="1477C534" w14:textId="34EEFF6B" w:rsidR="00A37634" w:rsidRPr="00A37634" w:rsidRDefault="00215138" w:rsidP="00A37634">
            <w:pPr>
              <w:tabs>
                <w:tab w:val="left" w:pos="3293"/>
              </w:tabs>
              <w:spacing w:before="60" w:after="60" w:line="240" w:lineRule="auto"/>
              <w:ind w:left="35"/>
              <w:jc w:val="center"/>
              <w:rPr>
                <w:rFonts w:ascii="Calibri" w:eastAsia="Times New Roman" w:hAnsi="Calibri" w:cs="Calibri"/>
                <w:sz w:val="18"/>
                <w:szCs w:val="18"/>
                <w:lang w:val="en-AU"/>
              </w:rPr>
            </w:pPr>
            <w:r>
              <w:rPr>
                <w:rFonts w:ascii="Calibri" w:eastAsia="Times New Roman" w:hAnsi="Calibri" w:cs="Calibri"/>
                <w:sz w:val="18"/>
                <w:szCs w:val="18"/>
                <w:lang w:val="en-AU"/>
              </w:rPr>
              <w:t xml:space="preserve">Optional </w:t>
            </w:r>
          </w:p>
        </w:tc>
        <w:tc>
          <w:tcPr>
            <w:tcW w:w="1072" w:type="dxa"/>
          </w:tcPr>
          <w:p w14:paraId="51D50C98" w14:textId="4424E13D" w:rsidR="00A37634" w:rsidRPr="00A37634" w:rsidRDefault="00215138" w:rsidP="00A37634">
            <w:pPr>
              <w:tabs>
                <w:tab w:val="left" w:pos="3293"/>
              </w:tabs>
              <w:spacing w:before="60" w:after="60" w:line="240" w:lineRule="auto"/>
              <w:ind w:left="35"/>
              <w:jc w:val="center"/>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1073" w:type="dxa"/>
          </w:tcPr>
          <w:p w14:paraId="7550FF9A"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NA</w:t>
            </w:r>
          </w:p>
        </w:tc>
      </w:tr>
      <w:tr w:rsidR="00A37634" w:rsidRPr="00A37634" w14:paraId="0D35543F" w14:textId="77777777" w:rsidTr="007C7289">
        <w:trPr>
          <w:jc w:val="center"/>
        </w:trPr>
        <w:tc>
          <w:tcPr>
            <w:tcW w:w="2122" w:type="dxa"/>
          </w:tcPr>
          <w:p w14:paraId="7BCA60EE" w14:textId="77777777" w:rsidR="00A37634" w:rsidRPr="00A37634" w:rsidRDefault="00A37634" w:rsidP="00A37634">
            <w:pPr>
              <w:tabs>
                <w:tab w:val="left" w:pos="3293"/>
              </w:tabs>
              <w:spacing w:before="60" w:after="60" w:line="240" w:lineRule="auto"/>
              <w:ind w:left="35"/>
              <w:rPr>
                <w:rFonts w:ascii="Calibri" w:eastAsia="Times New Roman" w:hAnsi="Calibri" w:cs="Calibri"/>
                <w:sz w:val="18"/>
                <w:szCs w:val="18"/>
                <w:lang w:val="en-AU"/>
              </w:rPr>
            </w:pPr>
            <w:r w:rsidRPr="00A37634">
              <w:rPr>
                <w:rFonts w:ascii="Calibri" w:eastAsia="Times New Roman" w:hAnsi="Calibri" w:cs="Calibri"/>
                <w:sz w:val="18"/>
                <w:szCs w:val="18"/>
                <w:lang w:val="en-AU"/>
              </w:rPr>
              <w:t xml:space="preserve">Electric vehicle chargers </w:t>
            </w:r>
          </w:p>
        </w:tc>
        <w:tc>
          <w:tcPr>
            <w:tcW w:w="1275" w:type="dxa"/>
          </w:tcPr>
          <w:p w14:paraId="1DF58BCA" w14:textId="359BA8D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3.4 (</w:t>
            </w:r>
            <w:r w:rsidR="00330B10">
              <w:rPr>
                <w:rFonts w:ascii="Calibri" w:eastAsia="Times New Roman" w:hAnsi="Calibri" w:cs="Calibri"/>
                <w:sz w:val="18"/>
                <w:szCs w:val="18"/>
                <w:lang w:val="en-AU"/>
              </w:rPr>
              <w:t>d</w:t>
            </w:r>
            <w:r w:rsidRPr="00A37634">
              <w:rPr>
                <w:rFonts w:ascii="Calibri" w:eastAsia="Times New Roman" w:hAnsi="Calibri" w:cs="Calibri"/>
                <w:sz w:val="18"/>
                <w:szCs w:val="18"/>
                <w:lang w:val="en-AU"/>
              </w:rPr>
              <w:t>)</w:t>
            </w:r>
          </w:p>
        </w:tc>
        <w:tc>
          <w:tcPr>
            <w:tcW w:w="993" w:type="dxa"/>
          </w:tcPr>
          <w:p w14:paraId="70008BA3" w14:textId="5154A40E"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DRM0 (</w:t>
            </w:r>
            <w:r w:rsidR="00107DBC">
              <w:rPr>
                <w:rFonts w:ascii="Calibri" w:eastAsia="Times New Roman" w:hAnsi="Calibri" w:cs="Calibri"/>
                <w:sz w:val="18"/>
                <w:szCs w:val="18"/>
                <w:lang w:val="en-AU"/>
              </w:rPr>
              <w:t>f</w:t>
            </w:r>
            <w:r w:rsidRPr="00A37634">
              <w:rPr>
                <w:rFonts w:ascii="Calibri" w:eastAsia="Times New Roman" w:hAnsi="Calibri" w:cs="Calibri"/>
                <w:sz w:val="18"/>
                <w:szCs w:val="18"/>
                <w:lang w:val="en-AU"/>
              </w:rPr>
              <w:t>)</w:t>
            </w:r>
          </w:p>
        </w:tc>
        <w:tc>
          <w:tcPr>
            <w:tcW w:w="949" w:type="dxa"/>
          </w:tcPr>
          <w:p w14:paraId="5FF9E273"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1</w:t>
            </w:r>
          </w:p>
        </w:tc>
        <w:tc>
          <w:tcPr>
            <w:tcW w:w="1072" w:type="dxa"/>
          </w:tcPr>
          <w:p w14:paraId="107147E5"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2,3</w:t>
            </w:r>
          </w:p>
        </w:tc>
        <w:tc>
          <w:tcPr>
            <w:tcW w:w="1073" w:type="dxa"/>
          </w:tcPr>
          <w:p w14:paraId="64DFE82B"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4</w:t>
            </w:r>
          </w:p>
        </w:tc>
        <w:tc>
          <w:tcPr>
            <w:tcW w:w="1072" w:type="dxa"/>
          </w:tcPr>
          <w:p w14:paraId="7CDA9A80" w14:textId="6A05F9CA"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8 (</w:t>
            </w:r>
            <w:r w:rsidR="00107DBC">
              <w:rPr>
                <w:rFonts w:ascii="Calibri" w:eastAsia="Times New Roman" w:hAnsi="Calibri" w:cs="Calibri"/>
                <w:sz w:val="18"/>
                <w:szCs w:val="18"/>
                <w:lang w:val="en-AU"/>
              </w:rPr>
              <w:t>e</w:t>
            </w:r>
            <w:r w:rsidRPr="00A37634">
              <w:rPr>
                <w:rFonts w:ascii="Calibri" w:eastAsia="Times New Roman" w:hAnsi="Calibri" w:cs="Calibri"/>
                <w:sz w:val="18"/>
                <w:szCs w:val="18"/>
                <w:lang w:val="en-AU"/>
              </w:rPr>
              <w:t>)</w:t>
            </w:r>
          </w:p>
        </w:tc>
        <w:tc>
          <w:tcPr>
            <w:tcW w:w="1073" w:type="dxa"/>
          </w:tcPr>
          <w:p w14:paraId="69661B61"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8"/>
                <w:szCs w:val="18"/>
                <w:lang w:val="en-AU"/>
              </w:rPr>
            </w:pPr>
            <w:r w:rsidRPr="00A37634">
              <w:rPr>
                <w:rFonts w:ascii="Calibri" w:eastAsia="Times New Roman" w:hAnsi="Calibri" w:cs="Calibri"/>
                <w:sz w:val="18"/>
                <w:szCs w:val="18"/>
                <w:lang w:val="en-AU"/>
              </w:rPr>
              <w:t>DRM 5 (e)</w:t>
            </w:r>
          </w:p>
        </w:tc>
      </w:tr>
    </w:tbl>
    <w:p w14:paraId="51EDBFF7" w14:textId="61980522"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 xml:space="preserve">(a) </w:t>
      </w:r>
      <w:r w:rsidR="00330B10">
        <w:rPr>
          <w:rFonts w:ascii="Calibri" w:eastAsia="Cambria" w:hAnsi="Calibri" w:cs="Calibri"/>
          <w:sz w:val="16"/>
          <w:szCs w:val="24"/>
          <w:lang w:val="en-AU"/>
        </w:rPr>
        <w:t>Either 2012 or 2014 version. (b) 2014 version. (c</w:t>
      </w:r>
      <w:r w:rsidRPr="00A37634">
        <w:rPr>
          <w:rFonts w:ascii="Calibri" w:eastAsia="Cambria" w:hAnsi="Calibri" w:cs="Calibri"/>
          <w:sz w:val="16"/>
          <w:szCs w:val="24"/>
          <w:lang w:val="en-AU"/>
        </w:rPr>
        <w:t>) Draft AS4755.2</w:t>
      </w:r>
      <w:r w:rsidR="00330B10">
        <w:rPr>
          <w:rFonts w:ascii="Calibri" w:eastAsia="Cambria" w:hAnsi="Calibri" w:cs="Calibri"/>
          <w:sz w:val="16"/>
          <w:szCs w:val="24"/>
          <w:lang w:val="en-AU"/>
        </w:rPr>
        <w:t>.</w:t>
      </w:r>
      <w:r w:rsidRPr="00A37634">
        <w:rPr>
          <w:rFonts w:ascii="Calibri" w:eastAsia="Cambria" w:hAnsi="Calibri" w:cs="Calibri"/>
          <w:sz w:val="16"/>
          <w:szCs w:val="24"/>
          <w:lang w:val="en-AU"/>
        </w:rPr>
        <w:t xml:space="preserve"> (</w:t>
      </w:r>
      <w:r w:rsidR="00107DBC">
        <w:rPr>
          <w:rFonts w:ascii="Calibri" w:eastAsia="Cambria" w:hAnsi="Calibri" w:cs="Calibri"/>
          <w:sz w:val="16"/>
          <w:szCs w:val="24"/>
          <w:lang w:val="en-AU"/>
        </w:rPr>
        <w:t>d</w:t>
      </w:r>
      <w:r w:rsidRPr="00A37634">
        <w:rPr>
          <w:rFonts w:ascii="Calibri" w:eastAsia="Cambria" w:hAnsi="Calibri" w:cs="Calibri"/>
          <w:sz w:val="16"/>
          <w:szCs w:val="24"/>
          <w:lang w:val="en-AU"/>
        </w:rPr>
        <w:t>) Unpublished draft – would need to be brought to publication or the contents incorporated in a GEMS determination or similar. (</w:t>
      </w:r>
      <w:r w:rsidR="00107DBC">
        <w:rPr>
          <w:rFonts w:ascii="Calibri" w:eastAsia="Cambria" w:hAnsi="Calibri" w:cs="Calibri"/>
          <w:sz w:val="16"/>
          <w:szCs w:val="24"/>
          <w:lang w:val="en-AU"/>
        </w:rPr>
        <w:t>e</w:t>
      </w:r>
      <w:r w:rsidRPr="00A37634">
        <w:rPr>
          <w:rFonts w:ascii="Calibri" w:eastAsia="Cambria" w:hAnsi="Calibri" w:cs="Calibri"/>
          <w:sz w:val="16"/>
          <w:szCs w:val="24"/>
          <w:lang w:val="en-AU"/>
        </w:rPr>
        <w:t>) AS/NZS 4755 framework includes DRMs 6 and 7 to constrain the rate of discharge, but these would not be mandatory. (</w:t>
      </w:r>
      <w:r w:rsidR="00107DBC">
        <w:rPr>
          <w:rFonts w:ascii="Calibri" w:eastAsia="Cambria" w:hAnsi="Calibri" w:cs="Calibri"/>
          <w:sz w:val="16"/>
          <w:szCs w:val="24"/>
          <w:lang w:val="en-AU"/>
        </w:rPr>
        <w:t>f</w:t>
      </w:r>
      <w:r w:rsidRPr="00A37634">
        <w:rPr>
          <w:rFonts w:ascii="Calibri" w:eastAsia="Cambria" w:hAnsi="Calibri" w:cs="Calibri"/>
          <w:sz w:val="16"/>
          <w:szCs w:val="24"/>
          <w:lang w:val="en-AU"/>
        </w:rPr>
        <w:t>) Mandatory safety modes for products capable of discharge to grid.</w:t>
      </w:r>
      <w:r w:rsidR="00107DBC">
        <w:rPr>
          <w:rFonts w:ascii="Calibri" w:eastAsia="Cambria" w:hAnsi="Calibri" w:cs="Calibri"/>
          <w:sz w:val="16"/>
          <w:szCs w:val="24"/>
          <w:lang w:val="en-AU"/>
        </w:rPr>
        <w:t xml:space="preserve"> (g) After </w:t>
      </w:r>
      <w:proofErr w:type="gramStart"/>
      <w:r w:rsidR="00107DBC">
        <w:rPr>
          <w:rFonts w:ascii="Calibri" w:eastAsia="Cambria" w:hAnsi="Calibri" w:cs="Calibri"/>
          <w:sz w:val="16"/>
          <w:szCs w:val="24"/>
          <w:lang w:val="en-AU"/>
        </w:rPr>
        <w:t>2 year</w:t>
      </w:r>
      <w:proofErr w:type="gramEnd"/>
      <w:r w:rsidR="00107DBC">
        <w:rPr>
          <w:rFonts w:ascii="Calibri" w:eastAsia="Cambria" w:hAnsi="Calibri" w:cs="Calibri"/>
          <w:sz w:val="16"/>
          <w:szCs w:val="24"/>
          <w:lang w:val="en-AU"/>
        </w:rPr>
        <w:t xml:space="preserve"> delay.</w:t>
      </w:r>
    </w:p>
    <w:p w14:paraId="53ABD438" w14:textId="77777777" w:rsidR="00F13AB4" w:rsidRDefault="00F13AB4" w:rsidP="00A37634">
      <w:pPr>
        <w:spacing w:before="120" w:after="120" w:line="276" w:lineRule="auto"/>
        <w:rPr>
          <w:rFonts w:ascii="Calibri" w:eastAsia="Calibri" w:hAnsi="Calibri" w:cs="Calibri"/>
          <w:szCs w:val="20"/>
          <w:lang w:val="en-AU"/>
        </w:rPr>
      </w:pPr>
    </w:p>
    <w:p w14:paraId="28EA40B9" w14:textId="767ACBFC"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Of the 3,942 AC models registered on </w:t>
      </w:r>
      <w:hyperlink r:id="rId22" w:history="1">
        <w:r w:rsidR="00B915B7" w:rsidRPr="002325DE">
          <w:rPr>
            <w:rStyle w:val="Hyperlink"/>
            <w:rFonts w:ascii="Calibri" w:eastAsia="Calibri" w:hAnsi="Calibri" w:cs="Calibri"/>
            <w:szCs w:val="20"/>
            <w:lang w:val="en-AU"/>
          </w:rPr>
          <w:t>www.energyrating.gov.au</w:t>
        </w:r>
      </w:hyperlink>
      <w:r w:rsidR="00B915B7">
        <w:rPr>
          <w:rFonts w:ascii="Calibri" w:eastAsia="Calibri" w:hAnsi="Calibri" w:cs="Calibri"/>
          <w:szCs w:val="20"/>
          <w:lang w:val="en-AU"/>
        </w:rPr>
        <w:t xml:space="preserve"> </w:t>
      </w:r>
      <w:r w:rsidRPr="00A37634">
        <w:rPr>
          <w:rFonts w:ascii="Calibri" w:eastAsia="Calibri" w:hAnsi="Calibri" w:cs="Calibri"/>
          <w:szCs w:val="20"/>
          <w:lang w:val="en-AU"/>
        </w:rPr>
        <w:t>in April 2019, 54% claim compliance with AS/NZS 4755.3.1, and of those about 95% claim DRM 2 and DRM 3 as well as DRM 1</w:t>
      </w:r>
      <w:r w:rsidR="00107DBC">
        <w:rPr>
          <w:rFonts w:ascii="Calibri" w:eastAsia="Calibri" w:hAnsi="Calibri" w:cs="Calibri"/>
          <w:szCs w:val="20"/>
          <w:lang w:val="en-AU"/>
        </w:rPr>
        <w:t xml:space="preserve">. The </w:t>
      </w:r>
      <w:r w:rsidRPr="00A37634">
        <w:rPr>
          <w:rFonts w:ascii="Calibri" w:eastAsia="Calibri" w:hAnsi="Calibri" w:cs="Calibri"/>
          <w:szCs w:val="20"/>
          <w:lang w:val="en-AU"/>
        </w:rPr>
        <w:t>actual compliance rate is likely to be around 33%, based on PeakSmart approved models</w:t>
      </w:r>
      <w:r w:rsidR="00107DBC">
        <w:rPr>
          <w:rFonts w:ascii="Calibri" w:eastAsia="Calibri" w:hAnsi="Calibri" w:cs="Calibri"/>
          <w:szCs w:val="20"/>
          <w:lang w:val="en-AU"/>
        </w:rPr>
        <w:t>, all of which have all three DRMs.</w:t>
      </w:r>
      <w:r w:rsidRPr="00A37634">
        <w:rPr>
          <w:rFonts w:ascii="Calibri" w:eastAsia="Calibri" w:hAnsi="Calibri" w:cs="Calibri"/>
          <w:szCs w:val="20"/>
          <w:lang w:val="en-AU"/>
        </w:rPr>
        <w:t xml:space="preserve"> </w:t>
      </w:r>
      <w:r w:rsidR="00107DBC">
        <w:rPr>
          <w:rFonts w:ascii="Calibri" w:eastAsia="Calibri" w:hAnsi="Calibri" w:cs="Calibri"/>
          <w:szCs w:val="20"/>
          <w:lang w:val="en-AU"/>
        </w:rPr>
        <w:lastRenderedPageBreak/>
        <w:t>Most m</w:t>
      </w:r>
      <w:r w:rsidRPr="00A37634">
        <w:rPr>
          <w:rFonts w:ascii="Calibri" w:eastAsia="Calibri" w:hAnsi="Calibri" w:cs="Calibri"/>
          <w:szCs w:val="20"/>
          <w:lang w:val="en-AU"/>
        </w:rPr>
        <w:t xml:space="preserve">anufacturers have indicated that providing the full range of DRMs is no </w:t>
      </w:r>
      <w:proofErr w:type="gramStart"/>
      <w:r w:rsidRPr="00A37634">
        <w:rPr>
          <w:rFonts w:ascii="Calibri" w:eastAsia="Calibri" w:hAnsi="Calibri" w:cs="Calibri"/>
          <w:szCs w:val="20"/>
          <w:lang w:val="en-AU"/>
        </w:rPr>
        <w:t>more costly</w:t>
      </w:r>
      <w:proofErr w:type="gramEnd"/>
      <w:r w:rsidRPr="00A37634">
        <w:rPr>
          <w:rFonts w:ascii="Calibri" w:eastAsia="Calibri" w:hAnsi="Calibri" w:cs="Calibri"/>
          <w:szCs w:val="20"/>
          <w:lang w:val="en-AU"/>
        </w:rPr>
        <w:t xml:space="preserve"> than providing DRM 1 alone.</w:t>
      </w:r>
    </w:p>
    <w:p w14:paraId="3DC1B274" w14:textId="41C3ED1B" w:rsidR="00A37634" w:rsidRPr="00A37634" w:rsidRDefault="00107DBC"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A major objective of the proposal is to provide the capability to switch on electric water heaters, pool pumps and EV chargers </w:t>
      </w:r>
      <w:proofErr w:type="gramStart"/>
      <w:r w:rsidRPr="00A37634">
        <w:rPr>
          <w:rFonts w:ascii="Calibri" w:eastAsia="Calibri" w:hAnsi="Calibri" w:cs="Calibri"/>
          <w:szCs w:val="20"/>
          <w:lang w:val="en-AU"/>
        </w:rPr>
        <w:t>in order to</w:t>
      </w:r>
      <w:proofErr w:type="gramEnd"/>
      <w:r w:rsidRPr="00A37634">
        <w:rPr>
          <w:rFonts w:ascii="Calibri" w:eastAsia="Calibri" w:hAnsi="Calibri" w:cs="Calibri"/>
          <w:szCs w:val="20"/>
          <w:lang w:val="en-AU"/>
        </w:rPr>
        <w:t xml:space="preserve"> shift load into excess supply periods</w:t>
      </w:r>
      <w:r>
        <w:rPr>
          <w:rFonts w:ascii="Calibri" w:eastAsia="Calibri" w:hAnsi="Calibri" w:cs="Calibri"/>
          <w:szCs w:val="20"/>
          <w:lang w:val="en-AU"/>
        </w:rPr>
        <w:t>. This can be achieved by managing DRM 1 in water heaters. For pool pumps, it</w:t>
      </w:r>
      <w:r w:rsidR="00A37634" w:rsidRPr="00A37634">
        <w:rPr>
          <w:rFonts w:ascii="Calibri" w:eastAsia="Calibri" w:hAnsi="Calibri" w:cs="Calibri"/>
          <w:szCs w:val="20"/>
          <w:lang w:val="en-AU"/>
        </w:rPr>
        <w:t xml:space="preserve"> is also proposed to mandate </w:t>
      </w:r>
      <w:r>
        <w:rPr>
          <w:rFonts w:ascii="Calibri" w:eastAsia="Calibri" w:hAnsi="Calibri" w:cs="Calibri"/>
          <w:szCs w:val="20"/>
          <w:lang w:val="en-AU"/>
        </w:rPr>
        <w:t xml:space="preserve">DRM 1 </w:t>
      </w:r>
      <w:r w:rsidR="00BD3902">
        <w:rPr>
          <w:rFonts w:ascii="Calibri" w:eastAsia="Calibri" w:hAnsi="Calibri" w:cs="Calibri"/>
          <w:szCs w:val="20"/>
          <w:lang w:val="en-AU"/>
        </w:rPr>
        <w:t xml:space="preserve">initially and then require DRM2 and </w:t>
      </w:r>
      <w:r w:rsidR="00A37634" w:rsidRPr="00A37634">
        <w:rPr>
          <w:rFonts w:ascii="Calibri" w:eastAsia="Calibri" w:hAnsi="Calibri" w:cs="Calibri"/>
          <w:szCs w:val="20"/>
          <w:lang w:val="en-AU"/>
        </w:rPr>
        <w:t xml:space="preserve">DRM 4 (turn on) </w:t>
      </w:r>
      <w:r w:rsidR="00BD3902">
        <w:rPr>
          <w:rFonts w:ascii="Calibri" w:eastAsia="Calibri" w:hAnsi="Calibri" w:cs="Calibri"/>
          <w:szCs w:val="20"/>
          <w:lang w:val="en-AU"/>
        </w:rPr>
        <w:t>after a phase-in period.</w:t>
      </w:r>
      <w:r w:rsidR="00A37634" w:rsidRPr="00A37634">
        <w:rPr>
          <w:rFonts w:ascii="Calibri" w:eastAsia="Calibri" w:hAnsi="Calibri" w:cs="Calibri"/>
          <w:szCs w:val="20"/>
          <w:lang w:val="en-AU"/>
        </w:rPr>
        <w:t xml:space="preserve"> </w:t>
      </w:r>
      <w:r w:rsidR="00BD3902">
        <w:rPr>
          <w:rFonts w:ascii="Calibri" w:eastAsia="Calibri" w:hAnsi="Calibri" w:cs="Calibri"/>
          <w:szCs w:val="20"/>
          <w:lang w:val="en-AU"/>
        </w:rPr>
        <w:t>(</w:t>
      </w:r>
      <w:r w:rsidR="00A37634" w:rsidRPr="00A37634">
        <w:rPr>
          <w:rFonts w:ascii="Calibri" w:eastAsia="Calibri" w:hAnsi="Calibri" w:cs="Calibri"/>
          <w:szCs w:val="20"/>
          <w:lang w:val="en-AU"/>
        </w:rPr>
        <w:t>AS/NZS 4755 does not include a DRM 4 for ACs, because it would bring a significant risk of wasting energy on cooling or heating empty houses</w:t>
      </w:r>
      <w:r w:rsidR="00BD3902">
        <w:rPr>
          <w:rFonts w:ascii="Calibri" w:eastAsia="Calibri" w:hAnsi="Calibri" w:cs="Calibri"/>
          <w:szCs w:val="20"/>
          <w:lang w:val="en-AU"/>
        </w:rPr>
        <w:t>)</w:t>
      </w:r>
      <w:r w:rsidR="00A37634" w:rsidRPr="00A37634">
        <w:rPr>
          <w:rFonts w:ascii="Calibri" w:eastAsia="Calibri" w:hAnsi="Calibri" w:cs="Calibri"/>
          <w:szCs w:val="20"/>
          <w:lang w:val="en-AU"/>
        </w:rPr>
        <w:t>.</w:t>
      </w:r>
    </w:p>
    <w:p w14:paraId="4AE7DD4A" w14:textId="0F346B0C"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Products complying with AS/NZS 4755 have </w:t>
      </w:r>
      <w:proofErr w:type="gramStart"/>
      <w:r w:rsidRPr="00A37634">
        <w:rPr>
          <w:rFonts w:ascii="Calibri" w:eastAsia="Calibri" w:hAnsi="Calibri" w:cs="Calibri"/>
          <w:szCs w:val="20"/>
          <w:lang w:val="en-AU"/>
        </w:rPr>
        <w:t>particular advantages</w:t>
      </w:r>
      <w:proofErr w:type="gramEnd"/>
      <w:r w:rsidRPr="00A37634">
        <w:rPr>
          <w:rFonts w:ascii="Calibri" w:eastAsia="Calibri" w:hAnsi="Calibri" w:cs="Calibri"/>
          <w:szCs w:val="20"/>
          <w:lang w:val="en-AU"/>
        </w:rPr>
        <w:t xml:space="preserve"> for regulators and DRSPs. The demand reductions required under each DRM are quantified in relation to either a fixed reference point (for ACs, the kW when operating at the output capacity used to determine MEPS) or a dynamic reference point (for pool pump controllers, the average kW over the five minutes immediately preceding the DR event). There must be a measurable step change in demand within a specified time after a DR event commences, and this has been verified in field monitoring (Appendix </w:t>
      </w:r>
      <w:r w:rsidR="00BD3902">
        <w:rPr>
          <w:rFonts w:ascii="Calibri" w:eastAsia="Calibri" w:hAnsi="Calibri" w:cs="Calibri"/>
          <w:szCs w:val="20"/>
          <w:lang w:val="en-AU"/>
        </w:rPr>
        <w:t>3</w:t>
      </w:r>
      <w:r w:rsidRPr="00A37634">
        <w:rPr>
          <w:rFonts w:ascii="Calibri" w:eastAsia="Calibri" w:hAnsi="Calibri" w:cs="Calibri"/>
          <w:szCs w:val="20"/>
          <w:lang w:val="en-AU"/>
        </w:rPr>
        <w:t xml:space="preserve">). </w:t>
      </w:r>
    </w:p>
    <w:p w14:paraId="3C212EDC"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This simplifies the calculation of “baselines” – notional consumption patterns against which notional demand changes are estimated. Incorrect baselines can distort DR markets by either over- or under-rewarding consumer actions. The review of the first year of operation of the ARENA DR trials reported that: </w:t>
      </w:r>
    </w:p>
    <w:p w14:paraId="600F72A1" w14:textId="77777777" w:rsidR="00A37634" w:rsidRPr="00A37634" w:rsidRDefault="00A37634" w:rsidP="00A37634">
      <w:pPr>
        <w:spacing w:before="120" w:after="120" w:line="276" w:lineRule="auto"/>
        <w:ind w:left="720"/>
        <w:rPr>
          <w:rFonts w:ascii="Calibri" w:eastAsia="Calibri" w:hAnsi="Calibri" w:cs="Calibri"/>
          <w:szCs w:val="20"/>
          <w:lang w:val="en-AU"/>
        </w:rPr>
      </w:pPr>
      <w:r w:rsidRPr="00A37634">
        <w:rPr>
          <w:rFonts w:ascii="Calibri" w:eastAsia="Calibri" w:hAnsi="Calibri" w:cs="Calibri"/>
          <w:szCs w:val="20"/>
          <w:lang w:val="en-AU"/>
        </w:rPr>
        <w:t xml:space="preserve">“Several proponents noted that particularly for residential and smaller commercial customers, consumption against the baseline can vary significantly across the customers within a portfolio </w:t>
      </w:r>
      <w:proofErr w:type="gramStart"/>
      <w:r w:rsidRPr="00A37634">
        <w:rPr>
          <w:rFonts w:ascii="Calibri" w:eastAsia="Calibri" w:hAnsi="Calibri" w:cs="Calibri"/>
          <w:szCs w:val="20"/>
          <w:lang w:val="en-AU"/>
        </w:rPr>
        <w:t>in regard to</w:t>
      </w:r>
      <w:proofErr w:type="gramEnd"/>
      <w:r w:rsidRPr="00A37634">
        <w:rPr>
          <w:rFonts w:ascii="Calibri" w:eastAsia="Calibri" w:hAnsi="Calibri" w:cs="Calibri"/>
          <w:szCs w:val="20"/>
          <w:lang w:val="en-AU"/>
        </w:rPr>
        <w:t xml:space="preserve"> any particular DR event, and for any particular customer across DR events.”</w:t>
      </w:r>
      <w:r w:rsidRPr="00A37634">
        <w:rPr>
          <w:rFonts w:ascii="Calibri" w:eastAsia="Calibri" w:hAnsi="Calibri" w:cs="Calibri"/>
          <w:szCs w:val="20"/>
          <w:vertAlign w:val="superscript"/>
          <w:lang w:val="en-AU"/>
        </w:rPr>
        <w:footnoteReference w:id="72"/>
      </w:r>
    </w:p>
    <w:p w14:paraId="4BAD79FB" w14:textId="417B5F41"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For a DRSP to bid </w:t>
      </w:r>
      <w:r w:rsidR="00BD3902">
        <w:rPr>
          <w:rFonts w:ascii="Calibri" w:eastAsia="Calibri" w:hAnsi="Calibri" w:cs="Calibri"/>
          <w:szCs w:val="20"/>
          <w:lang w:val="en-AU"/>
        </w:rPr>
        <w:t xml:space="preserve">demand changes </w:t>
      </w:r>
      <w:r w:rsidRPr="00A37634">
        <w:rPr>
          <w:rFonts w:ascii="Calibri" w:eastAsia="Calibri" w:hAnsi="Calibri" w:cs="Calibri"/>
          <w:szCs w:val="20"/>
          <w:lang w:val="en-AU"/>
        </w:rPr>
        <w:t xml:space="preserve">into the capacity and/or </w:t>
      </w:r>
      <w:r w:rsidR="00BD3902">
        <w:rPr>
          <w:rFonts w:ascii="Calibri" w:eastAsia="Calibri" w:hAnsi="Calibri" w:cs="Calibri"/>
          <w:szCs w:val="20"/>
          <w:lang w:val="en-AU"/>
        </w:rPr>
        <w:t xml:space="preserve">wholesale </w:t>
      </w:r>
      <w:r w:rsidRPr="00A37634">
        <w:rPr>
          <w:rFonts w:ascii="Calibri" w:eastAsia="Calibri" w:hAnsi="Calibri" w:cs="Calibri"/>
          <w:szCs w:val="20"/>
          <w:lang w:val="en-AU"/>
        </w:rPr>
        <w:t>energy markets will take some estimation of the effect</w:t>
      </w:r>
      <w:r w:rsidR="00BD3902">
        <w:rPr>
          <w:rFonts w:ascii="Calibri" w:eastAsia="Calibri" w:hAnsi="Calibri" w:cs="Calibri"/>
          <w:szCs w:val="20"/>
          <w:lang w:val="en-AU"/>
        </w:rPr>
        <w:t xml:space="preserve">. It is </w:t>
      </w:r>
      <w:r w:rsidRPr="00A37634">
        <w:rPr>
          <w:rFonts w:ascii="Calibri" w:eastAsia="Calibri" w:hAnsi="Calibri" w:cs="Calibri"/>
          <w:szCs w:val="20"/>
          <w:lang w:val="en-AU"/>
        </w:rPr>
        <w:t>simpler to estimate a AS/NZS 4755-style response (which will show as a step change in demand at the substation) than to compile and aggregate individual baselines for every consumer with an AC operating when the event starts (which is a condition of payment under some current trial schemes – so creating a perverse incentive for absent consumers to switch on their AC via their app).</w:t>
      </w:r>
    </w:p>
    <w:p w14:paraId="592D76D0" w14:textId="74A0006B" w:rsidR="00A37634" w:rsidRPr="000068C1" w:rsidRDefault="00A37634" w:rsidP="00FF17C7">
      <w:pPr>
        <w:pStyle w:val="ListParagraph"/>
        <w:pageBreakBefore/>
        <w:numPr>
          <w:ilvl w:val="0"/>
          <w:numId w:val="4"/>
        </w:numPr>
        <w:pBdr>
          <w:bottom w:val="single" w:sz="12" w:space="1" w:color="ED1B24"/>
        </w:pBdr>
        <w:spacing w:before="200" w:after="600" w:line="240" w:lineRule="auto"/>
        <w:outlineLvl w:val="0"/>
        <w:rPr>
          <w:rFonts w:eastAsia="Times New Roman" w:cs="Calibri"/>
          <w:b/>
          <w:bCs/>
          <w:color w:val="ED1B24"/>
          <w:sz w:val="50"/>
          <w:szCs w:val="28"/>
        </w:rPr>
      </w:pPr>
      <w:bookmarkStart w:id="55" w:name="_Toc22485216"/>
      <w:r w:rsidRPr="000068C1">
        <w:rPr>
          <w:rFonts w:eastAsia="Times New Roman" w:cs="Calibri"/>
          <w:b/>
          <w:bCs/>
          <w:color w:val="ED1B24"/>
          <w:sz w:val="50"/>
          <w:szCs w:val="28"/>
        </w:rPr>
        <w:lastRenderedPageBreak/>
        <w:t>Summary of Costs and Benefits</w:t>
      </w:r>
      <w:bookmarkEnd w:id="55"/>
    </w:p>
    <w:p w14:paraId="4033E13B" w14:textId="77777777" w:rsidR="00A37634" w:rsidRPr="00A37634" w:rsidRDefault="00A37634" w:rsidP="00A37634">
      <w:pPr>
        <w:spacing w:before="120" w:after="120" w:line="276" w:lineRule="auto"/>
        <w:rPr>
          <w:rFonts w:ascii="Calibri" w:eastAsia="Calibri" w:hAnsi="Calibri" w:cs="Calibri"/>
          <w:szCs w:val="20"/>
          <w:lang w:val="en-AU"/>
        </w:rPr>
      </w:pPr>
      <w:bookmarkStart w:id="56" w:name="_Hlk22468768"/>
      <w:r w:rsidRPr="00A37634">
        <w:rPr>
          <w:rFonts w:ascii="Calibri" w:eastAsia="Calibri" w:hAnsi="Calibri" w:cs="Calibri"/>
          <w:szCs w:val="20"/>
          <w:lang w:val="en-AU"/>
        </w:rPr>
        <w:t xml:space="preserve">The ACCC Retail Electricity Pricing Inquiry identified four main services that demand response can provide: </w:t>
      </w:r>
    </w:p>
    <w:p w14:paraId="21545BD8" w14:textId="41AA1153" w:rsidR="00A37634" w:rsidRPr="00A37634" w:rsidRDefault="00A37634" w:rsidP="00FF17C7">
      <w:pPr>
        <w:numPr>
          <w:ilvl w:val="0"/>
          <w:numId w:val="3"/>
        </w:numPr>
        <w:spacing w:before="120" w:after="120" w:line="278" w:lineRule="auto"/>
        <w:contextualSpacing/>
        <w:rPr>
          <w:rFonts w:ascii="Calibri" w:eastAsia="Calibri" w:hAnsi="Calibri" w:cs="Calibri"/>
          <w:szCs w:val="20"/>
          <w:lang w:val="en-AU"/>
        </w:rPr>
      </w:pPr>
      <w:r w:rsidRPr="00A37634">
        <w:rPr>
          <w:rFonts w:ascii="Calibri" w:eastAsia="Calibri" w:hAnsi="Calibri" w:cs="Calibri"/>
          <w:szCs w:val="20"/>
          <w:lang w:val="en-AU"/>
        </w:rPr>
        <w:t>“network demand response—employed to manage peak demand within a particular transmission or distribution network, or localised part of a network</w:t>
      </w:r>
      <w:r w:rsidR="00B915B7">
        <w:rPr>
          <w:rFonts w:ascii="Calibri" w:eastAsia="Calibri" w:hAnsi="Calibri" w:cs="Calibri"/>
          <w:szCs w:val="20"/>
          <w:lang w:val="en-AU"/>
        </w:rPr>
        <w:t>;</w:t>
      </w:r>
      <w:r w:rsidRPr="00A37634">
        <w:rPr>
          <w:rFonts w:ascii="Calibri" w:eastAsia="Calibri" w:hAnsi="Calibri" w:cs="Calibri"/>
          <w:szCs w:val="20"/>
          <w:lang w:val="en-AU"/>
        </w:rPr>
        <w:t xml:space="preserve"> </w:t>
      </w:r>
    </w:p>
    <w:p w14:paraId="3C5424EB" w14:textId="34676FA6" w:rsidR="00A37634" w:rsidRPr="00A37634" w:rsidRDefault="00A37634" w:rsidP="00FF17C7">
      <w:pPr>
        <w:numPr>
          <w:ilvl w:val="0"/>
          <w:numId w:val="3"/>
        </w:numPr>
        <w:spacing w:before="120" w:after="120" w:line="278" w:lineRule="auto"/>
        <w:contextualSpacing/>
        <w:rPr>
          <w:rFonts w:ascii="Calibri" w:eastAsia="Calibri" w:hAnsi="Calibri" w:cs="Calibri"/>
          <w:szCs w:val="20"/>
          <w:lang w:val="en-AU"/>
        </w:rPr>
      </w:pPr>
      <w:r w:rsidRPr="00A37634">
        <w:rPr>
          <w:rFonts w:ascii="Calibri" w:eastAsia="Calibri" w:hAnsi="Calibri" w:cs="Calibri"/>
          <w:szCs w:val="20"/>
          <w:lang w:val="en-AU"/>
        </w:rPr>
        <w:t>wholesale demand response—used to reduce the quantity of electricity bought in the wholesale market, either to reduce prices, to help market participants manage their contract market positions, or defer investment in new generation capacity</w:t>
      </w:r>
      <w:r w:rsidR="00B915B7">
        <w:rPr>
          <w:rFonts w:ascii="Calibri" w:eastAsia="Calibri" w:hAnsi="Calibri" w:cs="Calibri"/>
          <w:szCs w:val="20"/>
          <w:lang w:val="en-AU"/>
        </w:rPr>
        <w:t>;</w:t>
      </w:r>
      <w:r w:rsidRPr="00A37634">
        <w:rPr>
          <w:rFonts w:ascii="Calibri" w:eastAsia="Calibri" w:hAnsi="Calibri" w:cs="Calibri"/>
          <w:szCs w:val="20"/>
          <w:lang w:val="en-AU"/>
        </w:rPr>
        <w:t xml:space="preserve"> </w:t>
      </w:r>
    </w:p>
    <w:p w14:paraId="03190EBC" w14:textId="724C7336" w:rsidR="00A37634" w:rsidRPr="00A37634" w:rsidRDefault="00A37634" w:rsidP="00FF17C7">
      <w:pPr>
        <w:numPr>
          <w:ilvl w:val="0"/>
          <w:numId w:val="3"/>
        </w:numPr>
        <w:spacing w:before="120" w:after="120" w:line="278" w:lineRule="auto"/>
        <w:contextualSpacing/>
        <w:rPr>
          <w:rFonts w:ascii="Calibri" w:eastAsia="Calibri" w:hAnsi="Calibri" w:cs="Calibri"/>
          <w:szCs w:val="20"/>
          <w:lang w:val="en-AU"/>
        </w:rPr>
      </w:pPr>
      <w:r w:rsidRPr="00A37634">
        <w:rPr>
          <w:rFonts w:ascii="Calibri" w:eastAsia="Calibri" w:hAnsi="Calibri" w:cs="Calibri"/>
          <w:szCs w:val="20"/>
          <w:lang w:val="en-AU"/>
        </w:rPr>
        <w:t>ancillary services demand response—sourced by the system operator to maintain grid frequency within its technical operating range</w:t>
      </w:r>
      <w:r w:rsidR="00B915B7">
        <w:rPr>
          <w:rFonts w:ascii="Calibri" w:eastAsia="Calibri" w:hAnsi="Calibri" w:cs="Calibri"/>
          <w:szCs w:val="20"/>
          <w:lang w:val="en-AU"/>
        </w:rPr>
        <w:t>; and</w:t>
      </w:r>
      <w:r w:rsidRPr="00A37634">
        <w:rPr>
          <w:rFonts w:ascii="Calibri" w:eastAsia="Calibri" w:hAnsi="Calibri" w:cs="Calibri"/>
          <w:szCs w:val="20"/>
          <w:lang w:val="en-AU"/>
        </w:rPr>
        <w:t xml:space="preserve"> </w:t>
      </w:r>
    </w:p>
    <w:p w14:paraId="73570115" w14:textId="77777777" w:rsidR="00A37634" w:rsidRPr="00A37634" w:rsidRDefault="00A37634" w:rsidP="00FF17C7">
      <w:pPr>
        <w:numPr>
          <w:ilvl w:val="0"/>
          <w:numId w:val="3"/>
        </w:numPr>
        <w:spacing w:before="120" w:after="120" w:line="278" w:lineRule="auto"/>
        <w:contextualSpacing/>
        <w:rPr>
          <w:rFonts w:ascii="Calibri" w:eastAsia="Calibri" w:hAnsi="Calibri" w:cs="Calibri"/>
          <w:szCs w:val="20"/>
          <w:lang w:val="en-AU"/>
        </w:rPr>
      </w:pPr>
      <w:r w:rsidRPr="00A37634">
        <w:rPr>
          <w:rFonts w:ascii="Calibri" w:eastAsia="Calibri" w:hAnsi="Calibri" w:cs="Calibri"/>
          <w:szCs w:val="20"/>
          <w:lang w:val="en-AU"/>
        </w:rPr>
        <w:t>emergency demand response—sourced by the system operator when there are predicted supply shortfalls to avoid involuntary load shedding.”</w:t>
      </w:r>
      <w:r w:rsidRPr="00A37634">
        <w:rPr>
          <w:rFonts w:ascii="Calibri" w:eastAsia="Calibri" w:hAnsi="Calibri" w:cs="Calibri"/>
          <w:szCs w:val="20"/>
          <w:vertAlign w:val="superscript"/>
          <w:lang w:val="en-AU"/>
        </w:rPr>
        <w:footnoteReference w:id="73"/>
      </w:r>
      <w:r w:rsidRPr="00A37634">
        <w:rPr>
          <w:rFonts w:ascii="Calibri" w:eastAsia="Calibri" w:hAnsi="Calibri" w:cs="Calibri"/>
          <w:szCs w:val="20"/>
          <w:lang w:val="en-AU"/>
        </w:rPr>
        <w:t xml:space="preserve"> </w:t>
      </w:r>
    </w:p>
    <w:p w14:paraId="6BD18B13" w14:textId="252BBBA9" w:rsidR="00A37634" w:rsidRPr="00A37634" w:rsidRDefault="00A37634" w:rsidP="008E7146">
      <w:pPr>
        <w:spacing w:before="24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benefits of managing peak load are captured by estimating the net present value (NPV) of the reductions in projected network capital investment from substituting a MW of reliable demand reduction for a MW of additional peak demand. This benefit was quantified in the 2013 Consultation RIS. The NPV per future MW avoided on the distribution and transmission systems has been updated, based on the latest distribution pricing submissions to the AER (see Appendix 1).  </w:t>
      </w:r>
    </w:p>
    <w:p w14:paraId="60D13FD4"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benefits of wholesale price reductions are captured by </w:t>
      </w:r>
      <w:proofErr w:type="gramStart"/>
      <w:r w:rsidRPr="00A37634">
        <w:rPr>
          <w:rFonts w:ascii="Calibri" w:eastAsia="Calibri" w:hAnsi="Calibri" w:cs="Calibri"/>
          <w:szCs w:val="20"/>
          <w:lang w:val="en-AU"/>
        </w:rPr>
        <w:t>assuming that</w:t>
      </w:r>
      <w:proofErr w:type="gramEnd"/>
      <w:r w:rsidRPr="00A37634">
        <w:rPr>
          <w:rFonts w:ascii="Calibri" w:eastAsia="Calibri" w:hAnsi="Calibri" w:cs="Calibri"/>
          <w:szCs w:val="20"/>
          <w:lang w:val="en-AU"/>
        </w:rPr>
        <w:t xml:space="preserve"> retailers or other DR aggregators can withdraw sufficient load from the market to make it unnecessary for the next-highest cost dispatchable generator (usually gas) to bid into the pool. It is assumed that this would reduce the wholesale price by $100/MWh for about 20 hours each year, to benefit both the DR participants who contribute to the load reduction and all other consumers using electricity over the same </w:t>
      </w:r>
      <w:proofErr w:type="gramStart"/>
      <w:r w:rsidRPr="00A37634">
        <w:rPr>
          <w:rFonts w:ascii="Calibri" w:eastAsia="Calibri" w:hAnsi="Calibri" w:cs="Calibri"/>
          <w:szCs w:val="20"/>
          <w:lang w:val="en-AU"/>
        </w:rPr>
        <w:t>time period</w:t>
      </w:r>
      <w:proofErr w:type="gramEnd"/>
      <w:r w:rsidRPr="00A37634">
        <w:rPr>
          <w:rFonts w:ascii="Calibri" w:eastAsia="Calibri" w:hAnsi="Calibri" w:cs="Calibri"/>
          <w:szCs w:val="20"/>
          <w:lang w:val="en-AU"/>
        </w:rPr>
        <w:t>. The wholesale demand response mechanism rule changes currently being considered by the AEMC</w:t>
      </w:r>
      <w:r w:rsidRPr="00A37634">
        <w:rPr>
          <w:rFonts w:ascii="Calibri" w:eastAsia="Calibri" w:hAnsi="Calibri" w:cs="Calibri"/>
          <w:szCs w:val="20"/>
          <w:vertAlign w:val="superscript"/>
          <w:lang w:val="en-AU"/>
        </w:rPr>
        <w:footnoteReference w:id="74"/>
      </w:r>
      <w:r w:rsidRPr="00A37634">
        <w:rPr>
          <w:rFonts w:ascii="Calibri" w:eastAsia="Calibri" w:hAnsi="Calibri" w:cs="Calibri"/>
          <w:szCs w:val="20"/>
          <w:lang w:val="en-AU"/>
        </w:rPr>
        <w:t xml:space="preserve"> would widen the range of actors able to participate in the market in this way. </w:t>
      </w:r>
    </w:p>
    <w:p w14:paraId="568A7F75" w14:textId="24F364B3"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As the share of non-dispatchable renewable wind and solar generation grows, the time when available supply exceeds demand is increasing. If the grid operator (AEMO) does not </w:t>
      </w:r>
      <w:proofErr w:type="gramStart"/>
      <w:r w:rsidRPr="00A37634">
        <w:rPr>
          <w:rFonts w:ascii="Calibri" w:eastAsia="Calibri" w:hAnsi="Calibri" w:cs="Calibri"/>
          <w:szCs w:val="20"/>
          <w:lang w:val="en-AU"/>
        </w:rPr>
        <w:t>take action</w:t>
      </w:r>
      <w:proofErr w:type="gramEnd"/>
      <w:r w:rsidRPr="00A37634">
        <w:rPr>
          <w:rFonts w:ascii="Calibri" w:eastAsia="Calibri" w:hAnsi="Calibri" w:cs="Calibri"/>
          <w:szCs w:val="20"/>
          <w:lang w:val="en-AU"/>
        </w:rPr>
        <w:t xml:space="preserve"> under these circumstances, or PV inverters do not automatically disconnect, grid voltage and frequency levels will move outside the statutory operating ranges, so risking damage to supply infrastructure and to consumers’ equipment. During “negative price events” (NPE), generators supplying the pool receive no payment and must pay the pool to continue to supply. If there is still insufficient load, they </w:t>
      </w:r>
      <w:proofErr w:type="gramStart"/>
      <w:r w:rsidRPr="00A37634">
        <w:rPr>
          <w:rFonts w:ascii="Calibri" w:eastAsia="Calibri" w:hAnsi="Calibri" w:cs="Calibri"/>
          <w:szCs w:val="20"/>
          <w:lang w:val="en-AU"/>
        </w:rPr>
        <w:t>have to</w:t>
      </w:r>
      <w:proofErr w:type="gramEnd"/>
      <w:r w:rsidRPr="00A37634">
        <w:rPr>
          <w:rFonts w:ascii="Calibri" w:eastAsia="Calibri" w:hAnsi="Calibri" w:cs="Calibri"/>
          <w:szCs w:val="20"/>
          <w:lang w:val="en-AU"/>
        </w:rPr>
        <w:t xml:space="preserve"> reduce output or, in the extreme, disconnect. Generators effectively pay for load to come on during NPEs. The DR value is reflected by estimating the total energy demand that can be presented to the grid by products activated through DRM 4, and assigning a value to that energy</w:t>
      </w:r>
      <w:r w:rsidR="00AD6C99">
        <w:rPr>
          <w:rFonts w:ascii="Calibri" w:eastAsia="Calibri" w:hAnsi="Calibri" w:cs="Calibri"/>
          <w:szCs w:val="20"/>
          <w:lang w:val="en-AU"/>
        </w:rPr>
        <w:t>.</w:t>
      </w:r>
      <w:r w:rsidRPr="00A37634">
        <w:rPr>
          <w:rFonts w:ascii="Calibri" w:eastAsia="Calibri" w:hAnsi="Calibri" w:cs="Calibri"/>
          <w:szCs w:val="20"/>
          <w:lang w:val="en-AU"/>
        </w:rPr>
        <w:t xml:space="preserve">   </w:t>
      </w:r>
    </w:p>
    <w:p w14:paraId="1A48845F" w14:textId="1B5E1124"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Emergency response occurs under the opposite conditions – when expected load exceeds the availability of generation capacity. To address this, AEMO has set up a RERT facility.</w:t>
      </w:r>
      <w:r w:rsidRPr="00A37634">
        <w:rPr>
          <w:rFonts w:ascii="Calibri" w:eastAsia="Calibri" w:hAnsi="Calibri" w:cs="Calibri"/>
          <w:szCs w:val="20"/>
          <w:vertAlign w:val="superscript"/>
          <w:lang w:val="en-AU"/>
        </w:rPr>
        <w:footnoteReference w:id="75"/>
      </w:r>
      <w:r w:rsidRPr="00A37634">
        <w:rPr>
          <w:rFonts w:ascii="Calibri" w:eastAsia="Calibri" w:hAnsi="Calibri" w:cs="Calibri"/>
          <w:szCs w:val="20"/>
          <w:lang w:val="en-AU"/>
        </w:rPr>
        <w:t xml:space="preserve"> Parties can contract to supply energy (if they have a standby generator) or reduce load during </w:t>
      </w:r>
      <w:bookmarkEnd w:id="56"/>
      <w:r w:rsidRPr="00A37634">
        <w:rPr>
          <w:rFonts w:ascii="Calibri" w:eastAsia="Calibri" w:hAnsi="Calibri" w:cs="Calibri"/>
          <w:szCs w:val="20"/>
          <w:lang w:val="en-AU"/>
        </w:rPr>
        <w:t xml:space="preserve">RERT events, which are typically notified a </w:t>
      </w:r>
      <w:r w:rsidRPr="00A37634">
        <w:rPr>
          <w:rFonts w:ascii="Calibri" w:eastAsia="Calibri" w:hAnsi="Calibri" w:cs="Calibri"/>
          <w:szCs w:val="20"/>
          <w:lang w:val="en-AU"/>
        </w:rPr>
        <w:lastRenderedPageBreak/>
        <w:t>day ahead. RERT prices are high: for example, RERT events in January 2019 paid $9,800 per MWh to contractors in Victoria and SA over 13.5 hours.</w:t>
      </w:r>
      <w:r w:rsidRPr="00A37634">
        <w:rPr>
          <w:rFonts w:ascii="Calibri" w:eastAsia="Calibri" w:hAnsi="Calibri" w:cs="Calibri"/>
          <w:szCs w:val="20"/>
          <w:vertAlign w:val="superscript"/>
          <w:lang w:val="en-AU"/>
        </w:rPr>
        <w:footnoteReference w:id="76"/>
      </w:r>
      <w:r w:rsidRPr="00A37634">
        <w:rPr>
          <w:rFonts w:ascii="Calibri" w:eastAsia="Calibri" w:hAnsi="Calibri" w:cs="Calibri"/>
          <w:szCs w:val="20"/>
          <w:lang w:val="en-AU"/>
        </w:rPr>
        <w:t xml:space="preserve"> It is assumed that DR aggregators in those states could bid into the RERT market.</w:t>
      </w:r>
    </w:p>
    <w:p w14:paraId="6B0AF452"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DR could also supply ancillary services to the NEM.</w:t>
      </w:r>
      <w:r w:rsidRPr="00A37634">
        <w:rPr>
          <w:rFonts w:ascii="Calibri" w:eastAsia="Calibri" w:hAnsi="Calibri" w:cs="Calibri"/>
          <w:szCs w:val="20"/>
          <w:vertAlign w:val="superscript"/>
          <w:lang w:val="en-AU"/>
        </w:rPr>
        <w:footnoteReference w:id="77"/>
      </w:r>
      <w:r w:rsidRPr="00A37634">
        <w:rPr>
          <w:rFonts w:ascii="Calibri" w:eastAsia="Calibri" w:hAnsi="Calibri" w:cs="Calibri"/>
          <w:szCs w:val="20"/>
          <w:lang w:val="en-AU"/>
        </w:rPr>
        <w:t xml:space="preserve"> The services which best match the capabilities of AS/NZS 4755-compliant products are those frequency and voltage control which require responses within five minutes. The value of such services has not been quantified.  </w:t>
      </w:r>
    </w:p>
    <w:p w14:paraId="1E4BD664" w14:textId="2ABBCD78" w:rsidR="00A37634" w:rsidRPr="00A37634" w:rsidRDefault="00A37634" w:rsidP="00A37634">
      <w:pPr>
        <w:spacing w:before="120" w:after="120" w:line="276" w:lineRule="auto"/>
        <w:rPr>
          <w:rFonts w:ascii="Calibri" w:eastAsia="Calibri" w:hAnsi="Calibri" w:cs="Calibri"/>
          <w:szCs w:val="20"/>
          <w:lang w:val="en-AU"/>
        </w:rPr>
      </w:pPr>
      <w:bookmarkStart w:id="57" w:name="_Hlk22118954"/>
      <w:r w:rsidRPr="00A37634">
        <w:rPr>
          <w:rFonts w:ascii="Calibri" w:eastAsia="Calibri" w:hAnsi="Calibri" w:cs="Calibri"/>
          <w:szCs w:val="20"/>
          <w:lang w:val="en-AU"/>
        </w:rPr>
        <w:t xml:space="preserve">Adding DR capability to products will impose additional design and manufacturing costs, which will be passed on in every product purchase. </w:t>
      </w:r>
      <w:bookmarkEnd w:id="57"/>
      <w:r w:rsidRPr="00667172">
        <w:rPr>
          <w:rStyle w:val="FigreferenceChar"/>
        </w:rPr>
        <w:fldChar w:fldCharType="begin"/>
      </w:r>
      <w:r w:rsidRPr="00667172">
        <w:rPr>
          <w:rStyle w:val="FigreferenceChar"/>
        </w:rPr>
        <w:instrText xml:space="preserve"> REF _Ref13169159 \h  \* MERGEFORMAT </w:instrText>
      </w:r>
      <w:r w:rsidRPr="00667172">
        <w:rPr>
          <w:rStyle w:val="FigreferenceChar"/>
        </w:rPr>
      </w:r>
      <w:r w:rsidRPr="00667172">
        <w:rPr>
          <w:rStyle w:val="FigreferenceChar"/>
        </w:rPr>
        <w:fldChar w:fldCharType="separate"/>
      </w:r>
      <w:r w:rsidR="006B22A7" w:rsidRPr="006B22A7">
        <w:rPr>
          <w:rStyle w:val="FigreferenceChar"/>
        </w:rPr>
        <w:t>Figure 8</w:t>
      </w:r>
      <w:r w:rsidRPr="00667172">
        <w:rPr>
          <w:rStyle w:val="FigreferenceChar"/>
        </w:rPr>
        <w:fldChar w:fldCharType="end"/>
      </w:r>
      <w:r w:rsidRPr="00A37634">
        <w:rPr>
          <w:rFonts w:ascii="Calibri" w:eastAsia="Calibri" w:hAnsi="Calibri" w:cs="Calibri"/>
          <w:szCs w:val="20"/>
          <w:lang w:val="en-AU"/>
        </w:rPr>
        <w:t xml:space="preserve"> shows estimated increase in appliance purchase prices, ranging from $80 for large water heaters to $</w:t>
      </w:r>
      <w:r w:rsidR="00667172">
        <w:rPr>
          <w:rFonts w:ascii="Calibri" w:eastAsia="Calibri" w:hAnsi="Calibri" w:cs="Calibri"/>
          <w:szCs w:val="20"/>
          <w:lang w:val="en-AU"/>
        </w:rPr>
        <w:t>10</w:t>
      </w:r>
      <w:r w:rsidRPr="00A37634">
        <w:rPr>
          <w:rFonts w:ascii="Calibri" w:eastAsia="Calibri" w:hAnsi="Calibri" w:cs="Calibri"/>
          <w:szCs w:val="20"/>
          <w:lang w:val="en-AU"/>
        </w:rPr>
        <w:t xml:space="preserve"> for split unit ACs. The weighted average price increase is </w:t>
      </w:r>
      <w:r w:rsidR="00751A5B">
        <w:rPr>
          <w:rFonts w:ascii="Calibri" w:eastAsia="Calibri" w:hAnsi="Calibri" w:cs="Calibri"/>
          <w:szCs w:val="20"/>
          <w:lang w:val="en-AU"/>
        </w:rPr>
        <w:t xml:space="preserve">about </w:t>
      </w:r>
      <w:r w:rsidRPr="00A37634">
        <w:rPr>
          <w:rFonts w:ascii="Calibri" w:eastAsia="Calibri" w:hAnsi="Calibri" w:cs="Calibri"/>
          <w:szCs w:val="20"/>
          <w:lang w:val="en-AU"/>
        </w:rPr>
        <w:t>$3</w:t>
      </w:r>
      <w:r w:rsidR="00751A5B">
        <w:rPr>
          <w:rFonts w:ascii="Calibri" w:eastAsia="Calibri" w:hAnsi="Calibri" w:cs="Calibri"/>
          <w:szCs w:val="20"/>
          <w:lang w:val="en-AU"/>
        </w:rPr>
        <w:t>1</w:t>
      </w:r>
      <w:r w:rsidRPr="00A37634">
        <w:rPr>
          <w:rFonts w:ascii="Calibri" w:eastAsia="Calibri" w:hAnsi="Calibri" w:cs="Calibri"/>
          <w:szCs w:val="20"/>
          <w:lang w:val="en-AU"/>
        </w:rPr>
        <w:t xml:space="preserve"> per compliant product sold, falling </w:t>
      </w:r>
      <w:r w:rsidR="00751A5B">
        <w:rPr>
          <w:rFonts w:ascii="Calibri" w:eastAsia="Calibri" w:hAnsi="Calibri" w:cs="Calibri"/>
          <w:szCs w:val="20"/>
          <w:lang w:val="en-AU"/>
        </w:rPr>
        <w:t xml:space="preserve">to $25 </w:t>
      </w:r>
      <w:r w:rsidRPr="00A37634">
        <w:rPr>
          <w:rFonts w:ascii="Calibri" w:eastAsia="Calibri" w:hAnsi="Calibri" w:cs="Calibri"/>
          <w:szCs w:val="20"/>
          <w:lang w:val="en-AU"/>
        </w:rPr>
        <w:t xml:space="preserve">over time as production volumes increase. </w:t>
      </w:r>
    </w:p>
    <w:p w14:paraId="5E6C83AE" w14:textId="62D6A6FD"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58" w:name="_Ref13169159"/>
      <w:bookmarkStart w:id="59" w:name="_Toc22488521"/>
      <w:r w:rsidRPr="00A37634">
        <w:rPr>
          <w:rFonts w:ascii="Calibri" w:eastAsia="Cambria" w:hAnsi="Calibri" w:cs="Calibri"/>
          <w:b/>
          <w:bCs/>
          <w:sz w:val="20"/>
          <w:szCs w:val="16"/>
          <w:lang w:val="en-AU"/>
        </w:rPr>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8</w:t>
      </w:r>
      <w:r w:rsidRPr="00A37634">
        <w:rPr>
          <w:rFonts w:ascii="Calibri" w:eastAsia="Cambria" w:hAnsi="Calibri" w:cs="Calibri"/>
          <w:b/>
          <w:bCs/>
          <w:noProof/>
          <w:sz w:val="20"/>
          <w:szCs w:val="16"/>
          <w:lang w:val="en-AU"/>
        </w:rPr>
        <w:fldChar w:fldCharType="end"/>
      </w:r>
      <w:bookmarkEnd w:id="58"/>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Projected increase in appliance costs</w:t>
      </w:r>
      <w:bookmarkEnd w:id="59"/>
    </w:p>
    <w:p w14:paraId="0404A3C0" w14:textId="257FA0E4" w:rsidR="00A37634" w:rsidRPr="00A37634" w:rsidRDefault="00F32140" w:rsidP="00A37634">
      <w:pPr>
        <w:spacing w:after="120" w:line="276" w:lineRule="auto"/>
        <w:jc w:val="center"/>
        <w:rPr>
          <w:rFonts w:ascii="Calibri" w:eastAsia="Calibri" w:hAnsi="Calibri" w:cs="Calibri"/>
          <w:szCs w:val="20"/>
          <w:lang w:val="en-AU"/>
        </w:rPr>
      </w:pPr>
      <w:r>
        <w:rPr>
          <w:rFonts w:ascii="Calibri" w:eastAsia="Calibri" w:hAnsi="Calibri" w:cs="Calibri"/>
          <w:noProof/>
          <w:szCs w:val="20"/>
          <w:lang w:val="en-AU" w:eastAsia="en-AU"/>
        </w:rPr>
        <w:drawing>
          <wp:inline distT="0" distB="0" distL="0" distR="0" wp14:anchorId="621F907E" wp14:editId="00ECF848">
            <wp:extent cx="3625795" cy="264123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5468" cy="2648285"/>
                    </a:xfrm>
                    <a:prstGeom prst="rect">
                      <a:avLst/>
                    </a:prstGeom>
                    <a:noFill/>
                  </pic:spPr>
                </pic:pic>
              </a:graphicData>
            </a:graphic>
          </wp:inline>
        </w:drawing>
      </w:r>
    </w:p>
    <w:p w14:paraId="61D9394E" w14:textId="77777777" w:rsidR="00667172" w:rsidRDefault="00667172" w:rsidP="00A37634">
      <w:pPr>
        <w:spacing w:before="120" w:after="120" w:line="276" w:lineRule="auto"/>
        <w:rPr>
          <w:rFonts w:ascii="Calibri" w:eastAsia="Calibri" w:hAnsi="Calibri" w:cs="Calibri"/>
          <w:szCs w:val="20"/>
          <w:lang w:val="en-AU"/>
        </w:rPr>
      </w:pPr>
    </w:p>
    <w:p w14:paraId="59A2AC01" w14:textId="1835B29B" w:rsidR="008F378B" w:rsidRDefault="00A37634" w:rsidP="00541269">
      <w:pPr>
        <w:pStyle w:val="Figreference"/>
      </w:pPr>
      <w:r w:rsidRPr="00A37634">
        <w:t xml:space="preserve">The load of a DR-capable appliance does not become </w:t>
      </w:r>
      <w:proofErr w:type="gramStart"/>
      <w:r w:rsidRPr="00A37634">
        <w:t>actually controllable</w:t>
      </w:r>
      <w:proofErr w:type="gramEnd"/>
      <w:r w:rsidRPr="00A37634">
        <w:t xml:space="preserve"> until it is “activated” and the customer consents to participate in a DLC program.</w:t>
      </w:r>
      <w:r w:rsidRPr="00A37634">
        <w:rPr>
          <w:vertAlign w:val="superscript"/>
        </w:rPr>
        <w:footnoteReference w:id="78"/>
      </w:r>
      <w:r w:rsidRPr="00A37634">
        <w:t xml:space="preserve"> For products complying with AS/NZS 4755 Part 3, activation requires the installation of a DRED. AS 4755.2-compliant products could connect to the internet using pathways already present in most home, such as WiFi routers or via the mobile phone network (3G/4G/5G standards). Some methods of activation would require a service call, others not. An initial average activation cost of between $120 and $140 has been assumed, declining over time (</w:t>
      </w:r>
      <w:r w:rsidR="00541269" w:rsidRPr="00541269">
        <w:fldChar w:fldCharType="begin"/>
      </w:r>
      <w:r w:rsidR="00541269" w:rsidRPr="00541269">
        <w:instrText xml:space="preserve"> REF _Ref22486604 \h </w:instrText>
      </w:r>
      <w:r w:rsidR="00541269">
        <w:instrText xml:space="preserve"> \* MERGEFORMAT </w:instrText>
      </w:r>
      <w:r w:rsidR="00541269" w:rsidRPr="00541269">
        <w:fldChar w:fldCharType="separate"/>
      </w:r>
      <w:r w:rsidR="00541269" w:rsidRPr="00541269">
        <w:t>Figure 9</w:t>
      </w:r>
      <w:r w:rsidR="00541269" w:rsidRPr="00541269">
        <w:fldChar w:fldCharType="end"/>
      </w:r>
      <w:r w:rsidRPr="00A37634">
        <w:t>). Some modes of activation will support several DR-capable appliances at the one site, so as time passes and households activate multiple DR-capable products the cost per new activation should fall.</w:t>
      </w:r>
      <w:bookmarkStart w:id="60" w:name="_Ref11698684"/>
      <w:bookmarkStart w:id="61" w:name="_Hlk12974934"/>
    </w:p>
    <w:p w14:paraId="2F22F348" w14:textId="77777777" w:rsidR="008F378B" w:rsidRDefault="008F378B" w:rsidP="00F32140">
      <w:pPr>
        <w:spacing w:before="120" w:after="120" w:line="276" w:lineRule="auto"/>
        <w:rPr>
          <w:rFonts w:ascii="Calibri" w:eastAsia="Calibri" w:hAnsi="Calibri" w:cs="Calibri"/>
          <w:szCs w:val="20"/>
          <w:lang w:val="en-AU"/>
        </w:rPr>
      </w:pPr>
    </w:p>
    <w:p w14:paraId="10465C29" w14:textId="77777777" w:rsidR="008F378B" w:rsidRDefault="008F378B" w:rsidP="00F32140">
      <w:pPr>
        <w:spacing w:before="120" w:after="120" w:line="276" w:lineRule="auto"/>
        <w:rPr>
          <w:rFonts w:ascii="Calibri" w:eastAsia="Calibri" w:hAnsi="Calibri" w:cs="Calibri"/>
          <w:szCs w:val="20"/>
          <w:lang w:val="en-AU"/>
        </w:rPr>
      </w:pPr>
    </w:p>
    <w:p w14:paraId="15524E78" w14:textId="3B474439" w:rsidR="00A37634" w:rsidRPr="00A37634" w:rsidRDefault="00A37634" w:rsidP="008F378B">
      <w:pPr>
        <w:spacing w:before="120" w:after="120" w:line="276" w:lineRule="auto"/>
        <w:jc w:val="center"/>
        <w:rPr>
          <w:rFonts w:ascii="Calibri" w:eastAsia="Cambria" w:hAnsi="Calibri" w:cs="Calibri"/>
          <w:b/>
          <w:bCs/>
          <w:sz w:val="20"/>
          <w:szCs w:val="16"/>
          <w:lang w:val="en-AU"/>
        </w:rPr>
      </w:pPr>
      <w:bookmarkStart w:id="62" w:name="_Ref22486604"/>
      <w:bookmarkStart w:id="63" w:name="_Toc22488522"/>
      <w:r w:rsidRPr="00A37634">
        <w:rPr>
          <w:rFonts w:ascii="Calibri" w:eastAsia="Cambria" w:hAnsi="Calibri" w:cs="Calibri"/>
          <w:b/>
          <w:bCs/>
          <w:sz w:val="20"/>
          <w:szCs w:val="16"/>
          <w:lang w:val="en-AU"/>
        </w:rPr>
        <w:lastRenderedPageBreak/>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9</w:t>
      </w:r>
      <w:r w:rsidRPr="00A37634">
        <w:rPr>
          <w:rFonts w:ascii="Calibri" w:eastAsia="Cambria" w:hAnsi="Calibri" w:cs="Calibri"/>
          <w:b/>
          <w:bCs/>
          <w:noProof/>
          <w:sz w:val="20"/>
          <w:szCs w:val="16"/>
          <w:lang w:val="en-AU"/>
        </w:rPr>
        <w:fldChar w:fldCharType="end"/>
      </w:r>
      <w:bookmarkEnd w:id="60"/>
      <w:bookmarkEnd w:id="62"/>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Projected activation costs</w:t>
      </w:r>
      <w:bookmarkEnd w:id="63"/>
    </w:p>
    <w:bookmarkEnd w:id="61"/>
    <w:p w14:paraId="1198FEEE" w14:textId="77777777" w:rsidR="00A37634" w:rsidRPr="00A37634" w:rsidRDefault="00A37634" w:rsidP="00A37634">
      <w:pPr>
        <w:spacing w:after="120" w:line="276" w:lineRule="auto"/>
        <w:jc w:val="center"/>
        <w:rPr>
          <w:rFonts w:ascii="Calibri" w:eastAsia="Calibri" w:hAnsi="Calibri" w:cs="Calibri"/>
          <w:szCs w:val="20"/>
          <w:lang w:val="en-AU"/>
        </w:rPr>
      </w:pPr>
      <w:r w:rsidRPr="00A37634">
        <w:rPr>
          <w:rFonts w:ascii="Calibri" w:eastAsia="Calibri" w:hAnsi="Calibri" w:cs="Calibri"/>
          <w:noProof/>
          <w:szCs w:val="20"/>
          <w:lang w:val="en-AU" w:eastAsia="en-AU"/>
        </w:rPr>
        <w:drawing>
          <wp:inline distT="0" distB="0" distL="0" distR="0" wp14:anchorId="6A6B8E1C" wp14:editId="66D9F8B9">
            <wp:extent cx="4155385" cy="3022923"/>
            <wp:effectExtent l="19050" t="19050" r="17145" b="25400"/>
            <wp:docPr id="7" name="Picture 7" descr="&quot;0&quot;"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3173" cy="3115885"/>
                    </a:xfrm>
                    <a:prstGeom prst="rect">
                      <a:avLst/>
                    </a:prstGeom>
                    <a:noFill/>
                    <a:ln>
                      <a:solidFill>
                        <a:sysClr val="windowText" lastClr="000000"/>
                      </a:solidFill>
                    </a:ln>
                  </pic:spPr>
                </pic:pic>
              </a:graphicData>
            </a:graphic>
          </wp:inline>
        </w:drawing>
      </w:r>
    </w:p>
    <w:p w14:paraId="380FAC89" w14:textId="77777777" w:rsidR="00667172" w:rsidRDefault="00667172" w:rsidP="00A37634">
      <w:pPr>
        <w:spacing w:before="120" w:after="120" w:line="276" w:lineRule="auto"/>
        <w:rPr>
          <w:rFonts w:ascii="Calibri" w:eastAsia="Calibri" w:hAnsi="Calibri" w:cs="Calibri"/>
          <w:szCs w:val="20"/>
          <w:lang w:val="en-AU"/>
        </w:rPr>
      </w:pPr>
    </w:p>
    <w:p w14:paraId="3B8823D0" w14:textId="4C6FF972" w:rsidR="009110C0" w:rsidRDefault="00A37634" w:rsidP="009110C0">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rate, timing and location of activations will depend on the DR programs offered by electricity suppliers or DR aggregators, and will vary from place to place </w:t>
      </w:r>
      <w:proofErr w:type="gramStart"/>
      <w:r w:rsidRPr="00A37634">
        <w:rPr>
          <w:rFonts w:ascii="Calibri" w:eastAsia="Calibri" w:hAnsi="Calibri" w:cs="Calibri"/>
          <w:szCs w:val="20"/>
          <w:lang w:val="en-AU"/>
        </w:rPr>
        <w:t>according to</w:t>
      </w:r>
      <w:proofErr w:type="gramEnd"/>
      <w:r w:rsidRPr="00A37634">
        <w:rPr>
          <w:rFonts w:ascii="Calibri" w:eastAsia="Calibri" w:hAnsi="Calibri" w:cs="Calibri"/>
          <w:szCs w:val="20"/>
          <w:lang w:val="en-AU"/>
        </w:rPr>
        <w:t xml:space="preserve"> local load profiles and network conditions. As the concentration of </w:t>
      </w:r>
      <w:r w:rsidR="00667172">
        <w:rPr>
          <w:rFonts w:ascii="Calibri" w:eastAsia="Calibri" w:hAnsi="Calibri" w:cs="Calibri"/>
          <w:szCs w:val="20"/>
          <w:lang w:val="en-AU"/>
        </w:rPr>
        <w:t xml:space="preserve">DR-capable </w:t>
      </w:r>
      <w:r w:rsidRPr="00A37634">
        <w:rPr>
          <w:rFonts w:ascii="Calibri" w:eastAsia="Calibri" w:hAnsi="Calibri" w:cs="Calibri"/>
          <w:szCs w:val="20"/>
          <w:lang w:val="en-AU"/>
        </w:rPr>
        <w:t xml:space="preserve">appliances rises and consumer familiarity grows, the costs of acquiring new activations should fall, and the rate of DR program offerings and take-ups would be expected to increase. </w:t>
      </w:r>
      <w:bookmarkStart w:id="64" w:name="_Hlk22469501"/>
      <w:r w:rsidRPr="00A37634">
        <w:rPr>
          <w:rFonts w:ascii="Calibri" w:eastAsia="Calibri" w:hAnsi="Calibri" w:cs="Calibri"/>
          <w:szCs w:val="20"/>
          <w:lang w:val="en-AU"/>
        </w:rPr>
        <w:t xml:space="preserve">Estimating the number of customers participating at any given time is a key factor in projecting the total benefit. Under the three levels of activation modelled – Low, Medium and High – the share of all installed </w:t>
      </w:r>
      <w:r w:rsidRPr="000B2AF8">
        <w:rPr>
          <w:rFonts w:ascii="Calibri" w:eastAsia="Calibri" w:hAnsi="Calibri" w:cs="Calibri"/>
          <w:spacing w:val="6"/>
          <w:szCs w:val="20"/>
          <w:lang w:val="en-AU"/>
        </w:rPr>
        <w:t>AS/NZS 4755-compliant products activated would reach about 2</w:t>
      </w:r>
      <w:r w:rsidR="00157653">
        <w:rPr>
          <w:rFonts w:ascii="Calibri" w:eastAsia="Calibri" w:hAnsi="Calibri" w:cs="Calibri"/>
          <w:spacing w:val="6"/>
          <w:szCs w:val="20"/>
          <w:lang w:val="en-AU"/>
        </w:rPr>
        <w:t>2</w:t>
      </w:r>
      <w:r w:rsidRPr="000B2AF8">
        <w:rPr>
          <w:rFonts w:ascii="Calibri" w:eastAsia="Calibri" w:hAnsi="Calibri" w:cs="Calibri"/>
          <w:spacing w:val="6"/>
          <w:szCs w:val="20"/>
          <w:lang w:val="en-AU"/>
        </w:rPr>
        <w:t>%, 3</w:t>
      </w:r>
      <w:r w:rsidR="00157653">
        <w:rPr>
          <w:rFonts w:ascii="Calibri" w:eastAsia="Calibri" w:hAnsi="Calibri" w:cs="Calibri"/>
          <w:spacing w:val="6"/>
          <w:szCs w:val="20"/>
          <w:lang w:val="en-AU"/>
        </w:rPr>
        <w:t>7</w:t>
      </w:r>
      <w:r w:rsidRPr="000B2AF8">
        <w:rPr>
          <w:rFonts w:ascii="Calibri" w:eastAsia="Calibri" w:hAnsi="Calibri" w:cs="Calibri"/>
          <w:spacing w:val="6"/>
          <w:szCs w:val="20"/>
          <w:lang w:val="en-AU"/>
        </w:rPr>
        <w:t xml:space="preserve">% and </w:t>
      </w:r>
      <w:r w:rsidR="00157653">
        <w:rPr>
          <w:rFonts w:ascii="Calibri" w:eastAsia="Calibri" w:hAnsi="Calibri" w:cs="Calibri"/>
          <w:spacing w:val="6"/>
          <w:szCs w:val="20"/>
          <w:lang w:val="en-AU"/>
        </w:rPr>
        <w:t>3</w:t>
      </w:r>
      <w:r w:rsidRPr="000B2AF8">
        <w:rPr>
          <w:rFonts w:ascii="Calibri" w:eastAsia="Calibri" w:hAnsi="Calibri" w:cs="Calibri"/>
          <w:spacing w:val="6"/>
          <w:szCs w:val="20"/>
          <w:lang w:val="en-AU"/>
        </w:rPr>
        <w:t>9% respectively by 203</w:t>
      </w:r>
      <w:r w:rsidR="00157653">
        <w:rPr>
          <w:rFonts w:ascii="Calibri" w:eastAsia="Calibri" w:hAnsi="Calibri" w:cs="Calibri"/>
          <w:spacing w:val="6"/>
          <w:szCs w:val="20"/>
          <w:lang w:val="en-AU"/>
        </w:rPr>
        <w:t>6</w:t>
      </w:r>
      <w:r w:rsidR="00E5049C">
        <w:rPr>
          <w:rFonts w:ascii="Calibri" w:eastAsia="Calibri" w:hAnsi="Calibri" w:cs="Calibri"/>
          <w:spacing w:val="6"/>
          <w:szCs w:val="20"/>
          <w:lang w:val="en-AU"/>
        </w:rPr>
        <w:t xml:space="preserve">, compared with </w:t>
      </w:r>
      <w:r w:rsidR="009110C0">
        <w:rPr>
          <w:rFonts w:ascii="Calibri" w:eastAsia="Calibri" w:hAnsi="Calibri" w:cs="Calibri"/>
          <w:szCs w:val="20"/>
          <w:lang w:val="en-AU"/>
        </w:rPr>
        <w:t>3%, 4% and 5% respectively under the BAU scenario (Option 1).</w:t>
      </w:r>
      <w:r w:rsidR="00E5049C" w:rsidRPr="00E5049C">
        <w:rPr>
          <w:rStyle w:val="FigreferenceChar"/>
        </w:rPr>
        <w:t xml:space="preserve"> </w:t>
      </w:r>
      <w:r w:rsidR="00E5049C" w:rsidRPr="008F378B">
        <w:rPr>
          <w:rStyle w:val="FigreferenceChar"/>
        </w:rPr>
        <w:fldChar w:fldCharType="begin"/>
      </w:r>
      <w:r w:rsidR="00E5049C" w:rsidRPr="008F378B">
        <w:rPr>
          <w:rStyle w:val="FigreferenceChar"/>
        </w:rPr>
        <w:instrText xml:space="preserve"> REF _Ref22122653 \h </w:instrText>
      </w:r>
      <w:r w:rsidR="00E5049C">
        <w:rPr>
          <w:rStyle w:val="FigreferenceChar"/>
        </w:rPr>
        <w:instrText xml:space="preserve"> \* MERGEFORMAT </w:instrText>
      </w:r>
      <w:r w:rsidR="00E5049C" w:rsidRPr="008F378B">
        <w:rPr>
          <w:rStyle w:val="FigreferenceChar"/>
        </w:rPr>
      </w:r>
      <w:r w:rsidR="00E5049C" w:rsidRPr="008F378B">
        <w:rPr>
          <w:rStyle w:val="FigreferenceChar"/>
        </w:rPr>
        <w:fldChar w:fldCharType="separate"/>
      </w:r>
      <w:r w:rsidR="00541269" w:rsidRPr="00541269">
        <w:rPr>
          <w:rStyle w:val="FigreferenceChar"/>
        </w:rPr>
        <w:t>Figure 10</w:t>
      </w:r>
      <w:r w:rsidR="00E5049C" w:rsidRPr="008F378B">
        <w:rPr>
          <w:rStyle w:val="FigreferenceChar"/>
        </w:rPr>
        <w:fldChar w:fldCharType="end"/>
      </w:r>
      <w:r w:rsidR="00E5049C">
        <w:rPr>
          <w:rStyle w:val="FigreferenceChar"/>
        </w:rPr>
        <w:t xml:space="preserve"> illustrates the Medium activation rate assumptions by product (the others are in Appendix 2).</w:t>
      </w:r>
      <w:bookmarkEnd w:id="64"/>
    </w:p>
    <w:p w14:paraId="6F97E6F8" w14:textId="5E1D0666" w:rsidR="00A37634" w:rsidRPr="00063CCE" w:rsidRDefault="00A37634" w:rsidP="009110C0">
      <w:pPr>
        <w:spacing w:before="120" w:after="120" w:line="276" w:lineRule="auto"/>
        <w:rPr>
          <w:rFonts w:ascii="Calibri" w:eastAsia="Cambria" w:hAnsi="Calibri" w:cs="Calibri"/>
          <w:b/>
          <w:bCs/>
          <w:sz w:val="20"/>
          <w:szCs w:val="16"/>
          <w:lang w:val="en-AU"/>
        </w:rPr>
      </w:pPr>
      <w:r w:rsidRPr="00A37634">
        <w:rPr>
          <w:rFonts w:ascii="Calibri" w:eastAsia="Calibri" w:hAnsi="Calibri" w:cs="Calibri"/>
          <w:szCs w:val="20"/>
          <w:lang w:val="en-AU"/>
        </w:rPr>
        <w:t xml:space="preserve">The minimum activation rates to achieve a benefit/cost ratio of exactly 1.0 (at a 7% discount rate) are also shown </w:t>
      </w:r>
      <w:r w:rsidR="008F378B">
        <w:rPr>
          <w:rFonts w:ascii="Calibri" w:eastAsia="Calibri" w:hAnsi="Calibri" w:cs="Calibri"/>
          <w:szCs w:val="20"/>
          <w:lang w:val="en-AU"/>
        </w:rPr>
        <w:t>i</w:t>
      </w:r>
      <w:r w:rsidRPr="00A37634">
        <w:rPr>
          <w:rFonts w:ascii="Calibri" w:eastAsia="Calibri" w:hAnsi="Calibri" w:cs="Calibri"/>
          <w:szCs w:val="20"/>
          <w:lang w:val="en-AU"/>
        </w:rPr>
        <w:t>n</w:t>
      </w:r>
      <w:r w:rsidR="008F378B">
        <w:rPr>
          <w:rFonts w:ascii="Calibri" w:eastAsia="Calibri" w:hAnsi="Calibri" w:cs="Calibri"/>
          <w:szCs w:val="20"/>
          <w:lang w:val="en-AU"/>
        </w:rPr>
        <w:t xml:space="preserve"> </w:t>
      </w:r>
      <w:r w:rsidR="008F378B" w:rsidRPr="008F378B">
        <w:rPr>
          <w:rStyle w:val="FigreferenceChar"/>
        </w:rPr>
        <w:fldChar w:fldCharType="begin"/>
      </w:r>
      <w:r w:rsidR="008F378B" w:rsidRPr="008F378B">
        <w:rPr>
          <w:rStyle w:val="FigreferenceChar"/>
        </w:rPr>
        <w:instrText xml:space="preserve"> REF _Ref22122653 \h </w:instrText>
      </w:r>
      <w:r w:rsidR="008F378B">
        <w:rPr>
          <w:rStyle w:val="FigreferenceChar"/>
        </w:rPr>
        <w:instrText xml:space="preserve"> \* MERGEFORMAT </w:instrText>
      </w:r>
      <w:r w:rsidR="008F378B" w:rsidRPr="008F378B">
        <w:rPr>
          <w:rStyle w:val="FigreferenceChar"/>
        </w:rPr>
      </w:r>
      <w:r w:rsidR="008F378B" w:rsidRPr="008F378B">
        <w:rPr>
          <w:rStyle w:val="FigreferenceChar"/>
        </w:rPr>
        <w:fldChar w:fldCharType="separate"/>
      </w:r>
      <w:r w:rsidR="00541269" w:rsidRPr="00541269">
        <w:rPr>
          <w:rStyle w:val="FigreferenceChar"/>
        </w:rPr>
        <w:t>Figure 10</w:t>
      </w:r>
      <w:r w:rsidR="008F378B" w:rsidRPr="008F378B">
        <w:rPr>
          <w:rStyle w:val="FigreferenceChar"/>
        </w:rPr>
        <w:fldChar w:fldCharType="end"/>
      </w:r>
      <w:r w:rsidRPr="00A37634">
        <w:rPr>
          <w:rFonts w:ascii="Calibri" w:eastAsia="Calibri" w:hAnsi="Calibri" w:cs="Calibri"/>
          <w:szCs w:val="20"/>
          <w:lang w:val="en-AU"/>
        </w:rPr>
        <w:t xml:space="preserve">. To achieve cost-effectiveness in Australia, at least </w:t>
      </w:r>
      <w:r w:rsidR="009110C0">
        <w:rPr>
          <w:rFonts w:ascii="Calibri" w:eastAsia="Calibri" w:hAnsi="Calibri" w:cs="Calibri"/>
          <w:szCs w:val="20"/>
          <w:lang w:val="en-AU"/>
        </w:rPr>
        <w:t>5</w:t>
      </w:r>
      <w:r w:rsidRPr="00A37634">
        <w:rPr>
          <w:rFonts w:ascii="Calibri" w:eastAsia="Calibri" w:hAnsi="Calibri" w:cs="Calibri"/>
          <w:szCs w:val="20"/>
          <w:lang w:val="en-AU"/>
        </w:rPr>
        <w:t>% of the total AC stock needs to be activated by 203</w:t>
      </w:r>
      <w:r w:rsidR="009110C0">
        <w:rPr>
          <w:rFonts w:ascii="Calibri" w:eastAsia="Calibri" w:hAnsi="Calibri" w:cs="Calibri"/>
          <w:szCs w:val="20"/>
          <w:lang w:val="en-AU"/>
        </w:rPr>
        <w:t>6</w:t>
      </w:r>
      <w:r w:rsidRPr="00A37634">
        <w:rPr>
          <w:rFonts w:ascii="Calibri" w:eastAsia="Calibri" w:hAnsi="Calibri" w:cs="Calibri"/>
          <w:szCs w:val="20"/>
          <w:lang w:val="en-AU"/>
        </w:rPr>
        <w:t xml:space="preserve">, </w:t>
      </w:r>
      <w:r w:rsidR="009110C0">
        <w:rPr>
          <w:rFonts w:ascii="Calibri" w:eastAsia="Calibri" w:hAnsi="Calibri" w:cs="Calibri"/>
          <w:szCs w:val="20"/>
          <w:lang w:val="en-AU"/>
        </w:rPr>
        <w:t>11</w:t>
      </w:r>
      <w:r w:rsidRPr="00A37634">
        <w:rPr>
          <w:rFonts w:ascii="Calibri" w:eastAsia="Calibri" w:hAnsi="Calibri" w:cs="Calibri"/>
          <w:szCs w:val="20"/>
          <w:lang w:val="en-AU"/>
        </w:rPr>
        <w:t>% of the pool pump controller stock, 1</w:t>
      </w:r>
      <w:r w:rsidR="009110C0">
        <w:rPr>
          <w:rFonts w:ascii="Calibri" w:eastAsia="Calibri" w:hAnsi="Calibri" w:cs="Calibri"/>
          <w:szCs w:val="20"/>
          <w:lang w:val="en-AU"/>
        </w:rPr>
        <w:t>3</w:t>
      </w:r>
      <w:r w:rsidRPr="00A37634">
        <w:rPr>
          <w:rFonts w:ascii="Calibri" w:eastAsia="Calibri" w:hAnsi="Calibri" w:cs="Calibri"/>
          <w:szCs w:val="20"/>
          <w:lang w:val="en-AU"/>
        </w:rPr>
        <w:t xml:space="preserve">% of the water heater stock and 3% of the EV charge controller stock. For New Zealand, the minimum cost-effective activation rates are </w:t>
      </w:r>
      <w:r w:rsidR="009110C0">
        <w:rPr>
          <w:rFonts w:ascii="Calibri" w:eastAsia="Calibri" w:hAnsi="Calibri" w:cs="Calibri"/>
          <w:szCs w:val="20"/>
          <w:lang w:val="en-AU"/>
        </w:rPr>
        <w:t>similar.</w:t>
      </w:r>
      <w:r w:rsidRPr="00A37634">
        <w:rPr>
          <w:rFonts w:ascii="Calibri" w:eastAsia="Calibri" w:hAnsi="Calibri" w:cs="Calibri"/>
          <w:szCs w:val="20"/>
          <w:lang w:val="en-AU"/>
        </w:rPr>
        <w:t xml:space="preserve"> </w:t>
      </w:r>
    </w:p>
    <w:p w14:paraId="312BFFCB" w14:textId="77777777" w:rsidR="009110C0"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There will also be on-going administrative and business costs to service providers associated with maintaining records of activated appliances and communicating with participants, estimated at $2</w:t>
      </w:r>
      <w:r w:rsidR="009110C0">
        <w:rPr>
          <w:rFonts w:ascii="Calibri" w:eastAsia="Calibri" w:hAnsi="Calibri" w:cs="Calibri"/>
          <w:szCs w:val="20"/>
          <w:lang w:val="en-AU"/>
        </w:rPr>
        <w:t>5</w:t>
      </w:r>
      <w:r w:rsidRPr="00A37634">
        <w:rPr>
          <w:rFonts w:ascii="Calibri" w:eastAsia="Calibri" w:hAnsi="Calibri" w:cs="Calibri"/>
          <w:szCs w:val="20"/>
          <w:lang w:val="en-AU"/>
        </w:rPr>
        <w:t xml:space="preserve"> per activated appliance per year. </w:t>
      </w:r>
      <w:r w:rsidR="009110C0">
        <w:rPr>
          <w:rFonts w:ascii="Calibri" w:eastAsia="Calibri" w:hAnsi="Calibri" w:cs="Calibri"/>
          <w:szCs w:val="20"/>
          <w:lang w:val="en-AU"/>
        </w:rPr>
        <w:t xml:space="preserve">Some DRSPs may opt for 3G/4G phone connections, costing up to $60 per year, but it is likely that most will use zero-marginal-cost platforms such as the home’s existing WiFi router.  </w:t>
      </w:r>
      <w:r w:rsidRPr="00A37634">
        <w:rPr>
          <w:rFonts w:ascii="Calibri" w:eastAsia="Calibri" w:hAnsi="Calibri" w:cs="Calibri"/>
          <w:szCs w:val="20"/>
          <w:lang w:val="en-AU"/>
        </w:rPr>
        <w:t xml:space="preserve">It is assumed that this will also cover business profits for DRSPs. </w:t>
      </w:r>
    </w:p>
    <w:p w14:paraId="3184B453" w14:textId="1D8923B8"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Payments to participants – whether as targeted incentives or general tariff reductions – do not constitute a separate cost to DR programs. They represent one financial channel for returning economic benefit to consumers. Other channels include tariff adjustments, annual bonuses and payments per DR event.  </w:t>
      </w:r>
    </w:p>
    <w:p w14:paraId="09A6CC5D" w14:textId="77777777" w:rsidR="007C7289" w:rsidRDefault="007C7289">
      <w:pPr>
        <w:rPr>
          <w:rFonts w:ascii="Calibri" w:eastAsia="Cambria" w:hAnsi="Calibri" w:cs="Calibri"/>
          <w:b/>
          <w:bCs/>
          <w:sz w:val="20"/>
          <w:szCs w:val="16"/>
          <w:lang w:val="en-AU"/>
        </w:rPr>
      </w:pPr>
      <w:bookmarkStart w:id="65" w:name="_Ref11699783"/>
      <w:bookmarkStart w:id="66" w:name="_Hlk12976838"/>
      <w:r>
        <w:rPr>
          <w:rFonts w:ascii="Calibri" w:eastAsia="Cambria" w:hAnsi="Calibri" w:cs="Calibri"/>
          <w:b/>
          <w:bCs/>
          <w:sz w:val="20"/>
          <w:szCs w:val="16"/>
          <w:lang w:val="en-AU"/>
        </w:rPr>
        <w:br w:type="page"/>
      </w:r>
    </w:p>
    <w:p w14:paraId="123931A3" w14:textId="36DAA8EF"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67" w:name="_Ref22122653"/>
      <w:bookmarkStart w:id="68" w:name="_Toc22488523"/>
      <w:r w:rsidRPr="00A37634">
        <w:rPr>
          <w:rFonts w:ascii="Calibri" w:eastAsia="Cambria" w:hAnsi="Calibri" w:cs="Calibri"/>
          <w:b/>
          <w:bCs/>
          <w:sz w:val="20"/>
          <w:szCs w:val="16"/>
          <w:lang w:val="en-AU"/>
        </w:rPr>
        <w:lastRenderedPageBreak/>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10</w:t>
      </w:r>
      <w:r w:rsidRPr="00A37634">
        <w:rPr>
          <w:rFonts w:ascii="Calibri" w:eastAsia="Cambria" w:hAnsi="Calibri" w:cs="Calibri"/>
          <w:b/>
          <w:bCs/>
          <w:noProof/>
          <w:sz w:val="20"/>
          <w:szCs w:val="16"/>
          <w:lang w:val="en-AU"/>
        </w:rPr>
        <w:fldChar w:fldCharType="end"/>
      </w:r>
      <w:bookmarkEnd w:id="65"/>
      <w:bookmarkEnd w:id="67"/>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w:t>
      </w:r>
      <w:bookmarkStart w:id="69" w:name="_Hlk22203545"/>
      <w:r w:rsidRPr="00A37634">
        <w:rPr>
          <w:rFonts w:ascii="Calibri" w:eastAsia="Cambria" w:hAnsi="Calibri" w:cs="Calibri"/>
          <w:b/>
          <w:bCs/>
          <w:sz w:val="20"/>
          <w:szCs w:val="16"/>
          <w:lang w:val="en-AU"/>
        </w:rPr>
        <w:t>Projected activation rates (Medium and Minimum)</w:t>
      </w:r>
      <w:bookmarkEnd w:id="68"/>
      <w:bookmarkEnd w:id="69"/>
    </w:p>
    <w:bookmarkEnd w:id="66"/>
    <w:p w14:paraId="3731F6AF" w14:textId="7AAA9283" w:rsidR="00A37634" w:rsidRPr="00A37634" w:rsidRDefault="00E5049C" w:rsidP="00A37634">
      <w:pPr>
        <w:spacing w:after="120" w:line="276" w:lineRule="auto"/>
        <w:jc w:val="center"/>
        <w:rPr>
          <w:rFonts w:ascii="Calibri" w:eastAsia="Calibri" w:hAnsi="Calibri" w:cs="Calibri"/>
          <w:szCs w:val="20"/>
          <w:lang w:val="en-AU"/>
        </w:rPr>
      </w:pPr>
      <w:r>
        <w:rPr>
          <w:rFonts w:ascii="Calibri" w:eastAsia="Calibri" w:hAnsi="Calibri" w:cs="Calibri"/>
          <w:noProof/>
          <w:szCs w:val="20"/>
          <w:lang w:val="en-AU" w:eastAsia="en-AU"/>
        </w:rPr>
        <w:drawing>
          <wp:inline distT="0" distB="0" distL="0" distR="0" wp14:anchorId="5FC79248" wp14:editId="2529639D">
            <wp:extent cx="4004310" cy="2910388"/>
            <wp:effectExtent l="19050" t="19050" r="1524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9700" cy="2936110"/>
                    </a:xfrm>
                    <a:prstGeom prst="rect">
                      <a:avLst/>
                    </a:prstGeom>
                    <a:noFill/>
                    <a:ln>
                      <a:solidFill>
                        <a:schemeClr val="tx1"/>
                      </a:solidFill>
                    </a:ln>
                  </pic:spPr>
                </pic:pic>
              </a:graphicData>
            </a:graphic>
          </wp:inline>
        </w:drawing>
      </w:r>
    </w:p>
    <w:p w14:paraId="12D16175" w14:textId="6B285538"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70" w:name="_Ref13034848"/>
      <w:bookmarkStart w:id="71" w:name="_Toc22488524"/>
      <w:r w:rsidRPr="00A37634">
        <w:rPr>
          <w:rFonts w:ascii="Calibri" w:eastAsia="Cambria" w:hAnsi="Calibri" w:cs="Calibri"/>
          <w:b/>
          <w:bCs/>
          <w:sz w:val="20"/>
          <w:szCs w:val="16"/>
          <w:lang w:val="en-AU"/>
        </w:rPr>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11</w:t>
      </w:r>
      <w:r w:rsidRPr="00A37634">
        <w:rPr>
          <w:rFonts w:ascii="Calibri" w:eastAsia="Cambria" w:hAnsi="Calibri" w:cs="Calibri"/>
          <w:b/>
          <w:bCs/>
          <w:noProof/>
          <w:sz w:val="20"/>
          <w:szCs w:val="16"/>
          <w:lang w:val="en-AU"/>
        </w:rPr>
        <w:fldChar w:fldCharType="end"/>
      </w:r>
      <w:bookmarkEnd w:id="70"/>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Projected peak demand and impact on peak demand (Medium activation) rates</w:t>
      </w:r>
      <w:bookmarkEnd w:id="71"/>
    </w:p>
    <w:p w14:paraId="05947CBB" w14:textId="77777777" w:rsidR="00A37634" w:rsidRPr="00A37634" w:rsidRDefault="00A37634" w:rsidP="00A37634">
      <w:pPr>
        <w:spacing w:after="120" w:line="276" w:lineRule="auto"/>
        <w:jc w:val="center"/>
        <w:rPr>
          <w:rFonts w:ascii="Calibri" w:eastAsia="Calibri" w:hAnsi="Calibri" w:cs="Calibri"/>
          <w:szCs w:val="20"/>
          <w:lang w:val="en-AU"/>
        </w:rPr>
      </w:pPr>
      <w:r w:rsidRPr="00A37634">
        <w:rPr>
          <w:rFonts w:ascii="Calibri" w:eastAsia="Calibri" w:hAnsi="Calibri" w:cs="Calibri"/>
          <w:noProof/>
          <w:szCs w:val="20"/>
          <w:lang w:val="en-AU" w:eastAsia="en-AU"/>
        </w:rPr>
        <w:drawing>
          <wp:inline distT="0" distB="0" distL="0" distR="0" wp14:anchorId="4CA3CF8A" wp14:editId="51B991A5">
            <wp:extent cx="4019550" cy="2924110"/>
            <wp:effectExtent l="19050" t="19050" r="19050" b="10160"/>
            <wp:docPr id="12" name="Picture 12"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5319" cy="2971955"/>
                    </a:xfrm>
                    <a:prstGeom prst="rect">
                      <a:avLst/>
                    </a:prstGeom>
                    <a:noFill/>
                    <a:ln>
                      <a:solidFill>
                        <a:sysClr val="windowText" lastClr="000000"/>
                      </a:solidFill>
                    </a:ln>
                  </pic:spPr>
                </pic:pic>
              </a:graphicData>
            </a:graphic>
          </wp:inline>
        </w:drawing>
      </w:r>
    </w:p>
    <w:p w14:paraId="2C81C064" w14:textId="6059C456" w:rsidR="00A37634" w:rsidRPr="00A37634" w:rsidRDefault="00A37634" w:rsidP="00A37634">
      <w:pPr>
        <w:spacing w:before="240" w:after="120" w:line="276" w:lineRule="auto"/>
        <w:rPr>
          <w:rFonts w:ascii="Calibri" w:eastAsia="Calibri" w:hAnsi="Calibri" w:cs="Calibri"/>
          <w:szCs w:val="20"/>
          <w:lang w:val="en-AU"/>
        </w:rPr>
      </w:pPr>
      <w:r w:rsidRPr="00A37634">
        <w:rPr>
          <w:rFonts w:ascii="Calibri" w:eastAsia="Calibri" w:hAnsi="Calibri" w:cs="Calibri"/>
          <w:szCs w:val="20"/>
          <w:lang w:val="en-AU"/>
        </w:rPr>
        <w:t>All compliant products would be capable of DRM 1 (which enables cycling off and on by the remote agent)</w:t>
      </w:r>
      <w:r w:rsidR="00FE65DF">
        <w:rPr>
          <w:rFonts w:ascii="Calibri" w:eastAsia="Calibri" w:hAnsi="Calibri" w:cs="Calibri"/>
          <w:szCs w:val="20"/>
          <w:lang w:val="en-AU"/>
        </w:rPr>
        <w:t xml:space="preserve">. Some would also be capable of </w:t>
      </w:r>
      <w:r w:rsidRPr="00A37634">
        <w:rPr>
          <w:rFonts w:ascii="Calibri" w:eastAsia="Calibri" w:hAnsi="Calibri" w:cs="Calibri"/>
          <w:szCs w:val="20"/>
          <w:lang w:val="en-AU"/>
        </w:rPr>
        <w:t>part-load operation (DRMs 2 and 3)</w:t>
      </w:r>
      <w:r w:rsidR="00FE65DF">
        <w:rPr>
          <w:rFonts w:ascii="Calibri" w:eastAsia="Calibri" w:hAnsi="Calibri" w:cs="Calibri"/>
          <w:szCs w:val="20"/>
          <w:lang w:val="en-AU"/>
        </w:rPr>
        <w:t>, either as a mandatory requirement or through commercial decision by manufacturers.</w:t>
      </w:r>
      <w:r w:rsidRPr="00A37634">
        <w:rPr>
          <w:rFonts w:ascii="Calibri" w:eastAsia="Calibri" w:hAnsi="Calibri" w:cs="Calibri"/>
          <w:szCs w:val="20"/>
          <w:lang w:val="en-AU"/>
        </w:rPr>
        <w:t xml:space="preserve"> The strategy which DRSPs follow when exercising DLC will depend on the granularity of their control systems, i.e. whether they broadcast the same DLC signals throughout their network or call different groups of appliances and different DRMs in different areas. The presence of DRM 2 and DRM 3 increases the flexibility of </w:t>
      </w:r>
      <w:r w:rsidR="00FE65DF">
        <w:rPr>
          <w:rFonts w:ascii="Calibri" w:eastAsia="Calibri" w:hAnsi="Calibri" w:cs="Calibri"/>
          <w:szCs w:val="20"/>
          <w:lang w:val="en-AU"/>
        </w:rPr>
        <w:t xml:space="preserve">load reduction </w:t>
      </w:r>
      <w:r w:rsidRPr="00A37634">
        <w:rPr>
          <w:rFonts w:ascii="Calibri" w:eastAsia="Calibri" w:hAnsi="Calibri" w:cs="Calibri"/>
          <w:szCs w:val="20"/>
          <w:lang w:val="en-AU"/>
        </w:rPr>
        <w:t xml:space="preserve">response available, and </w:t>
      </w:r>
      <w:r w:rsidR="00FE65DF">
        <w:rPr>
          <w:rFonts w:ascii="Calibri" w:eastAsia="Calibri" w:hAnsi="Calibri" w:cs="Calibri"/>
          <w:szCs w:val="20"/>
          <w:lang w:val="en-AU"/>
        </w:rPr>
        <w:t xml:space="preserve">may </w:t>
      </w:r>
      <w:r w:rsidRPr="00A37634">
        <w:rPr>
          <w:rFonts w:ascii="Calibri" w:eastAsia="Calibri" w:hAnsi="Calibri" w:cs="Calibri"/>
          <w:szCs w:val="20"/>
          <w:lang w:val="en-AU"/>
        </w:rPr>
        <w:t xml:space="preserve">increase participation rates </w:t>
      </w:r>
      <w:r w:rsidR="00FE65DF">
        <w:rPr>
          <w:rFonts w:ascii="Calibri" w:eastAsia="Calibri" w:hAnsi="Calibri" w:cs="Calibri"/>
          <w:szCs w:val="20"/>
          <w:lang w:val="en-AU"/>
        </w:rPr>
        <w:t xml:space="preserve">if </w:t>
      </w:r>
      <w:r w:rsidRPr="00A37634">
        <w:rPr>
          <w:rFonts w:ascii="Calibri" w:eastAsia="Calibri" w:hAnsi="Calibri" w:cs="Calibri"/>
          <w:szCs w:val="20"/>
          <w:lang w:val="en-AU"/>
        </w:rPr>
        <w:t xml:space="preserve">consumers are more inclined to enter a DLC contract </w:t>
      </w:r>
      <w:r w:rsidR="00FE65DF">
        <w:rPr>
          <w:rFonts w:ascii="Calibri" w:eastAsia="Calibri" w:hAnsi="Calibri" w:cs="Calibri"/>
          <w:szCs w:val="20"/>
          <w:lang w:val="en-AU"/>
        </w:rPr>
        <w:t xml:space="preserve">with some </w:t>
      </w:r>
      <w:r w:rsidRPr="00A37634">
        <w:rPr>
          <w:rFonts w:ascii="Calibri" w:eastAsia="Calibri" w:hAnsi="Calibri" w:cs="Calibri"/>
          <w:szCs w:val="20"/>
          <w:lang w:val="en-AU"/>
        </w:rPr>
        <w:t xml:space="preserve">assurance of partial service during peak events. DRM 4 is necessary for events where increased load is required.  </w:t>
      </w:r>
    </w:p>
    <w:p w14:paraId="08BE877C" w14:textId="3B940CF2" w:rsidR="00A37634" w:rsidRPr="00063CCE" w:rsidRDefault="00A37634" w:rsidP="00A37634">
      <w:pPr>
        <w:spacing w:before="120" w:after="120" w:line="276" w:lineRule="auto"/>
        <w:rPr>
          <w:rFonts w:ascii="Calibri" w:eastAsia="Cambria" w:hAnsi="Calibri" w:cs="Calibri"/>
          <w:b/>
          <w:bCs/>
          <w:sz w:val="20"/>
          <w:szCs w:val="16"/>
          <w:lang w:val="en-AU"/>
        </w:rPr>
      </w:pPr>
      <w:r w:rsidRPr="00A37634">
        <w:rPr>
          <w:rFonts w:ascii="Calibri" w:eastAsia="Calibri" w:hAnsi="Calibri" w:cs="Calibri"/>
          <w:szCs w:val="20"/>
          <w:lang w:val="en-AU"/>
        </w:rPr>
        <w:t xml:space="preserve">The total MW of appliance load available for curtailment during non-emergency (or ‘routine’) peak load events in Australia, with ACs reduced to 50% load and pool pump, water heater and EV charging loads </w:t>
      </w:r>
      <w:r w:rsidRPr="00A37634">
        <w:rPr>
          <w:rFonts w:ascii="Calibri" w:eastAsia="Calibri" w:hAnsi="Calibri" w:cs="Calibri"/>
          <w:szCs w:val="20"/>
          <w:lang w:val="en-AU"/>
        </w:rPr>
        <w:lastRenderedPageBreak/>
        <w:t>switched off completely, ranges from about 2,</w:t>
      </w:r>
      <w:r w:rsidR="00A11B21">
        <w:rPr>
          <w:rFonts w:ascii="Calibri" w:eastAsia="Calibri" w:hAnsi="Calibri" w:cs="Calibri"/>
          <w:szCs w:val="20"/>
          <w:lang w:val="en-AU"/>
        </w:rPr>
        <w:t>72</w:t>
      </w:r>
      <w:r w:rsidRPr="00BB0627">
        <w:rPr>
          <w:rFonts w:ascii="Calibri" w:eastAsia="Calibri" w:hAnsi="Calibri" w:cs="Calibri"/>
          <w:szCs w:val="20"/>
          <w:lang w:val="en-AU"/>
        </w:rPr>
        <w:t xml:space="preserve">0 MW </w:t>
      </w:r>
      <w:r w:rsidRPr="00A11B21">
        <w:rPr>
          <w:rStyle w:val="FigreferenceChar"/>
        </w:rPr>
        <w:t>(</w:t>
      </w:r>
      <w:r w:rsidRPr="00A11B21">
        <w:rPr>
          <w:rStyle w:val="FigreferenceChar"/>
        </w:rPr>
        <w:fldChar w:fldCharType="begin"/>
      </w:r>
      <w:r w:rsidRPr="00A11B21">
        <w:rPr>
          <w:rStyle w:val="FigreferenceChar"/>
        </w:rPr>
        <w:instrText xml:space="preserve"> REF _Ref14777407 \h  \* MERGEFORMAT </w:instrText>
      </w:r>
      <w:r w:rsidRPr="00A11B21">
        <w:rPr>
          <w:rStyle w:val="FigreferenceChar"/>
        </w:rPr>
      </w:r>
      <w:r w:rsidRPr="00A11B21">
        <w:rPr>
          <w:rStyle w:val="FigreferenceChar"/>
        </w:rPr>
        <w:fldChar w:fldCharType="separate"/>
      </w:r>
      <w:r w:rsidR="006B22A7" w:rsidRPr="006B22A7">
        <w:rPr>
          <w:rStyle w:val="FigreferenceChar"/>
        </w:rPr>
        <w:t>Table 12</w:t>
      </w:r>
      <w:r w:rsidRPr="00A11B21">
        <w:rPr>
          <w:rStyle w:val="FigreferenceChar"/>
        </w:rPr>
        <w:fldChar w:fldCharType="end"/>
      </w:r>
      <w:r w:rsidRPr="00BB0627">
        <w:rPr>
          <w:rFonts w:ascii="Calibri" w:eastAsia="Calibri" w:hAnsi="Calibri" w:cs="Calibri"/>
          <w:szCs w:val="20"/>
          <w:lang w:val="en-AU"/>
        </w:rPr>
        <w:t>) to 5,</w:t>
      </w:r>
      <w:r w:rsidR="00A11B21">
        <w:rPr>
          <w:rFonts w:ascii="Calibri" w:eastAsia="Calibri" w:hAnsi="Calibri" w:cs="Calibri"/>
          <w:szCs w:val="20"/>
          <w:lang w:val="en-AU"/>
        </w:rPr>
        <w:t>040</w:t>
      </w:r>
      <w:r w:rsidRPr="00BB0627">
        <w:rPr>
          <w:rFonts w:ascii="Calibri" w:eastAsia="Calibri" w:hAnsi="Calibri" w:cs="Calibri"/>
          <w:szCs w:val="20"/>
          <w:lang w:val="en-AU"/>
        </w:rPr>
        <w:t xml:space="preserve"> MW</w:t>
      </w:r>
      <w:r w:rsidRPr="00A37634">
        <w:rPr>
          <w:rFonts w:ascii="Calibri" w:eastAsia="Calibri" w:hAnsi="Calibri" w:cs="Calibri"/>
          <w:szCs w:val="20"/>
          <w:lang w:val="en-AU"/>
        </w:rPr>
        <w:t xml:space="preserve"> (</w:t>
      </w:r>
      <w:r w:rsidRPr="00A11B21">
        <w:rPr>
          <w:rStyle w:val="FigreferenceChar"/>
        </w:rPr>
        <w:fldChar w:fldCharType="begin"/>
      </w:r>
      <w:r w:rsidRPr="00A11B21">
        <w:rPr>
          <w:rStyle w:val="FigreferenceChar"/>
        </w:rPr>
        <w:instrText xml:space="preserve"> REF _Ref392238878 \h  \* MERGEFORMAT </w:instrText>
      </w:r>
      <w:r w:rsidRPr="00A11B21">
        <w:rPr>
          <w:rStyle w:val="FigreferenceChar"/>
        </w:rPr>
      </w:r>
      <w:r w:rsidRPr="00A11B21">
        <w:rPr>
          <w:rStyle w:val="FigreferenceChar"/>
        </w:rPr>
        <w:fldChar w:fldCharType="separate"/>
      </w:r>
      <w:r w:rsidR="006B22A7" w:rsidRPr="006B22A7">
        <w:rPr>
          <w:rStyle w:val="FigreferenceChar"/>
        </w:rPr>
        <w:t>Table 14</w:t>
      </w:r>
      <w:r w:rsidRPr="00A11B21">
        <w:rPr>
          <w:rStyle w:val="FigreferenceChar"/>
        </w:rPr>
        <w:fldChar w:fldCharType="end"/>
      </w:r>
      <w:r w:rsidRPr="00A37634">
        <w:rPr>
          <w:rFonts w:ascii="Calibri" w:eastAsia="Calibri" w:hAnsi="Calibri" w:cs="Calibri"/>
          <w:szCs w:val="20"/>
          <w:lang w:val="en-AU"/>
        </w:rPr>
        <w:t>), with the likely value around 3,</w:t>
      </w:r>
      <w:r w:rsidR="00A11B21">
        <w:rPr>
          <w:rFonts w:ascii="Calibri" w:eastAsia="Calibri" w:hAnsi="Calibri" w:cs="Calibri"/>
          <w:szCs w:val="20"/>
          <w:lang w:val="en-AU"/>
        </w:rPr>
        <w:t>40</w:t>
      </w:r>
      <w:r w:rsidRPr="00A37634">
        <w:rPr>
          <w:rFonts w:ascii="Calibri" w:eastAsia="Calibri" w:hAnsi="Calibri" w:cs="Calibri"/>
          <w:szCs w:val="20"/>
          <w:lang w:val="en-AU"/>
        </w:rPr>
        <w:t xml:space="preserve">0 </w:t>
      </w:r>
      <w:r w:rsidRPr="00E401CD">
        <w:rPr>
          <w:rFonts w:ascii="Calibri" w:eastAsia="Calibri" w:hAnsi="Calibri" w:cs="Calibri"/>
          <w:szCs w:val="20"/>
          <w:lang w:val="en-AU"/>
        </w:rPr>
        <w:t>MW</w:t>
      </w:r>
      <w:r w:rsidR="00E401CD" w:rsidRPr="00E401CD">
        <w:rPr>
          <w:rFonts w:ascii="Calibri" w:eastAsia="Calibri" w:hAnsi="Calibri" w:cs="Calibri"/>
          <w:szCs w:val="20"/>
          <w:lang w:val="en-AU"/>
        </w:rPr>
        <w:t xml:space="preserve"> (</w:t>
      </w:r>
      <w:r w:rsidR="00E401CD" w:rsidRPr="00A11B21">
        <w:rPr>
          <w:rStyle w:val="FigreferenceChar"/>
        </w:rPr>
        <w:t>Table 6</w:t>
      </w:r>
      <w:r w:rsidRPr="00E401CD">
        <w:rPr>
          <w:rFonts w:ascii="Calibri" w:eastAsia="Calibri" w:hAnsi="Calibri" w:cs="Calibri"/>
          <w:szCs w:val="20"/>
          <w:lang w:val="en-AU"/>
        </w:rPr>
        <w:t>). This is equ</w:t>
      </w:r>
      <w:r w:rsidRPr="00A37634">
        <w:rPr>
          <w:rFonts w:ascii="Calibri" w:eastAsia="Calibri" w:hAnsi="Calibri" w:cs="Calibri"/>
          <w:szCs w:val="20"/>
          <w:lang w:val="en-AU"/>
        </w:rPr>
        <w:t>ivalent to 60% of the total projected growth in peak demand on the State and Territory networks to 203</w:t>
      </w:r>
      <w:r w:rsidR="00A11B21">
        <w:rPr>
          <w:rFonts w:ascii="Calibri" w:eastAsia="Calibri" w:hAnsi="Calibri" w:cs="Calibri"/>
          <w:szCs w:val="20"/>
          <w:lang w:val="en-AU"/>
        </w:rPr>
        <w:t>6</w:t>
      </w:r>
      <w:r w:rsidRPr="00A37634">
        <w:rPr>
          <w:rFonts w:ascii="Calibri" w:eastAsia="Calibri" w:hAnsi="Calibri" w:cs="Calibri"/>
          <w:szCs w:val="20"/>
          <w:lang w:val="en-AU"/>
        </w:rPr>
        <w:t xml:space="preserve">. In other words, if properly factored into network planning, use of the projected DR capability could more than halve network investment requirements over the next 15 years. The most likely load available for routine curtailment in New Zealand is </w:t>
      </w:r>
      <w:r w:rsidR="00A11B21">
        <w:rPr>
          <w:rFonts w:ascii="Calibri" w:eastAsia="Calibri" w:hAnsi="Calibri" w:cs="Calibri"/>
          <w:szCs w:val="20"/>
          <w:lang w:val="en-AU"/>
        </w:rPr>
        <w:t>44</w:t>
      </w:r>
      <w:r w:rsidRPr="00A37634">
        <w:rPr>
          <w:rFonts w:ascii="Calibri" w:eastAsia="Calibri" w:hAnsi="Calibri" w:cs="Calibri"/>
          <w:szCs w:val="20"/>
          <w:lang w:val="en-AU"/>
        </w:rPr>
        <w:t>0 MW</w:t>
      </w:r>
      <w:r w:rsidR="00A11B21">
        <w:rPr>
          <w:rFonts w:ascii="Calibri" w:eastAsia="Calibri" w:hAnsi="Calibri" w:cs="Calibri"/>
          <w:szCs w:val="20"/>
          <w:lang w:val="en-AU"/>
        </w:rPr>
        <w:t xml:space="preserve"> (</w:t>
      </w:r>
      <w:r w:rsidR="00A11B21" w:rsidRPr="00A11B21">
        <w:rPr>
          <w:rStyle w:val="FigreferenceChar"/>
        </w:rPr>
        <w:fldChar w:fldCharType="begin"/>
      </w:r>
      <w:r w:rsidR="00A11B21" w:rsidRPr="00A11B21">
        <w:rPr>
          <w:rStyle w:val="FigreferenceChar"/>
        </w:rPr>
        <w:instrText xml:space="preserve"> REF _Ref22133461 \h </w:instrText>
      </w:r>
      <w:r w:rsidR="00A11B21">
        <w:rPr>
          <w:rStyle w:val="FigreferenceChar"/>
        </w:rPr>
        <w:instrText xml:space="preserve"> \* MERGEFORMAT </w:instrText>
      </w:r>
      <w:r w:rsidR="00A11B21" w:rsidRPr="00A11B21">
        <w:rPr>
          <w:rStyle w:val="FigreferenceChar"/>
        </w:rPr>
      </w:r>
      <w:r w:rsidR="00A11B21" w:rsidRPr="00A11B21">
        <w:rPr>
          <w:rStyle w:val="FigreferenceChar"/>
        </w:rPr>
        <w:fldChar w:fldCharType="separate"/>
      </w:r>
      <w:r w:rsidR="006B22A7" w:rsidRPr="006B22A7">
        <w:rPr>
          <w:rStyle w:val="FigreferenceChar"/>
        </w:rPr>
        <w:t>Table 19</w:t>
      </w:r>
      <w:r w:rsidR="00A11B21" w:rsidRPr="00A11B21">
        <w:rPr>
          <w:rStyle w:val="FigreferenceChar"/>
        </w:rPr>
        <w:fldChar w:fldCharType="end"/>
      </w:r>
      <w:r w:rsidR="00A11B21">
        <w:rPr>
          <w:rFonts w:ascii="Calibri" w:eastAsia="Calibri" w:hAnsi="Calibri" w:cs="Calibri"/>
          <w:szCs w:val="20"/>
          <w:lang w:val="en-AU"/>
        </w:rPr>
        <w:t>)</w:t>
      </w:r>
      <w:r w:rsidRPr="00A37634">
        <w:rPr>
          <w:rFonts w:ascii="Calibri" w:eastAsia="Calibri" w:hAnsi="Calibri" w:cs="Calibri"/>
          <w:szCs w:val="20"/>
          <w:lang w:val="en-AU"/>
        </w:rPr>
        <w:t>.</w:t>
      </w:r>
    </w:p>
    <w:p w14:paraId="10605AA5" w14:textId="692EF72A" w:rsidR="00A37634" w:rsidRPr="00E401CD" w:rsidRDefault="00A37634" w:rsidP="0063461B">
      <w:pPr>
        <w:pStyle w:val="Figreference"/>
      </w:pPr>
      <w:r w:rsidRPr="00A11B21">
        <w:fldChar w:fldCharType="begin"/>
      </w:r>
      <w:r w:rsidRPr="00A11B21">
        <w:instrText xml:space="preserve"> REF _Ref11701882 \h  \* MERGEFORMAT </w:instrText>
      </w:r>
      <w:r w:rsidRPr="00A11B21">
        <w:fldChar w:fldCharType="separate"/>
      </w:r>
      <w:r w:rsidR="006B22A7" w:rsidRPr="006B22A7">
        <w:t>Figure 12</w:t>
      </w:r>
      <w:r w:rsidRPr="00A11B21">
        <w:fldChar w:fldCharType="end"/>
      </w:r>
      <w:r w:rsidRPr="000516A3">
        <w:rPr>
          <w:b/>
        </w:rPr>
        <w:t xml:space="preserve"> </w:t>
      </w:r>
      <w:r w:rsidRPr="00A37634">
        <w:t>illustrates the NPV of cost and benefits for Australia (at 7% discount rate) under the Low, Medium and High activation scenarios</w:t>
      </w:r>
      <w:r w:rsidRPr="00A11B21">
        <w:t xml:space="preserve">. </w:t>
      </w:r>
      <w:r w:rsidRPr="00A11B21">
        <w:fldChar w:fldCharType="begin"/>
      </w:r>
      <w:r w:rsidRPr="00A11B21">
        <w:instrText xml:space="preserve"> REF _Ref14014073 \h  \* MERGEFORMAT </w:instrText>
      </w:r>
      <w:r w:rsidRPr="00A11B21">
        <w:fldChar w:fldCharType="separate"/>
      </w:r>
      <w:r w:rsidR="006B22A7" w:rsidRPr="006B22A7">
        <w:t>Table 10</w:t>
      </w:r>
      <w:r w:rsidRPr="00A11B21">
        <w:fldChar w:fldCharType="end"/>
      </w:r>
      <w:r w:rsidRPr="00A37634">
        <w:t xml:space="preserve"> and</w:t>
      </w:r>
      <w:r w:rsidRPr="00A11B21">
        <w:t xml:space="preserve"> </w:t>
      </w:r>
      <w:r w:rsidRPr="00A11B21">
        <w:fldChar w:fldCharType="begin"/>
      </w:r>
      <w:r w:rsidRPr="00A11B21">
        <w:instrText xml:space="preserve"> REF _Ref13050589 \h  \* MERGEFORMAT </w:instrText>
      </w:r>
      <w:r w:rsidRPr="00A11B21">
        <w:fldChar w:fldCharType="separate"/>
      </w:r>
      <w:r w:rsidR="006B22A7" w:rsidRPr="006B22A7">
        <w:t>Table 11</w:t>
      </w:r>
      <w:r w:rsidRPr="00A11B21">
        <w:fldChar w:fldCharType="end"/>
      </w:r>
      <w:r w:rsidRPr="00A37634">
        <w:t xml:space="preserve"> summarise the Benefit/Cost (B/C) ratios for each appliance type for Australia and New Zealand respectively. </w:t>
      </w:r>
      <w:bookmarkStart w:id="72" w:name="_Hlk11339429"/>
      <w:r w:rsidRPr="00A37634">
        <w:t xml:space="preserve">Changing the discount rates has negligible effect on the B/C ratios </w:t>
      </w:r>
      <w:proofErr w:type="gramStart"/>
      <w:r w:rsidRPr="00A37634">
        <w:t>due to the fact that</w:t>
      </w:r>
      <w:proofErr w:type="gramEnd"/>
      <w:r w:rsidRPr="00A37634">
        <w:t xml:space="preserve"> both costs and benefits are dominated by capital costs incurred or avoided in specific years, and not by streams of energy expenditures or savings, as would be the case with energy efficiency measures. The proposal </w:t>
      </w:r>
      <w:r w:rsidR="0063461B">
        <w:t xml:space="preserve">appears </w:t>
      </w:r>
      <w:r w:rsidRPr="00A37634">
        <w:t xml:space="preserve">cost-effective in all jurisdictions apart from the </w:t>
      </w:r>
      <w:r w:rsidRPr="00E401CD">
        <w:t xml:space="preserve">NT </w:t>
      </w:r>
      <w:r w:rsidR="0063461B">
        <w:t xml:space="preserve">and the ACT </w:t>
      </w:r>
      <w:r w:rsidRPr="00E401CD">
        <w:t>(</w:t>
      </w:r>
      <w:r w:rsidRPr="0063461B">
        <w:fldChar w:fldCharType="begin"/>
      </w:r>
      <w:r w:rsidRPr="0063461B">
        <w:instrText xml:space="preserve"> REF _Ref14777407 \h  \* MERGEFORMAT </w:instrText>
      </w:r>
      <w:r w:rsidRPr="0063461B">
        <w:fldChar w:fldCharType="separate"/>
      </w:r>
      <w:r w:rsidR="006B22A7" w:rsidRPr="006B22A7">
        <w:t>Table 12</w:t>
      </w:r>
      <w:r w:rsidRPr="0063461B">
        <w:fldChar w:fldCharType="end"/>
      </w:r>
      <w:r w:rsidR="0063461B">
        <w:rPr>
          <w:b/>
        </w:rPr>
        <w:t xml:space="preserve">, </w:t>
      </w:r>
      <w:r w:rsidR="0063461B" w:rsidRPr="0063461B">
        <w:fldChar w:fldCharType="begin"/>
      </w:r>
      <w:r w:rsidR="0063461B" w:rsidRPr="0063461B">
        <w:instrText xml:space="preserve"> REF _Ref22133585 \h </w:instrText>
      </w:r>
      <w:r w:rsidR="0063461B">
        <w:instrText xml:space="preserve"> \* MERGEFORMAT </w:instrText>
      </w:r>
      <w:r w:rsidR="0063461B" w:rsidRPr="0063461B">
        <w:fldChar w:fldCharType="separate"/>
      </w:r>
      <w:r w:rsidR="006B22A7" w:rsidRPr="006B22A7">
        <w:t>Table 13</w:t>
      </w:r>
      <w:r w:rsidR="0063461B" w:rsidRPr="0063461B">
        <w:fldChar w:fldCharType="end"/>
      </w:r>
      <w:r w:rsidRPr="00E401CD">
        <w:t xml:space="preserve"> </w:t>
      </w:r>
      <w:r w:rsidR="0063461B">
        <w:t xml:space="preserve">and </w:t>
      </w:r>
      <w:r w:rsidRPr="0063461B">
        <w:fldChar w:fldCharType="begin"/>
      </w:r>
      <w:r w:rsidRPr="0063461B">
        <w:instrText xml:space="preserve"> REF _Ref392238878 \h  \* MERGEFORMAT </w:instrText>
      </w:r>
      <w:r w:rsidRPr="0063461B">
        <w:fldChar w:fldCharType="separate"/>
      </w:r>
      <w:r w:rsidR="006B22A7" w:rsidRPr="006B22A7">
        <w:t>Table 14</w:t>
      </w:r>
      <w:r w:rsidRPr="0063461B">
        <w:fldChar w:fldCharType="end"/>
      </w:r>
      <w:r w:rsidRPr="00E401CD">
        <w:t>)</w:t>
      </w:r>
      <w:r w:rsidR="0063461B">
        <w:t xml:space="preserve"> because no growth in peak demand is projected. </w:t>
      </w:r>
    </w:p>
    <w:p w14:paraId="5B822110" w14:textId="1906CF4A"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proposal is estimated to yield accrued net benefits in the range $</w:t>
      </w:r>
      <w:r w:rsidR="0063461B">
        <w:rPr>
          <w:rFonts w:ascii="Calibri" w:eastAsia="Calibri" w:hAnsi="Calibri" w:cs="Calibri"/>
          <w:szCs w:val="20"/>
          <w:lang w:val="en-AU"/>
        </w:rPr>
        <w:t>1</w:t>
      </w:r>
      <w:r w:rsidRPr="00A37634">
        <w:rPr>
          <w:rFonts w:ascii="Calibri" w:eastAsia="Calibri" w:hAnsi="Calibri" w:cs="Calibri"/>
          <w:szCs w:val="20"/>
          <w:lang w:val="en-AU"/>
        </w:rPr>
        <w:t>,</w:t>
      </w:r>
      <w:r w:rsidR="0063461B">
        <w:rPr>
          <w:rFonts w:ascii="Calibri" w:eastAsia="Calibri" w:hAnsi="Calibri" w:cs="Calibri"/>
          <w:szCs w:val="20"/>
          <w:lang w:val="en-AU"/>
        </w:rPr>
        <w:t>430</w:t>
      </w:r>
      <w:r w:rsidRPr="00A37634">
        <w:rPr>
          <w:rFonts w:ascii="Calibri" w:eastAsia="Calibri" w:hAnsi="Calibri" w:cs="Calibri"/>
          <w:szCs w:val="20"/>
          <w:lang w:val="en-AU"/>
        </w:rPr>
        <w:t xml:space="preserve"> million to $</w:t>
      </w:r>
      <w:r w:rsidR="0063461B">
        <w:rPr>
          <w:rFonts w:ascii="Calibri" w:eastAsia="Calibri" w:hAnsi="Calibri" w:cs="Calibri"/>
          <w:szCs w:val="20"/>
          <w:lang w:val="en-AU"/>
        </w:rPr>
        <w:t>2</w:t>
      </w:r>
      <w:r w:rsidRPr="00A37634">
        <w:rPr>
          <w:rFonts w:ascii="Calibri" w:eastAsia="Calibri" w:hAnsi="Calibri" w:cs="Calibri"/>
          <w:szCs w:val="20"/>
          <w:lang w:val="en-AU"/>
        </w:rPr>
        <w:t>,</w:t>
      </w:r>
      <w:r w:rsidR="0063461B">
        <w:rPr>
          <w:rFonts w:ascii="Calibri" w:eastAsia="Calibri" w:hAnsi="Calibri" w:cs="Calibri"/>
          <w:szCs w:val="20"/>
          <w:lang w:val="en-AU"/>
        </w:rPr>
        <w:t>80</w:t>
      </w:r>
      <w:r w:rsidRPr="00A37634">
        <w:rPr>
          <w:rFonts w:ascii="Calibri" w:eastAsia="Calibri" w:hAnsi="Calibri" w:cs="Calibri"/>
          <w:szCs w:val="20"/>
          <w:lang w:val="en-AU"/>
        </w:rPr>
        <w:t>0 million net present value (NPV) with the most likely value around $</w:t>
      </w:r>
      <w:r w:rsidR="0063461B">
        <w:rPr>
          <w:rFonts w:ascii="Calibri" w:eastAsia="Calibri" w:hAnsi="Calibri" w:cs="Calibri"/>
          <w:szCs w:val="20"/>
          <w:lang w:val="en-AU"/>
        </w:rPr>
        <w:t>1</w:t>
      </w:r>
      <w:r w:rsidRPr="00A37634">
        <w:rPr>
          <w:rFonts w:ascii="Calibri" w:eastAsia="Calibri" w:hAnsi="Calibri" w:cs="Calibri"/>
          <w:szCs w:val="20"/>
          <w:lang w:val="en-AU"/>
        </w:rPr>
        <w:t>,</w:t>
      </w:r>
      <w:r w:rsidR="0063461B">
        <w:rPr>
          <w:rFonts w:ascii="Calibri" w:eastAsia="Calibri" w:hAnsi="Calibri" w:cs="Calibri"/>
          <w:szCs w:val="20"/>
          <w:lang w:val="en-AU"/>
        </w:rPr>
        <w:t>8</w:t>
      </w:r>
      <w:r w:rsidRPr="00A37634">
        <w:rPr>
          <w:rFonts w:ascii="Calibri" w:eastAsia="Calibri" w:hAnsi="Calibri" w:cs="Calibri"/>
          <w:szCs w:val="20"/>
          <w:lang w:val="en-AU"/>
        </w:rPr>
        <w:t xml:space="preserve">70 million, at a benefit/cost ratio of </w:t>
      </w:r>
      <w:r w:rsidR="0063461B">
        <w:rPr>
          <w:rFonts w:ascii="Calibri" w:eastAsia="Calibri" w:hAnsi="Calibri" w:cs="Calibri"/>
          <w:szCs w:val="20"/>
          <w:lang w:val="en-AU"/>
        </w:rPr>
        <w:t>2.9</w:t>
      </w:r>
      <w:r w:rsidRPr="00A37634">
        <w:rPr>
          <w:rFonts w:ascii="Calibri" w:eastAsia="Calibri" w:hAnsi="Calibri" w:cs="Calibri"/>
          <w:szCs w:val="20"/>
          <w:lang w:val="en-AU"/>
        </w:rPr>
        <w:t xml:space="preserve">. This is equivalent to a net benefit of </w:t>
      </w:r>
      <w:r w:rsidR="0063461B">
        <w:rPr>
          <w:rFonts w:ascii="Calibri" w:eastAsia="Calibri" w:hAnsi="Calibri" w:cs="Calibri"/>
          <w:szCs w:val="20"/>
          <w:lang w:val="en-AU"/>
        </w:rPr>
        <w:t xml:space="preserve">nearly </w:t>
      </w:r>
      <w:r w:rsidRPr="00A37634">
        <w:rPr>
          <w:rFonts w:ascii="Calibri" w:eastAsia="Calibri" w:hAnsi="Calibri" w:cs="Calibri"/>
          <w:szCs w:val="20"/>
          <w:lang w:val="en-AU"/>
        </w:rPr>
        <w:t>$</w:t>
      </w:r>
      <w:r w:rsidR="0063461B">
        <w:rPr>
          <w:rFonts w:ascii="Calibri" w:eastAsia="Calibri" w:hAnsi="Calibri" w:cs="Calibri"/>
          <w:szCs w:val="20"/>
          <w:lang w:val="en-AU"/>
        </w:rPr>
        <w:t>2</w:t>
      </w:r>
      <w:r w:rsidRPr="00A37634">
        <w:rPr>
          <w:rFonts w:ascii="Calibri" w:eastAsia="Calibri" w:hAnsi="Calibri" w:cs="Calibri"/>
          <w:szCs w:val="20"/>
          <w:lang w:val="en-AU"/>
        </w:rPr>
        <w:t>00 NPV for each Australian household, or nearly $</w:t>
      </w:r>
      <w:r w:rsidR="0063461B">
        <w:rPr>
          <w:rFonts w:ascii="Calibri" w:eastAsia="Calibri" w:hAnsi="Calibri" w:cs="Calibri"/>
          <w:szCs w:val="20"/>
          <w:lang w:val="en-AU"/>
        </w:rPr>
        <w:t>25</w:t>
      </w:r>
      <w:r w:rsidRPr="00A37634">
        <w:rPr>
          <w:rFonts w:ascii="Calibri" w:eastAsia="Calibri" w:hAnsi="Calibri" w:cs="Calibri"/>
          <w:szCs w:val="20"/>
          <w:lang w:val="en-AU"/>
        </w:rPr>
        <w:t xml:space="preserve">0 </w:t>
      </w:r>
      <w:r w:rsidR="0063461B">
        <w:rPr>
          <w:rFonts w:ascii="Calibri" w:eastAsia="Calibri" w:hAnsi="Calibri" w:cs="Calibri"/>
          <w:szCs w:val="20"/>
          <w:lang w:val="en-AU"/>
        </w:rPr>
        <w:t xml:space="preserve">NPV </w:t>
      </w:r>
      <w:r w:rsidRPr="00A37634">
        <w:rPr>
          <w:rFonts w:ascii="Calibri" w:eastAsia="Calibri" w:hAnsi="Calibri" w:cs="Calibri"/>
          <w:szCs w:val="20"/>
          <w:lang w:val="en-AU"/>
        </w:rPr>
        <w:t>for each of the 7.5 million appliances projected to be under DR control by 203</w:t>
      </w:r>
      <w:r w:rsidR="0063461B">
        <w:rPr>
          <w:rFonts w:ascii="Calibri" w:eastAsia="Calibri" w:hAnsi="Calibri" w:cs="Calibri"/>
          <w:szCs w:val="20"/>
          <w:lang w:val="en-AU"/>
        </w:rPr>
        <w:t>6</w:t>
      </w:r>
      <w:r w:rsidRPr="00A37634">
        <w:rPr>
          <w:rFonts w:ascii="Calibri" w:eastAsia="Calibri" w:hAnsi="Calibri" w:cs="Calibri"/>
          <w:szCs w:val="20"/>
          <w:lang w:val="en-AU"/>
        </w:rPr>
        <w:t>. (This would represent about 2</w:t>
      </w:r>
      <w:r w:rsidR="0063461B">
        <w:rPr>
          <w:rFonts w:ascii="Calibri" w:eastAsia="Calibri" w:hAnsi="Calibri" w:cs="Calibri"/>
          <w:szCs w:val="20"/>
          <w:lang w:val="en-AU"/>
        </w:rPr>
        <w:t>7</w:t>
      </w:r>
      <w:r w:rsidRPr="00A37634">
        <w:rPr>
          <w:rFonts w:ascii="Calibri" w:eastAsia="Calibri" w:hAnsi="Calibri" w:cs="Calibri"/>
          <w:szCs w:val="20"/>
          <w:lang w:val="en-AU"/>
        </w:rPr>
        <w:t>% of the total stock of those appliances.)</w:t>
      </w:r>
    </w:p>
    <w:p w14:paraId="2A3B5AB3" w14:textId="6FCAF268"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For New Zealand, the proposal is estimated to yield accrued net benefits in the range $NZ </w:t>
      </w:r>
      <w:r w:rsidR="0063461B">
        <w:rPr>
          <w:rFonts w:ascii="Calibri" w:eastAsia="Calibri" w:hAnsi="Calibri" w:cs="Calibri"/>
          <w:szCs w:val="20"/>
          <w:lang w:val="en-AU"/>
        </w:rPr>
        <w:t>202</w:t>
      </w:r>
      <w:r w:rsidRPr="00A37634">
        <w:rPr>
          <w:rFonts w:ascii="Calibri" w:eastAsia="Calibri" w:hAnsi="Calibri" w:cs="Calibri"/>
          <w:szCs w:val="20"/>
          <w:lang w:val="en-AU"/>
        </w:rPr>
        <w:t xml:space="preserve"> million to $</w:t>
      </w:r>
      <w:r w:rsidR="0063461B">
        <w:rPr>
          <w:rFonts w:ascii="Calibri" w:eastAsia="Calibri" w:hAnsi="Calibri" w:cs="Calibri"/>
          <w:szCs w:val="20"/>
          <w:lang w:val="en-AU"/>
        </w:rPr>
        <w:t>403</w:t>
      </w:r>
      <w:r w:rsidRPr="00A37634">
        <w:rPr>
          <w:rFonts w:ascii="Calibri" w:eastAsia="Calibri" w:hAnsi="Calibri" w:cs="Calibri"/>
          <w:szCs w:val="20"/>
          <w:lang w:val="en-AU"/>
        </w:rPr>
        <w:t xml:space="preserve"> million NPV with the most likely value around $2</w:t>
      </w:r>
      <w:r w:rsidR="0063461B">
        <w:rPr>
          <w:rFonts w:ascii="Calibri" w:eastAsia="Calibri" w:hAnsi="Calibri" w:cs="Calibri"/>
          <w:szCs w:val="20"/>
          <w:lang w:val="en-AU"/>
        </w:rPr>
        <w:t>6</w:t>
      </w:r>
      <w:r w:rsidRPr="00A37634">
        <w:rPr>
          <w:rFonts w:ascii="Calibri" w:eastAsia="Calibri" w:hAnsi="Calibri" w:cs="Calibri"/>
          <w:szCs w:val="20"/>
          <w:lang w:val="en-AU"/>
        </w:rPr>
        <w:t>0 million, at a benefit/cost ratio of 2.</w:t>
      </w:r>
      <w:r w:rsidR="0063461B">
        <w:rPr>
          <w:rFonts w:ascii="Calibri" w:eastAsia="Calibri" w:hAnsi="Calibri" w:cs="Calibri"/>
          <w:szCs w:val="20"/>
          <w:lang w:val="en-AU"/>
        </w:rPr>
        <w:t>8</w:t>
      </w:r>
      <w:r w:rsidRPr="00A37634">
        <w:rPr>
          <w:rFonts w:ascii="Calibri" w:eastAsia="Calibri" w:hAnsi="Calibri" w:cs="Calibri"/>
          <w:szCs w:val="20"/>
          <w:lang w:val="en-AU"/>
        </w:rPr>
        <w:t>. This is equivalent to a net benefit of about $1</w:t>
      </w:r>
      <w:r w:rsidR="00040C11">
        <w:rPr>
          <w:rFonts w:ascii="Calibri" w:eastAsia="Calibri" w:hAnsi="Calibri" w:cs="Calibri"/>
          <w:szCs w:val="20"/>
          <w:lang w:val="en-AU"/>
        </w:rPr>
        <w:t>40</w:t>
      </w:r>
      <w:r w:rsidRPr="00A37634">
        <w:rPr>
          <w:rFonts w:ascii="Calibri" w:eastAsia="Calibri" w:hAnsi="Calibri" w:cs="Calibri"/>
          <w:szCs w:val="20"/>
          <w:lang w:val="en-AU"/>
        </w:rPr>
        <w:t xml:space="preserve"> NPV for each New Zealand household. </w:t>
      </w:r>
    </w:p>
    <w:p w14:paraId="4F182B76" w14:textId="1A961B4C" w:rsidR="000B2AF8"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separate cost and benefits for each appliance are indicated in</w:t>
      </w:r>
      <w:r w:rsidR="002F0C41">
        <w:rPr>
          <w:rFonts w:ascii="Calibri" w:eastAsia="Calibri" w:hAnsi="Calibri" w:cs="Calibri"/>
          <w:szCs w:val="20"/>
          <w:lang w:val="en-AU"/>
        </w:rPr>
        <w:t xml:space="preserve"> </w:t>
      </w:r>
      <w:r w:rsidR="00040C11" w:rsidRPr="00040C11">
        <w:rPr>
          <w:rStyle w:val="FigreferenceChar"/>
        </w:rPr>
        <w:fldChar w:fldCharType="begin"/>
      </w:r>
      <w:r w:rsidR="00040C11" w:rsidRPr="00040C11">
        <w:rPr>
          <w:rStyle w:val="FigreferenceChar"/>
        </w:rPr>
        <w:instrText xml:space="preserve"> REF _Ref22134241 \h </w:instrText>
      </w:r>
      <w:r w:rsidR="00040C11">
        <w:rPr>
          <w:rStyle w:val="FigreferenceChar"/>
        </w:rPr>
        <w:instrText xml:space="preserve"> \* MERGEFORMAT </w:instrText>
      </w:r>
      <w:r w:rsidR="00040C11" w:rsidRPr="00040C11">
        <w:rPr>
          <w:rStyle w:val="FigreferenceChar"/>
        </w:rPr>
      </w:r>
      <w:r w:rsidR="00040C11" w:rsidRPr="00040C11">
        <w:rPr>
          <w:rStyle w:val="FigreferenceChar"/>
        </w:rPr>
        <w:fldChar w:fldCharType="separate"/>
      </w:r>
      <w:r w:rsidR="006B22A7" w:rsidRPr="006B22A7">
        <w:rPr>
          <w:rStyle w:val="FigreferenceChar"/>
        </w:rPr>
        <w:t>Table 15</w:t>
      </w:r>
      <w:r w:rsidR="00040C11" w:rsidRPr="00040C11">
        <w:rPr>
          <w:rStyle w:val="FigreferenceChar"/>
        </w:rPr>
        <w:fldChar w:fldCharType="end"/>
      </w:r>
      <w:r w:rsidRPr="00040C11">
        <w:rPr>
          <w:rStyle w:val="FigreferenceChar"/>
        </w:rPr>
        <w:t xml:space="preserve"> </w:t>
      </w:r>
      <w:r w:rsidRPr="00A37634">
        <w:rPr>
          <w:rFonts w:ascii="Calibri" w:eastAsia="Calibri" w:hAnsi="Calibri" w:cs="Calibri"/>
          <w:szCs w:val="20"/>
          <w:lang w:val="en-AU"/>
        </w:rPr>
        <w:t xml:space="preserve">to </w:t>
      </w:r>
      <w:r w:rsidRPr="00040C11">
        <w:rPr>
          <w:rStyle w:val="FigreferenceChar"/>
        </w:rPr>
        <w:fldChar w:fldCharType="begin"/>
      </w:r>
      <w:r w:rsidRPr="00040C11">
        <w:rPr>
          <w:rStyle w:val="FigreferenceChar"/>
        </w:rPr>
        <w:instrText xml:space="preserve"> REF _Ref14778934 \h  \* MERGEFORMAT </w:instrText>
      </w:r>
      <w:r w:rsidRPr="00040C11">
        <w:rPr>
          <w:rStyle w:val="FigreferenceChar"/>
        </w:rPr>
      </w:r>
      <w:r w:rsidRPr="00040C11">
        <w:rPr>
          <w:rStyle w:val="FigreferenceChar"/>
        </w:rPr>
        <w:fldChar w:fldCharType="separate"/>
      </w:r>
      <w:r w:rsidR="006B22A7" w:rsidRPr="006B22A7">
        <w:rPr>
          <w:rStyle w:val="FigreferenceChar"/>
        </w:rPr>
        <w:t>Table 17</w:t>
      </w:r>
      <w:r w:rsidRPr="00040C11">
        <w:rPr>
          <w:rStyle w:val="FigreferenceChar"/>
        </w:rPr>
        <w:fldChar w:fldCharType="end"/>
      </w:r>
      <w:r w:rsidRPr="00A37634">
        <w:rPr>
          <w:rFonts w:ascii="Calibri" w:eastAsia="Calibri" w:hAnsi="Calibri" w:cs="Calibri"/>
          <w:szCs w:val="20"/>
          <w:lang w:val="en-AU"/>
        </w:rPr>
        <w:t xml:space="preserve"> (for Australia) and </w:t>
      </w:r>
      <w:r w:rsidR="00040C11" w:rsidRPr="00040C11">
        <w:rPr>
          <w:rStyle w:val="FigreferenceChar"/>
        </w:rPr>
        <w:fldChar w:fldCharType="begin"/>
      </w:r>
      <w:r w:rsidR="00040C11" w:rsidRPr="00040C11">
        <w:rPr>
          <w:rStyle w:val="FigreferenceChar"/>
        </w:rPr>
        <w:instrText xml:space="preserve"> REF _Ref22134262 \h </w:instrText>
      </w:r>
      <w:r w:rsidR="00040C11">
        <w:rPr>
          <w:rStyle w:val="FigreferenceChar"/>
        </w:rPr>
        <w:instrText xml:space="preserve"> \* MERGEFORMAT </w:instrText>
      </w:r>
      <w:r w:rsidR="00040C11" w:rsidRPr="00040C11">
        <w:rPr>
          <w:rStyle w:val="FigreferenceChar"/>
        </w:rPr>
      </w:r>
      <w:r w:rsidR="00040C11" w:rsidRPr="00040C11">
        <w:rPr>
          <w:rStyle w:val="FigreferenceChar"/>
        </w:rPr>
        <w:fldChar w:fldCharType="separate"/>
      </w:r>
      <w:r w:rsidR="006B22A7" w:rsidRPr="006B22A7">
        <w:rPr>
          <w:rStyle w:val="FigreferenceChar"/>
        </w:rPr>
        <w:t>Table 18</w:t>
      </w:r>
      <w:r w:rsidR="00040C11" w:rsidRPr="00040C11">
        <w:rPr>
          <w:rStyle w:val="FigreferenceChar"/>
        </w:rPr>
        <w:fldChar w:fldCharType="end"/>
      </w:r>
      <w:r w:rsidR="00040C11">
        <w:rPr>
          <w:rFonts w:ascii="Calibri" w:eastAsia="Calibri" w:hAnsi="Calibri" w:cs="Calibri"/>
          <w:szCs w:val="20"/>
          <w:lang w:val="en-AU"/>
        </w:rPr>
        <w:t xml:space="preserve"> </w:t>
      </w:r>
      <w:r w:rsidRPr="00A37634">
        <w:rPr>
          <w:rFonts w:ascii="Calibri" w:eastAsia="Calibri" w:hAnsi="Calibri" w:cs="Calibri"/>
          <w:szCs w:val="20"/>
          <w:lang w:val="en-AU"/>
        </w:rPr>
        <w:t xml:space="preserve">to </w:t>
      </w:r>
      <w:r w:rsidRPr="00040C11">
        <w:rPr>
          <w:rStyle w:val="FigreferenceChar"/>
        </w:rPr>
        <w:fldChar w:fldCharType="begin"/>
      </w:r>
      <w:r w:rsidRPr="00040C11">
        <w:rPr>
          <w:rStyle w:val="FigreferenceChar"/>
        </w:rPr>
        <w:instrText xml:space="preserve"> REF _Ref14778906 \h  \* MERGEFORMAT </w:instrText>
      </w:r>
      <w:r w:rsidRPr="00040C11">
        <w:rPr>
          <w:rStyle w:val="FigreferenceChar"/>
        </w:rPr>
      </w:r>
      <w:r w:rsidRPr="00040C11">
        <w:rPr>
          <w:rStyle w:val="FigreferenceChar"/>
        </w:rPr>
        <w:fldChar w:fldCharType="separate"/>
      </w:r>
      <w:r w:rsidR="006B22A7" w:rsidRPr="006B22A7">
        <w:rPr>
          <w:rStyle w:val="FigreferenceChar"/>
        </w:rPr>
        <w:t>Table 20</w:t>
      </w:r>
      <w:r w:rsidRPr="00040C11">
        <w:rPr>
          <w:rStyle w:val="FigreferenceChar"/>
        </w:rPr>
        <w:fldChar w:fldCharType="end"/>
      </w:r>
      <w:r w:rsidRPr="00A37634">
        <w:rPr>
          <w:rFonts w:ascii="Calibri" w:eastAsia="Calibri" w:hAnsi="Calibri" w:cs="Calibri"/>
          <w:szCs w:val="20"/>
          <w:lang w:val="en-AU"/>
        </w:rPr>
        <w:t xml:space="preserve"> (New Zealand). In all cases, </w:t>
      </w:r>
      <w:r w:rsidR="00040C11">
        <w:rPr>
          <w:rFonts w:ascii="Calibri" w:eastAsia="Calibri" w:hAnsi="Calibri" w:cs="Calibri"/>
          <w:szCs w:val="20"/>
          <w:lang w:val="en-AU"/>
        </w:rPr>
        <w:t xml:space="preserve">air conditioners </w:t>
      </w:r>
      <w:r w:rsidRPr="00A37634">
        <w:rPr>
          <w:rFonts w:ascii="Calibri" w:eastAsia="Calibri" w:hAnsi="Calibri" w:cs="Calibri"/>
          <w:szCs w:val="20"/>
          <w:lang w:val="en-AU"/>
        </w:rPr>
        <w:t xml:space="preserve">account for </w:t>
      </w:r>
      <w:proofErr w:type="gramStart"/>
      <w:r w:rsidRPr="00A37634">
        <w:rPr>
          <w:rFonts w:ascii="Calibri" w:eastAsia="Calibri" w:hAnsi="Calibri" w:cs="Calibri"/>
          <w:szCs w:val="20"/>
          <w:lang w:val="en-AU"/>
        </w:rPr>
        <w:t>the majority of</w:t>
      </w:r>
      <w:proofErr w:type="gramEnd"/>
      <w:r w:rsidRPr="00A37634">
        <w:rPr>
          <w:rFonts w:ascii="Calibri" w:eastAsia="Calibri" w:hAnsi="Calibri" w:cs="Calibri"/>
          <w:szCs w:val="20"/>
          <w:lang w:val="en-AU"/>
        </w:rPr>
        <w:t xml:space="preserve"> the benefits. </w:t>
      </w:r>
      <w:r w:rsidR="00430678">
        <w:rPr>
          <w:rFonts w:ascii="Calibri" w:eastAsia="Calibri" w:hAnsi="Calibri" w:cs="Calibri"/>
          <w:szCs w:val="20"/>
          <w:lang w:val="en-AU"/>
        </w:rPr>
        <w:t xml:space="preserve">Wholesale market price, load shifting and reliability benefits amount about 28% of the total benefits in Australia, and network benefits for 72%. In New Zealand, network benefits are 90% of the total. </w:t>
      </w:r>
    </w:p>
    <w:p w14:paraId="62695F14" w14:textId="7FB7EE16" w:rsidR="00A37634" w:rsidRPr="000B2AF8" w:rsidRDefault="00A37634" w:rsidP="000B2AF8">
      <w:pPr>
        <w:spacing w:before="240" w:after="120" w:line="240" w:lineRule="auto"/>
        <w:jc w:val="center"/>
        <w:rPr>
          <w:rFonts w:ascii="Calibri" w:eastAsia="Cambria" w:hAnsi="Calibri" w:cs="Calibri"/>
          <w:b/>
          <w:bCs/>
          <w:sz w:val="20"/>
          <w:szCs w:val="16"/>
          <w:lang w:val="en-AU"/>
        </w:rPr>
      </w:pPr>
      <w:bookmarkStart w:id="73" w:name="_Ref11701882"/>
      <w:bookmarkStart w:id="74" w:name="_Toc22488525"/>
      <w:bookmarkEnd w:id="72"/>
      <w:r w:rsidRPr="000B2AF8">
        <w:rPr>
          <w:rFonts w:ascii="Calibri" w:eastAsia="Cambria" w:hAnsi="Calibri" w:cs="Calibri"/>
          <w:b/>
          <w:bCs/>
          <w:sz w:val="20"/>
          <w:szCs w:val="16"/>
          <w:lang w:val="en-AU"/>
        </w:rPr>
        <w:t xml:space="preserve">Figure </w:t>
      </w:r>
      <w:r w:rsidRPr="000B2AF8">
        <w:rPr>
          <w:rFonts w:ascii="Calibri" w:eastAsia="Cambria" w:hAnsi="Calibri" w:cs="Calibri"/>
          <w:b/>
          <w:bCs/>
          <w:sz w:val="20"/>
          <w:szCs w:val="16"/>
          <w:lang w:val="en-AU"/>
        </w:rPr>
        <w:fldChar w:fldCharType="begin"/>
      </w:r>
      <w:r w:rsidRPr="000B2AF8">
        <w:rPr>
          <w:rFonts w:ascii="Calibri" w:eastAsia="Cambria" w:hAnsi="Calibri" w:cs="Calibri"/>
          <w:b/>
          <w:bCs/>
          <w:sz w:val="20"/>
          <w:szCs w:val="16"/>
          <w:lang w:val="en-AU"/>
        </w:rPr>
        <w:instrText xml:space="preserve"> SEQ Figure \* ARABIC </w:instrText>
      </w:r>
      <w:r w:rsidRPr="000B2AF8">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12</w:t>
      </w:r>
      <w:r w:rsidRPr="000B2AF8">
        <w:rPr>
          <w:rFonts w:ascii="Calibri" w:eastAsia="Cambria" w:hAnsi="Calibri" w:cs="Calibri"/>
          <w:b/>
          <w:bCs/>
          <w:sz w:val="20"/>
          <w:szCs w:val="16"/>
          <w:lang w:val="en-AU"/>
        </w:rPr>
        <w:fldChar w:fldCharType="end"/>
      </w:r>
      <w:bookmarkEnd w:id="73"/>
      <w:r w:rsidRPr="000B2AF8">
        <w:rPr>
          <w:rFonts w:ascii="Calibri" w:eastAsia="Cambria" w:hAnsi="Calibri" w:cs="Calibri"/>
          <w:b/>
          <w:bCs/>
          <w:sz w:val="20"/>
          <w:szCs w:val="16"/>
          <w:lang w:val="en-AU"/>
        </w:rPr>
        <w:t>. Projected costs and benefits of the measure at various activation rates, Australia</w:t>
      </w:r>
      <w:bookmarkEnd w:id="74"/>
    </w:p>
    <w:p w14:paraId="7F716D09" w14:textId="1E0DD2C7" w:rsidR="00A37634" w:rsidRPr="00A37634" w:rsidRDefault="00BC35DA" w:rsidP="00A37634">
      <w:pPr>
        <w:spacing w:after="120" w:line="276" w:lineRule="auto"/>
        <w:jc w:val="center"/>
        <w:rPr>
          <w:rFonts w:ascii="Calibri" w:eastAsia="Calibri" w:hAnsi="Calibri" w:cs="Calibri"/>
          <w:szCs w:val="20"/>
          <w:lang w:val="en-AU"/>
        </w:rPr>
      </w:pPr>
      <w:r>
        <w:rPr>
          <w:rFonts w:ascii="Calibri" w:eastAsia="Calibri" w:hAnsi="Calibri" w:cs="Calibri"/>
          <w:noProof/>
          <w:szCs w:val="20"/>
          <w:lang w:val="en-AU" w:eastAsia="en-AU"/>
        </w:rPr>
        <w:drawing>
          <wp:inline distT="0" distB="0" distL="0" distR="0" wp14:anchorId="3CFD2C48" wp14:editId="096CF111">
            <wp:extent cx="4305904" cy="3129592"/>
            <wp:effectExtent l="19050" t="19050" r="1905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4653" cy="3157756"/>
                    </a:xfrm>
                    <a:prstGeom prst="rect">
                      <a:avLst/>
                    </a:prstGeom>
                    <a:noFill/>
                    <a:ln>
                      <a:solidFill>
                        <a:schemeClr val="tx1"/>
                      </a:solidFill>
                    </a:ln>
                  </pic:spPr>
                </pic:pic>
              </a:graphicData>
            </a:graphic>
          </wp:inline>
        </w:drawing>
      </w:r>
    </w:p>
    <w:p w14:paraId="3D70EC41" w14:textId="3D884950"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75" w:name="_Ref327217591"/>
      <w:bookmarkStart w:id="76" w:name="_Ref13050573"/>
      <w:bookmarkStart w:id="77" w:name="_Ref14014073"/>
      <w:bookmarkStart w:id="78" w:name="_Toc333183020"/>
      <w:bookmarkStart w:id="79" w:name="_Toc369633237"/>
      <w:bookmarkStart w:id="80" w:name="_Toc11360610"/>
      <w:bookmarkStart w:id="81" w:name="_Toc13085849"/>
      <w:bookmarkStart w:id="82" w:name="_Toc22486952"/>
      <w:bookmarkStart w:id="83" w:name="_Ref277854574"/>
      <w:bookmarkStart w:id="84" w:name="_Toc333183024"/>
      <w:bookmarkStart w:id="85" w:name="_Toc369633239"/>
      <w:bookmarkStart w:id="86" w:name="_Toc11360607"/>
      <w:r w:rsidRPr="00A37634">
        <w:rPr>
          <w:rFonts w:ascii="Calibri" w:eastAsia="Cambria" w:hAnsi="Calibri" w:cs="Calibri"/>
          <w:b/>
          <w:bCs/>
          <w:sz w:val="20"/>
          <w:szCs w:val="16"/>
          <w:lang w:val="en-AU"/>
        </w:rPr>
        <w:lastRenderedPageBreak/>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8</w:t>
      </w:r>
      <w:r w:rsidRPr="00A37634">
        <w:rPr>
          <w:rFonts w:ascii="Calibri" w:eastAsia="Cambria" w:hAnsi="Calibri" w:cs="Calibri"/>
          <w:b/>
          <w:bCs/>
          <w:noProof/>
          <w:sz w:val="20"/>
          <w:szCs w:val="16"/>
          <w:lang w:val="en-AU"/>
        </w:rPr>
        <w:fldChar w:fldCharType="end"/>
      </w:r>
      <w:bookmarkEnd w:id="75"/>
      <w:bookmarkEnd w:id="76"/>
      <w:bookmarkEnd w:id="77"/>
      <w:r w:rsidRPr="00A37634">
        <w:rPr>
          <w:rFonts w:ascii="Calibri" w:eastAsia="Cambria" w:hAnsi="Calibri" w:cs="Calibri"/>
          <w:b/>
          <w:bCs/>
          <w:sz w:val="20"/>
          <w:szCs w:val="16"/>
          <w:lang w:val="en-AU"/>
        </w:rPr>
        <w:t>. Benefit/Cost ratio variations by discount rate and appliance type</w:t>
      </w:r>
      <w:bookmarkEnd w:id="78"/>
      <w:bookmarkEnd w:id="79"/>
      <w:r w:rsidRPr="00A37634">
        <w:rPr>
          <w:rFonts w:ascii="Calibri" w:eastAsia="Cambria" w:hAnsi="Calibri" w:cs="Calibri"/>
          <w:b/>
          <w:bCs/>
          <w:sz w:val="20"/>
          <w:szCs w:val="16"/>
          <w:lang w:val="en-AU"/>
        </w:rPr>
        <w:t>, Australia</w:t>
      </w:r>
      <w:bookmarkEnd w:id="80"/>
      <w:bookmarkEnd w:id="81"/>
      <w:bookmarkEnd w:id="82"/>
    </w:p>
    <w:tbl>
      <w:tblPr>
        <w:tblW w:w="6557" w:type="dxa"/>
        <w:jc w:val="center"/>
        <w:tblLook w:val="04A0" w:firstRow="1" w:lastRow="0" w:firstColumn="1" w:lastColumn="0" w:noHBand="0" w:noVBand="1"/>
      </w:tblPr>
      <w:tblGrid>
        <w:gridCol w:w="1689"/>
        <w:gridCol w:w="980"/>
        <w:gridCol w:w="963"/>
        <w:gridCol w:w="975"/>
        <w:gridCol w:w="975"/>
        <w:gridCol w:w="975"/>
      </w:tblGrid>
      <w:tr w:rsidR="00A37634" w:rsidRPr="00A37634" w14:paraId="3F1679A9" w14:textId="77777777" w:rsidTr="007C7289">
        <w:trPr>
          <w:trHeight w:val="271"/>
          <w:jc w:val="center"/>
        </w:trPr>
        <w:tc>
          <w:tcPr>
            <w:tcW w:w="1689" w:type="dxa"/>
            <w:tcBorders>
              <w:top w:val="single" w:sz="4" w:space="0" w:color="auto"/>
              <w:left w:val="single" w:sz="4" w:space="0" w:color="auto"/>
              <w:bottom w:val="nil"/>
              <w:right w:val="nil"/>
            </w:tcBorders>
            <w:shd w:val="clear" w:color="auto" w:fill="auto"/>
            <w:noWrap/>
            <w:vAlign w:val="bottom"/>
            <w:hideMark/>
          </w:tcPr>
          <w:p w14:paraId="3024485D" w14:textId="77777777" w:rsidR="00A37634" w:rsidRPr="00A37634" w:rsidRDefault="00A37634" w:rsidP="00A37634">
            <w:pPr>
              <w:spacing w:after="0" w:line="240" w:lineRule="auto"/>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 </w:t>
            </w:r>
          </w:p>
        </w:tc>
        <w:tc>
          <w:tcPr>
            <w:tcW w:w="2918" w:type="dxa"/>
            <w:gridSpan w:val="3"/>
            <w:tcBorders>
              <w:top w:val="single" w:sz="4" w:space="0" w:color="auto"/>
              <w:left w:val="single" w:sz="4" w:space="0" w:color="auto"/>
              <w:bottom w:val="nil"/>
              <w:right w:val="single" w:sz="4" w:space="0" w:color="auto"/>
            </w:tcBorders>
            <w:shd w:val="clear" w:color="auto" w:fill="auto"/>
            <w:noWrap/>
            <w:vAlign w:val="bottom"/>
            <w:hideMark/>
          </w:tcPr>
          <w:p w14:paraId="7AF8EDF3"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Medium Activation</w:t>
            </w:r>
          </w:p>
        </w:tc>
        <w:tc>
          <w:tcPr>
            <w:tcW w:w="975" w:type="dxa"/>
            <w:tcBorders>
              <w:top w:val="single" w:sz="4" w:space="0" w:color="auto"/>
              <w:left w:val="nil"/>
              <w:bottom w:val="nil"/>
              <w:right w:val="nil"/>
            </w:tcBorders>
            <w:shd w:val="clear" w:color="auto" w:fill="auto"/>
            <w:noWrap/>
            <w:vAlign w:val="bottom"/>
            <w:hideMark/>
          </w:tcPr>
          <w:p w14:paraId="3ACD7F22"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Low</w:t>
            </w:r>
            <w:r w:rsidRPr="00A37634">
              <w:rPr>
                <w:rFonts w:ascii="Calibri" w:eastAsia="Times New Roman" w:hAnsi="Calibri" w:cs="Calibri"/>
                <w:color w:val="000000"/>
                <w:sz w:val="18"/>
                <w:szCs w:val="18"/>
                <w:lang w:val="en-AU" w:eastAsia="en-AU"/>
              </w:rPr>
              <w:br/>
              <w:t>Activation</w:t>
            </w:r>
          </w:p>
        </w:tc>
        <w:tc>
          <w:tcPr>
            <w:tcW w:w="975" w:type="dxa"/>
            <w:tcBorders>
              <w:top w:val="single" w:sz="4" w:space="0" w:color="auto"/>
              <w:left w:val="nil"/>
              <w:bottom w:val="nil"/>
              <w:right w:val="single" w:sz="4" w:space="0" w:color="auto"/>
            </w:tcBorders>
            <w:shd w:val="clear" w:color="auto" w:fill="auto"/>
            <w:noWrap/>
            <w:vAlign w:val="bottom"/>
            <w:hideMark/>
          </w:tcPr>
          <w:p w14:paraId="78931EEE"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High</w:t>
            </w:r>
            <w:r w:rsidRPr="00A37634">
              <w:rPr>
                <w:rFonts w:ascii="Calibri" w:eastAsia="Times New Roman" w:hAnsi="Calibri" w:cs="Calibri"/>
                <w:color w:val="000000"/>
                <w:sz w:val="18"/>
                <w:szCs w:val="18"/>
                <w:lang w:val="en-AU" w:eastAsia="en-AU"/>
              </w:rPr>
              <w:br/>
              <w:t>Activation</w:t>
            </w:r>
          </w:p>
        </w:tc>
      </w:tr>
      <w:tr w:rsidR="00A37634" w:rsidRPr="00A37634" w14:paraId="08A221F7" w14:textId="77777777" w:rsidTr="007C7289">
        <w:trPr>
          <w:trHeight w:val="271"/>
          <w:jc w:val="center"/>
        </w:trPr>
        <w:tc>
          <w:tcPr>
            <w:tcW w:w="1689" w:type="dxa"/>
            <w:tcBorders>
              <w:top w:val="nil"/>
              <w:left w:val="single" w:sz="4" w:space="0" w:color="auto"/>
              <w:bottom w:val="single" w:sz="4" w:space="0" w:color="auto"/>
              <w:right w:val="nil"/>
            </w:tcBorders>
            <w:shd w:val="clear" w:color="auto" w:fill="auto"/>
            <w:noWrap/>
            <w:vAlign w:val="bottom"/>
            <w:hideMark/>
          </w:tcPr>
          <w:p w14:paraId="5C462322" w14:textId="77777777" w:rsidR="00A37634" w:rsidRPr="00A37634" w:rsidRDefault="00A37634" w:rsidP="00A37634">
            <w:pPr>
              <w:spacing w:after="0" w:line="240" w:lineRule="auto"/>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 </w:t>
            </w:r>
          </w:p>
        </w:tc>
        <w:tc>
          <w:tcPr>
            <w:tcW w:w="980" w:type="dxa"/>
            <w:tcBorders>
              <w:top w:val="nil"/>
              <w:left w:val="single" w:sz="4" w:space="0" w:color="auto"/>
              <w:bottom w:val="nil"/>
              <w:right w:val="nil"/>
            </w:tcBorders>
            <w:shd w:val="clear" w:color="auto" w:fill="auto"/>
            <w:noWrap/>
            <w:vAlign w:val="bottom"/>
            <w:hideMark/>
          </w:tcPr>
          <w:p w14:paraId="09BEA7EC"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 rate 3%</w:t>
            </w:r>
          </w:p>
        </w:tc>
        <w:tc>
          <w:tcPr>
            <w:tcW w:w="963" w:type="dxa"/>
            <w:tcBorders>
              <w:top w:val="nil"/>
              <w:left w:val="nil"/>
              <w:bottom w:val="nil"/>
              <w:right w:val="nil"/>
            </w:tcBorders>
            <w:shd w:val="clear" w:color="auto" w:fill="auto"/>
            <w:noWrap/>
            <w:vAlign w:val="bottom"/>
            <w:hideMark/>
          </w:tcPr>
          <w:p w14:paraId="723CB0AB"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w:t>
            </w:r>
            <w:r w:rsidRPr="00A37634">
              <w:rPr>
                <w:rFonts w:ascii="Calibri" w:eastAsia="Times New Roman" w:hAnsi="Calibri" w:cs="Calibri"/>
                <w:color w:val="000000"/>
                <w:sz w:val="18"/>
                <w:szCs w:val="18"/>
                <w:lang w:val="en-AU" w:eastAsia="en-AU"/>
              </w:rPr>
              <w:br/>
              <w:t>rate 7%</w:t>
            </w:r>
          </w:p>
        </w:tc>
        <w:tc>
          <w:tcPr>
            <w:tcW w:w="975" w:type="dxa"/>
            <w:tcBorders>
              <w:top w:val="nil"/>
              <w:left w:val="nil"/>
              <w:bottom w:val="nil"/>
              <w:right w:val="single" w:sz="4" w:space="0" w:color="auto"/>
            </w:tcBorders>
            <w:shd w:val="clear" w:color="auto" w:fill="auto"/>
            <w:noWrap/>
            <w:vAlign w:val="bottom"/>
            <w:hideMark/>
          </w:tcPr>
          <w:p w14:paraId="1D528935"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 rate 10%</w:t>
            </w:r>
          </w:p>
        </w:tc>
        <w:tc>
          <w:tcPr>
            <w:tcW w:w="975" w:type="dxa"/>
            <w:tcBorders>
              <w:top w:val="nil"/>
              <w:left w:val="nil"/>
              <w:bottom w:val="single" w:sz="4" w:space="0" w:color="auto"/>
              <w:right w:val="nil"/>
            </w:tcBorders>
            <w:shd w:val="clear" w:color="auto" w:fill="auto"/>
            <w:noWrap/>
            <w:vAlign w:val="bottom"/>
            <w:hideMark/>
          </w:tcPr>
          <w:p w14:paraId="02667E1D"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 rate 7%</w:t>
            </w:r>
          </w:p>
        </w:tc>
        <w:tc>
          <w:tcPr>
            <w:tcW w:w="975" w:type="dxa"/>
            <w:tcBorders>
              <w:top w:val="nil"/>
              <w:left w:val="nil"/>
              <w:bottom w:val="single" w:sz="4" w:space="0" w:color="auto"/>
              <w:right w:val="single" w:sz="4" w:space="0" w:color="auto"/>
            </w:tcBorders>
            <w:shd w:val="clear" w:color="auto" w:fill="auto"/>
            <w:noWrap/>
            <w:vAlign w:val="bottom"/>
            <w:hideMark/>
          </w:tcPr>
          <w:p w14:paraId="3100D96E"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 rate 7%</w:t>
            </w:r>
          </w:p>
        </w:tc>
      </w:tr>
      <w:tr w:rsidR="00FE65DF" w:rsidRPr="00FE65DF" w14:paraId="59E7FDEA" w14:textId="77777777" w:rsidTr="007C7289">
        <w:trPr>
          <w:trHeight w:val="271"/>
          <w:jc w:val="center"/>
        </w:trPr>
        <w:tc>
          <w:tcPr>
            <w:tcW w:w="1689" w:type="dxa"/>
            <w:tcBorders>
              <w:top w:val="nil"/>
              <w:left w:val="single" w:sz="4" w:space="0" w:color="auto"/>
              <w:bottom w:val="nil"/>
              <w:right w:val="nil"/>
            </w:tcBorders>
            <w:shd w:val="clear" w:color="auto" w:fill="auto"/>
            <w:noWrap/>
            <w:vAlign w:val="bottom"/>
            <w:hideMark/>
          </w:tcPr>
          <w:p w14:paraId="4EFDB268"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Air Conditioners</w:t>
            </w:r>
          </w:p>
        </w:tc>
        <w:tc>
          <w:tcPr>
            <w:tcW w:w="980" w:type="dxa"/>
            <w:tcBorders>
              <w:top w:val="single" w:sz="4" w:space="0" w:color="auto"/>
              <w:left w:val="single" w:sz="4" w:space="0" w:color="auto"/>
              <w:bottom w:val="nil"/>
              <w:right w:val="nil"/>
            </w:tcBorders>
            <w:shd w:val="clear" w:color="auto" w:fill="auto"/>
            <w:noWrap/>
            <w:vAlign w:val="bottom"/>
            <w:hideMark/>
          </w:tcPr>
          <w:p w14:paraId="75B22A07" w14:textId="4DC2BA7B"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3.4</w:t>
            </w:r>
          </w:p>
        </w:tc>
        <w:tc>
          <w:tcPr>
            <w:tcW w:w="963" w:type="dxa"/>
            <w:tcBorders>
              <w:top w:val="single" w:sz="4" w:space="0" w:color="auto"/>
              <w:left w:val="nil"/>
              <w:bottom w:val="nil"/>
              <w:right w:val="nil"/>
            </w:tcBorders>
            <w:shd w:val="clear" w:color="auto" w:fill="auto"/>
            <w:noWrap/>
            <w:vAlign w:val="bottom"/>
            <w:hideMark/>
          </w:tcPr>
          <w:p w14:paraId="4F033E1C" w14:textId="335B21B8"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3.5</w:t>
            </w:r>
          </w:p>
        </w:tc>
        <w:tc>
          <w:tcPr>
            <w:tcW w:w="975" w:type="dxa"/>
            <w:tcBorders>
              <w:top w:val="single" w:sz="4" w:space="0" w:color="auto"/>
              <w:left w:val="nil"/>
              <w:bottom w:val="nil"/>
              <w:right w:val="single" w:sz="4" w:space="0" w:color="auto"/>
            </w:tcBorders>
            <w:shd w:val="clear" w:color="auto" w:fill="auto"/>
            <w:noWrap/>
            <w:vAlign w:val="bottom"/>
            <w:hideMark/>
          </w:tcPr>
          <w:p w14:paraId="4A72A3D8" w14:textId="32DF03B4"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3.6</w:t>
            </w:r>
          </w:p>
        </w:tc>
        <w:tc>
          <w:tcPr>
            <w:tcW w:w="975" w:type="dxa"/>
            <w:tcBorders>
              <w:top w:val="nil"/>
              <w:left w:val="nil"/>
              <w:bottom w:val="nil"/>
              <w:right w:val="nil"/>
            </w:tcBorders>
            <w:shd w:val="clear" w:color="auto" w:fill="auto"/>
            <w:noWrap/>
            <w:vAlign w:val="bottom"/>
            <w:hideMark/>
          </w:tcPr>
          <w:p w14:paraId="2B046FFC" w14:textId="32B467B0"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3.5</w:t>
            </w:r>
          </w:p>
        </w:tc>
        <w:tc>
          <w:tcPr>
            <w:tcW w:w="975" w:type="dxa"/>
            <w:tcBorders>
              <w:top w:val="nil"/>
              <w:left w:val="nil"/>
              <w:bottom w:val="nil"/>
              <w:right w:val="single" w:sz="4" w:space="0" w:color="auto"/>
            </w:tcBorders>
            <w:shd w:val="clear" w:color="auto" w:fill="auto"/>
            <w:noWrap/>
            <w:vAlign w:val="bottom"/>
            <w:hideMark/>
          </w:tcPr>
          <w:p w14:paraId="6448DA35" w14:textId="2200A9F1"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3.4</w:t>
            </w:r>
          </w:p>
        </w:tc>
      </w:tr>
      <w:tr w:rsidR="00FE65DF" w:rsidRPr="00FE65DF" w14:paraId="6EBEC687" w14:textId="77777777" w:rsidTr="007C7289">
        <w:trPr>
          <w:trHeight w:val="271"/>
          <w:jc w:val="center"/>
        </w:trPr>
        <w:tc>
          <w:tcPr>
            <w:tcW w:w="1689" w:type="dxa"/>
            <w:tcBorders>
              <w:top w:val="nil"/>
              <w:left w:val="single" w:sz="4" w:space="0" w:color="auto"/>
              <w:bottom w:val="nil"/>
              <w:right w:val="nil"/>
            </w:tcBorders>
            <w:shd w:val="clear" w:color="auto" w:fill="auto"/>
            <w:noWrap/>
            <w:vAlign w:val="bottom"/>
            <w:hideMark/>
          </w:tcPr>
          <w:p w14:paraId="3404F1F8"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PP Controllers</w:t>
            </w:r>
          </w:p>
        </w:tc>
        <w:tc>
          <w:tcPr>
            <w:tcW w:w="980" w:type="dxa"/>
            <w:tcBorders>
              <w:top w:val="nil"/>
              <w:left w:val="single" w:sz="4" w:space="0" w:color="auto"/>
              <w:bottom w:val="nil"/>
              <w:right w:val="nil"/>
            </w:tcBorders>
            <w:shd w:val="clear" w:color="auto" w:fill="auto"/>
            <w:noWrap/>
            <w:vAlign w:val="bottom"/>
            <w:hideMark/>
          </w:tcPr>
          <w:p w14:paraId="3CC38984" w14:textId="06635F4E"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1.9</w:t>
            </w:r>
          </w:p>
        </w:tc>
        <w:tc>
          <w:tcPr>
            <w:tcW w:w="963" w:type="dxa"/>
            <w:tcBorders>
              <w:top w:val="nil"/>
              <w:left w:val="nil"/>
              <w:bottom w:val="nil"/>
              <w:right w:val="nil"/>
            </w:tcBorders>
            <w:shd w:val="clear" w:color="auto" w:fill="auto"/>
            <w:noWrap/>
            <w:vAlign w:val="bottom"/>
            <w:hideMark/>
          </w:tcPr>
          <w:p w14:paraId="347F5F4D" w14:textId="5624513D"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1.9</w:t>
            </w:r>
          </w:p>
        </w:tc>
        <w:tc>
          <w:tcPr>
            <w:tcW w:w="975" w:type="dxa"/>
            <w:tcBorders>
              <w:top w:val="nil"/>
              <w:left w:val="nil"/>
              <w:bottom w:val="nil"/>
              <w:right w:val="single" w:sz="4" w:space="0" w:color="auto"/>
            </w:tcBorders>
            <w:shd w:val="clear" w:color="auto" w:fill="auto"/>
            <w:noWrap/>
            <w:vAlign w:val="bottom"/>
            <w:hideMark/>
          </w:tcPr>
          <w:p w14:paraId="1577D85A" w14:textId="1956366C"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1.9</w:t>
            </w:r>
          </w:p>
        </w:tc>
        <w:tc>
          <w:tcPr>
            <w:tcW w:w="975" w:type="dxa"/>
            <w:tcBorders>
              <w:top w:val="nil"/>
              <w:left w:val="nil"/>
              <w:bottom w:val="nil"/>
              <w:right w:val="nil"/>
            </w:tcBorders>
            <w:shd w:val="clear" w:color="auto" w:fill="auto"/>
            <w:noWrap/>
            <w:vAlign w:val="bottom"/>
            <w:hideMark/>
          </w:tcPr>
          <w:p w14:paraId="31B3C432" w14:textId="13CBEBC4"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1.7</w:t>
            </w:r>
          </w:p>
        </w:tc>
        <w:tc>
          <w:tcPr>
            <w:tcW w:w="975" w:type="dxa"/>
            <w:tcBorders>
              <w:top w:val="nil"/>
              <w:left w:val="nil"/>
              <w:bottom w:val="nil"/>
              <w:right w:val="single" w:sz="4" w:space="0" w:color="auto"/>
            </w:tcBorders>
            <w:shd w:val="clear" w:color="auto" w:fill="auto"/>
            <w:noWrap/>
            <w:vAlign w:val="bottom"/>
            <w:hideMark/>
          </w:tcPr>
          <w:p w14:paraId="587A814A" w14:textId="24B31204"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2.2</w:t>
            </w:r>
          </w:p>
        </w:tc>
      </w:tr>
      <w:tr w:rsidR="00FE65DF" w:rsidRPr="00FE65DF" w14:paraId="397ED1C7" w14:textId="77777777" w:rsidTr="007C7289">
        <w:trPr>
          <w:trHeight w:val="271"/>
          <w:jc w:val="center"/>
        </w:trPr>
        <w:tc>
          <w:tcPr>
            <w:tcW w:w="1689" w:type="dxa"/>
            <w:tcBorders>
              <w:top w:val="nil"/>
              <w:left w:val="single" w:sz="4" w:space="0" w:color="auto"/>
              <w:bottom w:val="nil"/>
              <w:right w:val="nil"/>
            </w:tcBorders>
            <w:shd w:val="clear" w:color="auto" w:fill="auto"/>
            <w:noWrap/>
            <w:vAlign w:val="bottom"/>
            <w:hideMark/>
          </w:tcPr>
          <w:p w14:paraId="27D3104C"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Water heaters</w:t>
            </w:r>
          </w:p>
        </w:tc>
        <w:tc>
          <w:tcPr>
            <w:tcW w:w="980" w:type="dxa"/>
            <w:tcBorders>
              <w:top w:val="nil"/>
              <w:left w:val="single" w:sz="4" w:space="0" w:color="auto"/>
              <w:bottom w:val="nil"/>
              <w:right w:val="nil"/>
            </w:tcBorders>
            <w:shd w:val="clear" w:color="auto" w:fill="auto"/>
            <w:noWrap/>
            <w:vAlign w:val="bottom"/>
            <w:hideMark/>
          </w:tcPr>
          <w:p w14:paraId="6724F2C6" w14:textId="5BBD13CB"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1.6</w:t>
            </w:r>
          </w:p>
        </w:tc>
        <w:tc>
          <w:tcPr>
            <w:tcW w:w="963" w:type="dxa"/>
            <w:tcBorders>
              <w:top w:val="nil"/>
              <w:left w:val="nil"/>
              <w:bottom w:val="nil"/>
              <w:right w:val="nil"/>
            </w:tcBorders>
            <w:shd w:val="clear" w:color="auto" w:fill="auto"/>
            <w:noWrap/>
            <w:vAlign w:val="bottom"/>
            <w:hideMark/>
          </w:tcPr>
          <w:p w14:paraId="0F82747E" w14:textId="35BEB82F"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1.5</w:t>
            </w:r>
          </w:p>
        </w:tc>
        <w:tc>
          <w:tcPr>
            <w:tcW w:w="975" w:type="dxa"/>
            <w:tcBorders>
              <w:top w:val="nil"/>
              <w:left w:val="nil"/>
              <w:bottom w:val="nil"/>
              <w:right w:val="single" w:sz="4" w:space="0" w:color="auto"/>
            </w:tcBorders>
            <w:shd w:val="clear" w:color="auto" w:fill="auto"/>
            <w:noWrap/>
            <w:vAlign w:val="bottom"/>
            <w:hideMark/>
          </w:tcPr>
          <w:p w14:paraId="1ABBC218" w14:textId="2EA165A1"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1.4</w:t>
            </w:r>
          </w:p>
        </w:tc>
        <w:tc>
          <w:tcPr>
            <w:tcW w:w="975" w:type="dxa"/>
            <w:tcBorders>
              <w:top w:val="nil"/>
              <w:left w:val="nil"/>
              <w:bottom w:val="nil"/>
              <w:right w:val="nil"/>
            </w:tcBorders>
            <w:shd w:val="clear" w:color="auto" w:fill="auto"/>
            <w:noWrap/>
            <w:vAlign w:val="bottom"/>
            <w:hideMark/>
          </w:tcPr>
          <w:p w14:paraId="3011CEAA" w14:textId="10DFAA5E"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1.5</w:t>
            </w:r>
          </w:p>
        </w:tc>
        <w:tc>
          <w:tcPr>
            <w:tcW w:w="975" w:type="dxa"/>
            <w:tcBorders>
              <w:top w:val="nil"/>
              <w:left w:val="nil"/>
              <w:bottom w:val="nil"/>
              <w:right w:val="single" w:sz="4" w:space="0" w:color="auto"/>
            </w:tcBorders>
            <w:shd w:val="clear" w:color="auto" w:fill="auto"/>
            <w:noWrap/>
            <w:vAlign w:val="bottom"/>
            <w:hideMark/>
          </w:tcPr>
          <w:p w14:paraId="36320F39" w14:textId="25050897"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1.8</w:t>
            </w:r>
          </w:p>
        </w:tc>
      </w:tr>
      <w:tr w:rsidR="00FE65DF" w:rsidRPr="00FE65DF" w14:paraId="1296093F" w14:textId="77777777" w:rsidTr="007C7289">
        <w:trPr>
          <w:trHeight w:val="271"/>
          <w:jc w:val="center"/>
        </w:trPr>
        <w:tc>
          <w:tcPr>
            <w:tcW w:w="1689" w:type="dxa"/>
            <w:tcBorders>
              <w:top w:val="nil"/>
              <w:left w:val="single" w:sz="4" w:space="0" w:color="auto"/>
              <w:bottom w:val="nil"/>
              <w:right w:val="nil"/>
            </w:tcBorders>
            <w:shd w:val="clear" w:color="auto" w:fill="auto"/>
            <w:noWrap/>
            <w:vAlign w:val="bottom"/>
            <w:hideMark/>
          </w:tcPr>
          <w:p w14:paraId="5142917D"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EV chargers</w:t>
            </w:r>
          </w:p>
        </w:tc>
        <w:tc>
          <w:tcPr>
            <w:tcW w:w="980" w:type="dxa"/>
            <w:tcBorders>
              <w:top w:val="nil"/>
              <w:left w:val="single" w:sz="4" w:space="0" w:color="auto"/>
              <w:bottom w:val="nil"/>
              <w:right w:val="nil"/>
            </w:tcBorders>
            <w:shd w:val="clear" w:color="auto" w:fill="auto"/>
            <w:noWrap/>
            <w:vAlign w:val="bottom"/>
            <w:hideMark/>
          </w:tcPr>
          <w:p w14:paraId="01D44C38" w14:textId="7AEB195E"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4.3</w:t>
            </w:r>
          </w:p>
        </w:tc>
        <w:tc>
          <w:tcPr>
            <w:tcW w:w="963" w:type="dxa"/>
            <w:tcBorders>
              <w:top w:val="nil"/>
              <w:left w:val="nil"/>
              <w:bottom w:val="nil"/>
              <w:right w:val="nil"/>
            </w:tcBorders>
            <w:shd w:val="clear" w:color="auto" w:fill="auto"/>
            <w:noWrap/>
            <w:vAlign w:val="bottom"/>
            <w:hideMark/>
          </w:tcPr>
          <w:p w14:paraId="487CB1B9" w14:textId="3360B788"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4.2</w:t>
            </w:r>
          </w:p>
        </w:tc>
        <w:tc>
          <w:tcPr>
            <w:tcW w:w="975" w:type="dxa"/>
            <w:tcBorders>
              <w:top w:val="nil"/>
              <w:left w:val="nil"/>
              <w:bottom w:val="nil"/>
              <w:right w:val="single" w:sz="4" w:space="0" w:color="auto"/>
            </w:tcBorders>
            <w:shd w:val="clear" w:color="auto" w:fill="auto"/>
            <w:noWrap/>
            <w:vAlign w:val="bottom"/>
            <w:hideMark/>
          </w:tcPr>
          <w:p w14:paraId="72BAD495" w14:textId="295D5E6F"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4.1</w:t>
            </w:r>
          </w:p>
        </w:tc>
        <w:tc>
          <w:tcPr>
            <w:tcW w:w="975" w:type="dxa"/>
            <w:tcBorders>
              <w:top w:val="nil"/>
              <w:left w:val="nil"/>
              <w:bottom w:val="nil"/>
              <w:right w:val="nil"/>
            </w:tcBorders>
            <w:shd w:val="clear" w:color="auto" w:fill="auto"/>
            <w:noWrap/>
            <w:vAlign w:val="bottom"/>
            <w:hideMark/>
          </w:tcPr>
          <w:p w14:paraId="047A48D3" w14:textId="5EC3A3FD"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3.6</w:t>
            </w:r>
          </w:p>
        </w:tc>
        <w:tc>
          <w:tcPr>
            <w:tcW w:w="975" w:type="dxa"/>
            <w:tcBorders>
              <w:top w:val="nil"/>
              <w:left w:val="nil"/>
              <w:bottom w:val="nil"/>
              <w:right w:val="single" w:sz="4" w:space="0" w:color="auto"/>
            </w:tcBorders>
            <w:shd w:val="clear" w:color="auto" w:fill="auto"/>
            <w:noWrap/>
            <w:vAlign w:val="bottom"/>
            <w:hideMark/>
          </w:tcPr>
          <w:p w14:paraId="62488152" w14:textId="7E5271CF"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5.0</w:t>
            </w:r>
          </w:p>
        </w:tc>
      </w:tr>
      <w:tr w:rsidR="00FE65DF" w:rsidRPr="00FE65DF" w14:paraId="58876B8D" w14:textId="77777777" w:rsidTr="007C7289">
        <w:trPr>
          <w:trHeight w:val="271"/>
          <w:jc w:val="center"/>
        </w:trPr>
        <w:tc>
          <w:tcPr>
            <w:tcW w:w="1689" w:type="dxa"/>
            <w:tcBorders>
              <w:top w:val="single" w:sz="4" w:space="0" w:color="auto"/>
              <w:left w:val="single" w:sz="4" w:space="0" w:color="auto"/>
              <w:bottom w:val="single" w:sz="4" w:space="0" w:color="auto"/>
              <w:right w:val="nil"/>
            </w:tcBorders>
            <w:shd w:val="clear" w:color="auto" w:fill="auto"/>
            <w:noWrap/>
            <w:vAlign w:val="bottom"/>
            <w:hideMark/>
          </w:tcPr>
          <w:p w14:paraId="20ED834A"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All products</w:t>
            </w:r>
          </w:p>
        </w:tc>
        <w:tc>
          <w:tcPr>
            <w:tcW w:w="980" w:type="dxa"/>
            <w:tcBorders>
              <w:top w:val="single" w:sz="4" w:space="0" w:color="auto"/>
              <w:left w:val="single" w:sz="4" w:space="0" w:color="auto"/>
              <w:bottom w:val="single" w:sz="4" w:space="0" w:color="auto"/>
              <w:right w:val="nil"/>
            </w:tcBorders>
            <w:shd w:val="clear" w:color="auto" w:fill="auto"/>
            <w:noWrap/>
            <w:vAlign w:val="bottom"/>
            <w:hideMark/>
          </w:tcPr>
          <w:p w14:paraId="52D279B6" w14:textId="5CD4D89D"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3.0</w:t>
            </w:r>
          </w:p>
        </w:tc>
        <w:tc>
          <w:tcPr>
            <w:tcW w:w="963" w:type="dxa"/>
            <w:tcBorders>
              <w:top w:val="single" w:sz="4" w:space="0" w:color="auto"/>
              <w:left w:val="nil"/>
              <w:bottom w:val="single" w:sz="4" w:space="0" w:color="auto"/>
              <w:right w:val="nil"/>
            </w:tcBorders>
            <w:shd w:val="clear" w:color="auto" w:fill="auto"/>
            <w:noWrap/>
            <w:vAlign w:val="bottom"/>
            <w:hideMark/>
          </w:tcPr>
          <w:p w14:paraId="6F940E0F" w14:textId="0E31E46B"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2.9</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1DEC5893" w14:textId="500C2B54"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2.9</w:t>
            </w:r>
          </w:p>
        </w:tc>
        <w:tc>
          <w:tcPr>
            <w:tcW w:w="975" w:type="dxa"/>
            <w:tcBorders>
              <w:top w:val="single" w:sz="4" w:space="0" w:color="auto"/>
              <w:left w:val="nil"/>
              <w:bottom w:val="single" w:sz="4" w:space="0" w:color="auto"/>
              <w:right w:val="nil"/>
            </w:tcBorders>
            <w:shd w:val="clear" w:color="auto" w:fill="auto"/>
            <w:noWrap/>
            <w:vAlign w:val="bottom"/>
            <w:hideMark/>
          </w:tcPr>
          <w:p w14:paraId="0F0ED473" w14:textId="26EB4936"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2.7</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46F8F979" w14:textId="46104FF9"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3.2</w:t>
            </w:r>
          </w:p>
        </w:tc>
      </w:tr>
    </w:tbl>
    <w:p w14:paraId="5E35DCD5" w14:textId="77777777" w:rsidR="00A37634" w:rsidRPr="00A37634" w:rsidRDefault="00A37634" w:rsidP="00A37634">
      <w:pPr>
        <w:spacing w:after="0" w:line="278" w:lineRule="auto"/>
        <w:jc w:val="center"/>
        <w:rPr>
          <w:rFonts w:ascii="Calibri" w:eastAsia="Cambria" w:hAnsi="Calibri" w:cs="Calibri"/>
          <w:sz w:val="16"/>
          <w:szCs w:val="24"/>
          <w:lang w:val="en-AU"/>
        </w:rPr>
      </w:pPr>
    </w:p>
    <w:p w14:paraId="5365C4B3" w14:textId="50BDFE3F"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87" w:name="_Ref11140334"/>
      <w:bookmarkStart w:id="88" w:name="_Ref13050589"/>
      <w:bookmarkStart w:id="89" w:name="_Toc11360611"/>
      <w:bookmarkStart w:id="90" w:name="_Toc13085850"/>
      <w:bookmarkStart w:id="91" w:name="_Toc22486953"/>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9</w:t>
      </w:r>
      <w:r w:rsidRPr="00A37634">
        <w:rPr>
          <w:rFonts w:ascii="Calibri" w:eastAsia="Cambria" w:hAnsi="Calibri" w:cs="Calibri"/>
          <w:b/>
          <w:bCs/>
          <w:noProof/>
          <w:sz w:val="20"/>
          <w:szCs w:val="16"/>
          <w:lang w:val="en-AU"/>
        </w:rPr>
        <w:fldChar w:fldCharType="end"/>
      </w:r>
      <w:bookmarkEnd w:id="87"/>
      <w:bookmarkEnd w:id="88"/>
      <w:r w:rsidRPr="00A37634">
        <w:rPr>
          <w:rFonts w:ascii="Calibri" w:eastAsia="Cambria" w:hAnsi="Calibri" w:cs="Calibri"/>
          <w:b/>
          <w:bCs/>
          <w:sz w:val="20"/>
          <w:szCs w:val="16"/>
          <w:lang w:val="en-AU"/>
        </w:rPr>
        <w:t>. Benefit/Cost ratio variations by discount rate and appliance type, New Zealand</w:t>
      </w:r>
      <w:bookmarkEnd w:id="89"/>
      <w:bookmarkEnd w:id="90"/>
      <w:bookmarkEnd w:id="91"/>
    </w:p>
    <w:tbl>
      <w:tblPr>
        <w:tblW w:w="6566" w:type="dxa"/>
        <w:jc w:val="center"/>
        <w:tblLook w:val="04A0" w:firstRow="1" w:lastRow="0" w:firstColumn="1" w:lastColumn="0" w:noHBand="0" w:noVBand="1"/>
      </w:tblPr>
      <w:tblGrid>
        <w:gridCol w:w="1689"/>
        <w:gridCol w:w="980"/>
        <w:gridCol w:w="963"/>
        <w:gridCol w:w="976"/>
        <w:gridCol w:w="979"/>
        <w:gridCol w:w="979"/>
      </w:tblGrid>
      <w:tr w:rsidR="00A37634" w:rsidRPr="00A37634" w14:paraId="780491F7" w14:textId="77777777" w:rsidTr="007C7289">
        <w:trPr>
          <w:trHeight w:val="261"/>
          <w:jc w:val="center"/>
        </w:trPr>
        <w:tc>
          <w:tcPr>
            <w:tcW w:w="1689" w:type="dxa"/>
            <w:tcBorders>
              <w:top w:val="single" w:sz="4" w:space="0" w:color="auto"/>
              <w:left w:val="single" w:sz="4" w:space="0" w:color="auto"/>
              <w:bottom w:val="nil"/>
              <w:right w:val="nil"/>
            </w:tcBorders>
            <w:shd w:val="clear" w:color="auto" w:fill="auto"/>
            <w:noWrap/>
            <w:vAlign w:val="bottom"/>
            <w:hideMark/>
          </w:tcPr>
          <w:p w14:paraId="0237E165" w14:textId="77777777" w:rsidR="00A37634" w:rsidRPr="00A37634" w:rsidRDefault="00A37634" w:rsidP="00A37634">
            <w:pPr>
              <w:spacing w:after="0" w:line="240" w:lineRule="auto"/>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 </w:t>
            </w:r>
          </w:p>
        </w:tc>
        <w:tc>
          <w:tcPr>
            <w:tcW w:w="2919" w:type="dxa"/>
            <w:gridSpan w:val="3"/>
            <w:tcBorders>
              <w:top w:val="single" w:sz="4" w:space="0" w:color="auto"/>
              <w:left w:val="single" w:sz="4" w:space="0" w:color="auto"/>
              <w:bottom w:val="nil"/>
              <w:right w:val="single" w:sz="4" w:space="0" w:color="auto"/>
            </w:tcBorders>
            <w:shd w:val="clear" w:color="auto" w:fill="auto"/>
            <w:noWrap/>
            <w:vAlign w:val="bottom"/>
            <w:hideMark/>
          </w:tcPr>
          <w:p w14:paraId="34CE956A"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Medium Activation</w:t>
            </w:r>
          </w:p>
        </w:tc>
        <w:tc>
          <w:tcPr>
            <w:tcW w:w="979" w:type="dxa"/>
            <w:tcBorders>
              <w:top w:val="single" w:sz="4" w:space="0" w:color="auto"/>
              <w:left w:val="nil"/>
              <w:bottom w:val="nil"/>
              <w:right w:val="nil"/>
            </w:tcBorders>
            <w:shd w:val="clear" w:color="auto" w:fill="auto"/>
            <w:noWrap/>
            <w:vAlign w:val="bottom"/>
            <w:hideMark/>
          </w:tcPr>
          <w:p w14:paraId="7446E66A"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Low</w:t>
            </w:r>
            <w:r w:rsidRPr="00A37634">
              <w:rPr>
                <w:rFonts w:ascii="Calibri" w:eastAsia="Times New Roman" w:hAnsi="Calibri" w:cs="Calibri"/>
                <w:color w:val="000000"/>
                <w:sz w:val="18"/>
                <w:szCs w:val="18"/>
                <w:lang w:val="en-AU" w:eastAsia="en-AU"/>
              </w:rPr>
              <w:br/>
              <w:t>Activation</w:t>
            </w:r>
          </w:p>
        </w:tc>
        <w:tc>
          <w:tcPr>
            <w:tcW w:w="979" w:type="dxa"/>
            <w:tcBorders>
              <w:top w:val="single" w:sz="4" w:space="0" w:color="auto"/>
              <w:left w:val="nil"/>
              <w:bottom w:val="nil"/>
              <w:right w:val="single" w:sz="4" w:space="0" w:color="auto"/>
            </w:tcBorders>
            <w:shd w:val="clear" w:color="auto" w:fill="auto"/>
            <w:noWrap/>
            <w:vAlign w:val="bottom"/>
            <w:hideMark/>
          </w:tcPr>
          <w:p w14:paraId="5F02585B"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High</w:t>
            </w:r>
            <w:r w:rsidRPr="00A37634">
              <w:rPr>
                <w:rFonts w:ascii="Calibri" w:eastAsia="Times New Roman" w:hAnsi="Calibri" w:cs="Calibri"/>
                <w:color w:val="000000"/>
                <w:sz w:val="18"/>
                <w:szCs w:val="18"/>
                <w:lang w:val="en-AU" w:eastAsia="en-AU"/>
              </w:rPr>
              <w:br/>
              <w:t>Activation</w:t>
            </w:r>
          </w:p>
        </w:tc>
      </w:tr>
      <w:tr w:rsidR="00A37634" w:rsidRPr="00A37634" w14:paraId="2FEF5A40" w14:textId="77777777" w:rsidTr="007C7289">
        <w:trPr>
          <w:trHeight w:val="261"/>
          <w:jc w:val="center"/>
        </w:trPr>
        <w:tc>
          <w:tcPr>
            <w:tcW w:w="1689" w:type="dxa"/>
            <w:tcBorders>
              <w:top w:val="nil"/>
              <w:left w:val="single" w:sz="4" w:space="0" w:color="auto"/>
              <w:bottom w:val="single" w:sz="4" w:space="0" w:color="auto"/>
              <w:right w:val="nil"/>
            </w:tcBorders>
            <w:shd w:val="clear" w:color="auto" w:fill="auto"/>
            <w:noWrap/>
            <w:vAlign w:val="bottom"/>
            <w:hideMark/>
          </w:tcPr>
          <w:p w14:paraId="6260BB0C" w14:textId="77777777" w:rsidR="00A37634" w:rsidRPr="00A37634" w:rsidRDefault="00A37634" w:rsidP="00A37634">
            <w:pPr>
              <w:spacing w:after="0" w:line="240" w:lineRule="auto"/>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 </w:t>
            </w:r>
          </w:p>
        </w:tc>
        <w:tc>
          <w:tcPr>
            <w:tcW w:w="980" w:type="dxa"/>
            <w:tcBorders>
              <w:top w:val="nil"/>
              <w:left w:val="single" w:sz="4" w:space="0" w:color="auto"/>
              <w:bottom w:val="nil"/>
              <w:right w:val="nil"/>
            </w:tcBorders>
            <w:shd w:val="clear" w:color="auto" w:fill="auto"/>
            <w:noWrap/>
            <w:vAlign w:val="bottom"/>
            <w:hideMark/>
          </w:tcPr>
          <w:p w14:paraId="33F4A130"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 rate 3%</w:t>
            </w:r>
          </w:p>
        </w:tc>
        <w:tc>
          <w:tcPr>
            <w:tcW w:w="963" w:type="dxa"/>
            <w:tcBorders>
              <w:top w:val="nil"/>
              <w:left w:val="nil"/>
              <w:bottom w:val="nil"/>
              <w:right w:val="nil"/>
            </w:tcBorders>
            <w:shd w:val="clear" w:color="auto" w:fill="auto"/>
            <w:noWrap/>
            <w:vAlign w:val="bottom"/>
            <w:hideMark/>
          </w:tcPr>
          <w:p w14:paraId="4AD88282"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w:t>
            </w:r>
            <w:r w:rsidRPr="00A37634">
              <w:rPr>
                <w:rFonts w:ascii="Calibri" w:eastAsia="Times New Roman" w:hAnsi="Calibri" w:cs="Calibri"/>
                <w:color w:val="000000"/>
                <w:sz w:val="18"/>
                <w:szCs w:val="18"/>
                <w:lang w:val="en-AU" w:eastAsia="en-AU"/>
              </w:rPr>
              <w:br/>
              <w:t>rate 6%</w:t>
            </w:r>
          </w:p>
        </w:tc>
        <w:tc>
          <w:tcPr>
            <w:tcW w:w="976" w:type="dxa"/>
            <w:tcBorders>
              <w:top w:val="nil"/>
              <w:left w:val="nil"/>
              <w:bottom w:val="nil"/>
              <w:right w:val="single" w:sz="4" w:space="0" w:color="auto"/>
            </w:tcBorders>
            <w:shd w:val="clear" w:color="auto" w:fill="auto"/>
            <w:noWrap/>
            <w:vAlign w:val="bottom"/>
            <w:hideMark/>
          </w:tcPr>
          <w:p w14:paraId="6F13876C"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 rate 10%</w:t>
            </w:r>
          </w:p>
        </w:tc>
        <w:tc>
          <w:tcPr>
            <w:tcW w:w="979" w:type="dxa"/>
            <w:tcBorders>
              <w:top w:val="nil"/>
              <w:left w:val="nil"/>
              <w:bottom w:val="single" w:sz="4" w:space="0" w:color="auto"/>
              <w:right w:val="nil"/>
            </w:tcBorders>
            <w:shd w:val="clear" w:color="auto" w:fill="auto"/>
            <w:noWrap/>
            <w:vAlign w:val="bottom"/>
            <w:hideMark/>
          </w:tcPr>
          <w:p w14:paraId="5B3F1E0A"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 rate 6%</w:t>
            </w:r>
          </w:p>
        </w:tc>
        <w:tc>
          <w:tcPr>
            <w:tcW w:w="979" w:type="dxa"/>
            <w:tcBorders>
              <w:top w:val="nil"/>
              <w:left w:val="nil"/>
              <w:bottom w:val="single" w:sz="4" w:space="0" w:color="auto"/>
              <w:right w:val="single" w:sz="4" w:space="0" w:color="auto"/>
            </w:tcBorders>
            <w:shd w:val="clear" w:color="auto" w:fill="auto"/>
            <w:noWrap/>
            <w:vAlign w:val="bottom"/>
            <w:hideMark/>
          </w:tcPr>
          <w:p w14:paraId="1F703D60" w14:textId="77777777" w:rsidR="00A37634" w:rsidRPr="00A37634" w:rsidRDefault="00A37634" w:rsidP="00A37634">
            <w:pPr>
              <w:spacing w:after="0" w:line="240" w:lineRule="auto"/>
              <w:jc w:val="center"/>
              <w:rPr>
                <w:rFonts w:ascii="Calibri" w:eastAsia="Times New Roman" w:hAnsi="Calibri" w:cs="Calibri"/>
                <w:color w:val="000000"/>
                <w:sz w:val="18"/>
                <w:szCs w:val="18"/>
                <w:lang w:val="en-AU" w:eastAsia="en-AU"/>
              </w:rPr>
            </w:pPr>
            <w:r w:rsidRPr="00A37634">
              <w:rPr>
                <w:rFonts w:ascii="Calibri" w:eastAsia="Times New Roman" w:hAnsi="Calibri" w:cs="Calibri"/>
                <w:color w:val="000000"/>
                <w:sz w:val="18"/>
                <w:szCs w:val="18"/>
                <w:lang w:val="en-AU" w:eastAsia="en-AU"/>
              </w:rPr>
              <w:t>Discount rate 6%</w:t>
            </w:r>
          </w:p>
        </w:tc>
      </w:tr>
      <w:tr w:rsidR="00FE65DF" w:rsidRPr="00FE65DF" w14:paraId="7718A52E" w14:textId="77777777" w:rsidTr="007C7289">
        <w:trPr>
          <w:trHeight w:val="261"/>
          <w:jc w:val="center"/>
        </w:trPr>
        <w:tc>
          <w:tcPr>
            <w:tcW w:w="1689" w:type="dxa"/>
            <w:tcBorders>
              <w:top w:val="nil"/>
              <w:left w:val="single" w:sz="4" w:space="0" w:color="auto"/>
              <w:bottom w:val="nil"/>
              <w:right w:val="nil"/>
            </w:tcBorders>
            <w:shd w:val="clear" w:color="auto" w:fill="auto"/>
            <w:noWrap/>
            <w:vAlign w:val="bottom"/>
            <w:hideMark/>
          </w:tcPr>
          <w:p w14:paraId="0C6622F1"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Air Conditioners</w:t>
            </w:r>
          </w:p>
        </w:tc>
        <w:tc>
          <w:tcPr>
            <w:tcW w:w="980" w:type="dxa"/>
            <w:tcBorders>
              <w:top w:val="single" w:sz="4" w:space="0" w:color="auto"/>
              <w:left w:val="single" w:sz="4" w:space="0" w:color="auto"/>
              <w:bottom w:val="nil"/>
              <w:right w:val="nil"/>
            </w:tcBorders>
            <w:shd w:val="clear" w:color="auto" w:fill="auto"/>
            <w:noWrap/>
            <w:vAlign w:val="bottom"/>
            <w:hideMark/>
          </w:tcPr>
          <w:p w14:paraId="45573B49" w14:textId="50558A8C"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2.7</w:t>
            </w:r>
          </w:p>
        </w:tc>
        <w:tc>
          <w:tcPr>
            <w:tcW w:w="963" w:type="dxa"/>
            <w:tcBorders>
              <w:top w:val="single" w:sz="4" w:space="0" w:color="auto"/>
              <w:left w:val="nil"/>
              <w:bottom w:val="nil"/>
              <w:right w:val="nil"/>
            </w:tcBorders>
            <w:shd w:val="clear" w:color="auto" w:fill="auto"/>
            <w:noWrap/>
            <w:vAlign w:val="bottom"/>
            <w:hideMark/>
          </w:tcPr>
          <w:p w14:paraId="3E8A4127" w14:textId="2F61BB42"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2.8</w:t>
            </w:r>
          </w:p>
        </w:tc>
        <w:tc>
          <w:tcPr>
            <w:tcW w:w="976" w:type="dxa"/>
            <w:tcBorders>
              <w:top w:val="single" w:sz="4" w:space="0" w:color="auto"/>
              <w:left w:val="nil"/>
              <w:bottom w:val="nil"/>
              <w:right w:val="single" w:sz="4" w:space="0" w:color="auto"/>
            </w:tcBorders>
            <w:shd w:val="clear" w:color="auto" w:fill="auto"/>
            <w:noWrap/>
            <w:vAlign w:val="bottom"/>
            <w:hideMark/>
          </w:tcPr>
          <w:p w14:paraId="58F242A5" w14:textId="2DD552D0"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2.7</w:t>
            </w:r>
          </w:p>
        </w:tc>
        <w:tc>
          <w:tcPr>
            <w:tcW w:w="979" w:type="dxa"/>
            <w:tcBorders>
              <w:top w:val="nil"/>
              <w:left w:val="nil"/>
              <w:bottom w:val="nil"/>
              <w:right w:val="nil"/>
            </w:tcBorders>
            <w:shd w:val="clear" w:color="auto" w:fill="auto"/>
            <w:noWrap/>
            <w:vAlign w:val="bottom"/>
            <w:hideMark/>
          </w:tcPr>
          <w:p w14:paraId="60F386BC" w14:textId="2827D363"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2.6</w:t>
            </w:r>
          </w:p>
        </w:tc>
        <w:tc>
          <w:tcPr>
            <w:tcW w:w="979" w:type="dxa"/>
            <w:tcBorders>
              <w:top w:val="nil"/>
              <w:left w:val="nil"/>
              <w:bottom w:val="nil"/>
              <w:right w:val="single" w:sz="4" w:space="0" w:color="auto"/>
            </w:tcBorders>
            <w:shd w:val="clear" w:color="auto" w:fill="auto"/>
            <w:noWrap/>
            <w:vAlign w:val="bottom"/>
            <w:hideMark/>
          </w:tcPr>
          <w:p w14:paraId="7984CF7B" w14:textId="6B28EF8A"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3.1</w:t>
            </w:r>
          </w:p>
        </w:tc>
      </w:tr>
      <w:tr w:rsidR="00FE65DF" w:rsidRPr="00FE65DF" w14:paraId="1DDDA799" w14:textId="77777777" w:rsidTr="007C7289">
        <w:trPr>
          <w:trHeight w:val="261"/>
          <w:jc w:val="center"/>
        </w:trPr>
        <w:tc>
          <w:tcPr>
            <w:tcW w:w="1689" w:type="dxa"/>
            <w:tcBorders>
              <w:top w:val="nil"/>
              <w:left w:val="single" w:sz="4" w:space="0" w:color="auto"/>
              <w:bottom w:val="nil"/>
              <w:right w:val="nil"/>
            </w:tcBorders>
            <w:shd w:val="clear" w:color="auto" w:fill="auto"/>
            <w:noWrap/>
            <w:vAlign w:val="bottom"/>
            <w:hideMark/>
          </w:tcPr>
          <w:p w14:paraId="0785CD86"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PP Controllers</w:t>
            </w:r>
          </w:p>
        </w:tc>
        <w:tc>
          <w:tcPr>
            <w:tcW w:w="980" w:type="dxa"/>
            <w:tcBorders>
              <w:top w:val="nil"/>
              <w:left w:val="single" w:sz="4" w:space="0" w:color="auto"/>
              <w:bottom w:val="nil"/>
              <w:right w:val="nil"/>
            </w:tcBorders>
            <w:shd w:val="clear" w:color="auto" w:fill="auto"/>
            <w:noWrap/>
            <w:vAlign w:val="bottom"/>
            <w:hideMark/>
          </w:tcPr>
          <w:p w14:paraId="332A523D" w14:textId="716ED055"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NA </w:t>
            </w:r>
          </w:p>
        </w:tc>
        <w:tc>
          <w:tcPr>
            <w:tcW w:w="963" w:type="dxa"/>
            <w:tcBorders>
              <w:top w:val="nil"/>
              <w:left w:val="nil"/>
              <w:bottom w:val="nil"/>
              <w:right w:val="nil"/>
            </w:tcBorders>
            <w:shd w:val="clear" w:color="auto" w:fill="auto"/>
            <w:noWrap/>
            <w:vAlign w:val="bottom"/>
            <w:hideMark/>
          </w:tcPr>
          <w:p w14:paraId="79A1CFB7" w14:textId="506005F8"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NA</w:t>
            </w:r>
          </w:p>
        </w:tc>
        <w:tc>
          <w:tcPr>
            <w:tcW w:w="976" w:type="dxa"/>
            <w:tcBorders>
              <w:top w:val="nil"/>
              <w:left w:val="nil"/>
              <w:bottom w:val="nil"/>
              <w:right w:val="single" w:sz="4" w:space="0" w:color="auto"/>
            </w:tcBorders>
            <w:shd w:val="clear" w:color="auto" w:fill="auto"/>
            <w:noWrap/>
            <w:vAlign w:val="bottom"/>
            <w:hideMark/>
          </w:tcPr>
          <w:p w14:paraId="4FAA8C5A" w14:textId="46248DB6"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NA</w:t>
            </w:r>
          </w:p>
        </w:tc>
        <w:tc>
          <w:tcPr>
            <w:tcW w:w="979" w:type="dxa"/>
            <w:tcBorders>
              <w:top w:val="nil"/>
              <w:left w:val="nil"/>
              <w:bottom w:val="nil"/>
              <w:right w:val="nil"/>
            </w:tcBorders>
            <w:shd w:val="clear" w:color="auto" w:fill="auto"/>
            <w:noWrap/>
            <w:vAlign w:val="bottom"/>
            <w:hideMark/>
          </w:tcPr>
          <w:p w14:paraId="5CD72FB0" w14:textId="2C841F33"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NA</w:t>
            </w:r>
          </w:p>
        </w:tc>
        <w:tc>
          <w:tcPr>
            <w:tcW w:w="979" w:type="dxa"/>
            <w:tcBorders>
              <w:top w:val="nil"/>
              <w:left w:val="nil"/>
              <w:bottom w:val="nil"/>
              <w:right w:val="single" w:sz="4" w:space="0" w:color="auto"/>
            </w:tcBorders>
            <w:shd w:val="clear" w:color="auto" w:fill="auto"/>
            <w:noWrap/>
            <w:vAlign w:val="bottom"/>
            <w:hideMark/>
          </w:tcPr>
          <w:p w14:paraId="464D485B" w14:textId="715A7616"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eastAsia="en-AU"/>
              </w:rPr>
              <w:t>NA</w:t>
            </w:r>
          </w:p>
        </w:tc>
      </w:tr>
      <w:tr w:rsidR="00FE65DF" w:rsidRPr="00FE65DF" w14:paraId="0A35FF95" w14:textId="77777777" w:rsidTr="007C7289">
        <w:trPr>
          <w:trHeight w:val="261"/>
          <w:jc w:val="center"/>
        </w:trPr>
        <w:tc>
          <w:tcPr>
            <w:tcW w:w="1689" w:type="dxa"/>
            <w:tcBorders>
              <w:top w:val="nil"/>
              <w:left w:val="single" w:sz="4" w:space="0" w:color="auto"/>
              <w:bottom w:val="nil"/>
              <w:right w:val="nil"/>
            </w:tcBorders>
            <w:shd w:val="clear" w:color="auto" w:fill="auto"/>
            <w:noWrap/>
            <w:vAlign w:val="bottom"/>
            <w:hideMark/>
          </w:tcPr>
          <w:p w14:paraId="5B735892"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Water heaters</w:t>
            </w:r>
          </w:p>
        </w:tc>
        <w:tc>
          <w:tcPr>
            <w:tcW w:w="980" w:type="dxa"/>
            <w:tcBorders>
              <w:top w:val="nil"/>
              <w:left w:val="single" w:sz="4" w:space="0" w:color="auto"/>
              <w:bottom w:val="nil"/>
              <w:right w:val="nil"/>
            </w:tcBorders>
            <w:shd w:val="clear" w:color="auto" w:fill="auto"/>
            <w:noWrap/>
            <w:vAlign w:val="bottom"/>
            <w:hideMark/>
          </w:tcPr>
          <w:p w14:paraId="7319B785" w14:textId="33540441"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1.8</w:t>
            </w:r>
          </w:p>
        </w:tc>
        <w:tc>
          <w:tcPr>
            <w:tcW w:w="963" w:type="dxa"/>
            <w:tcBorders>
              <w:top w:val="nil"/>
              <w:left w:val="nil"/>
              <w:bottom w:val="nil"/>
              <w:right w:val="nil"/>
            </w:tcBorders>
            <w:shd w:val="clear" w:color="auto" w:fill="auto"/>
            <w:noWrap/>
            <w:vAlign w:val="bottom"/>
            <w:hideMark/>
          </w:tcPr>
          <w:p w14:paraId="3CA26B64" w14:textId="1D82A8FC"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1.8</w:t>
            </w:r>
          </w:p>
        </w:tc>
        <w:tc>
          <w:tcPr>
            <w:tcW w:w="976" w:type="dxa"/>
            <w:tcBorders>
              <w:top w:val="nil"/>
              <w:left w:val="nil"/>
              <w:bottom w:val="nil"/>
              <w:right w:val="single" w:sz="4" w:space="0" w:color="auto"/>
            </w:tcBorders>
            <w:shd w:val="clear" w:color="auto" w:fill="auto"/>
            <w:noWrap/>
            <w:vAlign w:val="bottom"/>
            <w:hideMark/>
          </w:tcPr>
          <w:p w14:paraId="3DFEC1C1" w14:textId="7867E446"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1.6</w:t>
            </w:r>
          </w:p>
        </w:tc>
        <w:tc>
          <w:tcPr>
            <w:tcW w:w="979" w:type="dxa"/>
            <w:tcBorders>
              <w:top w:val="nil"/>
              <w:left w:val="nil"/>
              <w:bottom w:val="nil"/>
              <w:right w:val="nil"/>
            </w:tcBorders>
            <w:shd w:val="clear" w:color="auto" w:fill="auto"/>
            <w:noWrap/>
            <w:vAlign w:val="bottom"/>
            <w:hideMark/>
          </w:tcPr>
          <w:p w14:paraId="715BEE90" w14:textId="46279C5C"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1.8</w:t>
            </w:r>
          </w:p>
        </w:tc>
        <w:tc>
          <w:tcPr>
            <w:tcW w:w="979" w:type="dxa"/>
            <w:tcBorders>
              <w:top w:val="nil"/>
              <w:left w:val="nil"/>
              <w:bottom w:val="nil"/>
              <w:right w:val="single" w:sz="4" w:space="0" w:color="auto"/>
            </w:tcBorders>
            <w:shd w:val="clear" w:color="auto" w:fill="auto"/>
            <w:noWrap/>
            <w:vAlign w:val="bottom"/>
            <w:hideMark/>
          </w:tcPr>
          <w:p w14:paraId="6EDC0844" w14:textId="1FABA9F8"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2.2</w:t>
            </w:r>
          </w:p>
        </w:tc>
      </w:tr>
      <w:tr w:rsidR="00FE65DF" w:rsidRPr="00FE65DF" w14:paraId="5E724095" w14:textId="77777777" w:rsidTr="007C7289">
        <w:trPr>
          <w:trHeight w:val="261"/>
          <w:jc w:val="center"/>
        </w:trPr>
        <w:tc>
          <w:tcPr>
            <w:tcW w:w="1689" w:type="dxa"/>
            <w:tcBorders>
              <w:top w:val="nil"/>
              <w:left w:val="single" w:sz="4" w:space="0" w:color="auto"/>
              <w:bottom w:val="nil"/>
              <w:right w:val="nil"/>
            </w:tcBorders>
            <w:shd w:val="clear" w:color="auto" w:fill="auto"/>
            <w:noWrap/>
            <w:vAlign w:val="bottom"/>
            <w:hideMark/>
          </w:tcPr>
          <w:p w14:paraId="549AB9BD"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EV chargers</w:t>
            </w:r>
          </w:p>
        </w:tc>
        <w:tc>
          <w:tcPr>
            <w:tcW w:w="980" w:type="dxa"/>
            <w:tcBorders>
              <w:top w:val="nil"/>
              <w:left w:val="single" w:sz="4" w:space="0" w:color="auto"/>
              <w:bottom w:val="nil"/>
              <w:right w:val="nil"/>
            </w:tcBorders>
            <w:shd w:val="clear" w:color="auto" w:fill="auto"/>
            <w:noWrap/>
            <w:vAlign w:val="bottom"/>
            <w:hideMark/>
          </w:tcPr>
          <w:p w14:paraId="4ED473DB" w14:textId="183537B1"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4.4</w:t>
            </w:r>
          </w:p>
        </w:tc>
        <w:tc>
          <w:tcPr>
            <w:tcW w:w="963" w:type="dxa"/>
            <w:tcBorders>
              <w:top w:val="nil"/>
              <w:left w:val="nil"/>
              <w:bottom w:val="nil"/>
              <w:right w:val="nil"/>
            </w:tcBorders>
            <w:shd w:val="clear" w:color="auto" w:fill="auto"/>
            <w:noWrap/>
            <w:vAlign w:val="bottom"/>
            <w:hideMark/>
          </w:tcPr>
          <w:p w14:paraId="476D7D7D" w14:textId="1EF30B97"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4.6</w:t>
            </w:r>
          </w:p>
        </w:tc>
        <w:tc>
          <w:tcPr>
            <w:tcW w:w="976" w:type="dxa"/>
            <w:tcBorders>
              <w:top w:val="nil"/>
              <w:left w:val="nil"/>
              <w:bottom w:val="nil"/>
              <w:right w:val="single" w:sz="4" w:space="0" w:color="auto"/>
            </w:tcBorders>
            <w:shd w:val="clear" w:color="auto" w:fill="auto"/>
            <w:noWrap/>
            <w:vAlign w:val="bottom"/>
            <w:hideMark/>
          </w:tcPr>
          <w:p w14:paraId="4E73F196" w14:textId="2653F5D0"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4.1</w:t>
            </w:r>
          </w:p>
        </w:tc>
        <w:tc>
          <w:tcPr>
            <w:tcW w:w="979" w:type="dxa"/>
            <w:tcBorders>
              <w:top w:val="nil"/>
              <w:left w:val="nil"/>
              <w:bottom w:val="nil"/>
              <w:right w:val="nil"/>
            </w:tcBorders>
            <w:shd w:val="clear" w:color="auto" w:fill="auto"/>
            <w:noWrap/>
            <w:vAlign w:val="bottom"/>
            <w:hideMark/>
          </w:tcPr>
          <w:p w14:paraId="5107E4C7" w14:textId="5D0FA3DA"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3.9</w:t>
            </w:r>
          </w:p>
        </w:tc>
        <w:tc>
          <w:tcPr>
            <w:tcW w:w="979" w:type="dxa"/>
            <w:tcBorders>
              <w:top w:val="nil"/>
              <w:left w:val="nil"/>
              <w:bottom w:val="nil"/>
              <w:right w:val="single" w:sz="4" w:space="0" w:color="auto"/>
            </w:tcBorders>
            <w:shd w:val="clear" w:color="auto" w:fill="auto"/>
            <w:noWrap/>
            <w:vAlign w:val="bottom"/>
            <w:hideMark/>
          </w:tcPr>
          <w:p w14:paraId="36E0859A" w14:textId="7AAAC09F"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5.5</w:t>
            </w:r>
          </w:p>
        </w:tc>
      </w:tr>
      <w:tr w:rsidR="00FE65DF" w:rsidRPr="00FE65DF" w14:paraId="79A7910C" w14:textId="77777777" w:rsidTr="007C7289">
        <w:trPr>
          <w:trHeight w:val="261"/>
          <w:jc w:val="center"/>
        </w:trPr>
        <w:tc>
          <w:tcPr>
            <w:tcW w:w="1689" w:type="dxa"/>
            <w:tcBorders>
              <w:top w:val="single" w:sz="4" w:space="0" w:color="auto"/>
              <w:left w:val="single" w:sz="4" w:space="0" w:color="auto"/>
              <w:bottom w:val="single" w:sz="4" w:space="0" w:color="auto"/>
              <w:right w:val="nil"/>
            </w:tcBorders>
            <w:shd w:val="clear" w:color="auto" w:fill="auto"/>
            <w:noWrap/>
            <w:vAlign w:val="bottom"/>
            <w:hideMark/>
          </w:tcPr>
          <w:p w14:paraId="60247396" w14:textId="77777777" w:rsidR="00FE65DF" w:rsidRPr="00FE65DF" w:rsidRDefault="00FE65DF" w:rsidP="00FE65DF">
            <w:pPr>
              <w:spacing w:after="0" w:line="240" w:lineRule="auto"/>
              <w:rPr>
                <w:rFonts w:ascii="Calibri" w:eastAsia="Times New Roman" w:hAnsi="Calibri" w:cs="Calibri"/>
                <w:color w:val="000000"/>
                <w:sz w:val="18"/>
                <w:szCs w:val="18"/>
                <w:lang w:val="en-AU" w:eastAsia="en-AU"/>
              </w:rPr>
            </w:pPr>
            <w:r w:rsidRPr="00FE65DF">
              <w:rPr>
                <w:rFonts w:ascii="Calibri" w:eastAsia="Times New Roman" w:hAnsi="Calibri" w:cs="Calibri"/>
                <w:color w:val="000000"/>
                <w:sz w:val="18"/>
                <w:szCs w:val="18"/>
                <w:lang w:val="en-AU" w:eastAsia="en-AU"/>
              </w:rPr>
              <w:t>All products</w:t>
            </w:r>
          </w:p>
        </w:tc>
        <w:tc>
          <w:tcPr>
            <w:tcW w:w="980" w:type="dxa"/>
            <w:tcBorders>
              <w:top w:val="single" w:sz="4" w:space="0" w:color="auto"/>
              <w:left w:val="single" w:sz="4" w:space="0" w:color="auto"/>
              <w:bottom w:val="single" w:sz="4" w:space="0" w:color="auto"/>
              <w:right w:val="nil"/>
            </w:tcBorders>
            <w:shd w:val="clear" w:color="auto" w:fill="auto"/>
            <w:noWrap/>
            <w:vAlign w:val="bottom"/>
            <w:hideMark/>
          </w:tcPr>
          <w:p w14:paraId="71732B10" w14:textId="0DF78504"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2.7</w:t>
            </w:r>
          </w:p>
        </w:tc>
        <w:tc>
          <w:tcPr>
            <w:tcW w:w="963" w:type="dxa"/>
            <w:tcBorders>
              <w:top w:val="single" w:sz="4" w:space="0" w:color="auto"/>
              <w:left w:val="nil"/>
              <w:bottom w:val="single" w:sz="4" w:space="0" w:color="auto"/>
              <w:right w:val="nil"/>
            </w:tcBorders>
            <w:shd w:val="clear" w:color="auto" w:fill="auto"/>
            <w:noWrap/>
            <w:vAlign w:val="bottom"/>
            <w:hideMark/>
          </w:tcPr>
          <w:p w14:paraId="6A480264" w14:textId="5953D3EE"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6790A0A6" w14:textId="25F2CC17"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2.5</w:t>
            </w:r>
          </w:p>
        </w:tc>
        <w:tc>
          <w:tcPr>
            <w:tcW w:w="979" w:type="dxa"/>
            <w:tcBorders>
              <w:top w:val="single" w:sz="4" w:space="0" w:color="auto"/>
              <w:left w:val="nil"/>
              <w:bottom w:val="single" w:sz="4" w:space="0" w:color="auto"/>
              <w:right w:val="nil"/>
            </w:tcBorders>
            <w:shd w:val="clear" w:color="auto" w:fill="auto"/>
            <w:noWrap/>
            <w:vAlign w:val="bottom"/>
            <w:hideMark/>
          </w:tcPr>
          <w:p w14:paraId="326FF6D8" w14:textId="179DC4D8"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2.5</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0C5D7D96" w14:textId="6DD10DC1" w:rsidR="00FE65DF" w:rsidRPr="00FE65DF" w:rsidRDefault="00FE65DF" w:rsidP="00FE65DF">
            <w:pPr>
              <w:spacing w:after="0" w:line="240" w:lineRule="auto"/>
              <w:jc w:val="right"/>
              <w:rPr>
                <w:rFonts w:ascii="Calibri" w:eastAsia="Times New Roman" w:hAnsi="Calibri" w:cs="Calibri"/>
                <w:color w:val="000000"/>
                <w:sz w:val="18"/>
                <w:szCs w:val="18"/>
                <w:lang w:val="en-AU" w:eastAsia="en-AU"/>
              </w:rPr>
            </w:pPr>
            <w:r w:rsidRPr="00FE65DF">
              <w:rPr>
                <w:rFonts w:ascii="Calibri" w:hAnsi="Calibri" w:cs="Calibri"/>
                <w:color w:val="000000"/>
                <w:sz w:val="18"/>
                <w:szCs w:val="18"/>
              </w:rPr>
              <w:t>3.3</w:t>
            </w:r>
          </w:p>
        </w:tc>
      </w:tr>
    </w:tbl>
    <w:p w14:paraId="2C7463FC" w14:textId="0CA67349" w:rsidR="00A37634" w:rsidRPr="00FE65DF" w:rsidRDefault="00A37634" w:rsidP="00A37634">
      <w:pPr>
        <w:spacing w:after="120" w:line="276" w:lineRule="auto"/>
        <w:rPr>
          <w:rFonts w:ascii="Calibri" w:eastAsia="Calibri" w:hAnsi="Calibri" w:cs="Calibri"/>
          <w:sz w:val="18"/>
          <w:szCs w:val="18"/>
          <w:lang w:val="en-AU"/>
        </w:rPr>
      </w:pPr>
      <w:bookmarkStart w:id="92" w:name="_Ref13170157"/>
    </w:p>
    <w:p w14:paraId="5D884AE8" w14:textId="175735E4"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93" w:name="_Ref14777407"/>
      <w:bookmarkStart w:id="94" w:name="_Toc22486954"/>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10</w:t>
      </w:r>
      <w:r w:rsidRPr="00A37634">
        <w:rPr>
          <w:rFonts w:ascii="Calibri" w:eastAsia="Cambria" w:hAnsi="Calibri" w:cs="Calibri"/>
          <w:b/>
          <w:bCs/>
          <w:noProof/>
          <w:sz w:val="20"/>
          <w:szCs w:val="16"/>
          <w:lang w:val="en-AU"/>
        </w:rPr>
        <w:fldChar w:fldCharType="end"/>
      </w:r>
      <w:bookmarkEnd w:id="83"/>
      <w:bookmarkEnd w:id="92"/>
      <w:bookmarkEnd w:id="93"/>
      <w:r w:rsidRPr="00A37634">
        <w:rPr>
          <w:rFonts w:ascii="Calibri" w:eastAsia="Cambria" w:hAnsi="Calibri" w:cs="Calibri"/>
          <w:b/>
          <w:bCs/>
          <w:sz w:val="20"/>
          <w:szCs w:val="16"/>
          <w:lang w:val="en-AU"/>
        </w:rPr>
        <w:t xml:space="preserve">. Projected costs and benefits by jurisdiction </w:t>
      </w:r>
      <w:bookmarkEnd w:id="84"/>
      <w:r w:rsidRPr="00A37634">
        <w:rPr>
          <w:rFonts w:ascii="Calibri" w:eastAsia="Cambria" w:hAnsi="Calibri" w:cs="Calibri"/>
          <w:b/>
          <w:bCs/>
          <w:sz w:val="20"/>
          <w:szCs w:val="16"/>
          <w:lang w:val="en-AU"/>
        </w:rPr>
        <w:t>(low activation</w:t>
      </w:r>
      <w:bookmarkEnd w:id="85"/>
      <w:r w:rsidRPr="00A37634">
        <w:rPr>
          <w:rFonts w:ascii="Calibri" w:eastAsia="Cambria" w:hAnsi="Calibri" w:cs="Calibri"/>
          <w:b/>
          <w:bCs/>
          <w:sz w:val="20"/>
          <w:szCs w:val="16"/>
          <w:lang w:val="en-AU"/>
        </w:rPr>
        <w:t>)</w:t>
      </w:r>
      <w:bookmarkEnd w:id="86"/>
      <w:bookmarkEnd w:id="94"/>
    </w:p>
    <w:tbl>
      <w:tblPr>
        <w:tblW w:w="8651" w:type="dxa"/>
        <w:jc w:val="center"/>
        <w:tblLayout w:type="fixed"/>
        <w:tblCellMar>
          <w:left w:w="0" w:type="dxa"/>
          <w:right w:w="0" w:type="dxa"/>
        </w:tblCellMar>
        <w:tblLook w:val="0000" w:firstRow="0" w:lastRow="0" w:firstColumn="0" w:lastColumn="0" w:noHBand="0" w:noVBand="0"/>
      </w:tblPr>
      <w:tblGrid>
        <w:gridCol w:w="1002"/>
        <w:gridCol w:w="1373"/>
        <w:gridCol w:w="1089"/>
        <w:gridCol w:w="1089"/>
        <w:gridCol w:w="1089"/>
        <w:gridCol w:w="874"/>
        <w:gridCol w:w="709"/>
        <w:gridCol w:w="786"/>
        <w:gridCol w:w="640"/>
      </w:tblGrid>
      <w:tr w:rsidR="00A37634" w:rsidRPr="00933B0C" w14:paraId="1A7485CE" w14:textId="77777777" w:rsidTr="00933B0C">
        <w:trPr>
          <w:cantSplit/>
          <w:trHeight w:val="533"/>
          <w:tblHeader/>
          <w:jc w:val="center"/>
        </w:trPr>
        <w:tc>
          <w:tcPr>
            <w:tcW w:w="1002" w:type="dxa"/>
            <w:vMerge w:val="restart"/>
            <w:tcBorders>
              <w:top w:val="single" w:sz="4" w:space="0" w:color="auto"/>
              <w:left w:val="single" w:sz="4" w:space="0" w:color="auto"/>
              <w:bottom w:val="single" w:sz="4" w:space="0" w:color="auto"/>
            </w:tcBorders>
            <w:noWrap/>
          </w:tcPr>
          <w:p w14:paraId="50AE8331"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373" w:type="dxa"/>
            <w:vMerge w:val="restart"/>
            <w:tcBorders>
              <w:top w:val="single" w:sz="4" w:space="0" w:color="auto"/>
              <w:bottom w:val="single" w:sz="4" w:space="0" w:color="auto"/>
            </w:tcBorders>
            <w:noWrap/>
          </w:tcPr>
          <w:p w14:paraId="51EBD1A1" w14:textId="52C30E4D"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Times New Roman" w:hAnsi="Calibri" w:cs="Calibri"/>
                <w:bCs/>
                <w:sz w:val="18"/>
                <w:szCs w:val="18"/>
                <w:lang w:val="en-AU"/>
              </w:rPr>
              <w:t>Routine DLC Reduction available SMD 203</w:t>
            </w:r>
            <w:r w:rsidR="00BC35DA">
              <w:rPr>
                <w:rFonts w:ascii="Calibri" w:eastAsia="Times New Roman" w:hAnsi="Calibri" w:cs="Calibri"/>
                <w:bCs/>
                <w:sz w:val="18"/>
                <w:szCs w:val="18"/>
                <w:lang w:val="en-AU"/>
              </w:rPr>
              <w:t>6</w:t>
            </w:r>
            <w:r w:rsidRPr="00933B0C">
              <w:rPr>
                <w:rFonts w:ascii="Calibri" w:eastAsia="Times New Roman" w:hAnsi="Calibri" w:cs="Calibri"/>
                <w:bCs/>
                <w:sz w:val="18"/>
                <w:szCs w:val="18"/>
                <w:lang w:val="en-AU"/>
              </w:rPr>
              <w:t>, MWe (a)</w:t>
            </w:r>
          </w:p>
        </w:tc>
        <w:tc>
          <w:tcPr>
            <w:tcW w:w="1089" w:type="dxa"/>
            <w:vMerge w:val="restart"/>
            <w:tcBorders>
              <w:top w:val="single" w:sz="4" w:space="0" w:color="auto"/>
              <w:bottom w:val="single" w:sz="4" w:space="0" w:color="auto"/>
            </w:tcBorders>
            <w:noWrap/>
          </w:tcPr>
          <w:p w14:paraId="5ED5FDBB"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Times New Roman" w:hAnsi="Calibri" w:cs="Calibri"/>
                <w:bCs/>
                <w:sz w:val="18"/>
                <w:szCs w:val="18"/>
                <w:lang w:val="en-AU"/>
              </w:rPr>
              <w:t>Costs</w:t>
            </w:r>
            <w:r w:rsidRPr="00933B0C">
              <w:rPr>
                <w:rFonts w:ascii="Calibri" w:eastAsia="Times New Roman" w:hAnsi="Calibri" w:cs="Calibri"/>
                <w:bCs/>
                <w:sz w:val="18"/>
                <w:szCs w:val="18"/>
                <w:lang w:val="en-AU"/>
              </w:rPr>
              <w:br/>
              <w:t>$M NPV</w:t>
            </w:r>
            <w:r w:rsidRPr="00933B0C">
              <w:rPr>
                <w:rFonts w:ascii="Calibri" w:eastAsia="Times New Roman" w:hAnsi="Calibri" w:cs="Calibri"/>
                <w:bCs/>
                <w:sz w:val="18"/>
                <w:szCs w:val="18"/>
                <w:lang w:val="en-AU"/>
              </w:rPr>
              <w:br/>
              <w:t>(b)</w:t>
            </w:r>
          </w:p>
          <w:p w14:paraId="5273CC85"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3F79DF23"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Times New Roman" w:hAnsi="Calibri" w:cs="Calibri"/>
                <w:bCs/>
                <w:sz w:val="18"/>
                <w:szCs w:val="18"/>
                <w:lang w:val="en-AU"/>
              </w:rPr>
              <w:t>Benefits</w:t>
            </w:r>
            <w:r w:rsidRPr="00933B0C">
              <w:rPr>
                <w:rFonts w:ascii="Calibri" w:eastAsia="Times New Roman" w:hAnsi="Calibri" w:cs="Calibri"/>
                <w:bCs/>
                <w:sz w:val="18"/>
                <w:szCs w:val="18"/>
                <w:lang w:val="en-AU"/>
              </w:rPr>
              <w:br/>
              <w:t>$M NPV</w:t>
            </w:r>
            <w:r w:rsidRPr="00933B0C">
              <w:rPr>
                <w:rFonts w:ascii="Calibri" w:eastAsia="Times New Roman" w:hAnsi="Calibri" w:cs="Calibri"/>
                <w:bCs/>
                <w:sz w:val="18"/>
                <w:szCs w:val="18"/>
                <w:lang w:val="en-AU"/>
              </w:rPr>
              <w:br/>
              <w:t>(b)</w:t>
            </w:r>
          </w:p>
          <w:p w14:paraId="41720CDE"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4F64819B"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Times New Roman" w:hAnsi="Calibri" w:cs="Calibri"/>
                <w:bCs/>
                <w:sz w:val="18"/>
                <w:szCs w:val="18"/>
                <w:lang w:val="en-AU"/>
              </w:rPr>
              <w:t>Net</w:t>
            </w:r>
            <w:r w:rsidRPr="00933B0C">
              <w:rPr>
                <w:rFonts w:ascii="Calibri" w:eastAsia="Times New Roman" w:hAnsi="Calibri" w:cs="Calibri"/>
                <w:bCs/>
                <w:sz w:val="18"/>
                <w:szCs w:val="18"/>
                <w:lang w:val="en-AU"/>
              </w:rPr>
              <w:br/>
              <w:t>Benefits</w:t>
            </w:r>
            <w:r w:rsidRPr="00933B0C">
              <w:rPr>
                <w:rFonts w:ascii="Calibri" w:eastAsia="Times New Roman" w:hAnsi="Calibri" w:cs="Calibri"/>
                <w:bCs/>
                <w:sz w:val="18"/>
                <w:szCs w:val="18"/>
                <w:lang w:val="en-AU"/>
              </w:rPr>
              <w:br/>
              <w:t>$M NPV</w:t>
            </w:r>
            <w:r w:rsidRPr="00933B0C">
              <w:rPr>
                <w:rFonts w:ascii="Calibri" w:eastAsia="Times New Roman" w:hAnsi="Calibri" w:cs="Calibri"/>
                <w:bCs/>
                <w:sz w:val="18"/>
                <w:szCs w:val="18"/>
                <w:lang w:val="en-AU"/>
              </w:rPr>
              <w:br/>
              <w:t>(b)</w:t>
            </w:r>
          </w:p>
        </w:tc>
        <w:tc>
          <w:tcPr>
            <w:tcW w:w="874" w:type="dxa"/>
            <w:vMerge w:val="restart"/>
            <w:tcBorders>
              <w:top w:val="single" w:sz="4" w:space="0" w:color="auto"/>
              <w:bottom w:val="single" w:sz="4" w:space="0" w:color="auto"/>
            </w:tcBorders>
          </w:tcPr>
          <w:p w14:paraId="5DCCF2CB" w14:textId="77777777" w:rsidR="00A37634" w:rsidRPr="00933B0C" w:rsidRDefault="00A37634" w:rsidP="00A37634">
            <w:pPr>
              <w:spacing w:before="60" w:after="60" w:line="240" w:lineRule="auto"/>
              <w:jc w:val="center"/>
              <w:rPr>
                <w:rFonts w:ascii="Calibri" w:eastAsia="Times New Roman" w:hAnsi="Calibri" w:cs="Calibri"/>
                <w:bCs/>
                <w:sz w:val="18"/>
                <w:szCs w:val="18"/>
                <w:lang w:val="en-AU"/>
              </w:rPr>
            </w:pPr>
            <w:r w:rsidRPr="00933B0C">
              <w:rPr>
                <w:rFonts w:ascii="Calibri" w:eastAsia="Times New Roman" w:hAnsi="Calibri" w:cs="Calibri"/>
                <w:bCs/>
                <w:sz w:val="18"/>
                <w:szCs w:val="18"/>
                <w:lang w:val="en-AU"/>
              </w:rPr>
              <w:t xml:space="preserve">% net </w:t>
            </w:r>
            <w:r w:rsidRPr="00933B0C">
              <w:rPr>
                <w:rFonts w:ascii="Calibri" w:eastAsia="Times New Roman" w:hAnsi="Calibri" w:cs="Calibri"/>
                <w:bCs/>
                <w:sz w:val="18"/>
                <w:szCs w:val="18"/>
                <w:lang w:val="en-AU"/>
              </w:rPr>
              <w:br/>
              <w:t>national</w:t>
            </w:r>
            <w:r w:rsidRPr="00933B0C">
              <w:rPr>
                <w:rFonts w:ascii="Calibri" w:eastAsia="Times New Roman" w:hAnsi="Calibri" w:cs="Calibri"/>
                <w:bCs/>
                <w:sz w:val="18"/>
                <w:szCs w:val="18"/>
                <w:lang w:val="en-AU"/>
              </w:rPr>
              <w:br/>
              <w:t>benefits</w:t>
            </w:r>
          </w:p>
        </w:tc>
        <w:tc>
          <w:tcPr>
            <w:tcW w:w="709" w:type="dxa"/>
            <w:vMerge w:val="restart"/>
            <w:tcBorders>
              <w:top w:val="single" w:sz="4" w:space="0" w:color="auto"/>
              <w:bottom w:val="single" w:sz="4" w:space="0" w:color="auto"/>
              <w:right w:val="single" w:sz="4" w:space="0" w:color="auto"/>
            </w:tcBorders>
            <w:noWrap/>
          </w:tcPr>
          <w:p w14:paraId="1A8B4DA2"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Times New Roman" w:hAnsi="Calibri" w:cs="Calibri"/>
                <w:bCs/>
                <w:sz w:val="18"/>
                <w:szCs w:val="18"/>
                <w:lang w:val="en-AU"/>
              </w:rPr>
              <w:t>B/C ratio</w:t>
            </w:r>
          </w:p>
        </w:tc>
        <w:tc>
          <w:tcPr>
            <w:tcW w:w="1426" w:type="dxa"/>
            <w:gridSpan w:val="2"/>
            <w:tcBorders>
              <w:top w:val="single" w:sz="4" w:space="0" w:color="auto"/>
              <w:left w:val="single" w:sz="4" w:space="0" w:color="auto"/>
              <w:bottom w:val="single" w:sz="4" w:space="0" w:color="auto"/>
              <w:right w:val="single" w:sz="4" w:space="0" w:color="auto"/>
            </w:tcBorders>
          </w:tcPr>
          <w:p w14:paraId="6D2E0B4D" w14:textId="77777777" w:rsidR="00A37634" w:rsidRPr="00933B0C" w:rsidRDefault="00A37634" w:rsidP="00A37634">
            <w:pPr>
              <w:spacing w:before="60" w:after="60" w:line="240" w:lineRule="auto"/>
              <w:jc w:val="center"/>
              <w:rPr>
                <w:rFonts w:ascii="Calibri" w:eastAsia="Times New Roman" w:hAnsi="Calibri" w:cs="Calibri"/>
                <w:bCs/>
                <w:sz w:val="18"/>
                <w:szCs w:val="18"/>
                <w:lang w:val="en-AU"/>
              </w:rPr>
            </w:pPr>
            <w:r w:rsidRPr="00933B0C">
              <w:rPr>
                <w:rFonts w:ascii="Calibri" w:eastAsia="Times New Roman" w:hAnsi="Calibri" w:cs="Calibri"/>
                <w:bCs/>
                <w:sz w:val="18"/>
                <w:szCs w:val="18"/>
                <w:lang w:val="en-AU"/>
              </w:rPr>
              <w:t>Without whole-sale price benefit</w:t>
            </w:r>
          </w:p>
        </w:tc>
      </w:tr>
      <w:tr w:rsidR="00A37634" w:rsidRPr="00933B0C" w14:paraId="007EB5B8" w14:textId="77777777" w:rsidTr="00933B0C">
        <w:trPr>
          <w:cantSplit/>
          <w:trHeight w:val="532"/>
          <w:tblHeader/>
          <w:jc w:val="center"/>
        </w:trPr>
        <w:tc>
          <w:tcPr>
            <w:tcW w:w="1002" w:type="dxa"/>
            <w:vMerge/>
            <w:tcBorders>
              <w:left w:val="single" w:sz="4" w:space="0" w:color="auto"/>
              <w:bottom w:val="single" w:sz="4" w:space="0" w:color="auto"/>
            </w:tcBorders>
            <w:noWrap/>
          </w:tcPr>
          <w:p w14:paraId="033DFAFE"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373" w:type="dxa"/>
            <w:vMerge/>
            <w:tcBorders>
              <w:bottom w:val="single" w:sz="4" w:space="0" w:color="auto"/>
            </w:tcBorders>
            <w:noWrap/>
          </w:tcPr>
          <w:p w14:paraId="7BD29CDD" w14:textId="77777777" w:rsidR="00A37634" w:rsidRPr="00933B0C" w:rsidRDefault="00A37634" w:rsidP="00A37634">
            <w:pPr>
              <w:spacing w:before="60" w:after="60" w:line="240" w:lineRule="auto"/>
              <w:jc w:val="center"/>
              <w:rPr>
                <w:rFonts w:ascii="Calibri" w:eastAsia="Times New Roman" w:hAnsi="Calibri" w:cs="Calibri"/>
                <w:bCs/>
                <w:sz w:val="18"/>
                <w:szCs w:val="18"/>
                <w:lang w:val="en-AU"/>
              </w:rPr>
            </w:pPr>
          </w:p>
        </w:tc>
        <w:tc>
          <w:tcPr>
            <w:tcW w:w="1089" w:type="dxa"/>
            <w:vMerge/>
            <w:tcBorders>
              <w:bottom w:val="single" w:sz="4" w:space="0" w:color="auto"/>
            </w:tcBorders>
            <w:noWrap/>
          </w:tcPr>
          <w:p w14:paraId="59D8CC23" w14:textId="77777777" w:rsidR="00A37634" w:rsidRPr="00933B0C" w:rsidRDefault="00A37634" w:rsidP="00A37634">
            <w:pPr>
              <w:spacing w:before="60" w:after="60" w:line="240" w:lineRule="auto"/>
              <w:jc w:val="center"/>
              <w:rPr>
                <w:rFonts w:ascii="Calibri" w:eastAsia="Times New Roman" w:hAnsi="Calibri" w:cs="Calibri"/>
                <w:bCs/>
                <w:sz w:val="18"/>
                <w:szCs w:val="18"/>
                <w:lang w:val="en-AU"/>
              </w:rPr>
            </w:pPr>
          </w:p>
        </w:tc>
        <w:tc>
          <w:tcPr>
            <w:tcW w:w="1089" w:type="dxa"/>
            <w:vMerge/>
            <w:tcBorders>
              <w:bottom w:val="single" w:sz="4" w:space="0" w:color="auto"/>
            </w:tcBorders>
            <w:noWrap/>
          </w:tcPr>
          <w:p w14:paraId="6D1C433D" w14:textId="77777777" w:rsidR="00A37634" w:rsidRPr="00933B0C" w:rsidRDefault="00A37634" w:rsidP="00A37634">
            <w:pPr>
              <w:spacing w:before="60" w:after="60" w:line="240" w:lineRule="auto"/>
              <w:jc w:val="center"/>
              <w:rPr>
                <w:rFonts w:ascii="Calibri" w:eastAsia="Times New Roman" w:hAnsi="Calibri" w:cs="Calibri"/>
                <w:bCs/>
                <w:sz w:val="18"/>
                <w:szCs w:val="18"/>
                <w:lang w:val="en-AU"/>
              </w:rPr>
            </w:pPr>
          </w:p>
        </w:tc>
        <w:tc>
          <w:tcPr>
            <w:tcW w:w="1089" w:type="dxa"/>
            <w:vMerge/>
            <w:tcBorders>
              <w:bottom w:val="single" w:sz="4" w:space="0" w:color="auto"/>
            </w:tcBorders>
            <w:noWrap/>
          </w:tcPr>
          <w:p w14:paraId="704C63E8" w14:textId="77777777" w:rsidR="00A37634" w:rsidRPr="00933B0C" w:rsidRDefault="00A37634" w:rsidP="00A37634">
            <w:pPr>
              <w:spacing w:before="60" w:after="60" w:line="240" w:lineRule="auto"/>
              <w:jc w:val="center"/>
              <w:rPr>
                <w:rFonts w:ascii="Calibri" w:eastAsia="Times New Roman" w:hAnsi="Calibri" w:cs="Calibri"/>
                <w:bCs/>
                <w:sz w:val="18"/>
                <w:szCs w:val="18"/>
                <w:lang w:val="en-AU"/>
              </w:rPr>
            </w:pPr>
          </w:p>
        </w:tc>
        <w:tc>
          <w:tcPr>
            <w:tcW w:w="874" w:type="dxa"/>
            <w:vMerge/>
            <w:tcBorders>
              <w:bottom w:val="single" w:sz="4" w:space="0" w:color="auto"/>
            </w:tcBorders>
          </w:tcPr>
          <w:p w14:paraId="3DA1B916" w14:textId="77777777" w:rsidR="00A37634" w:rsidRPr="00933B0C" w:rsidRDefault="00A37634" w:rsidP="00A37634">
            <w:pPr>
              <w:spacing w:before="60" w:after="60" w:line="240" w:lineRule="auto"/>
              <w:jc w:val="center"/>
              <w:rPr>
                <w:rFonts w:ascii="Calibri" w:eastAsia="Times New Roman" w:hAnsi="Calibri" w:cs="Calibri"/>
                <w:bCs/>
                <w:sz w:val="18"/>
                <w:szCs w:val="18"/>
                <w:lang w:val="en-AU"/>
              </w:rPr>
            </w:pPr>
          </w:p>
        </w:tc>
        <w:tc>
          <w:tcPr>
            <w:tcW w:w="709" w:type="dxa"/>
            <w:vMerge/>
            <w:tcBorders>
              <w:bottom w:val="single" w:sz="4" w:space="0" w:color="auto"/>
              <w:right w:val="single" w:sz="4" w:space="0" w:color="auto"/>
            </w:tcBorders>
            <w:noWrap/>
          </w:tcPr>
          <w:p w14:paraId="004659F0" w14:textId="77777777" w:rsidR="00A37634" w:rsidRPr="00933B0C" w:rsidRDefault="00A37634" w:rsidP="00A37634">
            <w:pPr>
              <w:spacing w:before="60" w:after="60" w:line="240" w:lineRule="auto"/>
              <w:jc w:val="center"/>
              <w:rPr>
                <w:rFonts w:ascii="Calibri" w:eastAsia="Times New Roman" w:hAnsi="Calibri" w:cs="Calibri"/>
                <w:bCs/>
                <w:sz w:val="18"/>
                <w:szCs w:val="18"/>
                <w:lang w:val="en-AU"/>
              </w:rPr>
            </w:pPr>
          </w:p>
        </w:tc>
        <w:tc>
          <w:tcPr>
            <w:tcW w:w="786" w:type="dxa"/>
            <w:tcBorders>
              <w:top w:val="single" w:sz="4" w:space="0" w:color="auto"/>
              <w:left w:val="single" w:sz="4" w:space="0" w:color="auto"/>
              <w:bottom w:val="single" w:sz="4" w:space="0" w:color="auto"/>
            </w:tcBorders>
          </w:tcPr>
          <w:p w14:paraId="25F4F09B" w14:textId="0171B577" w:rsidR="00A37634" w:rsidRPr="00933B0C" w:rsidRDefault="00933B0C" w:rsidP="00A37634">
            <w:pPr>
              <w:spacing w:before="60" w:after="60" w:line="240" w:lineRule="auto"/>
              <w:jc w:val="center"/>
              <w:rPr>
                <w:rFonts w:ascii="Calibri" w:eastAsia="Times New Roman" w:hAnsi="Calibri" w:cs="Calibri"/>
                <w:bCs/>
                <w:sz w:val="18"/>
                <w:szCs w:val="18"/>
                <w:lang w:val="en-AU"/>
              </w:rPr>
            </w:pPr>
            <w:r w:rsidRPr="00933B0C">
              <w:rPr>
                <w:rFonts w:ascii="Calibri" w:eastAsia="Times New Roman" w:hAnsi="Calibri" w:cs="Calibri"/>
                <w:bCs/>
                <w:sz w:val="18"/>
                <w:szCs w:val="18"/>
                <w:lang w:val="en-AU"/>
              </w:rPr>
              <w:t xml:space="preserve">$M </w:t>
            </w:r>
            <w:r w:rsidR="00A37634" w:rsidRPr="00933B0C">
              <w:rPr>
                <w:rFonts w:ascii="Calibri" w:eastAsia="Times New Roman" w:hAnsi="Calibri" w:cs="Calibri"/>
                <w:bCs/>
                <w:sz w:val="18"/>
                <w:szCs w:val="18"/>
                <w:lang w:val="en-AU"/>
              </w:rPr>
              <w:t>Net</w:t>
            </w:r>
            <w:r w:rsidR="00A37634" w:rsidRPr="00933B0C">
              <w:rPr>
                <w:rFonts w:ascii="Calibri" w:eastAsia="Times New Roman" w:hAnsi="Calibri" w:cs="Calibri"/>
                <w:bCs/>
                <w:sz w:val="18"/>
                <w:szCs w:val="18"/>
                <w:lang w:val="en-AU"/>
              </w:rPr>
              <w:br/>
              <w:t>benefit</w:t>
            </w:r>
          </w:p>
        </w:tc>
        <w:tc>
          <w:tcPr>
            <w:tcW w:w="640" w:type="dxa"/>
            <w:tcBorders>
              <w:top w:val="single" w:sz="4" w:space="0" w:color="auto"/>
              <w:bottom w:val="single" w:sz="4" w:space="0" w:color="auto"/>
              <w:right w:val="single" w:sz="4" w:space="0" w:color="auto"/>
            </w:tcBorders>
          </w:tcPr>
          <w:p w14:paraId="40BF286D" w14:textId="77777777" w:rsidR="00A37634" w:rsidRPr="00933B0C" w:rsidRDefault="00A37634" w:rsidP="00A37634">
            <w:pPr>
              <w:spacing w:before="60" w:after="60" w:line="240" w:lineRule="auto"/>
              <w:jc w:val="center"/>
              <w:rPr>
                <w:rFonts w:ascii="Calibri" w:eastAsia="Times New Roman" w:hAnsi="Calibri" w:cs="Calibri"/>
                <w:bCs/>
                <w:sz w:val="18"/>
                <w:szCs w:val="18"/>
                <w:lang w:val="en-AU"/>
              </w:rPr>
            </w:pPr>
            <w:r w:rsidRPr="00933B0C">
              <w:rPr>
                <w:rFonts w:ascii="Calibri" w:eastAsia="Times New Roman" w:hAnsi="Calibri" w:cs="Calibri"/>
                <w:bCs/>
                <w:sz w:val="18"/>
                <w:szCs w:val="18"/>
                <w:lang w:val="en-AU"/>
              </w:rPr>
              <w:t>B/C ratio</w:t>
            </w:r>
          </w:p>
        </w:tc>
      </w:tr>
      <w:tr w:rsidR="00933B0C" w:rsidRPr="00933B0C" w14:paraId="108A6B78" w14:textId="77777777" w:rsidTr="00933B0C">
        <w:trPr>
          <w:trHeight w:val="255"/>
          <w:jc w:val="center"/>
        </w:trPr>
        <w:tc>
          <w:tcPr>
            <w:tcW w:w="1002" w:type="dxa"/>
            <w:tcBorders>
              <w:top w:val="single" w:sz="4" w:space="0" w:color="auto"/>
              <w:left w:val="single" w:sz="4" w:space="0" w:color="auto"/>
              <w:bottom w:val="nil"/>
              <w:right w:val="nil"/>
            </w:tcBorders>
            <w:noWrap/>
            <w:vAlign w:val="bottom"/>
          </w:tcPr>
          <w:p w14:paraId="180DF856"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NSW</w:t>
            </w:r>
          </w:p>
        </w:tc>
        <w:tc>
          <w:tcPr>
            <w:tcW w:w="1373" w:type="dxa"/>
            <w:tcBorders>
              <w:top w:val="single" w:sz="4" w:space="0" w:color="auto"/>
              <w:left w:val="nil"/>
              <w:bottom w:val="nil"/>
              <w:right w:val="nil"/>
            </w:tcBorders>
            <w:shd w:val="clear" w:color="auto" w:fill="auto"/>
            <w:noWrap/>
            <w:vAlign w:val="bottom"/>
          </w:tcPr>
          <w:p w14:paraId="6AFCC053" w14:textId="1005A243"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771</w:t>
            </w:r>
          </w:p>
        </w:tc>
        <w:tc>
          <w:tcPr>
            <w:tcW w:w="1089" w:type="dxa"/>
            <w:tcBorders>
              <w:top w:val="single" w:sz="4" w:space="0" w:color="auto"/>
              <w:left w:val="nil"/>
              <w:bottom w:val="nil"/>
              <w:right w:val="nil"/>
            </w:tcBorders>
            <w:shd w:val="clear" w:color="auto" w:fill="auto"/>
            <w:noWrap/>
            <w:vAlign w:val="bottom"/>
          </w:tcPr>
          <w:p w14:paraId="7D6B279F" w14:textId="6EC7CFFB"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$264</w:t>
            </w:r>
          </w:p>
        </w:tc>
        <w:tc>
          <w:tcPr>
            <w:tcW w:w="1089" w:type="dxa"/>
            <w:tcBorders>
              <w:top w:val="single" w:sz="4" w:space="0" w:color="auto"/>
              <w:left w:val="nil"/>
              <w:bottom w:val="nil"/>
              <w:right w:val="nil"/>
            </w:tcBorders>
            <w:shd w:val="clear" w:color="auto" w:fill="auto"/>
            <w:noWrap/>
            <w:vAlign w:val="bottom"/>
          </w:tcPr>
          <w:p w14:paraId="12DC03EA" w14:textId="6EA3E1BE"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$403</w:t>
            </w:r>
          </w:p>
        </w:tc>
        <w:tc>
          <w:tcPr>
            <w:tcW w:w="1089" w:type="dxa"/>
            <w:tcBorders>
              <w:top w:val="single" w:sz="4" w:space="0" w:color="auto"/>
              <w:left w:val="nil"/>
              <w:bottom w:val="nil"/>
              <w:right w:val="nil"/>
            </w:tcBorders>
            <w:shd w:val="clear" w:color="auto" w:fill="auto"/>
            <w:noWrap/>
            <w:vAlign w:val="bottom"/>
          </w:tcPr>
          <w:p w14:paraId="1D8ED2F2" w14:textId="59BA70C7"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$139</w:t>
            </w:r>
          </w:p>
        </w:tc>
        <w:tc>
          <w:tcPr>
            <w:tcW w:w="874" w:type="dxa"/>
            <w:tcBorders>
              <w:top w:val="single" w:sz="4" w:space="0" w:color="auto"/>
              <w:left w:val="nil"/>
              <w:bottom w:val="nil"/>
              <w:right w:val="nil"/>
            </w:tcBorders>
            <w:shd w:val="clear" w:color="auto" w:fill="auto"/>
            <w:vAlign w:val="bottom"/>
          </w:tcPr>
          <w:p w14:paraId="0B3F4477" w14:textId="7B0089EC"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9.3%</w:t>
            </w:r>
          </w:p>
        </w:tc>
        <w:tc>
          <w:tcPr>
            <w:tcW w:w="709" w:type="dxa"/>
            <w:tcBorders>
              <w:top w:val="single" w:sz="4" w:space="0" w:color="auto"/>
              <w:left w:val="nil"/>
              <w:bottom w:val="nil"/>
              <w:right w:val="single" w:sz="4" w:space="0" w:color="auto"/>
            </w:tcBorders>
            <w:shd w:val="clear" w:color="auto" w:fill="auto"/>
            <w:noWrap/>
            <w:vAlign w:val="bottom"/>
          </w:tcPr>
          <w:p w14:paraId="153245B3" w14:textId="556F6D8E"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1.5</w:t>
            </w:r>
          </w:p>
        </w:tc>
        <w:tc>
          <w:tcPr>
            <w:tcW w:w="786" w:type="dxa"/>
            <w:tcBorders>
              <w:top w:val="single" w:sz="4" w:space="0" w:color="auto"/>
              <w:left w:val="single" w:sz="4" w:space="0" w:color="auto"/>
              <w:bottom w:val="nil"/>
            </w:tcBorders>
            <w:shd w:val="clear" w:color="auto" w:fill="auto"/>
            <w:vAlign w:val="bottom"/>
          </w:tcPr>
          <w:p w14:paraId="44A8ADE8" w14:textId="77777777"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000000"/>
                <w:sz w:val="18"/>
                <w:szCs w:val="18"/>
                <w:lang w:val="en-AU"/>
              </w:rPr>
              <w:t>$67</w:t>
            </w:r>
          </w:p>
        </w:tc>
        <w:tc>
          <w:tcPr>
            <w:tcW w:w="640" w:type="dxa"/>
            <w:tcBorders>
              <w:top w:val="single" w:sz="4" w:space="0" w:color="auto"/>
              <w:bottom w:val="nil"/>
              <w:right w:val="single" w:sz="4" w:space="0" w:color="auto"/>
            </w:tcBorders>
            <w:shd w:val="clear" w:color="auto" w:fill="auto"/>
            <w:vAlign w:val="bottom"/>
          </w:tcPr>
          <w:p w14:paraId="16247ADF" w14:textId="380239B6"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1.1</w:t>
            </w:r>
          </w:p>
        </w:tc>
      </w:tr>
      <w:tr w:rsidR="00933B0C" w:rsidRPr="00933B0C" w14:paraId="70F9C9B2" w14:textId="77777777" w:rsidTr="00933B0C">
        <w:trPr>
          <w:trHeight w:val="255"/>
          <w:jc w:val="center"/>
        </w:trPr>
        <w:tc>
          <w:tcPr>
            <w:tcW w:w="1002" w:type="dxa"/>
            <w:tcBorders>
              <w:top w:val="nil"/>
              <w:left w:val="single" w:sz="4" w:space="0" w:color="auto"/>
              <w:bottom w:val="nil"/>
              <w:right w:val="nil"/>
            </w:tcBorders>
            <w:noWrap/>
            <w:vAlign w:val="bottom"/>
          </w:tcPr>
          <w:p w14:paraId="2949A5C0"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Vic</w:t>
            </w:r>
          </w:p>
        </w:tc>
        <w:tc>
          <w:tcPr>
            <w:tcW w:w="1373" w:type="dxa"/>
            <w:tcBorders>
              <w:top w:val="nil"/>
              <w:left w:val="nil"/>
              <w:bottom w:val="nil"/>
              <w:right w:val="nil"/>
            </w:tcBorders>
            <w:shd w:val="clear" w:color="auto" w:fill="auto"/>
            <w:noWrap/>
            <w:vAlign w:val="bottom"/>
          </w:tcPr>
          <w:p w14:paraId="09687159" w14:textId="365B2B5C"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509</w:t>
            </w:r>
          </w:p>
        </w:tc>
        <w:tc>
          <w:tcPr>
            <w:tcW w:w="1089" w:type="dxa"/>
            <w:tcBorders>
              <w:top w:val="nil"/>
              <w:left w:val="nil"/>
              <w:bottom w:val="nil"/>
              <w:right w:val="nil"/>
            </w:tcBorders>
            <w:shd w:val="clear" w:color="auto" w:fill="auto"/>
            <w:noWrap/>
            <w:vAlign w:val="bottom"/>
          </w:tcPr>
          <w:p w14:paraId="06D11876" w14:textId="78723FB5"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$143</w:t>
            </w:r>
          </w:p>
        </w:tc>
        <w:tc>
          <w:tcPr>
            <w:tcW w:w="1089" w:type="dxa"/>
            <w:tcBorders>
              <w:top w:val="nil"/>
              <w:left w:val="nil"/>
              <w:bottom w:val="nil"/>
              <w:right w:val="nil"/>
            </w:tcBorders>
            <w:shd w:val="clear" w:color="auto" w:fill="auto"/>
            <w:noWrap/>
            <w:vAlign w:val="bottom"/>
          </w:tcPr>
          <w:p w14:paraId="1EA41207" w14:textId="58D75FDA"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$411</w:t>
            </w:r>
          </w:p>
        </w:tc>
        <w:tc>
          <w:tcPr>
            <w:tcW w:w="1089" w:type="dxa"/>
            <w:tcBorders>
              <w:top w:val="nil"/>
              <w:left w:val="nil"/>
              <w:bottom w:val="nil"/>
              <w:right w:val="nil"/>
            </w:tcBorders>
            <w:shd w:val="clear" w:color="auto" w:fill="auto"/>
            <w:noWrap/>
            <w:vAlign w:val="bottom"/>
          </w:tcPr>
          <w:p w14:paraId="17546200" w14:textId="5EE2BAD4"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$268</w:t>
            </w:r>
          </w:p>
        </w:tc>
        <w:tc>
          <w:tcPr>
            <w:tcW w:w="874" w:type="dxa"/>
            <w:tcBorders>
              <w:top w:val="nil"/>
              <w:left w:val="nil"/>
              <w:bottom w:val="nil"/>
              <w:right w:val="nil"/>
            </w:tcBorders>
            <w:shd w:val="clear" w:color="auto" w:fill="auto"/>
            <w:vAlign w:val="bottom"/>
          </w:tcPr>
          <w:p w14:paraId="1B404A1B" w14:textId="46494F68"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17.9%</w:t>
            </w:r>
          </w:p>
        </w:tc>
        <w:tc>
          <w:tcPr>
            <w:tcW w:w="709" w:type="dxa"/>
            <w:tcBorders>
              <w:top w:val="nil"/>
              <w:left w:val="nil"/>
              <w:bottom w:val="nil"/>
              <w:right w:val="single" w:sz="4" w:space="0" w:color="auto"/>
            </w:tcBorders>
            <w:shd w:val="clear" w:color="auto" w:fill="auto"/>
            <w:noWrap/>
            <w:vAlign w:val="bottom"/>
          </w:tcPr>
          <w:p w14:paraId="0C67B8D1" w14:textId="6E2B100B"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2.9</w:t>
            </w:r>
          </w:p>
        </w:tc>
        <w:tc>
          <w:tcPr>
            <w:tcW w:w="786" w:type="dxa"/>
            <w:tcBorders>
              <w:top w:val="nil"/>
              <w:left w:val="single" w:sz="4" w:space="0" w:color="auto"/>
              <w:bottom w:val="nil"/>
            </w:tcBorders>
            <w:shd w:val="clear" w:color="auto" w:fill="auto"/>
            <w:vAlign w:val="bottom"/>
          </w:tcPr>
          <w:p w14:paraId="0229D696" w14:textId="77777777"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000000"/>
                <w:sz w:val="18"/>
                <w:szCs w:val="18"/>
                <w:lang w:val="en-AU"/>
              </w:rPr>
              <w:t>$262</w:t>
            </w:r>
          </w:p>
        </w:tc>
        <w:tc>
          <w:tcPr>
            <w:tcW w:w="640" w:type="dxa"/>
            <w:tcBorders>
              <w:top w:val="nil"/>
              <w:bottom w:val="nil"/>
              <w:right w:val="single" w:sz="4" w:space="0" w:color="auto"/>
            </w:tcBorders>
            <w:shd w:val="clear" w:color="auto" w:fill="auto"/>
            <w:vAlign w:val="bottom"/>
          </w:tcPr>
          <w:p w14:paraId="1A19F5DC" w14:textId="109A5F0B"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1.3</w:t>
            </w:r>
          </w:p>
        </w:tc>
      </w:tr>
      <w:tr w:rsidR="00933B0C" w:rsidRPr="00933B0C" w14:paraId="4E6F5A34" w14:textId="77777777" w:rsidTr="00933B0C">
        <w:trPr>
          <w:trHeight w:val="255"/>
          <w:jc w:val="center"/>
        </w:trPr>
        <w:tc>
          <w:tcPr>
            <w:tcW w:w="1002" w:type="dxa"/>
            <w:tcBorders>
              <w:top w:val="nil"/>
              <w:left w:val="single" w:sz="4" w:space="0" w:color="auto"/>
              <w:bottom w:val="nil"/>
              <w:right w:val="nil"/>
            </w:tcBorders>
            <w:noWrap/>
            <w:vAlign w:val="bottom"/>
          </w:tcPr>
          <w:p w14:paraId="39BB9B2A"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Qld</w:t>
            </w:r>
          </w:p>
        </w:tc>
        <w:tc>
          <w:tcPr>
            <w:tcW w:w="1373" w:type="dxa"/>
            <w:tcBorders>
              <w:top w:val="nil"/>
              <w:left w:val="nil"/>
              <w:bottom w:val="nil"/>
              <w:right w:val="nil"/>
            </w:tcBorders>
            <w:shd w:val="clear" w:color="auto" w:fill="auto"/>
            <w:noWrap/>
            <w:vAlign w:val="bottom"/>
          </w:tcPr>
          <w:p w14:paraId="6D3C6A81" w14:textId="521868D6"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759</w:t>
            </w:r>
          </w:p>
        </w:tc>
        <w:tc>
          <w:tcPr>
            <w:tcW w:w="1089" w:type="dxa"/>
            <w:tcBorders>
              <w:top w:val="nil"/>
              <w:left w:val="nil"/>
              <w:bottom w:val="nil"/>
              <w:right w:val="nil"/>
            </w:tcBorders>
            <w:shd w:val="clear" w:color="auto" w:fill="auto"/>
            <w:noWrap/>
            <w:vAlign w:val="bottom"/>
          </w:tcPr>
          <w:p w14:paraId="41CEC54F" w14:textId="359BE012"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$245</w:t>
            </w:r>
          </w:p>
        </w:tc>
        <w:tc>
          <w:tcPr>
            <w:tcW w:w="1089" w:type="dxa"/>
            <w:tcBorders>
              <w:top w:val="nil"/>
              <w:left w:val="nil"/>
              <w:bottom w:val="nil"/>
              <w:right w:val="nil"/>
            </w:tcBorders>
            <w:shd w:val="clear" w:color="auto" w:fill="auto"/>
            <w:noWrap/>
            <w:vAlign w:val="bottom"/>
          </w:tcPr>
          <w:p w14:paraId="347437A6" w14:textId="0A43774D"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$865</w:t>
            </w:r>
          </w:p>
        </w:tc>
        <w:tc>
          <w:tcPr>
            <w:tcW w:w="1089" w:type="dxa"/>
            <w:tcBorders>
              <w:top w:val="nil"/>
              <w:left w:val="nil"/>
              <w:bottom w:val="nil"/>
              <w:right w:val="nil"/>
            </w:tcBorders>
            <w:shd w:val="clear" w:color="auto" w:fill="auto"/>
            <w:noWrap/>
            <w:vAlign w:val="bottom"/>
          </w:tcPr>
          <w:p w14:paraId="6987ADE0" w14:textId="3496B0E3"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$620</w:t>
            </w:r>
          </w:p>
        </w:tc>
        <w:tc>
          <w:tcPr>
            <w:tcW w:w="874" w:type="dxa"/>
            <w:tcBorders>
              <w:top w:val="nil"/>
              <w:left w:val="nil"/>
              <w:bottom w:val="nil"/>
              <w:right w:val="nil"/>
            </w:tcBorders>
            <w:shd w:val="clear" w:color="auto" w:fill="auto"/>
            <w:vAlign w:val="bottom"/>
          </w:tcPr>
          <w:p w14:paraId="15264AA9" w14:textId="49CC3E16"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41.5%</w:t>
            </w:r>
          </w:p>
        </w:tc>
        <w:tc>
          <w:tcPr>
            <w:tcW w:w="709" w:type="dxa"/>
            <w:tcBorders>
              <w:top w:val="nil"/>
              <w:left w:val="nil"/>
              <w:bottom w:val="nil"/>
              <w:right w:val="single" w:sz="4" w:space="0" w:color="auto"/>
            </w:tcBorders>
            <w:shd w:val="clear" w:color="auto" w:fill="auto"/>
            <w:noWrap/>
            <w:vAlign w:val="bottom"/>
          </w:tcPr>
          <w:p w14:paraId="790AF887" w14:textId="52E17998"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3.5</w:t>
            </w:r>
          </w:p>
        </w:tc>
        <w:tc>
          <w:tcPr>
            <w:tcW w:w="786" w:type="dxa"/>
            <w:tcBorders>
              <w:top w:val="nil"/>
              <w:left w:val="single" w:sz="4" w:space="0" w:color="auto"/>
              <w:bottom w:val="nil"/>
            </w:tcBorders>
            <w:shd w:val="clear" w:color="auto" w:fill="auto"/>
            <w:vAlign w:val="bottom"/>
          </w:tcPr>
          <w:p w14:paraId="34ED49A8" w14:textId="77777777"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000000"/>
                <w:sz w:val="18"/>
                <w:szCs w:val="18"/>
                <w:lang w:val="en-AU"/>
              </w:rPr>
              <w:t>$847</w:t>
            </w:r>
          </w:p>
        </w:tc>
        <w:tc>
          <w:tcPr>
            <w:tcW w:w="640" w:type="dxa"/>
            <w:tcBorders>
              <w:top w:val="nil"/>
              <w:bottom w:val="nil"/>
              <w:right w:val="single" w:sz="4" w:space="0" w:color="auto"/>
            </w:tcBorders>
            <w:shd w:val="clear" w:color="auto" w:fill="auto"/>
            <w:vAlign w:val="bottom"/>
          </w:tcPr>
          <w:p w14:paraId="0E2F7A31" w14:textId="74474F97"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3.1</w:t>
            </w:r>
          </w:p>
        </w:tc>
      </w:tr>
      <w:tr w:rsidR="00933B0C" w:rsidRPr="00933B0C" w14:paraId="14DE70DD" w14:textId="77777777" w:rsidTr="00933B0C">
        <w:trPr>
          <w:trHeight w:val="255"/>
          <w:jc w:val="center"/>
        </w:trPr>
        <w:tc>
          <w:tcPr>
            <w:tcW w:w="1002" w:type="dxa"/>
            <w:tcBorders>
              <w:top w:val="nil"/>
              <w:left w:val="single" w:sz="4" w:space="0" w:color="auto"/>
              <w:bottom w:val="nil"/>
              <w:right w:val="nil"/>
            </w:tcBorders>
            <w:noWrap/>
            <w:vAlign w:val="bottom"/>
          </w:tcPr>
          <w:p w14:paraId="20E463C5"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SA</w:t>
            </w:r>
          </w:p>
        </w:tc>
        <w:tc>
          <w:tcPr>
            <w:tcW w:w="1373" w:type="dxa"/>
            <w:tcBorders>
              <w:top w:val="nil"/>
              <w:left w:val="nil"/>
              <w:bottom w:val="nil"/>
              <w:right w:val="nil"/>
            </w:tcBorders>
            <w:shd w:val="clear" w:color="auto" w:fill="auto"/>
            <w:noWrap/>
            <w:vAlign w:val="bottom"/>
          </w:tcPr>
          <w:p w14:paraId="74D43F1A" w14:textId="10F5F29E"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205</w:t>
            </w:r>
          </w:p>
        </w:tc>
        <w:tc>
          <w:tcPr>
            <w:tcW w:w="1089" w:type="dxa"/>
            <w:tcBorders>
              <w:top w:val="nil"/>
              <w:left w:val="nil"/>
              <w:bottom w:val="nil"/>
              <w:right w:val="nil"/>
            </w:tcBorders>
            <w:shd w:val="clear" w:color="auto" w:fill="auto"/>
            <w:noWrap/>
            <w:vAlign w:val="bottom"/>
          </w:tcPr>
          <w:p w14:paraId="0D85ADAD" w14:textId="4FC66C6B"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$58</w:t>
            </w:r>
          </w:p>
        </w:tc>
        <w:tc>
          <w:tcPr>
            <w:tcW w:w="1089" w:type="dxa"/>
            <w:tcBorders>
              <w:top w:val="nil"/>
              <w:left w:val="nil"/>
              <w:bottom w:val="nil"/>
              <w:right w:val="nil"/>
            </w:tcBorders>
            <w:shd w:val="clear" w:color="auto" w:fill="auto"/>
            <w:noWrap/>
            <w:vAlign w:val="bottom"/>
          </w:tcPr>
          <w:p w14:paraId="5C64889B" w14:textId="735CD66A"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$198</w:t>
            </w:r>
          </w:p>
        </w:tc>
        <w:tc>
          <w:tcPr>
            <w:tcW w:w="1089" w:type="dxa"/>
            <w:tcBorders>
              <w:top w:val="nil"/>
              <w:left w:val="nil"/>
              <w:bottom w:val="nil"/>
              <w:right w:val="nil"/>
            </w:tcBorders>
            <w:shd w:val="clear" w:color="auto" w:fill="auto"/>
            <w:noWrap/>
            <w:vAlign w:val="bottom"/>
          </w:tcPr>
          <w:p w14:paraId="17D99C72" w14:textId="054DE0DE"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$139</w:t>
            </w:r>
          </w:p>
        </w:tc>
        <w:tc>
          <w:tcPr>
            <w:tcW w:w="874" w:type="dxa"/>
            <w:tcBorders>
              <w:top w:val="nil"/>
              <w:left w:val="nil"/>
              <w:bottom w:val="nil"/>
              <w:right w:val="nil"/>
            </w:tcBorders>
            <w:shd w:val="clear" w:color="auto" w:fill="auto"/>
            <w:vAlign w:val="bottom"/>
          </w:tcPr>
          <w:p w14:paraId="125377BD" w14:textId="14BDC4F3"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9.3%</w:t>
            </w:r>
          </w:p>
        </w:tc>
        <w:tc>
          <w:tcPr>
            <w:tcW w:w="709" w:type="dxa"/>
            <w:tcBorders>
              <w:top w:val="nil"/>
              <w:left w:val="nil"/>
              <w:bottom w:val="nil"/>
              <w:right w:val="single" w:sz="4" w:space="0" w:color="auto"/>
            </w:tcBorders>
            <w:shd w:val="clear" w:color="auto" w:fill="auto"/>
            <w:noWrap/>
            <w:vAlign w:val="bottom"/>
          </w:tcPr>
          <w:p w14:paraId="27255B96" w14:textId="64EE0BB0"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3.4</w:t>
            </w:r>
          </w:p>
        </w:tc>
        <w:tc>
          <w:tcPr>
            <w:tcW w:w="786" w:type="dxa"/>
            <w:tcBorders>
              <w:top w:val="nil"/>
              <w:left w:val="single" w:sz="4" w:space="0" w:color="auto"/>
              <w:bottom w:val="nil"/>
            </w:tcBorders>
            <w:shd w:val="clear" w:color="auto" w:fill="auto"/>
            <w:vAlign w:val="bottom"/>
          </w:tcPr>
          <w:p w14:paraId="5F375FBC" w14:textId="77777777"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000000"/>
                <w:sz w:val="18"/>
                <w:szCs w:val="18"/>
                <w:lang w:val="en-AU"/>
              </w:rPr>
              <w:t>$273</w:t>
            </w:r>
          </w:p>
        </w:tc>
        <w:tc>
          <w:tcPr>
            <w:tcW w:w="640" w:type="dxa"/>
            <w:tcBorders>
              <w:top w:val="nil"/>
              <w:bottom w:val="nil"/>
              <w:right w:val="single" w:sz="4" w:space="0" w:color="auto"/>
            </w:tcBorders>
            <w:shd w:val="clear" w:color="auto" w:fill="auto"/>
            <w:vAlign w:val="bottom"/>
          </w:tcPr>
          <w:p w14:paraId="6A608BC2" w14:textId="214DEB2F"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2.9</w:t>
            </w:r>
          </w:p>
        </w:tc>
      </w:tr>
      <w:tr w:rsidR="00933B0C" w:rsidRPr="00933B0C" w14:paraId="7920BD19" w14:textId="77777777" w:rsidTr="00933B0C">
        <w:trPr>
          <w:trHeight w:val="255"/>
          <w:jc w:val="center"/>
        </w:trPr>
        <w:tc>
          <w:tcPr>
            <w:tcW w:w="1002" w:type="dxa"/>
            <w:tcBorders>
              <w:top w:val="nil"/>
              <w:left w:val="single" w:sz="4" w:space="0" w:color="auto"/>
              <w:bottom w:val="nil"/>
              <w:right w:val="nil"/>
            </w:tcBorders>
            <w:noWrap/>
            <w:vAlign w:val="bottom"/>
          </w:tcPr>
          <w:p w14:paraId="349C8A87"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WA</w:t>
            </w:r>
          </w:p>
        </w:tc>
        <w:tc>
          <w:tcPr>
            <w:tcW w:w="1373" w:type="dxa"/>
            <w:tcBorders>
              <w:top w:val="nil"/>
              <w:left w:val="nil"/>
              <w:bottom w:val="nil"/>
              <w:right w:val="nil"/>
            </w:tcBorders>
            <w:shd w:val="clear" w:color="auto" w:fill="auto"/>
            <w:noWrap/>
            <w:vAlign w:val="bottom"/>
          </w:tcPr>
          <w:p w14:paraId="747B3861" w14:textId="01276AF4"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342</w:t>
            </w:r>
          </w:p>
        </w:tc>
        <w:tc>
          <w:tcPr>
            <w:tcW w:w="1089" w:type="dxa"/>
            <w:tcBorders>
              <w:top w:val="nil"/>
              <w:left w:val="nil"/>
              <w:bottom w:val="nil"/>
              <w:right w:val="nil"/>
            </w:tcBorders>
            <w:shd w:val="clear" w:color="auto" w:fill="auto"/>
            <w:noWrap/>
            <w:vAlign w:val="bottom"/>
          </w:tcPr>
          <w:p w14:paraId="362ECB30" w14:textId="64D88C56"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$95</w:t>
            </w:r>
          </w:p>
        </w:tc>
        <w:tc>
          <w:tcPr>
            <w:tcW w:w="1089" w:type="dxa"/>
            <w:tcBorders>
              <w:top w:val="nil"/>
              <w:left w:val="nil"/>
              <w:bottom w:val="nil"/>
              <w:right w:val="nil"/>
            </w:tcBorders>
            <w:shd w:val="clear" w:color="auto" w:fill="auto"/>
            <w:noWrap/>
            <w:vAlign w:val="bottom"/>
          </w:tcPr>
          <w:p w14:paraId="3C35C448" w14:textId="47A882FD"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$400</w:t>
            </w:r>
          </w:p>
        </w:tc>
        <w:tc>
          <w:tcPr>
            <w:tcW w:w="1089" w:type="dxa"/>
            <w:tcBorders>
              <w:top w:val="nil"/>
              <w:left w:val="nil"/>
              <w:bottom w:val="nil"/>
              <w:right w:val="nil"/>
            </w:tcBorders>
            <w:shd w:val="clear" w:color="auto" w:fill="auto"/>
            <w:noWrap/>
            <w:vAlign w:val="bottom"/>
          </w:tcPr>
          <w:p w14:paraId="75B7E1CF" w14:textId="304A2F9C"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$305</w:t>
            </w:r>
          </w:p>
        </w:tc>
        <w:tc>
          <w:tcPr>
            <w:tcW w:w="874" w:type="dxa"/>
            <w:tcBorders>
              <w:top w:val="nil"/>
              <w:left w:val="nil"/>
              <w:bottom w:val="nil"/>
              <w:right w:val="nil"/>
            </w:tcBorders>
            <w:shd w:val="clear" w:color="auto" w:fill="auto"/>
            <w:vAlign w:val="bottom"/>
          </w:tcPr>
          <w:p w14:paraId="2A5EB25E" w14:textId="17F9EAB6"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20.4%</w:t>
            </w:r>
          </w:p>
        </w:tc>
        <w:tc>
          <w:tcPr>
            <w:tcW w:w="709" w:type="dxa"/>
            <w:tcBorders>
              <w:top w:val="nil"/>
              <w:left w:val="nil"/>
              <w:bottom w:val="nil"/>
              <w:right w:val="single" w:sz="4" w:space="0" w:color="auto"/>
            </w:tcBorders>
            <w:shd w:val="clear" w:color="auto" w:fill="auto"/>
            <w:noWrap/>
            <w:vAlign w:val="bottom"/>
          </w:tcPr>
          <w:p w14:paraId="0DED96D8" w14:textId="569ED997"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4.2</w:t>
            </w:r>
          </w:p>
        </w:tc>
        <w:tc>
          <w:tcPr>
            <w:tcW w:w="786" w:type="dxa"/>
            <w:tcBorders>
              <w:top w:val="nil"/>
              <w:left w:val="single" w:sz="4" w:space="0" w:color="auto"/>
              <w:bottom w:val="nil"/>
            </w:tcBorders>
            <w:shd w:val="clear" w:color="auto" w:fill="auto"/>
            <w:vAlign w:val="bottom"/>
          </w:tcPr>
          <w:p w14:paraId="6EC09603" w14:textId="77777777"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000000"/>
                <w:sz w:val="18"/>
                <w:szCs w:val="18"/>
                <w:lang w:val="en-AU"/>
              </w:rPr>
              <w:t>$306</w:t>
            </w:r>
          </w:p>
        </w:tc>
        <w:tc>
          <w:tcPr>
            <w:tcW w:w="640" w:type="dxa"/>
            <w:tcBorders>
              <w:top w:val="nil"/>
              <w:bottom w:val="nil"/>
              <w:right w:val="single" w:sz="4" w:space="0" w:color="auto"/>
            </w:tcBorders>
            <w:shd w:val="clear" w:color="auto" w:fill="auto"/>
            <w:vAlign w:val="bottom"/>
          </w:tcPr>
          <w:p w14:paraId="6D47DE1C" w14:textId="63AC9F2F"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3.7</w:t>
            </w:r>
          </w:p>
        </w:tc>
      </w:tr>
      <w:tr w:rsidR="00933B0C" w:rsidRPr="00933B0C" w14:paraId="3332585B" w14:textId="77777777" w:rsidTr="00933B0C">
        <w:trPr>
          <w:trHeight w:val="255"/>
          <w:jc w:val="center"/>
        </w:trPr>
        <w:tc>
          <w:tcPr>
            <w:tcW w:w="1002" w:type="dxa"/>
            <w:tcBorders>
              <w:top w:val="nil"/>
              <w:left w:val="single" w:sz="4" w:space="0" w:color="auto"/>
              <w:bottom w:val="nil"/>
              <w:right w:val="nil"/>
            </w:tcBorders>
            <w:noWrap/>
            <w:vAlign w:val="bottom"/>
          </w:tcPr>
          <w:p w14:paraId="78035BB1"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Tas (WMD)</w:t>
            </w:r>
          </w:p>
        </w:tc>
        <w:tc>
          <w:tcPr>
            <w:tcW w:w="1373" w:type="dxa"/>
            <w:tcBorders>
              <w:top w:val="nil"/>
              <w:left w:val="nil"/>
              <w:bottom w:val="nil"/>
              <w:right w:val="nil"/>
            </w:tcBorders>
            <w:shd w:val="clear" w:color="auto" w:fill="auto"/>
            <w:noWrap/>
            <w:vAlign w:val="bottom"/>
          </w:tcPr>
          <w:p w14:paraId="33E19FFE" w14:textId="6E220E28"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57</w:t>
            </w:r>
          </w:p>
        </w:tc>
        <w:tc>
          <w:tcPr>
            <w:tcW w:w="1089" w:type="dxa"/>
            <w:tcBorders>
              <w:top w:val="nil"/>
              <w:left w:val="nil"/>
              <w:bottom w:val="nil"/>
              <w:right w:val="nil"/>
            </w:tcBorders>
            <w:shd w:val="clear" w:color="auto" w:fill="auto"/>
            <w:noWrap/>
            <w:vAlign w:val="bottom"/>
          </w:tcPr>
          <w:p w14:paraId="71C3B580" w14:textId="5083114E"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$22</w:t>
            </w:r>
          </w:p>
        </w:tc>
        <w:tc>
          <w:tcPr>
            <w:tcW w:w="1089" w:type="dxa"/>
            <w:tcBorders>
              <w:top w:val="nil"/>
              <w:left w:val="nil"/>
              <w:bottom w:val="nil"/>
              <w:right w:val="nil"/>
            </w:tcBorders>
            <w:shd w:val="clear" w:color="auto" w:fill="auto"/>
            <w:noWrap/>
            <w:vAlign w:val="bottom"/>
          </w:tcPr>
          <w:p w14:paraId="7C16F4B8" w14:textId="400BF53D"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$55</w:t>
            </w:r>
          </w:p>
        </w:tc>
        <w:tc>
          <w:tcPr>
            <w:tcW w:w="1089" w:type="dxa"/>
            <w:tcBorders>
              <w:top w:val="nil"/>
              <w:left w:val="nil"/>
              <w:bottom w:val="nil"/>
              <w:right w:val="nil"/>
            </w:tcBorders>
            <w:shd w:val="clear" w:color="auto" w:fill="auto"/>
            <w:noWrap/>
            <w:vAlign w:val="bottom"/>
          </w:tcPr>
          <w:p w14:paraId="17B7358D" w14:textId="1AFD3777" w:rsidR="00933B0C" w:rsidRPr="00933B0C" w:rsidRDefault="00933B0C" w:rsidP="00933B0C">
            <w:pPr>
              <w:tabs>
                <w:tab w:val="left" w:pos="3293"/>
              </w:tabs>
              <w:spacing w:before="60" w:after="60" w:line="240" w:lineRule="auto"/>
              <w:ind w:left="35"/>
              <w:jc w:val="right"/>
              <w:rPr>
                <w:rFonts w:ascii="Calibri" w:eastAsia="Arial Unicode MS" w:hAnsi="Calibri" w:cs="Calibri"/>
                <w:color w:val="000000"/>
                <w:sz w:val="18"/>
                <w:szCs w:val="18"/>
                <w:lang w:val="en-AU"/>
              </w:rPr>
            </w:pPr>
            <w:r w:rsidRPr="00933B0C">
              <w:rPr>
                <w:rFonts w:ascii="Calibri" w:hAnsi="Calibri" w:cs="Calibri"/>
                <w:color w:val="000000"/>
                <w:sz w:val="18"/>
                <w:szCs w:val="18"/>
              </w:rPr>
              <w:t>$33</w:t>
            </w:r>
          </w:p>
        </w:tc>
        <w:tc>
          <w:tcPr>
            <w:tcW w:w="874" w:type="dxa"/>
            <w:tcBorders>
              <w:top w:val="nil"/>
              <w:left w:val="nil"/>
              <w:bottom w:val="nil"/>
              <w:right w:val="nil"/>
            </w:tcBorders>
            <w:shd w:val="clear" w:color="auto" w:fill="auto"/>
            <w:vAlign w:val="bottom"/>
          </w:tcPr>
          <w:p w14:paraId="6A8E1BB1" w14:textId="2830F00F"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2.2%</w:t>
            </w:r>
          </w:p>
        </w:tc>
        <w:tc>
          <w:tcPr>
            <w:tcW w:w="709" w:type="dxa"/>
            <w:tcBorders>
              <w:top w:val="nil"/>
              <w:left w:val="nil"/>
              <w:bottom w:val="nil"/>
              <w:right w:val="single" w:sz="4" w:space="0" w:color="auto"/>
            </w:tcBorders>
            <w:shd w:val="clear" w:color="auto" w:fill="auto"/>
            <w:noWrap/>
            <w:vAlign w:val="bottom"/>
          </w:tcPr>
          <w:p w14:paraId="68C93B5A" w14:textId="69099A0A"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2.5</w:t>
            </w:r>
          </w:p>
        </w:tc>
        <w:tc>
          <w:tcPr>
            <w:tcW w:w="786" w:type="dxa"/>
            <w:tcBorders>
              <w:top w:val="nil"/>
              <w:left w:val="single" w:sz="4" w:space="0" w:color="auto"/>
              <w:bottom w:val="nil"/>
            </w:tcBorders>
            <w:shd w:val="clear" w:color="auto" w:fill="auto"/>
            <w:vAlign w:val="bottom"/>
          </w:tcPr>
          <w:p w14:paraId="0AF6D4AC" w14:textId="77777777"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000000"/>
                <w:sz w:val="18"/>
                <w:szCs w:val="18"/>
                <w:lang w:val="en-AU"/>
              </w:rPr>
              <w:t>$23</w:t>
            </w:r>
          </w:p>
        </w:tc>
        <w:tc>
          <w:tcPr>
            <w:tcW w:w="640" w:type="dxa"/>
            <w:tcBorders>
              <w:top w:val="nil"/>
              <w:bottom w:val="nil"/>
              <w:right w:val="single" w:sz="4" w:space="0" w:color="auto"/>
            </w:tcBorders>
            <w:shd w:val="clear" w:color="auto" w:fill="auto"/>
            <w:vAlign w:val="bottom"/>
          </w:tcPr>
          <w:p w14:paraId="3A499051" w14:textId="3AFC845E"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2.0</w:t>
            </w:r>
          </w:p>
        </w:tc>
      </w:tr>
      <w:tr w:rsidR="00933B0C" w:rsidRPr="00933B0C" w14:paraId="41AEDC82" w14:textId="77777777" w:rsidTr="00933B0C">
        <w:trPr>
          <w:trHeight w:val="255"/>
          <w:jc w:val="center"/>
        </w:trPr>
        <w:tc>
          <w:tcPr>
            <w:tcW w:w="1002" w:type="dxa"/>
            <w:tcBorders>
              <w:top w:val="nil"/>
              <w:left w:val="single" w:sz="4" w:space="0" w:color="auto"/>
              <w:bottom w:val="nil"/>
              <w:right w:val="nil"/>
            </w:tcBorders>
            <w:noWrap/>
            <w:vAlign w:val="bottom"/>
          </w:tcPr>
          <w:p w14:paraId="2D74683C"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NT</w:t>
            </w:r>
          </w:p>
        </w:tc>
        <w:tc>
          <w:tcPr>
            <w:tcW w:w="1373" w:type="dxa"/>
            <w:tcBorders>
              <w:top w:val="nil"/>
              <w:left w:val="nil"/>
              <w:bottom w:val="nil"/>
              <w:right w:val="nil"/>
            </w:tcBorders>
            <w:shd w:val="clear" w:color="auto" w:fill="auto"/>
            <w:noWrap/>
            <w:vAlign w:val="bottom"/>
          </w:tcPr>
          <w:p w14:paraId="65CFA315" w14:textId="0B36740A"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33</w:t>
            </w:r>
          </w:p>
        </w:tc>
        <w:tc>
          <w:tcPr>
            <w:tcW w:w="1089" w:type="dxa"/>
            <w:tcBorders>
              <w:top w:val="nil"/>
              <w:left w:val="nil"/>
              <w:bottom w:val="nil"/>
              <w:right w:val="nil"/>
            </w:tcBorders>
            <w:shd w:val="clear" w:color="auto" w:fill="auto"/>
            <w:noWrap/>
            <w:vAlign w:val="bottom"/>
          </w:tcPr>
          <w:p w14:paraId="69B03BEF" w14:textId="182ADF1B"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$13</w:t>
            </w:r>
          </w:p>
        </w:tc>
        <w:tc>
          <w:tcPr>
            <w:tcW w:w="1089" w:type="dxa"/>
            <w:tcBorders>
              <w:top w:val="nil"/>
              <w:left w:val="nil"/>
              <w:bottom w:val="nil"/>
              <w:right w:val="nil"/>
            </w:tcBorders>
            <w:shd w:val="clear" w:color="auto" w:fill="auto"/>
            <w:noWrap/>
            <w:vAlign w:val="bottom"/>
          </w:tcPr>
          <w:p w14:paraId="28F841D4" w14:textId="6EFE2EBD"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$7</w:t>
            </w:r>
          </w:p>
        </w:tc>
        <w:tc>
          <w:tcPr>
            <w:tcW w:w="1089" w:type="dxa"/>
            <w:tcBorders>
              <w:top w:val="nil"/>
              <w:left w:val="nil"/>
              <w:bottom w:val="nil"/>
              <w:right w:val="nil"/>
            </w:tcBorders>
            <w:shd w:val="clear" w:color="auto" w:fill="auto"/>
            <w:noWrap/>
            <w:vAlign w:val="bottom"/>
          </w:tcPr>
          <w:p w14:paraId="57021B1C" w14:textId="39D6A430"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FF0000"/>
                <w:sz w:val="18"/>
                <w:szCs w:val="18"/>
              </w:rPr>
              <w:t>-$5</w:t>
            </w:r>
          </w:p>
        </w:tc>
        <w:tc>
          <w:tcPr>
            <w:tcW w:w="874" w:type="dxa"/>
            <w:tcBorders>
              <w:top w:val="nil"/>
              <w:left w:val="nil"/>
              <w:bottom w:val="nil"/>
              <w:right w:val="nil"/>
            </w:tcBorders>
            <w:shd w:val="clear" w:color="auto" w:fill="auto"/>
            <w:vAlign w:val="bottom"/>
          </w:tcPr>
          <w:p w14:paraId="06D6EAC0" w14:textId="292606C0"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-0.4%</w:t>
            </w:r>
          </w:p>
        </w:tc>
        <w:tc>
          <w:tcPr>
            <w:tcW w:w="709" w:type="dxa"/>
            <w:tcBorders>
              <w:top w:val="nil"/>
              <w:left w:val="nil"/>
              <w:bottom w:val="nil"/>
              <w:right w:val="single" w:sz="4" w:space="0" w:color="auto"/>
            </w:tcBorders>
            <w:shd w:val="clear" w:color="auto" w:fill="auto"/>
            <w:noWrap/>
            <w:vAlign w:val="bottom"/>
          </w:tcPr>
          <w:p w14:paraId="7DF8789A" w14:textId="7DF79BA2"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0.6</w:t>
            </w:r>
          </w:p>
        </w:tc>
        <w:tc>
          <w:tcPr>
            <w:tcW w:w="786" w:type="dxa"/>
            <w:tcBorders>
              <w:top w:val="nil"/>
              <w:left w:val="single" w:sz="4" w:space="0" w:color="auto"/>
              <w:bottom w:val="nil"/>
            </w:tcBorders>
            <w:shd w:val="clear" w:color="auto" w:fill="auto"/>
            <w:vAlign w:val="bottom"/>
          </w:tcPr>
          <w:p w14:paraId="40379645" w14:textId="77777777"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FF0000"/>
                <w:sz w:val="18"/>
                <w:szCs w:val="18"/>
                <w:lang w:val="en-AU"/>
              </w:rPr>
              <w:t>-$11</w:t>
            </w:r>
          </w:p>
        </w:tc>
        <w:tc>
          <w:tcPr>
            <w:tcW w:w="640" w:type="dxa"/>
            <w:tcBorders>
              <w:top w:val="nil"/>
              <w:bottom w:val="nil"/>
              <w:right w:val="single" w:sz="4" w:space="0" w:color="auto"/>
            </w:tcBorders>
            <w:shd w:val="clear" w:color="auto" w:fill="auto"/>
            <w:vAlign w:val="bottom"/>
          </w:tcPr>
          <w:p w14:paraId="2F8CA551" w14:textId="2EA8A183"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0.2</w:t>
            </w:r>
          </w:p>
        </w:tc>
      </w:tr>
      <w:tr w:rsidR="00933B0C" w:rsidRPr="00933B0C" w14:paraId="23642A46" w14:textId="77777777" w:rsidTr="00933B0C">
        <w:trPr>
          <w:trHeight w:val="255"/>
          <w:jc w:val="center"/>
        </w:trPr>
        <w:tc>
          <w:tcPr>
            <w:tcW w:w="1002" w:type="dxa"/>
            <w:tcBorders>
              <w:top w:val="nil"/>
              <w:left w:val="single" w:sz="4" w:space="0" w:color="auto"/>
              <w:bottom w:val="single" w:sz="4" w:space="0" w:color="auto"/>
              <w:right w:val="nil"/>
            </w:tcBorders>
            <w:noWrap/>
            <w:vAlign w:val="bottom"/>
          </w:tcPr>
          <w:p w14:paraId="6C4E3706"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ACT</w:t>
            </w:r>
          </w:p>
        </w:tc>
        <w:tc>
          <w:tcPr>
            <w:tcW w:w="1373" w:type="dxa"/>
            <w:tcBorders>
              <w:top w:val="nil"/>
              <w:left w:val="nil"/>
              <w:bottom w:val="nil"/>
              <w:right w:val="nil"/>
            </w:tcBorders>
            <w:shd w:val="clear" w:color="auto" w:fill="auto"/>
            <w:noWrap/>
            <w:vAlign w:val="bottom"/>
          </w:tcPr>
          <w:p w14:paraId="0FA1CC2E" w14:textId="59B0AC32"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44</w:t>
            </w:r>
          </w:p>
        </w:tc>
        <w:tc>
          <w:tcPr>
            <w:tcW w:w="1089" w:type="dxa"/>
            <w:tcBorders>
              <w:top w:val="nil"/>
              <w:left w:val="nil"/>
              <w:bottom w:val="nil"/>
              <w:right w:val="nil"/>
            </w:tcBorders>
            <w:shd w:val="clear" w:color="auto" w:fill="auto"/>
            <w:noWrap/>
            <w:vAlign w:val="bottom"/>
          </w:tcPr>
          <w:p w14:paraId="4D22C2DF" w14:textId="24FD5E7F"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$18</w:t>
            </w:r>
          </w:p>
        </w:tc>
        <w:tc>
          <w:tcPr>
            <w:tcW w:w="1089" w:type="dxa"/>
            <w:tcBorders>
              <w:top w:val="nil"/>
              <w:left w:val="nil"/>
              <w:bottom w:val="nil"/>
              <w:right w:val="nil"/>
            </w:tcBorders>
            <w:shd w:val="clear" w:color="auto" w:fill="auto"/>
            <w:noWrap/>
            <w:vAlign w:val="bottom"/>
          </w:tcPr>
          <w:p w14:paraId="499ACDC3" w14:textId="66ED33C4"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$14</w:t>
            </w:r>
          </w:p>
        </w:tc>
        <w:tc>
          <w:tcPr>
            <w:tcW w:w="1089" w:type="dxa"/>
            <w:tcBorders>
              <w:top w:val="nil"/>
              <w:left w:val="nil"/>
              <w:bottom w:val="nil"/>
              <w:right w:val="nil"/>
            </w:tcBorders>
            <w:shd w:val="clear" w:color="auto" w:fill="auto"/>
            <w:noWrap/>
            <w:vAlign w:val="bottom"/>
          </w:tcPr>
          <w:p w14:paraId="52D48921" w14:textId="3BE9FEB5"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FF0000"/>
                <w:sz w:val="18"/>
                <w:szCs w:val="18"/>
              </w:rPr>
              <w:t>-$4</w:t>
            </w:r>
          </w:p>
        </w:tc>
        <w:tc>
          <w:tcPr>
            <w:tcW w:w="874" w:type="dxa"/>
            <w:tcBorders>
              <w:top w:val="nil"/>
              <w:left w:val="nil"/>
              <w:bottom w:val="nil"/>
              <w:right w:val="nil"/>
            </w:tcBorders>
            <w:shd w:val="clear" w:color="auto" w:fill="auto"/>
            <w:vAlign w:val="bottom"/>
          </w:tcPr>
          <w:p w14:paraId="3E9DA848" w14:textId="36560AF3"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-0.3%</w:t>
            </w:r>
          </w:p>
        </w:tc>
        <w:tc>
          <w:tcPr>
            <w:tcW w:w="709" w:type="dxa"/>
            <w:tcBorders>
              <w:top w:val="nil"/>
              <w:left w:val="nil"/>
              <w:bottom w:val="nil"/>
              <w:right w:val="single" w:sz="4" w:space="0" w:color="auto"/>
            </w:tcBorders>
            <w:shd w:val="clear" w:color="auto" w:fill="auto"/>
            <w:noWrap/>
            <w:vAlign w:val="bottom"/>
          </w:tcPr>
          <w:p w14:paraId="414D9E35" w14:textId="70834421"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0.8</w:t>
            </w:r>
          </w:p>
        </w:tc>
        <w:tc>
          <w:tcPr>
            <w:tcW w:w="786" w:type="dxa"/>
            <w:tcBorders>
              <w:top w:val="nil"/>
              <w:left w:val="single" w:sz="4" w:space="0" w:color="auto"/>
              <w:bottom w:val="single" w:sz="4" w:space="0" w:color="auto"/>
            </w:tcBorders>
            <w:shd w:val="clear" w:color="auto" w:fill="auto"/>
            <w:vAlign w:val="bottom"/>
          </w:tcPr>
          <w:p w14:paraId="59BB3F1A" w14:textId="77777777"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FF0000"/>
                <w:sz w:val="18"/>
                <w:szCs w:val="18"/>
                <w:lang w:val="en-AU"/>
              </w:rPr>
              <w:t>-$6</w:t>
            </w:r>
          </w:p>
        </w:tc>
        <w:tc>
          <w:tcPr>
            <w:tcW w:w="640" w:type="dxa"/>
            <w:tcBorders>
              <w:top w:val="nil"/>
              <w:bottom w:val="single" w:sz="4" w:space="0" w:color="auto"/>
              <w:right w:val="single" w:sz="4" w:space="0" w:color="auto"/>
            </w:tcBorders>
            <w:shd w:val="clear" w:color="auto" w:fill="auto"/>
            <w:vAlign w:val="bottom"/>
          </w:tcPr>
          <w:p w14:paraId="7F70BF34" w14:textId="0755B24F"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0.4</w:t>
            </w:r>
          </w:p>
        </w:tc>
      </w:tr>
      <w:tr w:rsidR="00933B0C" w:rsidRPr="00933B0C" w14:paraId="2E0777D2" w14:textId="77777777" w:rsidTr="00933B0C">
        <w:trPr>
          <w:trHeight w:val="255"/>
          <w:jc w:val="center"/>
        </w:trPr>
        <w:tc>
          <w:tcPr>
            <w:tcW w:w="1002" w:type="dxa"/>
            <w:tcBorders>
              <w:top w:val="single" w:sz="4" w:space="0" w:color="auto"/>
              <w:left w:val="single" w:sz="4" w:space="0" w:color="auto"/>
              <w:bottom w:val="single" w:sz="4" w:space="0" w:color="auto"/>
              <w:right w:val="nil"/>
            </w:tcBorders>
            <w:noWrap/>
            <w:vAlign w:val="bottom"/>
          </w:tcPr>
          <w:p w14:paraId="54B686FC"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Australia</w:t>
            </w:r>
          </w:p>
        </w:tc>
        <w:tc>
          <w:tcPr>
            <w:tcW w:w="1373" w:type="dxa"/>
            <w:tcBorders>
              <w:top w:val="single" w:sz="4" w:space="0" w:color="auto"/>
              <w:left w:val="nil"/>
              <w:bottom w:val="single" w:sz="4" w:space="0" w:color="auto"/>
              <w:right w:val="nil"/>
            </w:tcBorders>
            <w:shd w:val="clear" w:color="auto" w:fill="auto"/>
            <w:noWrap/>
            <w:vAlign w:val="bottom"/>
          </w:tcPr>
          <w:p w14:paraId="79655D4A" w14:textId="1487B19F"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2720</w:t>
            </w:r>
          </w:p>
        </w:tc>
        <w:tc>
          <w:tcPr>
            <w:tcW w:w="1089" w:type="dxa"/>
            <w:tcBorders>
              <w:top w:val="single" w:sz="4" w:space="0" w:color="auto"/>
              <w:left w:val="nil"/>
              <w:bottom w:val="single" w:sz="4" w:space="0" w:color="auto"/>
              <w:right w:val="nil"/>
            </w:tcBorders>
            <w:shd w:val="clear" w:color="auto" w:fill="auto"/>
            <w:noWrap/>
            <w:vAlign w:val="bottom"/>
          </w:tcPr>
          <w:p w14:paraId="40B8E7BA" w14:textId="3E4B7D74"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$858</w:t>
            </w:r>
          </w:p>
        </w:tc>
        <w:tc>
          <w:tcPr>
            <w:tcW w:w="1089" w:type="dxa"/>
            <w:tcBorders>
              <w:top w:val="single" w:sz="4" w:space="0" w:color="auto"/>
              <w:left w:val="nil"/>
              <w:bottom w:val="single" w:sz="4" w:space="0" w:color="auto"/>
              <w:right w:val="nil"/>
            </w:tcBorders>
            <w:shd w:val="clear" w:color="auto" w:fill="auto"/>
            <w:noWrap/>
            <w:vAlign w:val="bottom"/>
          </w:tcPr>
          <w:p w14:paraId="109EB08D" w14:textId="5978431D"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$2,352</w:t>
            </w:r>
          </w:p>
        </w:tc>
        <w:tc>
          <w:tcPr>
            <w:tcW w:w="1089" w:type="dxa"/>
            <w:tcBorders>
              <w:top w:val="single" w:sz="4" w:space="0" w:color="auto"/>
              <w:left w:val="nil"/>
              <w:bottom w:val="single" w:sz="4" w:space="0" w:color="auto"/>
              <w:right w:val="nil"/>
            </w:tcBorders>
            <w:shd w:val="clear" w:color="auto" w:fill="auto"/>
            <w:noWrap/>
            <w:vAlign w:val="bottom"/>
          </w:tcPr>
          <w:p w14:paraId="32E7CCDE" w14:textId="04D4EC1A"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$1,493</w:t>
            </w:r>
          </w:p>
        </w:tc>
        <w:tc>
          <w:tcPr>
            <w:tcW w:w="874" w:type="dxa"/>
            <w:tcBorders>
              <w:top w:val="single" w:sz="4" w:space="0" w:color="auto"/>
              <w:left w:val="nil"/>
              <w:bottom w:val="single" w:sz="4" w:space="0" w:color="auto"/>
              <w:right w:val="nil"/>
            </w:tcBorders>
            <w:shd w:val="clear" w:color="auto" w:fill="auto"/>
            <w:vAlign w:val="bottom"/>
          </w:tcPr>
          <w:p w14:paraId="01AB2A9B" w14:textId="77283F4D"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E8E3A80" w14:textId="5CDE315F"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2.7</w:t>
            </w:r>
          </w:p>
        </w:tc>
        <w:tc>
          <w:tcPr>
            <w:tcW w:w="786" w:type="dxa"/>
            <w:tcBorders>
              <w:top w:val="single" w:sz="4" w:space="0" w:color="auto"/>
              <w:left w:val="single" w:sz="4" w:space="0" w:color="auto"/>
              <w:bottom w:val="single" w:sz="4" w:space="0" w:color="auto"/>
            </w:tcBorders>
            <w:shd w:val="clear" w:color="auto" w:fill="auto"/>
            <w:vAlign w:val="bottom"/>
          </w:tcPr>
          <w:p w14:paraId="51671133" w14:textId="77777777"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000000"/>
                <w:sz w:val="18"/>
                <w:szCs w:val="18"/>
                <w:lang w:val="en-AU"/>
              </w:rPr>
              <w:t>$1,762</w:t>
            </w:r>
          </w:p>
        </w:tc>
        <w:tc>
          <w:tcPr>
            <w:tcW w:w="640" w:type="dxa"/>
            <w:tcBorders>
              <w:top w:val="single" w:sz="4" w:space="0" w:color="auto"/>
              <w:bottom w:val="single" w:sz="4" w:space="0" w:color="auto"/>
              <w:right w:val="single" w:sz="4" w:space="0" w:color="auto"/>
            </w:tcBorders>
            <w:shd w:val="clear" w:color="auto" w:fill="auto"/>
            <w:vAlign w:val="bottom"/>
          </w:tcPr>
          <w:p w14:paraId="7A0BB40E" w14:textId="6F2351E0"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2.2</w:t>
            </w:r>
          </w:p>
        </w:tc>
      </w:tr>
      <w:tr w:rsidR="00933B0C" w:rsidRPr="00933B0C" w14:paraId="4EDA3DD7" w14:textId="77777777" w:rsidTr="00933B0C">
        <w:trPr>
          <w:trHeight w:val="255"/>
          <w:jc w:val="center"/>
        </w:trPr>
        <w:tc>
          <w:tcPr>
            <w:tcW w:w="1002" w:type="dxa"/>
            <w:tcBorders>
              <w:top w:val="single" w:sz="4" w:space="0" w:color="auto"/>
              <w:left w:val="single" w:sz="4" w:space="0" w:color="auto"/>
              <w:bottom w:val="single" w:sz="4" w:space="0" w:color="auto"/>
              <w:right w:val="nil"/>
            </w:tcBorders>
            <w:noWrap/>
            <w:vAlign w:val="bottom"/>
          </w:tcPr>
          <w:p w14:paraId="6F8C7B25"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New Zealand</w:t>
            </w:r>
          </w:p>
        </w:tc>
        <w:tc>
          <w:tcPr>
            <w:tcW w:w="1373" w:type="dxa"/>
            <w:tcBorders>
              <w:top w:val="nil"/>
              <w:left w:val="nil"/>
              <w:bottom w:val="single" w:sz="4" w:space="0" w:color="auto"/>
              <w:right w:val="nil"/>
            </w:tcBorders>
            <w:shd w:val="clear" w:color="auto" w:fill="auto"/>
            <w:noWrap/>
            <w:vAlign w:val="bottom"/>
          </w:tcPr>
          <w:p w14:paraId="7B5D1BB2" w14:textId="7987F3D9" w:rsidR="00933B0C" w:rsidRPr="00933B0C" w:rsidRDefault="00A11B21" w:rsidP="00933B0C">
            <w:pPr>
              <w:tabs>
                <w:tab w:val="left" w:pos="3293"/>
              </w:tabs>
              <w:spacing w:before="60" w:after="60" w:line="240" w:lineRule="auto"/>
              <w:ind w:left="35"/>
              <w:jc w:val="right"/>
              <w:rPr>
                <w:rFonts w:ascii="Calibri" w:eastAsia="Arial Unicode MS" w:hAnsi="Calibri" w:cs="Calibri"/>
                <w:sz w:val="18"/>
                <w:szCs w:val="18"/>
                <w:lang w:val="en-AU"/>
              </w:rPr>
            </w:pPr>
            <w:r>
              <w:rPr>
                <w:rFonts w:ascii="Calibri" w:hAnsi="Calibri" w:cs="Calibri"/>
                <w:color w:val="000000"/>
                <w:sz w:val="18"/>
                <w:szCs w:val="18"/>
              </w:rPr>
              <w:t>268</w:t>
            </w:r>
          </w:p>
        </w:tc>
        <w:tc>
          <w:tcPr>
            <w:tcW w:w="1089" w:type="dxa"/>
            <w:tcBorders>
              <w:top w:val="nil"/>
              <w:left w:val="nil"/>
              <w:bottom w:val="single" w:sz="4" w:space="0" w:color="auto"/>
              <w:right w:val="nil"/>
            </w:tcBorders>
            <w:shd w:val="clear" w:color="auto" w:fill="auto"/>
            <w:noWrap/>
            <w:vAlign w:val="bottom"/>
          </w:tcPr>
          <w:p w14:paraId="3DFC732D" w14:textId="4E513105"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$133</w:t>
            </w:r>
          </w:p>
        </w:tc>
        <w:tc>
          <w:tcPr>
            <w:tcW w:w="1089" w:type="dxa"/>
            <w:tcBorders>
              <w:top w:val="nil"/>
              <w:left w:val="nil"/>
              <w:bottom w:val="single" w:sz="4" w:space="0" w:color="auto"/>
              <w:right w:val="nil"/>
            </w:tcBorders>
            <w:shd w:val="clear" w:color="auto" w:fill="auto"/>
            <w:noWrap/>
            <w:vAlign w:val="bottom"/>
          </w:tcPr>
          <w:p w14:paraId="18DB5466" w14:textId="74B88A2C"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$336</w:t>
            </w:r>
          </w:p>
        </w:tc>
        <w:tc>
          <w:tcPr>
            <w:tcW w:w="1089" w:type="dxa"/>
            <w:tcBorders>
              <w:top w:val="nil"/>
              <w:left w:val="nil"/>
              <w:bottom w:val="single" w:sz="4" w:space="0" w:color="auto"/>
              <w:right w:val="nil"/>
            </w:tcBorders>
            <w:shd w:val="clear" w:color="auto" w:fill="auto"/>
            <w:noWrap/>
            <w:vAlign w:val="bottom"/>
          </w:tcPr>
          <w:p w14:paraId="314198BC" w14:textId="2E8C2305"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$202</w:t>
            </w:r>
          </w:p>
        </w:tc>
        <w:tc>
          <w:tcPr>
            <w:tcW w:w="874" w:type="dxa"/>
            <w:tcBorders>
              <w:top w:val="nil"/>
              <w:left w:val="nil"/>
              <w:bottom w:val="single" w:sz="4" w:space="0" w:color="auto"/>
              <w:right w:val="nil"/>
            </w:tcBorders>
            <w:shd w:val="clear" w:color="auto" w:fill="auto"/>
            <w:vAlign w:val="bottom"/>
          </w:tcPr>
          <w:p w14:paraId="3C8D294E" w14:textId="1360268F"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14:paraId="0E767A58" w14:textId="1539CBA9"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2.5</w:t>
            </w:r>
          </w:p>
        </w:tc>
        <w:tc>
          <w:tcPr>
            <w:tcW w:w="786" w:type="dxa"/>
            <w:tcBorders>
              <w:top w:val="single" w:sz="4" w:space="0" w:color="auto"/>
              <w:left w:val="single" w:sz="4" w:space="0" w:color="auto"/>
              <w:bottom w:val="single" w:sz="4" w:space="0" w:color="auto"/>
            </w:tcBorders>
            <w:shd w:val="clear" w:color="auto" w:fill="auto"/>
            <w:vAlign w:val="bottom"/>
          </w:tcPr>
          <w:p w14:paraId="72402FBF" w14:textId="309B0BEC" w:rsidR="00933B0C" w:rsidRPr="00933B0C" w:rsidRDefault="00933B0C" w:rsidP="00933B0C">
            <w:pPr>
              <w:tabs>
                <w:tab w:val="left" w:pos="3293"/>
              </w:tabs>
              <w:spacing w:before="60" w:after="60" w:line="240" w:lineRule="auto"/>
              <w:ind w:left="35"/>
              <w:jc w:val="right"/>
              <w:rPr>
                <w:rFonts w:ascii="Calibri" w:eastAsia="Times New Roman" w:hAnsi="Calibri" w:cs="Calibri"/>
                <w:color w:val="000000"/>
                <w:sz w:val="18"/>
                <w:szCs w:val="18"/>
                <w:lang w:val="en-AU"/>
              </w:rPr>
            </w:pPr>
            <w:r w:rsidRPr="00933B0C">
              <w:rPr>
                <w:rFonts w:ascii="Calibri" w:eastAsia="Times New Roman" w:hAnsi="Calibri" w:cs="Calibri"/>
                <w:color w:val="000000"/>
                <w:sz w:val="18"/>
                <w:szCs w:val="18"/>
                <w:lang w:val="en-AU"/>
              </w:rPr>
              <w:t>$171</w:t>
            </w:r>
          </w:p>
        </w:tc>
        <w:tc>
          <w:tcPr>
            <w:tcW w:w="640" w:type="dxa"/>
            <w:tcBorders>
              <w:top w:val="single" w:sz="4" w:space="0" w:color="auto"/>
              <w:bottom w:val="single" w:sz="4" w:space="0" w:color="auto"/>
              <w:right w:val="single" w:sz="4" w:space="0" w:color="auto"/>
            </w:tcBorders>
            <w:shd w:val="clear" w:color="auto" w:fill="auto"/>
            <w:vAlign w:val="bottom"/>
          </w:tcPr>
          <w:p w14:paraId="2374B1EB" w14:textId="26FEDDD4"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2.3</w:t>
            </w:r>
          </w:p>
        </w:tc>
      </w:tr>
    </w:tbl>
    <w:p w14:paraId="25834729" w14:textId="6FA67B88" w:rsidR="00A37634" w:rsidRPr="00A37634" w:rsidRDefault="00A37634" w:rsidP="00A37634">
      <w:pPr>
        <w:spacing w:after="0" w:line="278" w:lineRule="auto"/>
        <w:jc w:val="center"/>
        <w:rPr>
          <w:rFonts w:ascii="Calibri" w:eastAsia="Cambria" w:hAnsi="Calibri" w:cs="Calibri"/>
          <w:sz w:val="16"/>
          <w:szCs w:val="24"/>
          <w:lang w:val="en-AU"/>
        </w:rPr>
      </w:pPr>
      <w:bookmarkStart w:id="95" w:name="_Hlk13049992"/>
      <w:r w:rsidRPr="00A37634">
        <w:rPr>
          <w:rFonts w:ascii="Calibri" w:eastAsia="Cambria" w:hAnsi="Calibri" w:cs="Calibri"/>
          <w:sz w:val="16"/>
          <w:szCs w:val="24"/>
          <w:lang w:val="en-AU"/>
        </w:rPr>
        <w:t>(a) 50% of total MWe of participating DR-capable products. (b) NPV at 7% discount rate for costs and benefits 202</w:t>
      </w:r>
      <w:r w:rsidR="007254CA">
        <w:rPr>
          <w:rFonts w:ascii="Calibri" w:eastAsia="Cambria" w:hAnsi="Calibri" w:cs="Calibri"/>
          <w:sz w:val="16"/>
          <w:szCs w:val="24"/>
          <w:lang w:val="en-AU"/>
        </w:rPr>
        <w:t>0</w:t>
      </w:r>
      <w:r w:rsidRPr="00A37634">
        <w:rPr>
          <w:rFonts w:ascii="Calibri" w:eastAsia="Cambria" w:hAnsi="Calibri" w:cs="Calibri"/>
          <w:sz w:val="16"/>
          <w:szCs w:val="24"/>
          <w:lang w:val="en-AU"/>
        </w:rPr>
        <w:t>-203</w:t>
      </w:r>
      <w:r w:rsidR="007254CA">
        <w:rPr>
          <w:rFonts w:ascii="Calibri" w:eastAsia="Cambria" w:hAnsi="Calibri" w:cs="Calibri"/>
          <w:sz w:val="16"/>
          <w:szCs w:val="24"/>
          <w:lang w:val="en-AU"/>
        </w:rPr>
        <w:t>6</w:t>
      </w:r>
      <w:r w:rsidRPr="00A37634">
        <w:rPr>
          <w:rFonts w:ascii="Calibri" w:eastAsia="Cambria" w:hAnsi="Calibri" w:cs="Calibri"/>
          <w:sz w:val="16"/>
          <w:szCs w:val="24"/>
          <w:lang w:val="en-AU"/>
        </w:rPr>
        <w:t>; 6% discount rate for NZ</w:t>
      </w:r>
    </w:p>
    <w:p w14:paraId="11A351EC" w14:textId="77777777" w:rsidR="000B2AF8" w:rsidRDefault="000B2AF8">
      <w:pPr>
        <w:rPr>
          <w:rFonts w:ascii="Calibri" w:eastAsia="Cambria" w:hAnsi="Calibri" w:cs="Calibri"/>
          <w:b/>
          <w:bCs/>
          <w:sz w:val="20"/>
          <w:szCs w:val="16"/>
          <w:lang w:val="en-AU"/>
        </w:rPr>
      </w:pPr>
      <w:bookmarkStart w:id="96" w:name="_Ref327262874"/>
      <w:bookmarkStart w:id="97" w:name="_Ref327262868"/>
      <w:bookmarkStart w:id="98" w:name="_Toc333183025"/>
      <w:bookmarkStart w:id="99" w:name="_Toc369633240"/>
      <w:bookmarkStart w:id="100" w:name="_Toc11360608"/>
      <w:bookmarkEnd w:id="95"/>
      <w:r>
        <w:rPr>
          <w:rFonts w:ascii="Calibri" w:eastAsia="Cambria" w:hAnsi="Calibri" w:cs="Calibri"/>
          <w:b/>
          <w:bCs/>
          <w:sz w:val="20"/>
          <w:szCs w:val="16"/>
          <w:lang w:val="en-AU"/>
        </w:rPr>
        <w:br w:type="page"/>
      </w:r>
    </w:p>
    <w:p w14:paraId="384DB282" w14:textId="5B45537A"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01" w:name="_Ref22133585"/>
      <w:bookmarkStart w:id="102" w:name="_Toc22486955"/>
      <w:r w:rsidRPr="00A37634">
        <w:rPr>
          <w:rFonts w:ascii="Calibri" w:eastAsia="Cambria" w:hAnsi="Calibri" w:cs="Calibri"/>
          <w:b/>
          <w:bCs/>
          <w:sz w:val="20"/>
          <w:szCs w:val="16"/>
          <w:lang w:val="en-AU"/>
        </w:rPr>
        <w:lastRenderedPageBreak/>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11</w:t>
      </w:r>
      <w:r w:rsidRPr="00A37634">
        <w:rPr>
          <w:rFonts w:ascii="Calibri" w:eastAsia="Cambria" w:hAnsi="Calibri" w:cs="Calibri"/>
          <w:b/>
          <w:bCs/>
          <w:noProof/>
          <w:sz w:val="20"/>
          <w:szCs w:val="16"/>
          <w:lang w:val="en-AU"/>
        </w:rPr>
        <w:fldChar w:fldCharType="end"/>
      </w:r>
      <w:bookmarkEnd w:id="96"/>
      <w:bookmarkEnd w:id="101"/>
      <w:r w:rsidRPr="00A37634">
        <w:rPr>
          <w:rFonts w:ascii="Calibri" w:eastAsia="Cambria" w:hAnsi="Calibri" w:cs="Calibri"/>
          <w:b/>
          <w:bCs/>
          <w:sz w:val="20"/>
          <w:szCs w:val="16"/>
          <w:lang w:val="en-AU"/>
        </w:rPr>
        <w:t>. Projected costs and benefits by jurisdiction (medium activation</w:t>
      </w:r>
      <w:bookmarkEnd w:id="97"/>
      <w:bookmarkEnd w:id="98"/>
      <w:bookmarkEnd w:id="99"/>
      <w:r w:rsidRPr="00A37634">
        <w:rPr>
          <w:rFonts w:ascii="Calibri" w:eastAsia="Cambria" w:hAnsi="Calibri" w:cs="Calibri"/>
          <w:b/>
          <w:bCs/>
          <w:sz w:val="20"/>
          <w:szCs w:val="16"/>
          <w:lang w:val="en-AU"/>
        </w:rPr>
        <w:t>)</w:t>
      </w:r>
      <w:bookmarkEnd w:id="100"/>
      <w:bookmarkEnd w:id="102"/>
    </w:p>
    <w:tbl>
      <w:tblPr>
        <w:tblW w:w="8599" w:type="dxa"/>
        <w:jc w:val="center"/>
        <w:tblLayout w:type="fixed"/>
        <w:tblCellMar>
          <w:left w:w="0" w:type="dxa"/>
          <w:right w:w="0" w:type="dxa"/>
        </w:tblCellMar>
        <w:tblLook w:val="0000" w:firstRow="0" w:lastRow="0" w:firstColumn="0" w:lastColumn="0" w:noHBand="0" w:noVBand="0"/>
      </w:tblPr>
      <w:tblGrid>
        <w:gridCol w:w="989"/>
        <w:gridCol w:w="8"/>
        <w:gridCol w:w="1430"/>
        <w:gridCol w:w="1023"/>
        <w:gridCol w:w="1023"/>
        <w:gridCol w:w="1024"/>
        <w:gridCol w:w="987"/>
        <w:gridCol w:w="705"/>
        <w:gridCol w:w="704"/>
        <w:gridCol w:w="706"/>
      </w:tblGrid>
      <w:tr w:rsidR="00A37634" w:rsidRPr="00933B0C" w14:paraId="4B18D793" w14:textId="77777777" w:rsidTr="00BC35DA">
        <w:trPr>
          <w:cantSplit/>
          <w:trHeight w:val="505"/>
          <w:tblHeader/>
          <w:jc w:val="center"/>
        </w:trPr>
        <w:tc>
          <w:tcPr>
            <w:tcW w:w="989" w:type="dxa"/>
            <w:vMerge w:val="restart"/>
            <w:tcBorders>
              <w:top w:val="single" w:sz="4" w:space="0" w:color="auto"/>
              <w:left w:val="single" w:sz="4" w:space="0" w:color="auto"/>
              <w:bottom w:val="single" w:sz="4" w:space="0" w:color="auto"/>
            </w:tcBorders>
            <w:noWrap/>
          </w:tcPr>
          <w:p w14:paraId="17C5EB10"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438" w:type="dxa"/>
            <w:gridSpan w:val="2"/>
            <w:vMerge w:val="restart"/>
            <w:tcBorders>
              <w:top w:val="single" w:sz="4" w:space="0" w:color="auto"/>
              <w:bottom w:val="single" w:sz="4" w:space="0" w:color="auto"/>
            </w:tcBorders>
            <w:noWrap/>
          </w:tcPr>
          <w:p w14:paraId="1ED78361" w14:textId="00BFEC08"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Arial Unicode MS" w:hAnsi="Calibri" w:cs="Calibri"/>
                <w:bCs/>
                <w:sz w:val="18"/>
                <w:szCs w:val="18"/>
                <w:lang w:val="en-AU"/>
              </w:rPr>
              <w:t xml:space="preserve">Routine DLC Reduction </w:t>
            </w:r>
            <w:r w:rsidRPr="00933B0C">
              <w:rPr>
                <w:rFonts w:ascii="Calibri" w:eastAsia="Arial Unicode MS" w:hAnsi="Calibri" w:cs="Calibri"/>
                <w:bCs/>
                <w:sz w:val="18"/>
                <w:szCs w:val="18"/>
                <w:lang w:val="en-AU"/>
              </w:rPr>
              <w:br/>
              <w:t xml:space="preserve">available SMD </w:t>
            </w:r>
            <w:r w:rsidRPr="00933B0C">
              <w:rPr>
                <w:rFonts w:ascii="Calibri" w:eastAsia="Arial Unicode MS" w:hAnsi="Calibri" w:cs="Calibri"/>
                <w:bCs/>
                <w:sz w:val="18"/>
                <w:szCs w:val="18"/>
                <w:lang w:val="en-AU"/>
              </w:rPr>
              <w:br/>
              <w:t>203</w:t>
            </w:r>
            <w:r w:rsidR="00BC35DA">
              <w:rPr>
                <w:rFonts w:ascii="Calibri" w:eastAsia="Arial Unicode MS" w:hAnsi="Calibri" w:cs="Calibri"/>
                <w:bCs/>
                <w:sz w:val="18"/>
                <w:szCs w:val="18"/>
                <w:lang w:val="en-AU"/>
              </w:rPr>
              <w:t>6</w:t>
            </w:r>
            <w:r w:rsidRPr="00933B0C">
              <w:rPr>
                <w:rFonts w:ascii="Calibri" w:eastAsia="Arial Unicode MS" w:hAnsi="Calibri" w:cs="Calibri"/>
                <w:bCs/>
                <w:sz w:val="18"/>
                <w:szCs w:val="18"/>
                <w:lang w:val="en-AU"/>
              </w:rPr>
              <w:t>, MW (a)</w:t>
            </w:r>
          </w:p>
        </w:tc>
        <w:tc>
          <w:tcPr>
            <w:tcW w:w="1023" w:type="dxa"/>
            <w:vMerge w:val="restart"/>
            <w:tcBorders>
              <w:top w:val="single" w:sz="4" w:space="0" w:color="auto"/>
              <w:bottom w:val="single" w:sz="4" w:space="0" w:color="auto"/>
            </w:tcBorders>
            <w:noWrap/>
            <w:vAlign w:val="center"/>
          </w:tcPr>
          <w:p w14:paraId="4CD7ED6A"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Arial Unicode MS" w:hAnsi="Calibri" w:cs="Calibri"/>
                <w:bCs/>
                <w:sz w:val="18"/>
                <w:szCs w:val="18"/>
                <w:lang w:val="en-AU"/>
              </w:rPr>
              <w:t>Costs</w:t>
            </w:r>
            <w:r w:rsidRPr="00933B0C">
              <w:rPr>
                <w:rFonts w:ascii="Calibri" w:eastAsia="Arial Unicode MS" w:hAnsi="Calibri" w:cs="Calibri"/>
                <w:bCs/>
                <w:sz w:val="18"/>
                <w:szCs w:val="18"/>
                <w:lang w:val="en-AU"/>
              </w:rPr>
              <w:br/>
              <w:t>$M NPV</w:t>
            </w:r>
            <w:r w:rsidRPr="00933B0C">
              <w:rPr>
                <w:rFonts w:ascii="Calibri" w:eastAsia="Arial Unicode MS" w:hAnsi="Calibri" w:cs="Calibri"/>
                <w:bCs/>
                <w:sz w:val="18"/>
                <w:szCs w:val="18"/>
                <w:lang w:val="en-AU"/>
              </w:rPr>
              <w:br/>
              <w:t>(b)</w:t>
            </w:r>
          </w:p>
          <w:p w14:paraId="12BBD8CC"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023" w:type="dxa"/>
            <w:vMerge w:val="restart"/>
            <w:tcBorders>
              <w:top w:val="single" w:sz="4" w:space="0" w:color="auto"/>
              <w:bottom w:val="single" w:sz="4" w:space="0" w:color="auto"/>
            </w:tcBorders>
            <w:noWrap/>
            <w:vAlign w:val="center"/>
          </w:tcPr>
          <w:p w14:paraId="4B78C30E"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Arial Unicode MS" w:hAnsi="Calibri" w:cs="Calibri"/>
                <w:bCs/>
                <w:sz w:val="18"/>
                <w:szCs w:val="18"/>
                <w:lang w:val="en-AU"/>
              </w:rPr>
              <w:t>Benefits</w:t>
            </w:r>
            <w:r w:rsidRPr="00933B0C">
              <w:rPr>
                <w:rFonts w:ascii="Calibri" w:eastAsia="Arial Unicode MS" w:hAnsi="Calibri" w:cs="Calibri"/>
                <w:bCs/>
                <w:sz w:val="18"/>
                <w:szCs w:val="18"/>
                <w:lang w:val="en-AU"/>
              </w:rPr>
              <w:br/>
              <w:t>$M NPV</w:t>
            </w:r>
            <w:r w:rsidRPr="00933B0C">
              <w:rPr>
                <w:rFonts w:ascii="Calibri" w:eastAsia="Arial Unicode MS" w:hAnsi="Calibri" w:cs="Calibri"/>
                <w:bCs/>
                <w:sz w:val="18"/>
                <w:szCs w:val="18"/>
                <w:lang w:val="en-AU"/>
              </w:rPr>
              <w:br/>
              <w:t>(b)</w:t>
            </w:r>
          </w:p>
          <w:p w14:paraId="72DFCBB8"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024" w:type="dxa"/>
            <w:vMerge w:val="restart"/>
            <w:tcBorders>
              <w:top w:val="single" w:sz="4" w:space="0" w:color="auto"/>
              <w:bottom w:val="single" w:sz="4" w:space="0" w:color="auto"/>
            </w:tcBorders>
            <w:noWrap/>
            <w:vAlign w:val="center"/>
          </w:tcPr>
          <w:p w14:paraId="0E9757AB"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Arial Unicode MS" w:hAnsi="Calibri" w:cs="Calibri"/>
                <w:bCs/>
                <w:sz w:val="18"/>
                <w:szCs w:val="18"/>
                <w:lang w:val="en-AU"/>
              </w:rPr>
              <w:t>Net</w:t>
            </w:r>
            <w:r w:rsidRPr="00933B0C">
              <w:rPr>
                <w:rFonts w:ascii="Calibri" w:eastAsia="Arial Unicode MS" w:hAnsi="Calibri" w:cs="Calibri"/>
                <w:bCs/>
                <w:sz w:val="18"/>
                <w:szCs w:val="18"/>
                <w:lang w:val="en-AU"/>
              </w:rPr>
              <w:br/>
              <w:t>Benefits</w:t>
            </w:r>
            <w:r w:rsidRPr="00933B0C">
              <w:rPr>
                <w:rFonts w:ascii="Calibri" w:eastAsia="Arial Unicode MS" w:hAnsi="Calibri" w:cs="Calibri"/>
                <w:bCs/>
                <w:sz w:val="18"/>
                <w:szCs w:val="18"/>
                <w:lang w:val="en-AU"/>
              </w:rPr>
              <w:br/>
              <w:t>$M NPV</w:t>
            </w:r>
            <w:r w:rsidRPr="00933B0C">
              <w:rPr>
                <w:rFonts w:ascii="Calibri" w:eastAsia="Arial Unicode MS" w:hAnsi="Calibri" w:cs="Calibri"/>
                <w:bCs/>
                <w:sz w:val="18"/>
                <w:szCs w:val="18"/>
                <w:lang w:val="en-AU"/>
              </w:rPr>
              <w:br/>
              <w:t>(b)</w:t>
            </w:r>
          </w:p>
        </w:tc>
        <w:tc>
          <w:tcPr>
            <w:tcW w:w="987" w:type="dxa"/>
            <w:vMerge w:val="restart"/>
            <w:tcBorders>
              <w:top w:val="single" w:sz="4" w:space="0" w:color="auto"/>
              <w:bottom w:val="single" w:sz="4" w:space="0" w:color="auto"/>
            </w:tcBorders>
            <w:vAlign w:val="center"/>
          </w:tcPr>
          <w:p w14:paraId="5F0AFE7B"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Arial Unicode MS" w:hAnsi="Calibri" w:cs="Calibri"/>
                <w:bCs/>
                <w:sz w:val="18"/>
                <w:szCs w:val="18"/>
                <w:lang w:val="en-AU"/>
              </w:rPr>
              <w:t>% net</w:t>
            </w:r>
            <w:r w:rsidRPr="00933B0C">
              <w:rPr>
                <w:rFonts w:ascii="Calibri" w:eastAsia="Arial Unicode MS" w:hAnsi="Calibri" w:cs="Calibri"/>
                <w:bCs/>
                <w:sz w:val="18"/>
                <w:szCs w:val="18"/>
                <w:lang w:val="en-AU"/>
              </w:rPr>
              <w:br/>
              <w:t xml:space="preserve">national </w:t>
            </w:r>
            <w:r w:rsidRPr="00933B0C">
              <w:rPr>
                <w:rFonts w:ascii="Calibri" w:eastAsia="Arial Unicode MS" w:hAnsi="Calibri" w:cs="Calibri"/>
                <w:bCs/>
                <w:sz w:val="18"/>
                <w:szCs w:val="18"/>
                <w:lang w:val="en-AU"/>
              </w:rPr>
              <w:br/>
              <w:t>benefits</w:t>
            </w:r>
          </w:p>
        </w:tc>
        <w:tc>
          <w:tcPr>
            <w:tcW w:w="705" w:type="dxa"/>
            <w:vMerge w:val="restart"/>
            <w:tcBorders>
              <w:top w:val="single" w:sz="4" w:space="0" w:color="auto"/>
              <w:bottom w:val="single" w:sz="4" w:space="0" w:color="auto"/>
              <w:right w:val="single" w:sz="4" w:space="0" w:color="auto"/>
            </w:tcBorders>
            <w:noWrap/>
            <w:vAlign w:val="center"/>
          </w:tcPr>
          <w:p w14:paraId="43D199D6"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Arial Unicode MS" w:hAnsi="Calibri" w:cs="Calibri"/>
                <w:bCs/>
                <w:sz w:val="18"/>
                <w:szCs w:val="18"/>
                <w:lang w:val="en-AU"/>
              </w:rPr>
              <w:t>B/C ratio</w:t>
            </w:r>
          </w:p>
        </w:tc>
        <w:tc>
          <w:tcPr>
            <w:tcW w:w="1410" w:type="dxa"/>
            <w:gridSpan w:val="2"/>
            <w:tcBorders>
              <w:top w:val="single" w:sz="4" w:space="0" w:color="auto"/>
              <w:left w:val="single" w:sz="4" w:space="0" w:color="auto"/>
              <w:bottom w:val="single" w:sz="4" w:space="0" w:color="auto"/>
              <w:right w:val="single" w:sz="4" w:space="0" w:color="auto"/>
            </w:tcBorders>
          </w:tcPr>
          <w:p w14:paraId="5B0788D2"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Times New Roman" w:hAnsi="Calibri" w:cs="Calibri"/>
                <w:bCs/>
                <w:sz w:val="18"/>
                <w:szCs w:val="18"/>
                <w:lang w:val="en-AU"/>
              </w:rPr>
              <w:t>Without whole-sale price benefit</w:t>
            </w:r>
          </w:p>
        </w:tc>
      </w:tr>
      <w:tr w:rsidR="00A37634" w:rsidRPr="00933B0C" w14:paraId="71817027" w14:textId="77777777" w:rsidTr="00BC35DA">
        <w:trPr>
          <w:cantSplit/>
          <w:trHeight w:val="504"/>
          <w:tblHeader/>
          <w:jc w:val="center"/>
        </w:trPr>
        <w:tc>
          <w:tcPr>
            <w:tcW w:w="989" w:type="dxa"/>
            <w:vMerge/>
            <w:tcBorders>
              <w:left w:val="single" w:sz="4" w:space="0" w:color="auto"/>
              <w:bottom w:val="single" w:sz="4" w:space="0" w:color="auto"/>
            </w:tcBorders>
            <w:noWrap/>
          </w:tcPr>
          <w:p w14:paraId="131302D7"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438" w:type="dxa"/>
            <w:gridSpan w:val="2"/>
            <w:vMerge/>
            <w:tcBorders>
              <w:bottom w:val="single" w:sz="4" w:space="0" w:color="auto"/>
            </w:tcBorders>
            <w:noWrap/>
          </w:tcPr>
          <w:p w14:paraId="5B609CD0"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023" w:type="dxa"/>
            <w:vMerge/>
            <w:tcBorders>
              <w:bottom w:val="single" w:sz="4" w:space="0" w:color="auto"/>
            </w:tcBorders>
            <w:noWrap/>
            <w:vAlign w:val="center"/>
          </w:tcPr>
          <w:p w14:paraId="246CC5EF"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023" w:type="dxa"/>
            <w:vMerge/>
            <w:tcBorders>
              <w:bottom w:val="single" w:sz="4" w:space="0" w:color="auto"/>
            </w:tcBorders>
            <w:noWrap/>
            <w:vAlign w:val="center"/>
          </w:tcPr>
          <w:p w14:paraId="7BF22AA7"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1024" w:type="dxa"/>
            <w:vMerge/>
            <w:tcBorders>
              <w:bottom w:val="single" w:sz="4" w:space="0" w:color="auto"/>
            </w:tcBorders>
            <w:noWrap/>
            <w:vAlign w:val="center"/>
          </w:tcPr>
          <w:p w14:paraId="145B37CA"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987" w:type="dxa"/>
            <w:vMerge/>
            <w:tcBorders>
              <w:bottom w:val="single" w:sz="4" w:space="0" w:color="auto"/>
            </w:tcBorders>
            <w:vAlign w:val="center"/>
          </w:tcPr>
          <w:p w14:paraId="0A780240"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705" w:type="dxa"/>
            <w:vMerge/>
            <w:tcBorders>
              <w:bottom w:val="single" w:sz="4" w:space="0" w:color="auto"/>
              <w:right w:val="single" w:sz="4" w:space="0" w:color="auto"/>
            </w:tcBorders>
            <w:noWrap/>
            <w:vAlign w:val="center"/>
          </w:tcPr>
          <w:p w14:paraId="38FAF7C4"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p>
        </w:tc>
        <w:tc>
          <w:tcPr>
            <w:tcW w:w="704" w:type="dxa"/>
            <w:tcBorders>
              <w:top w:val="single" w:sz="4" w:space="0" w:color="auto"/>
              <w:left w:val="single" w:sz="4" w:space="0" w:color="auto"/>
              <w:bottom w:val="single" w:sz="4" w:space="0" w:color="auto"/>
            </w:tcBorders>
          </w:tcPr>
          <w:p w14:paraId="0EFFDB9E" w14:textId="6AE5C53F" w:rsidR="00A37634" w:rsidRPr="00933B0C" w:rsidRDefault="00933B0C" w:rsidP="00A37634">
            <w:pPr>
              <w:spacing w:before="60" w:after="60" w:line="240" w:lineRule="auto"/>
              <w:jc w:val="center"/>
              <w:rPr>
                <w:rFonts w:ascii="Calibri" w:eastAsia="Arial Unicode MS" w:hAnsi="Calibri" w:cs="Calibri"/>
                <w:bCs/>
                <w:sz w:val="18"/>
                <w:szCs w:val="18"/>
                <w:lang w:val="en-AU"/>
              </w:rPr>
            </w:pPr>
            <w:r w:rsidRPr="00933B0C">
              <w:rPr>
                <w:rFonts w:ascii="Calibri" w:eastAsia="Times New Roman" w:hAnsi="Calibri" w:cs="Calibri"/>
                <w:bCs/>
                <w:sz w:val="18"/>
                <w:szCs w:val="18"/>
                <w:lang w:val="en-AU"/>
              </w:rPr>
              <w:t xml:space="preserve">$M </w:t>
            </w:r>
            <w:r w:rsidR="00A37634" w:rsidRPr="00933B0C">
              <w:rPr>
                <w:rFonts w:ascii="Calibri" w:eastAsia="Times New Roman" w:hAnsi="Calibri" w:cs="Calibri"/>
                <w:bCs/>
                <w:sz w:val="18"/>
                <w:szCs w:val="18"/>
                <w:lang w:val="en-AU"/>
              </w:rPr>
              <w:t>Net</w:t>
            </w:r>
            <w:r w:rsidR="00A37634" w:rsidRPr="00933B0C">
              <w:rPr>
                <w:rFonts w:ascii="Calibri" w:eastAsia="Times New Roman" w:hAnsi="Calibri" w:cs="Calibri"/>
                <w:bCs/>
                <w:sz w:val="18"/>
                <w:szCs w:val="18"/>
                <w:lang w:val="en-AU"/>
              </w:rPr>
              <w:br/>
              <w:t>benefit</w:t>
            </w:r>
          </w:p>
        </w:tc>
        <w:tc>
          <w:tcPr>
            <w:tcW w:w="706" w:type="dxa"/>
            <w:tcBorders>
              <w:top w:val="single" w:sz="4" w:space="0" w:color="auto"/>
              <w:bottom w:val="single" w:sz="4" w:space="0" w:color="auto"/>
              <w:right w:val="single" w:sz="4" w:space="0" w:color="auto"/>
            </w:tcBorders>
          </w:tcPr>
          <w:p w14:paraId="089905D5" w14:textId="77777777" w:rsidR="00A37634" w:rsidRPr="00933B0C" w:rsidRDefault="00A37634" w:rsidP="00A37634">
            <w:pPr>
              <w:spacing w:before="60" w:after="60" w:line="240" w:lineRule="auto"/>
              <w:jc w:val="center"/>
              <w:rPr>
                <w:rFonts w:ascii="Calibri" w:eastAsia="Arial Unicode MS" w:hAnsi="Calibri" w:cs="Calibri"/>
                <w:bCs/>
                <w:sz w:val="18"/>
                <w:szCs w:val="18"/>
                <w:lang w:val="en-AU"/>
              </w:rPr>
            </w:pPr>
            <w:r w:rsidRPr="00933B0C">
              <w:rPr>
                <w:rFonts w:ascii="Calibri" w:eastAsia="Times New Roman" w:hAnsi="Calibri" w:cs="Calibri"/>
                <w:bCs/>
                <w:sz w:val="18"/>
                <w:szCs w:val="18"/>
                <w:lang w:val="en-AU"/>
              </w:rPr>
              <w:t>B/C ratio</w:t>
            </w:r>
          </w:p>
        </w:tc>
      </w:tr>
      <w:tr w:rsidR="00933B0C" w:rsidRPr="00933B0C" w14:paraId="029FBC98" w14:textId="77777777" w:rsidTr="00BC35DA">
        <w:trPr>
          <w:trHeight w:val="241"/>
          <w:jc w:val="center"/>
        </w:trPr>
        <w:tc>
          <w:tcPr>
            <w:tcW w:w="997" w:type="dxa"/>
            <w:gridSpan w:val="2"/>
            <w:tcBorders>
              <w:top w:val="single" w:sz="4" w:space="0" w:color="auto"/>
              <w:left w:val="single" w:sz="4" w:space="0" w:color="auto"/>
              <w:bottom w:val="nil"/>
              <w:right w:val="nil"/>
            </w:tcBorders>
            <w:noWrap/>
            <w:vAlign w:val="bottom"/>
          </w:tcPr>
          <w:p w14:paraId="0DB875B7"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NSW</w:t>
            </w:r>
          </w:p>
        </w:tc>
        <w:tc>
          <w:tcPr>
            <w:tcW w:w="1430" w:type="dxa"/>
            <w:tcBorders>
              <w:top w:val="single" w:sz="4" w:space="0" w:color="auto"/>
              <w:left w:val="nil"/>
              <w:bottom w:val="nil"/>
              <w:right w:val="nil"/>
            </w:tcBorders>
            <w:shd w:val="clear" w:color="auto" w:fill="auto"/>
            <w:noWrap/>
            <w:vAlign w:val="bottom"/>
          </w:tcPr>
          <w:p w14:paraId="7888B688" w14:textId="2D45911B"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990</w:t>
            </w:r>
          </w:p>
        </w:tc>
        <w:tc>
          <w:tcPr>
            <w:tcW w:w="1023" w:type="dxa"/>
            <w:tcBorders>
              <w:top w:val="single" w:sz="4" w:space="0" w:color="auto"/>
              <w:left w:val="nil"/>
              <w:bottom w:val="nil"/>
              <w:right w:val="nil"/>
            </w:tcBorders>
            <w:shd w:val="clear" w:color="auto" w:fill="auto"/>
            <w:noWrap/>
            <w:vAlign w:val="bottom"/>
          </w:tcPr>
          <w:p w14:paraId="2FCF836E" w14:textId="074C2EFE"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$300</w:t>
            </w:r>
          </w:p>
        </w:tc>
        <w:tc>
          <w:tcPr>
            <w:tcW w:w="1023" w:type="dxa"/>
            <w:tcBorders>
              <w:top w:val="single" w:sz="4" w:space="0" w:color="auto"/>
              <w:left w:val="nil"/>
              <w:bottom w:val="nil"/>
              <w:right w:val="nil"/>
            </w:tcBorders>
            <w:shd w:val="clear" w:color="auto" w:fill="auto"/>
            <w:noWrap/>
            <w:vAlign w:val="bottom"/>
          </w:tcPr>
          <w:p w14:paraId="46F1EEE6" w14:textId="4F0DBB09"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$491</w:t>
            </w:r>
          </w:p>
        </w:tc>
        <w:tc>
          <w:tcPr>
            <w:tcW w:w="1024" w:type="dxa"/>
            <w:tcBorders>
              <w:top w:val="single" w:sz="4" w:space="0" w:color="auto"/>
              <w:left w:val="nil"/>
              <w:bottom w:val="nil"/>
              <w:right w:val="nil"/>
            </w:tcBorders>
            <w:shd w:val="clear" w:color="auto" w:fill="auto"/>
            <w:noWrap/>
            <w:vAlign w:val="bottom"/>
          </w:tcPr>
          <w:p w14:paraId="4A66C286" w14:textId="455D3570"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$191</w:t>
            </w:r>
          </w:p>
        </w:tc>
        <w:tc>
          <w:tcPr>
            <w:tcW w:w="987" w:type="dxa"/>
            <w:tcBorders>
              <w:top w:val="single" w:sz="4" w:space="0" w:color="auto"/>
              <w:left w:val="nil"/>
              <w:bottom w:val="nil"/>
              <w:right w:val="nil"/>
            </w:tcBorders>
            <w:shd w:val="clear" w:color="auto" w:fill="auto"/>
            <w:vAlign w:val="bottom"/>
          </w:tcPr>
          <w:p w14:paraId="634167C5" w14:textId="2C492354"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10.2%</w:t>
            </w:r>
          </w:p>
        </w:tc>
        <w:tc>
          <w:tcPr>
            <w:tcW w:w="705" w:type="dxa"/>
            <w:tcBorders>
              <w:top w:val="single" w:sz="4" w:space="0" w:color="auto"/>
              <w:left w:val="nil"/>
              <w:bottom w:val="nil"/>
              <w:right w:val="single" w:sz="4" w:space="0" w:color="auto"/>
            </w:tcBorders>
            <w:shd w:val="clear" w:color="auto" w:fill="auto"/>
            <w:noWrap/>
            <w:vAlign w:val="bottom"/>
          </w:tcPr>
          <w:p w14:paraId="5F36C948" w14:textId="195015D9"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1.6</w:t>
            </w:r>
          </w:p>
        </w:tc>
        <w:tc>
          <w:tcPr>
            <w:tcW w:w="704" w:type="dxa"/>
            <w:tcBorders>
              <w:top w:val="single" w:sz="4" w:space="0" w:color="auto"/>
              <w:left w:val="nil"/>
              <w:bottom w:val="nil"/>
              <w:right w:val="nil"/>
            </w:tcBorders>
            <w:shd w:val="clear" w:color="auto" w:fill="auto"/>
            <w:vAlign w:val="bottom"/>
          </w:tcPr>
          <w:p w14:paraId="53D4AB64" w14:textId="004AC5A3"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$56</w:t>
            </w:r>
          </w:p>
        </w:tc>
        <w:tc>
          <w:tcPr>
            <w:tcW w:w="706" w:type="dxa"/>
            <w:tcBorders>
              <w:top w:val="single" w:sz="4" w:space="0" w:color="auto"/>
              <w:left w:val="nil"/>
              <w:bottom w:val="nil"/>
              <w:right w:val="single" w:sz="4" w:space="0" w:color="auto"/>
            </w:tcBorders>
            <w:shd w:val="clear" w:color="auto" w:fill="auto"/>
            <w:vAlign w:val="bottom"/>
          </w:tcPr>
          <w:p w14:paraId="20C00C2C" w14:textId="676FB59F"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1.2</w:t>
            </w:r>
          </w:p>
        </w:tc>
      </w:tr>
      <w:tr w:rsidR="00933B0C" w:rsidRPr="00933B0C" w14:paraId="71952783" w14:textId="77777777" w:rsidTr="00BC35DA">
        <w:trPr>
          <w:trHeight w:val="241"/>
          <w:jc w:val="center"/>
        </w:trPr>
        <w:tc>
          <w:tcPr>
            <w:tcW w:w="997" w:type="dxa"/>
            <w:gridSpan w:val="2"/>
            <w:tcBorders>
              <w:top w:val="nil"/>
              <w:left w:val="single" w:sz="4" w:space="0" w:color="auto"/>
              <w:bottom w:val="nil"/>
              <w:right w:val="nil"/>
            </w:tcBorders>
            <w:noWrap/>
            <w:vAlign w:val="bottom"/>
          </w:tcPr>
          <w:p w14:paraId="4512C712"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Vic</w:t>
            </w:r>
          </w:p>
        </w:tc>
        <w:tc>
          <w:tcPr>
            <w:tcW w:w="1430" w:type="dxa"/>
            <w:tcBorders>
              <w:top w:val="nil"/>
              <w:left w:val="nil"/>
              <w:bottom w:val="nil"/>
              <w:right w:val="nil"/>
            </w:tcBorders>
            <w:shd w:val="clear" w:color="auto" w:fill="auto"/>
            <w:noWrap/>
            <w:vAlign w:val="bottom"/>
          </w:tcPr>
          <w:p w14:paraId="7C6BCBB0" w14:textId="5D4585B4"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662</w:t>
            </w:r>
          </w:p>
        </w:tc>
        <w:tc>
          <w:tcPr>
            <w:tcW w:w="1023" w:type="dxa"/>
            <w:tcBorders>
              <w:top w:val="nil"/>
              <w:left w:val="nil"/>
              <w:bottom w:val="nil"/>
              <w:right w:val="nil"/>
            </w:tcBorders>
            <w:shd w:val="clear" w:color="auto" w:fill="auto"/>
            <w:noWrap/>
            <w:vAlign w:val="bottom"/>
          </w:tcPr>
          <w:p w14:paraId="4E722116" w14:textId="2D8B8740"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$168</w:t>
            </w:r>
          </w:p>
        </w:tc>
        <w:tc>
          <w:tcPr>
            <w:tcW w:w="1023" w:type="dxa"/>
            <w:tcBorders>
              <w:top w:val="nil"/>
              <w:left w:val="nil"/>
              <w:bottom w:val="nil"/>
              <w:right w:val="nil"/>
            </w:tcBorders>
            <w:shd w:val="clear" w:color="auto" w:fill="auto"/>
            <w:noWrap/>
            <w:vAlign w:val="bottom"/>
          </w:tcPr>
          <w:p w14:paraId="0B6C3677" w14:textId="4440FB05"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$514</w:t>
            </w:r>
          </w:p>
        </w:tc>
        <w:tc>
          <w:tcPr>
            <w:tcW w:w="1024" w:type="dxa"/>
            <w:tcBorders>
              <w:top w:val="nil"/>
              <w:left w:val="nil"/>
              <w:bottom w:val="nil"/>
              <w:right w:val="nil"/>
            </w:tcBorders>
            <w:shd w:val="clear" w:color="auto" w:fill="auto"/>
            <w:noWrap/>
            <w:vAlign w:val="bottom"/>
          </w:tcPr>
          <w:p w14:paraId="5172352B" w14:textId="49CFFED0"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$346</w:t>
            </w:r>
          </w:p>
        </w:tc>
        <w:tc>
          <w:tcPr>
            <w:tcW w:w="987" w:type="dxa"/>
            <w:tcBorders>
              <w:top w:val="nil"/>
              <w:left w:val="nil"/>
              <w:bottom w:val="nil"/>
              <w:right w:val="nil"/>
            </w:tcBorders>
            <w:shd w:val="clear" w:color="auto" w:fill="auto"/>
            <w:vAlign w:val="bottom"/>
          </w:tcPr>
          <w:p w14:paraId="256E8678" w14:textId="0A2D8341"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18.5%</w:t>
            </w:r>
          </w:p>
        </w:tc>
        <w:tc>
          <w:tcPr>
            <w:tcW w:w="705" w:type="dxa"/>
            <w:tcBorders>
              <w:top w:val="nil"/>
              <w:left w:val="nil"/>
              <w:bottom w:val="nil"/>
              <w:right w:val="single" w:sz="4" w:space="0" w:color="auto"/>
            </w:tcBorders>
            <w:shd w:val="clear" w:color="auto" w:fill="auto"/>
            <w:noWrap/>
            <w:vAlign w:val="bottom"/>
          </w:tcPr>
          <w:p w14:paraId="1C2966E3" w14:textId="1BA109D5"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3.0</w:t>
            </w:r>
          </w:p>
        </w:tc>
        <w:tc>
          <w:tcPr>
            <w:tcW w:w="704" w:type="dxa"/>
            <w:tcBorders>
              <w:top w:val="nil"/>
              <w:left w:val="nil"/>
              <w:bottom w:val="nil"/>
              <w:right w:val="nil"/>
            </w:tcBorders>
            <w:shd w:val="clear" w:color="auto" w:fill="auto"/>
            <w:vAlign w:val="bottom"/>
          </w:tcPr>
          <w:p w14:paraId="7B5CDC44" w14:textId="61C09989"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$248</w:t>
            </w:r>
          </w:p>
        </w:tc>
        <w:tc>
          <w:tcPr>
            <w:tcW w:w="706" w:type="dxa"/>
            <w:tcBorders>
              <w:top w:val="nil"/>
              <w:left w:val="nil"/>
              <w:bottom w:val="nil"/>
              <w:right w:val="single" w:sz="4" w:space="0" w:color="auto"/>
            </w:tcBorders>
            <w:shd w:val="clear" w:color="auto" w:fill="auto"/>
            <w:vAlign w:val="bottom"/>
          </w:tcPr>
          <w:p w14:paraId="347B19AF" w14:textId="26F60A88"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1.5</w:t>
            </w:r>
          </w:p>
        </w:tc>
      </w:tr>
      <w:tr w:rsidR="00933B0C" w:rsidRPr="00933B0C" w14:paraId="2F97F525" w14:textId="77777777" w:rsidTr="00BC35DA">
        <w:trPr>
          <w:trHeight w:val="241"/>
          <w:jc w:val="center"/>
        </w:trPr>
        <w:tc>
          <w:tcPr>
            <w:tcW w:w="997" w:type="dxa"/>
            <w:gridSpan w:val="2"/>
            <w:tcBorders>
              <w:top w:val="nil"/>
              <w:left w:val="single" w:sz="4" w:space="0" w:color="auto"/>
              <w:bottom w:val="nil"/>
              <w:right w:val="nil"/>
            </w:tcBorders>
            <w:noWrap/>
            <w:vAlign w:val="bottom"/>
          </w:tcPr>
          <w:p w14:paraId="0219BDBC"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Qld</w:t>
            </w:r>
          </w:p>
        </w:tc>
        <w:tc>
          <w:tcPr>
            <w:tcW w:w="1430" w:type="dxa"/>
            <w:tcBorders>
              <w:top w:val="nil"/>
              <w:left w:val="nil"/>
              <w:bottom w:val="nil"/>
              <w:right w:val="nil"/>
            </w:tcBorders>
            <w:shd w:val="clear" w:color="auto" w:fill="auto"/>
            <w:noWrap/>
            <w:vAlign w:val="bottom"/>
          </w:tcPr>
          <w:p w14:paraId="30909390" w14:textId="66DAAF7F"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871</w:t>
            </w:r>
          </w:p>
        </w:tc>
        <w:tc>
          <w:tcPr>
            <w:tcW w:w="1023" w:type="dxa"/>
            <w:tcBorders>
              <w:top w:val="nil"/>
              <w:left w:val="nil"/>
              <w:bottom w:val="nil"/>
              <w:right w:val="nil"/>
            </w:tcBorders>
            <w:shd w:val="clear" w:color="auto" w:fill="auto"/>
            <w:noWrap/>
            <w:vAlign w:val="bottom"/>
          </w:tcPr>
          <w:p w14:paraId="3579D2FB" w14:textId="777DC7B4"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$252</w:t>
            </w:r>
          </w:p>
        </w:tc>
        <w:tc>
          <w:tcPr>
            <w:tcW w:w="1023" w:type="dxa"/>
            <w:tcBorders>
              <w:top w:val="nil"/>
              <w:left w:val="nil"/>
              <w:bottom w:val="nil"/>
              <w:right w:val="nil"/>
            </w:tcBorders>
            <w:shd w:val="clear" w:color="auto" w:fill="auto"/>
            <w:noWrap/>
            <w:vAlign w:val="bottom"/>
          </w:tcPr>
          <w:p w14:paraId="1D9FC598" w14:textId="0E624BEF"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$983</w:t>
            </w:r>
          </w:p>
        </w:tc>
        <w:tc>
          <w:tcPr>
            <w:tcW w:w="1024" w:type="dxa"/>
            <w:tcBorders>
              <w:top w:val="nil"/>
              <w:left w:val="nil"/>
              <w:bottom w:val="nil"/>
              <w:right w:val="nil"/>
            </w:tcBorders>
            <w:shd w:val="clear" w:color="auto" w:fill="auto"/>
            <w:noWrap/>
            <w:vAlign w:val="bottom"/>
          </w:tcPr>
          <w:p w14:paraId="156C2CF7" w14:textId="02A53E16"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$731</w:t>
            </w:r>
          </w:p>
        </w:tc>
        <w:tc>
          <w:tcPr>
            <w:tcW w:w="987" w:type="dxa"/>
            <w:tcBorders>
              <w:top w:val="nil"/>
              <w:left w:val="nil"/>
              <w:bottom w:val="nil"/>
              <w:right w:val="nil"/>
            </w:tcBorders>
            <w:shd w:val="clear" w:color="auto" w:fill="auto"/>
            <w:vAlign w:val="bottom"/>
          </w:tcPr>
          <w:p w14:paraId="7205C3EA" w14:textId="23C7E438"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39.1%</w:t>
            </w:r>
          </w:p>
        </w:tc>
        <w:tc>
          <w:tcPr>
            <w:tcW w:w="705" w:type="dxa"/>
            <w:tcBorders>
              <w:top w:val="nil"/>
              <w:left w:val="nil"/>
              <w:bottom w:val="nil"/>
              <w:right w:val="single" w:sz="4" w:space="0" w:color="auto"/>
            </w:tcBorders>
            <w:shd w:val="clear" w:color="auto" w:fill="auto"/>
            <w:noWrap/>
            <w:vAlign w:val="bottom"/>
          </w:tcPr>
          <w:p w14:paraId="6239CD16" w14:textId="5D90A5EA"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3.9</w:t>
            </w:r>
          </w:p>
        </w:tc>
        <w:tc>
          <w:tcPr>
            <w:tcW w:w="704" w:type="dxa"/>
            <w:tcBorders>
              <w:top w:val="nil"/>
              <w:left w:val="nil"/>
              <w:bottom w:val="nil"/>
              <w:right w:val="nil"/>
            </w:tcBorders>
            <w:shd w:val="clear" w:color="auto" w:fill="auto"/>
            <w:vAlign w:val="bottom"/>
          </w:tcPr>
          <w:p w14:paraId="5E7DA02E" w14:textId="056412FE"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$599</w:t>
            </w:r>
          </w:p>
        </w:tc>
        <w:tc>
          <w:tcPr>
            <w:tcW w:w="706" w:type="dxa"/>
            <w:tcBorders>
              <w:top w:val="nil"/>
              <w:left w:val="nil"/>
              <w:bottom w:val="nil"/>
              <w:right w:val="single" w:sz="4" w:space="0" w:color="auto"/>
            </w:tcBorders>
            <w:shd w:val="clear" w:color="auto" w:fill="auto"/>
            <w:vAlign w:val="bottom"/>
          </w:tcPr>
          <w:p w14:paraId="1476E0BA" w14:textId="1452CFE7"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3.4</w:t>
            </w:r>
          </w:p>
        </w:tc>
      </w:tr>
      <w:tr w:rsidR="00933B0C" w:rsidRPr="00933B0C" w14:paraId="1577C7EE" w14:textId="77777777" w:rsidTr="00BC35DA">
        <w:trPr>
          <w:trHeight w:val="241"/>
          <w:jc w:val="center"/>
        </w:trPr>
        <w:tc>
          <w:tcPr>
            <w:tcW w:w="997" w:type="dxa"/>
            <w:gridSpan w:val="2"/>
            <w:tcBorders>
              <w:top w:val="nil"/>
              <w:left w:val="single" w:sz="4" w:space="0" w:color="auto"/>
              <w:bottom w:val="nil"/>
              <w:right w:val="nil"/>
            </w:tcBorders>
            <w:noWrap/>
            <w:vAlign w:val="bottom"/>
          </w:tcPr>
          <w:p w14:paraId="73A46168"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SA</w:t>
            </w:r>
          </w:p>
        </w:tc>
        <w:tc>
          <w:tcPr>
            <w:tcW w:w="1430" w:type="dxa"/>
            <w:tcBorders>
              <w:top w:val="nil"/>
              <w:left w:val="nil"/>
              <w:bottom w:val="nil"/>
              <w:right w:val="nil"/>
            </w:tcBorders>
            <w:shd w:val="clear" w:color="auto" w:fill="auto"/>
            <w:noWrap/>
            <w:vAlign w:val="bottom"/>
          </w:tcPr>
          <w:p w14:paraId="0439D23D" w14:textId="72FECDA6"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265</w:t>
            </w:r>
          </w:p>
        </w:tc>
        <w:tc>
          <w:tcPr>
            <w:tcW w:w="1023" w:type="dxa"/>
            <w:tcBorders>
              <w:top w:val="nil"/>
              <w:left w:val="nil"/>
              <w:bottom w:val="nil"/>
              <w:right w:val="nil"/>
            </w:tcBorders>
            <w:shd w:val="clear" w:color="auto" w:fill="auto"/>
            <w:noWrap/>
            <w:vAlign w:val="bottom"/>
          </w:tcPr>
          <w:p w14:paraId="39432096" w14:textId="70235236"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$68</w:t>
            </w:r>
          </w:p>
        </w:tc>
        <w:tc>
          <w:tcPr>
            <w:tcW w:w="1023" w:type="dxa"/>
            <w:tcBorders>
              <w:top w:val="nil"/>
              <w:left w:val="nil"/>
              <w:bottom w:val="nil"/>
              <w:right w:val="nil"/>
            </w:tcBorders>
            <w:shd w:val="clear" w:color="auto" w:fill="auto"/>
            <w:noWrap/>
            <w:vAlign w:val="bottom"/>
          </w:tcPr>
          <w:p w14:paraId="5F45FDB2" w14:textId="5F4035B9"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$242</w:t>
            </w:r>
          </w:p>
        </w:tc>
        <w:tc>
          <w:tcPr>
            <w:tcW w:w="1024" w:type="dxa"/>
            <w:tcBorders>
              <w:top w:val="nil"/>
              <w:left w:val="nil"/>
              <w:bottom w:val="nil"/>
              <w:right w:val="nil"/>
            </w:tcBorders>
            <w:shd w:val="clear" w:color="auto" w:fill="auto"/>
            <w:noWrap/>
            <w:vAlign w:val="bottom"/>
          </w:tcPr>
          <w:p w14:paraId="1B228263" w14:textId="3CFA2192"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$174</w:t>
            </w:r>
          </w:p>
        </w:tc>
        <w:tc>
          <w:tcPr>
            <w:tcW w:w="987" w:type="dxa"/>
            <w:tcBorders>
              <w:top w:val="nil"/>
              <w:left w:val="nil"/>
              <w:bottom w:val="nil"/>
              <w:right w:val="nil"/>
            </w:tcBorders>
            <w:shd w:val="clear" w:color="auto" w:fill="auto"/>
            <w:vAlign w:val="bottom"/>
          </w:tcPr>
          <w:p w14:paraId="15F0D8F3" w14:textId="484E62BB"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9.3%</w:t>
            </w:r>
          </w:p>
        </w:tc>
        <w:tc>
          <w:tcPr>
            <w:tcW w:w="705" w:type="dxa"/>
            <w:tcBorders>
              <w:top w:val="nil"/>
              <w:left w:val="nil"/>
              <w:bottom w:val="nil"/>
              <w:right w:val="single" w:sz="4" w:space="0" w:color="auto"/>
            </w:tcBorders>
            <w:shd w:val="clear" w:color="auto" w:fill="auto"/>
            <w:noWrap/>
            <w:vAlign w:val="bottom"/>
          </w:tcPr>
          <w:p w14:paraId="53BF929B" w14:textId="49A9ADA1"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3.5</w:t>
            </w:r>
          </w:p>
        </w:tc>
        <w:tc>
          <w:tcPr>
            <w:tcW w:w="704" w:type="dxa"/>
            <w:tcBorders>
              <w:top w:val="nil"/>
              <w:left w:val="nil"/>
              <w:bottom w:val="nil"/>
              <w:right w:val="nil"/>
            </w:tcBorders>
            <w:shd w:val="clear" w:color="auto" w:fill="auto"/>
            <w:vAlign w:val="bottom"/>
          </w:tcPr>
          <w:p w14:paraId="77682437" w14:textId="0E210AAE"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$139</w:t>
            </w:r>
          </w:p>
        </w:tc>
        <w:tc>
          <w:tcPr>
            <w:tcW w:w="706" w:type="dxa"/>
            <w:tcBorders>
              <w:top w:val="nil"/>
              <w:left w:val="nil"/>
              <w:bottom w:val="nil"/>
              <w:right w:val="single" w:sz="4" w:space="0" w:color="auto"/>
            </w:tcBorders>
            <w:shd w:val="clear" w:color="auto" w:fill="auto"/>
            <w:vAlign w:val="bottom"/>
          </w:tcPr>
          <w:p w14:paraId="71423F00" w14:textId="0B29BCDB"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3.1</w:t>
            </w:r>
          </w:p>
        </w:tc>
      </w:tr>
      <w:tr w:rsidR="00933B0C" w:rsidRPr="00933B0C" w14:paraId="6F9425C2" w14:textId="77777777" w:rsidTr="00BC35DA">
        <w:trPr>
          <w:trHeight w:val="241"/>
          <w:jc w:val="center"/>
        </w:trPr>
        <w:tc>
          <w:tcPr>
            <w:tcW w:w="997" w:type="dxa"/>
            <w:gridSpan w:val="2"/>
            <w:tcBorders>
              <w:top w:val="nil"/>
              <w:left w:val="single" w:sz="4" w:space="0" w:color="auto"/>
              <w:bottom w:val="nil"/>
              <w:right w:val="nil"/>
            </w:tcBorders>
            <w:noWrap/>
            <w:vAlign w:val="bottom"/>
          </w:tcPr>
          <w:p w14:paraId="2F3DC2B7"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WA</w:t>
            </w:r>
          </w:p>
        </w:tc>
        <w:tc>
          <w:tcPr>
            <w:tcW w:w="1430" w:type="dxa"/>
            <w:tcBorders>
              <w:top w:val="nil"/>
              <w:left w:val="nil"/>
              <w:bottom w:val="nil"/>
              <w:right w:val="nil"/>
            </w:tcBorders>
            <w:shd w:val="clear" w:color="auto" w:fill="auto"/>
            <w:noWrap/>
            <w:vAlign w:val="bottom"/>
          </w:tcPr>
          <w:p w14:paraId="6F63A45E" w14:textId="251CE918"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447</w:t>
            </w:r>
          </w:p>
        </w:tc>
        <w:tc>
          <w:tcPr>
            <w:tcW w:w="1023" w:type="dxa"/>
            <w:tcBorders>
              <w:top w:val="nil"/>
              <w:left w:val="nil"/>
              <w:bottom w:val="nil"/>
              <w:right w:val="nil"/>
            </w:tcBorders>
            <w:shd w:val="clear" w:color="auto" w:fill="auto"/>
            <w:noWrap/>
            <w:vAlign w:val="bottom"/>
          </w:tcPr>
          <w:p w14:paraId="5CA5ABB3" w14:textId="3158764C"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$113</w:t>
            </w:r>
          </w:p>
        </w:tc>
        <w:tc>
          <w:tcPr>
            <w:tcW w:w="1023" w:type="dxa"/>
            <w:tcBorders>
              <w:top w:val="nil"/>
              <w:left w:val="nil"/>
              <w:bottom w:val="nil"/>
              <w:right w:val="nil"/>
            </w:tcBorders>
            <w:shd w:val="clear" w:color="auto" w:fill="auto"/>
            <w:noWrap/>
            <w:vAlign w:val="bottom"/>
          </w:tcPr>
          <w:p w14:paraId="5AB8CE1D" w14:textId="236A5E01"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$513</w:t>
            </w:r>
          </w:p>
        </w:tc>
        <w:tc>
          <w:tcPr>
            <w:tcW w:w="1024" w:type="dxa"/>
            <w:tcBorders>
              <w:top w:val="nil"/>
              <w:left w:val="nil"/>
              <w:bottom w:val="nil"/>
              <w:right w:val="nil"/>
            </w:tcBorders>
            <w:shd w:val="clear" w:color="auto" w:fill="auto"/>
            <w:noWrap/>
            <w:vAlign w:val="bottom"/>
          </w:tcPr>
          <w:p w14:paraId="7EC81170" w14:textId="508FDA6A"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$400</w:t>
            </w:r>
          </w:p>
        </w:tc>
        <w:tc>
          <w:tcPr>
            <w:tcW w:w="987" w:type="dxa"/>
            <w:tcBorders>
              <w:top w:val="nil"/>
              <w:left w:val="nil"/>
              <w:bottom w:val="nil"/>
              <w:right w:val="nil"/>
            </w:tcBorders>
            <w:shd w:val="clear" w:color="auto" w:fill="auto"/>
            <w:vAlign w:val="bottom"/>
          </w:tcPr>
          <w:p w14:paraId="5C51ECE6" w14:textId="51CFAF97"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21.4%</w:t>
            </w:r>
          </w:p>
        </w:tc>
        <w:tc>
          <w:tcPr>
            <w:tcW w:w="705" w:type="dxa"/>
            <w:tcBorders>
              <w:top w:val="nil"/>
              <w:left w:val="nil"/>
              <w:bottom w:val="nil"/>
              <w:right w:val="single" w:sz="4" w:space="0" w:color="auto"/>
            </w:tcBorders>
            <w:shd w:val="clear" w:color="auto" w:fill="auto"/>
            <w:noWrap/>
            <w:vAlign w:val="bottom"/>
          </w:tcPr>
          <w:p w14:paraId="4DFA0D18" w14:textId="5FD9CFC3"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4.5</w:t>
            </w:r>
          </w:p>
        </w:tc>
        <w:tc>
          <w:tcPr>
            <w:tcW w:w="704" w:type="dxa"/>
            <w:tcBorders>
              <w:top w:val="nil"/>
              <w:left w:val="nil"/>
              <w:bottom w:val="nil"/>
              <w:right w:val="nil"/>
            </w:tcBorders>
            <w:shd w:val="clear" w:color="auto" w:fill="auto"/>
            <w:vAlign w:val="bottom"/>
          </w:tcPr>
          <w:p w14:paraId="0CD52DE2" w14:textId="2AC90710"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$344</w:t>
            </w:r>
          </w:p>
        </w:tc>
        <w:tc>
          <w:tcPr>
            <w:tcW w:w="706" w:type="dxa"/>
            <w:tcBorders>
              <w:top w:val="nil"/>
              <w:left w:val="nil"/>
              <w:bottom w:val="nil"/>
              <w:right w:val="single" w:sz="4" w:space="0" w:color="auto"/>
            </w:tcBorders>
            <w:shd w:val="clear" w:color="auto" w:fill="auto"/>
            <w:vAlign w:val="bottom"/>
          </w:tcPr>
          <w:p w14:paraId="694DFA9C" w14:textId="165B9B9F"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4.0</w:t>
            </w:r>
          </w:p>
        </w:tc>
      </w:tr>
      <w:tr w:rsidR="00933B0C" w:rsidRPr="00933B0C" w14:paraId="3665D915" w14:textId="77777777" w:rsidTr="00BC35DA">
        <w:trPr>
          <w:trHeight w:val="241"/>
          <w:jc w:val="center"/>
        </w:trPr>
        <w:tc>
          <w:tcPr>
            <w:tcW w:w="997" w:type="dxa"/>
            <w:gridSpan w:val="2"/>
            <w:tcBorders>
              <w:top w:val="nil"/>
              <w:left w:val="single" w:sz="4" w:space="0" w:color="auto"/>
              <w:bottom w:val="nil"/>
              <w:right w:val="nil"/>
            </w:tcBorders>
            <w:noWrap/>
            <w:vAlign w:val="bottom"/>
          </w:tcPr>
          <w:p w14:paraId="217983AE"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Tas</w:t>
            </w:r>
          </w:p>
        </w:tc>
        <w:tc>
          <w:tcPr>
            <w:tcW w:w="1430" w:type="dxa"/>
            <w:tcBorders>
              <w:top w:val="nil"/>
              <w:left w:val="nil"/>
              <w:bottom w:val="nil"/>
              <w:right w:val="nil"/>
            </w:tcBorders>
            <w:shd w:val="clear" w:color="auto" w:fill="auto"/>
            <w:noWrap/>
            <w:vAlign w:val="bottom"/>
          </w:tcPr>
          <w:p w14:paraId="4DBD7BF5" w14:textId="399E6E20"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68</w:t>
            </w:r>
          </w:p>
        </w:tc>
        <w:tc>
          <w:tcPr>
            <w:tcW w:w="1023" w:type="dxa"/>
            <w:tcBorders>
              <w:top w:val="nil"/>
              <w:left w:val="nil"/>
              <w:bottom w:val="nil"/>
              <w:right w:val="nil"/>
            </w:tcBorders>
            <w:shd w:val="clear" w:color="auto" w:fill="auto"/>
            <w:noWrap/>
            <w:vAlign w:val="bottom"/>
          </w:tcPr>
          <w:p w14:paraId="7949465C" w14:textId="52FF542A"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$24</w:t>
            </w:r>
          </w:p>
        </w:tc>
        <w:tc>
          <w:tcPr>
            <w:tcW w:w="1023" w:type="dxa"/>
            <w:tcBorders>
              <w:top w:val="nil"/>
              <w:left w:val="nil"/>
              <w:bottom w:val="nil"/>
              <w:right w:val="nil"/>
            </w:tcBorders>
            <w:shd w:val="clear" w:color="auto" w:fill="auto"/>
            <w:noWrap/>
            <w:vAlign w:val="bottom"/>
          </w:tcPr>
          <w:p w14:paraId="0B1D27E5" w14:textId="20B7ED7B"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$62</w:t>
            </w:r>
          </w:p>
        </w:tc>
        <w:tc>
          <w:tcPr>
            <w:tcW w:w="1024" w:type="dxa"/>
            <w:tcBorders>
              <w:top w:val="nil"/>
              <w:left w:val="nil"/>
              <w:bottom w:val="nil"/>
              <w:right w:val="nil"/>
            </w:tcBorders>
            <w:shd w:val="clear" w:color="auto" w:fill="auto"/>
            <w:noWrap/>
            <w:vAlign w:val="bottom"/>
          </w:tcPr>
          <w:p w14:paraId="78902207" w14:textId="62771E10"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$38</w:t>
            </w:r>
          </w:p>
        </w:tc>
        <w:tc>
          <w:tcPr>
            <w:tcW w:w="987" w:type="dxa"/>
            <w:tcBorders>
              <w:top w:val="nil"/>
              <w:left w:val="nil"/>
              <w:bottom w:val="nil"/>
              <w:right w:val="nil"/>
            </w:tcBorders>
            <w:shd w:val="clear" w:color="auto" w:fill="auto"/>
            <w:vAlign w:val="bottom"/>
          </w:tcPr>
          <w:p w14:paraId="4C765C54" w14:textId="5A119729"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2.0%</w:t>
            </w:r>
          </w:p>
        </w:tc>
        <w:tc>
          <w:tcPr>
            <w:tcW w:w="705" w:type="dxa"/>
            <w:tcBorders>
              <w:top w:val="nil"/>
              <w:left w:val="nil"/>
              <w:bottom w:val="nil"/>
              <w:right w:val="single" w:sz="4" w:space="0" w:color="auto"/>
            </w:tcBorders>
            <w:shd w:val="clear" w:color="auto" w:fill="auto"/>
            <w:noWrap/>
            <w:vAlign w:val="bottom"/>
          </w:tcPr>
          <w:p w14:paraId="73C0F108" w14:textId="21D3FE8A"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2.6</w:t>
            </w:r>
          </w:p>
        </w:tc>
        <w:tc>
          <w:tcPr>
            <w:tcW w:w="704" w:type="dxa"/>
            <w:tcBorders>
              <w:top w:val="nil"/>
              <w:left w:val="nil"/>
              <w:bottom w:val="nil"/>
              <w:right w:val="nil"/>
            </w:tcBorders>
            <w:shd w:val="clear" w:color="auto" w:fill="auto"/>
            <w:vAlign w:val="bottom"/>
          </w:tcPr>
          <w:p w14:paraId="4BEBBD09" w14:textId="693731F3"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$26</w:t>
            </w:r>
          </w:p>
        </w:tc>
        <w:tc>
          <w:tcPr>
            <w:tcW w:w="706" w:type="dxa"/>
            <w:tcBorders>
              <w:top w:val="nil"/>
              <w:left w:val="nil"/>
              <w:bottom w:val="nil"/>
              <w:right w:val="single" w:sz="4" w:space="0" w:color="auto"/>
            </w:tcBorders>
            <w:shd w:val="clear" w:color="auto" w:fill="auto"/>
            <w:vAlign w:val="bottom"/>
          </w:tcPr>
          <w:p w14:paraId="2DBFE94C" w14:textId="3A69F52F"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2.1</w:t>
            </w:r>
          </w:p>
        </w:tc>
      </w:tr>
      <w:tr w:rsidR="00933B0C" w:rsidRPr="00933B0C" w14:paraId="66A8CEF0" w14:textId="77777777" w:rsidTr="00BC35DA">
        <w:trPr>
          <w:trHeight w:val="241"/>
          <w:jc w:val="center"/>
        </w:trPr>
        <w:tc>
          <w:tcPr>
            <w:tcW w:w="997" w:type="dxa"/>
            <w:gridSpan w:val="2"/>
            <w:tcBorders>
              <w:top w:val="nil"/>
              <w:left w:val="single" w:sz="4" w:space="0" w:color="auto"/>
              <w:bottom w:val="nil"/>
              <w:right w:val="nil"/>
            </w:tcBorders>
            <w:noWrap/>
            <w:vAlign w:val="bottom"/>
          </w:tcPr>
          <w:p w14:paraId="7C45D79D"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NT</w:t>
            </w:r>
          </w:p>
        </w:tc>
        <w:tc>
          <w:tcPr>
            <w:tcW w:w="1430" w:type="dxa"/>
            <w:tcBorders>
              <w:top w:val="nil"/>
              <w:left w:val="nil"/>
              <w:bottom w:val="nil"/>
              <w:right w:val="nil"/>
            </w:tcBorders>
            <w:shd w:val="clear" w:color="auto" w:fill="auto"/>
            <w:noWrap/>
            <w:vAlign w:val="bottom"/>
          </w:tcPr>
          <w:p w14:paraId="1E6D8BD6" w14:textId="7EB9DC4E"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42</w:t>
            </w:r>
          </w:p>
        </w:tc>
        <w:tc>
          <w:tcPr>
            <w:tcW w:w="1023" w:type="dxa"/>
            <w:tcBorders>
              <w:top w:val="nil"/>
              <w:left w:val="nil"/>
              <w:bottom w:val="nil"/>
              <w:right w:val="nil"/>
            </w:tcBorders>
            <w:shd w:val="clear" w:color="auto" w:fill="auto"/>
            <w:noWrap/>
            <w:vAlign w:val="bottom"/>
          </w:tcPr>
          <w:p w14:paraId="6B9A5680" w14:textId="7950E357"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$15</w:t>
            </w:r>
          </w:p>
        </w:tc>
        <w:tc>
          <w:tcPr>
            <w:tcW w:w="1023" w:type="dxa"/>
            <w:tcBorders>
              <w:top w:val="nil"/>
              <w:left w:val="nil"/>
              <w:bottom w:val="nil"/>
              <w:right w:val="nil"/>
            </w:tcBorders>
            <w:shd w:val="clear" w:color="auto" w:fill="auto"/>
            <w:noWrap/>
            <w:vAlign w:val="bottom"/>
          </w:tcPr>
          <w:p w14:paraId="1AF54A76" w14:textId="26863192"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$8</w:t>
            </w:r>
          </w:p>
        </w:tc>
        <w:tc>
          <w:tcPr>
            <w:tcW w:w="1024" w:type="dxa"/>
            <w:tcBorders>
              <w:top w:val="nil"/>
              <w:left w:val="nil"/>
              <w:bottom w:val="nil"/>
              <w:right w:val="nil"/>
            </w:tcBorders>
            <w:shd w:val="clear" w:color="auto" w:fill="auto"/>
            <w:noWrap/>
            <w:vAlign w:val="bottom"/>
          </w:tcPr>
          <w:p w14:paraId="4F366250" w14:textId="7C8D4FF4"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FF0000"/>
                <w:sz w:val="18"/>
                <w:szCs w:val="18"/>
              </w:rPr>
              <w:t>-$7</w:t>
            </w:r>
          </w:p>
        </w:tc>
        <w:tc>
          <w:tcPr>
            <w:tcW w:w="987" w:type="dxa"/>
            <w:tcBorders>
              <w:top w:val="nil"/>
              <w:left w:val="nil"/>
              <w:bottom w:val="nil"/>
              <w:right w:val="nil"/>
            </w:tcBorders>
            <w:shd w:val="clear" w:color="auto" w:fill="auto"/>
            <w:vAlign w:val="bottom"/>
          </w:tcPr>
          <w:p w14:paraId="746681E8" w14:textId="6613EFCE"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-0.4%</w:t>
            </w:r>
          </w:p>
        </w:tc>
        <w:tc>
          <w:tcPr>
            <w:tcW w:w="705" w:type="dxa"/>
            <w:tcBorders>
              <w:top w:val="nil"/>
              <w:left w:val="nil"/>
              <w:bottom w:val="nil"/>
              <w:right w:val="single" w:sz="4" w:space="0" w:color="auto"/>
            </w:tcBorders>
            <w:shd w:val="clear" w:color="auto" w:fill="auto"/>
            <w:noWrap/>
            <w:vAlign w:val="bottom"/>
          </w:tcPr>
          <w:p w14:paraId="1B92A23C" w14:textId="2683513C"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0.6</w:t>
            </w:r>
          </w:p>
        </w:tc>
        <w:tc>
          <w:tcPr>
            <w:tcW w:w="704" w:type="dxa"/>
            <w:tcBorders>
              <w:top w:val="nil"/>
              <w:left w:val="nil"/>
              <w:bottom w:val="nil"/>
              <w:right w:val="nil"/>
            </w:tcBorders>
            <w:shd w:val="clear" w:color="auto" w:fill="auto"/>
            <w:vAlign w:val="bottom"/>
          </w:tcPr>
          <w:p w14:paraId="6366A280" w14:textId="3799F1AC"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FF0000"/>
                <w:sz w:val="18"/>
                <w:szCs w:val="18"/>
              </w:rPr>
              <w:t>-$12</w:t>
            </w:r>
          </w:p>
        </w:tc>
        <w:tc>
          <w:tcPr>
            <w:tcW w:w="706" w:type="dxa"/>
            <w:tcBorders>
              <w:top w:val="nil"/>
              <w:left w:val="nil"/>
              <w:bottom w:val="nil"/>
              <w:right w:val="single" w:sz="4" w:space="0" w:color="auto"/>
            </w:tcBorders>
            <w:shd w:val="clear" w:color="auto" w:fill="auto"/>
            <w:vAlign w:val="bottom"/>
          </w:tcPr>
          <w:p w14:paraId="7374E602" w14:textId="449F52D9"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0.2</w:t>
            </w:r>
          </w:p>
        </w:tc>
      </w:tr>
      <w:tr w:rsidR="00933B0C" w:rsidRPr="00933B0C" w14:paraId="18E885CC" w14:textId="77777777" w:rsidTr="00BC35DA">
        <w:trPr>
          <w:trHeight w:val="241"/>
          <w:jc w:val="center"/>
        </w:trPr>
        <w:tc>
          <w:tcPr>
            <w:tcW w:w="997" w:type="dxa"/>
            <w:gridSpan w:val="2"/>
            <w:tcBorders>
              <w:top w:val="nil"/>
              <w:left w:val="single" w:sz="4" w:space="0" w:color="auto"/>
              <w:bottom w:val="single" w:sz="4" w:space="0" w:color="auto"/>
              <w:right w:val="nil"/>
            </w:tcBorders>
            <w:noWrap/>
            <w:vAlign w:val="bottom"/>
          </w:tcPr>
          <w:p w14:paraId="7517C2E6"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ACT</w:t>
            </w:r>
          </w:p>
        </w:tc>
        <w:tc>
          <w:tcPr>
            <w:tcW w:w="1430" w:type="dxa"/>
            <w:tcBorders>
              <w:top w:val="nil"/>
              <w:left w:val="nil"/>
              <w:bottom w:val="nil"/>
              <w:right w:val="nil"/>
            </w:tcBorders>
            <w:shd w:val="clear" w:color="auto" w:fill="auto"/>
            <w:noWrap/>
            <w:vAlign w:val="bottom"/>
          </w:tcPr>
          <w:p w14:paraId="2B9CD91B" w14:textId="4DA6E13E"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55</w:t>
            </w:r>
          </w:p>
        </w:tc>
        <w:tc>
          <w:tcPr>
            <w:tcW w:w="1023" w:type="dxa"/>
            <w:tcBorders>
              <w:top w:val="nil"/>
              <w:left w:val="nil"/>
              <w:bottom w:val="nil"/>
              <w:right w:val="nil"/>
            </w:tcBorders>
            <w:shd w:val="clear" w:color="auto" w:fill="auto"/>
            <w:noWrap/>
            <w:vAlign w:val="bottom"/>
          </w:tcPr>
          <w:p w14:paraId="3B41BBD9" w14:textId="46202447"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$19</w:t>
            </w:r>
          </w:p>
        </w:tc>
        <w:tc>
          <w:tcPr>
            <w:tcW w:w="1023" w:type="dxa"/>
            <w:tcBorders>
              <w:top w:val="nil"/>
              <w:left w:val="nil"/>
              <w:bottom w:val="nil"/>
              <w:right w:val="nil"/>
            </w:tcBorders>
            <w:shd w:val="clear" w:color="auto" w:fill="auto"/>
            <w:noWrap/>
            <w:vAlign w:val="bottom"/>
          </w:tcPr>
          <w:p w14:paraId="63D041E8" w14:textId="1406314C"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$15</w:t>
            </w:r>
          </w:p>
        </w:tc>
        <w:tc>
          <w:tcPr>
            <w:tcW w:w="1024" w:type="dxa"/>
            <w:tcBorders>
              <w:top w:val="nil"/>
              <w:left w:val="nil"/>
              <w:bottom w:val="nil"/>
              <w:right w:val="nil"/>
            </w:tcBorders>
            <w:shd w:val="clear" w:color="auto" w:fill="auto"/>
            <w:noWrap/>
            <w:vAlign w:val="bottom"/>
          </w:tcPr>
          <w:p w14:paraId="477D4576" w14:textId="5EE82150"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FF0000"/>
                <w:sz w:val="18"/>
                <w:szCs w:val="18"/>
              </w:rPr>
              <w:t>-$4</w:t>
            </w:r>
          </w:p>
        </w:tc>
        <w:tc>
          <w:tcPr>
            <w:tcW w:w="987" w:type="dxa"/>
            <w:tcBorders>
              <w:top w:val="nil"/>
              <w:left w:val="nil"/>
              <w:bottom w:val="nil"/>
              <w:right w:val="nil"/>
            </w:tcBorders>
            <w:shd w:val="clear" w:color="auto" w:fill="auto"/>
            <w:vAlign w:val="bottom"/>
          </w:tcPr>
          <w:p w14:paraId="2BDE9417" w14:textId="2683F77F"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-0.2%</w:t>
            </w:r>
          </w:p>
        </w:tc>
        <w:tc>
          <w:tcPr>
            <w:tcW w:w="705" w:type="dxa"/>
            <w:tcBorders>
              <w:top w:val="nil"/>
              <w:left w:val="nil"/>
              <w:bottom w:val="nil"/>
              <w:right w:val="single" w:sz="4" w:space="0" w:color="auto"/>
            </w:tcBorders>
            <w:shd w:val="clear" w:color="auto" w:fill="auto"/>
            <w:noWrap/>
            <w:vAlign w:val="bottom"/>
          </w:tcPr>
          <w:p w14:paraId="14E3F021" w14:textId="23A6A5B2"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0.8</w:t>
            </w:r>
          </w:p>
        </w:tc>
        <w:tc>
          <w:tcPr>
            <w:tcW w:w="704" w:type="dxa"/>
            <w:tcBorders>
              <w:top w:val="nil"/>
              <w:left w:val="nil"/>
              <w:bottom w:val="nil"/>
              <w:right w:val="nil"/>
            </w:tcBorders>
            <w:shd w:val="clear" w:color="auto" w:fill="auto"/>
            <w:vAlign w:val="bottom"/>
          </w:tcPr>
          <w:p w14:paraId="077FD731" w14:textId="5247D3D7"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FF0000"/>
                <w:sz w:val="18"/>
                <w:szCs w:val="18"/>
              </w:rPr>
              <w:t>-$12</w:t>
            </w:r>
          </w:p>
        </w:tc>
        <w:tc>
          <w:tcPr>
            <w:tcW w:w="706" w:type="dxa"/>
            <w:tcBorders>
              <w:top w:val="nil"/>
              <w:left w:val="nil"/>
              <w:bottom w:val="nil"/>
              <w:right w:val="single" w:sz="4" w:space="0" w:color="auto"/>
            </w:tcBorders>
            <w:shd w:val="clear" w:color="auto" w:fill="auto"/>
            <w:vAlign w:val="bottom"/>
          </w:tcPr>
          <w:p w14:paraId="4E6F24ED" w14:textId="6482084D"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0.4</w:t>
            </w:r>
          </w:p>
        </w:tc>
      </w:tr>
      <w:tr w:rsidR="00933B0C" w:rsidRPr="00933B0C" w14:paraId="09609950" w14:textId="77777777" w:rsidTr="00BC35DA">
        <w:trPr>
          <w:trHeight w:val="241"/>
          <w:jc w:val="center"/>
        </w:trPr>
        <w:tc>
          <w:tcPr>
            <w:tcW w:w="997" w:type="dxa"/>
            <w:gridSpan w:val="2"/>
            <w:tcBorders>
              <w:top w:val="single" w:sz="4" w:space="0" w:color="auto"/>
              <w:left w:val="single" w:sz="4" w:space="0" w:color="auto"/>
              <w:bottom w:val="single" w:sz="4" w:space="0" w:color="auto"/>
              <w:right w:val="nil"/>
            </w:tcBorders>
            <w:noWrap/>
            <w:vAlign w:val="bottom"/>
          </w:tcPr>
          <w:p w14:paraId="2B619397"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Australia</w:t>
            </w:r>
          </w:p>
        </w:tc>
        <w:tc>
          <w:tcPr>
            <w:tcW w:w="1430" w:type="dxa"/>
            <w:tcBorders>
              <w:top w:val="single" w:sz="4" w:space="0" w:color="auto"/>
              <w:left w:val="nil"/>
              <w:bottom w:val="single" w:sz="4" w:space="0" w:color="auto"/>
              <w:right w:val="nil"/>
            </w:tcBorders>
            <w:shd w:val="clear" w:color="auto" w:fill="auto"/>
            <w:noWrap/>
            <w:vAlign w:val="bottom"/>
          </w:tcPr>
          <w:p w14:paraId="5967CF56" w14:textId="72DDF183"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3400</w:t>
            </w:r>
          </w:p>
        </w:tc>
        <w:tc>
          <w:tcPr>
            <w:tcW w:w="1023" w:type="dxa"/>
            <w:tcBorders>
              <w:top w:val="single" w:sz="4" w:space="0" w:color="auto"/>
              <w:left w:val="nil"/>
              <w:bottom w:val="single" w:sz="4" w:space="0" w:color="auto"/>
              <w:right w:val="nil"/>
            </w:tcBorders>
            <w:shd w:val="clear" w:color="auto" w:fill="auto"/>
            <w:noWrap/>
            <w:vAlign w:val="bottom"/>
          </w:tcPr>
          <w:p w14:paraId="7E89FB04" w14:textId="27321E0C"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$960</w:t>
            </w:r>
          </w:p>
        </w:tc>
        <w:tc>
          <w:tcPr>
            <w:tcW w:w="1023" w:type="dxa"/>
            <w:tcBorders>
              <w:top w:val="single" w:sz="4" w:space="0" w:color="auto"/>
              <w:left w:val="nil"/>
              <w:bottom w:val="single" w:sz="4" w:space="0" w:color="auto"/>
              <w:right w:val="nil"/>
            </w:tcBorders>
            <w:shd w:val="clear" w:color="auto" w:fill="auto"/>
            <w:noWrap/>
            <w:vAlign w:val="bottom"/>
          </w:tcPr>
          <w:p w14:paraId="0E6FD46C" w14:textId="3F1830EC"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$2,829</w:t>
            </w:r>
          </w:p>
        </w:tc>
        <w:tc>
          <w:tcPr>
            <w:tcW w:w="1024" w:type="dxa"/>
            <w:tcBorders>
              <w:top w:val="single" w:sz="4" w:space="0" w:color="auto"/>
              <w:left w:val="nil"/>
              <w:bottom w:val="single" w:sz="4" w:space="0" w:color="auto"/>
              <w:right w:val="nil"/>
            </w:tcBorders>
            <w:shd w:val="clear" w:color="auto" w:fill="auto"/>
            <w:noWrap/>
            <w:vAlign w:val="bottom"/>
          </w:tcPr>
          <w:p w14:paraId="7334F265" w14:textId="59BFDE41"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$1,869</w:t>
            </w:r>
          </w:p>
        </w:tc>
        <w:tc>
          <w:tcPr>
            <w:tcW w:w="987" w:type="dxa"/>
            <w:tcBorders>
              <w:top w:val="single" w:sz="4" w:space="0" w:color="auto"/>
              <w:left w:val="nil"/>
              <w:bottom w:val="single" w:sz="4" w:space="0" w:color="auto"/>
              <w:right w:val="nil"/>
            </w:tcBorders>
            <w:shd w:val="clear" w:color="auto" w:fill="auto"/>
            <w:vAlign w:val="bottom"/>
          </w:tcPr>
          <w:p w14:paraId="5144119D" w14:textId="0E2B7299"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100.0%</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3B6496DE" w14:textId="050FCEE3"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2.9</w:t>
            </w:r>
          </w:p>
        </w:tc>
        <w:tc>
          <w:tcPr>
            <w:tcW w:w="704" w:type="dxa"/>
            <w:tcBorders>
              <w:top w:val="single" w:sz="4" w:space="0" w:color="auto"/>
              <w:left w:val="nil"/>
              <w:bottom w:val="single" w:sz="4" w:space="0" w:color="auto"/>
              <w:right w:val="nil"/>
            </w:tcBorders>
            <w:shd w:val="clear" w:color="auto" w:fill="auto"/>
            <w:vAlign w:val="bottom"/>
          </w:tcPr>
          <w:p w14:paraId="1CFC8C88" w14:textId="3A55E12C"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$1,388</w:t>
            </w:r>
          </w:p>
        </w:tc>
        <w:tc>
          <w:tcPr>
            <w:tcW w:w="706" w:type="dxa"/>
            <w:tcBorders>
              <w:top w:val="single" w:sz="4" w:space="0" w:color="auto"/>
              <w:left w:val="nil"/>
              <w:bottom w:val="single" w:sz="4" w:space="0" w:color="auto"/>
              <w:right w:val="single" w:sz="4" w:space="0" w:color="auto"/>
            </w:tcBorders>
            <w:shd w:val="clear" w:color="auto" w:fill="auto"/>
            <w:vAlign w:val="bottom"/>
          </w:tcPr>
          <w:p w14:paraId="1FA7F4A1" w14:textId="7812AA2F"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2.4</w:t>
            </w:r>
          </w:p>
        </w:tc>
      </w:tr>
      <w:tr w:rsidR="00933B0C" w:rsidRPr="00933B0C" w14:paraId="3786A368" w14:textId="77777777" w:rsidTr="00BC35DA">
        <w:trPr>
          <w:trHeight w:val="241"/>
          <w:jc w:val="center"/>
        </w:trPr>
        <w:tc>
          <w:tcPr>
            <w:tcW w:w="997" w:type="dxa"/>
            <w:gridSpan w:val="2"/>
            <w:tcBorders>
              <w:top w:val="single" w:sz="4" w:space="0" w:color="auto"/>
              <w:left w:val="single" w:sz="4" w:space="0" w:color="auto"/>
              <w:bottom w:val="single" w:sz="4" w:space="0" w:color="auto"/>
              <w:right w:val="nil"/>
            </w:tcBorders>
            <w:noWrap/>
            <w:vAlign w:val="bottom"/>
          </w:tcPr>
          <w:p w14:paraId="59E636DA" w14:textId="77777777" w:rsidR="00933B0C" w:rsidRPr="00933B0C" w:rsidRDefault="00933B0C" w:rsidP="00933B0C">
            <w:pPr>
              <w:tabs>
                <w:tab w:val="left" w:pos="3293"/>
              </w:tabs>
              <w:spacing w:before="60" w:after="60" w:line="240" w:lineRule="auto"/>
              <w:ind w:left="35"/>
              <w:rPr>
                <w:rFonts w:ascii="Calibri" w:eastAsia="Arial Unicode MS" w:hAnsi="Calibri" w:cs="Calibri"/>
                <w:sz w:val="18"/>
                <w:szCs w:val="18"/>
                <w:lang w:val="en-AU"/>
              </w:rPr>
            </w:pPr>
            <w:r w:rsidRPr="00933B0C">
              <w:rPr>
                <w:rFonts w:ascii="Calibri" w:eastAsia="Times New Roman" w:hAnsi="Calibri" w:cs="Calibri"/>
                <w:sz w:val="18"/>
                <w:szCs w:val="18"/>
                <w:lang w:val="en-AU"/>
              </w:rPr>
              <w:t>New Zealand</w:t>
            </w:r>
          </w:p>
        </w:tc>
        <w:tc>
          <w:tcPr>
            <w:tcW w:w="1430" w:type="dxa"/>
            <w:tcBorders>
              <w:top w:val="nil"/>
              <w:left w:val="nil"/>
              <w:bottom w:val="single" w:sz="4" w:space="0" w:color="auto"/>
              <w:right w:val="nil"/>
            </w:tcBorders>
            <w:shd w:val="clear" w:color="auto" w:fill="auto"/>
            <w:noWrap/>
            <w:vAlign w:val="bottom"/>
          </w:tcPr>
          <w:p w14:paraId="6FD32A26" w14:textId="4302AF01"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444</w:t>
            </w:r>
          </w:p>
        </w:tc>
        <w:tc>
          <w:tcPr>
            <w:tcW w:w="1023" w:type="dxa"/>
            <w:tcBorders>
              <w:top w:val="nil"/>
              <w:left w:val="nil"/>
              <w:bottom w:val="single" w:sz="4" w:space="0" w:color="auto"/>
              <w:right w:val="nil"/>
            </w:tcBorders>
            <w:shd w:val="clear" w:color="auto" w:fill="auto"/>
            <w:noWrap/>
            <w:vAlign w:val="bottom"/>
          </w:tcPr>
          <w:p w14:paraId="1304F5A9" w14:textId="065860DA"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$147</w:t>
            </w:r>
          </w:p>
        </w:tc>
        <w:tc>
          <w:tcPr>
            <w:tcW w:w="1023" w:type="dxa"/>
            <w:tcBorders>
              <w:top w:val="nil"/>
              <w:left w:val="nil"/>
              <w:bottom w:val="single" w:sz="4" w:space="0" w:color="auto"/>
              <w:right w:val="nil"/>
            </w:tcBorders>
            <w:shd w:val="clear" w:color="auto" w:fill="auto"/>
            <w:noWrap/>
            <w:vAlign w:val="bottom"/>
          </w:tcPr>
          <w:p w14:paraId="4050FFA1" w14:textId="0F4F4FE1"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$407</w:t>
            </w:r>
          </w:p>
        </w:tc>
        <w:tc>
          <w:tcPr>
            <w:tcW w:w="1024" w:type="dxa"/>
            <w:tcBorders>
              <w:top w:val="nil"/>
              <w:left w:val="nil"/>
              <w:bottom w:val="single" w:sz="4" w:space="0" w:color="auto"/>
              <w:right w:val="nil"/>
            </w:tcBorders>
            <w:shd w:val="clear" w:color="auto" w:fill="auto"/>
            <w:noWrap/>
            <w:vAlign w:val="bottom"/>
          </w:tcPr>
          <w:p w14:paraId="7E6B95E8" w14:textId="60B9E92E"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$260</w:t>
            </w:r>
          </w:p>
        </w:tc>
        <w:tc>
          <w:tcPr>
            <w:tcW w:w="987" w:type="dxa"/>
            <w:tcBorders>
              <w:top w:val="nil"/>
              <w:left w:val="nil"/>
              <w:bottom w:val="single" w:sz="4" w:space="0" w:color="auto"/>
              <w:right w:val="nil"/>
            </w:tcBorders>
            <w:shd w:val="clear" w:color="auto" w:fill="auto"/>
            <w:vAlign w:val="bottom"/>
          </w:tcPr>
          <w:p w14:paraId="0062DDFF" w14:textId="6AB55BED" w:rsidR="00933B0C" w:rsidRPr="00933B0C" w:rsidRDefault="00933B0C" w:rsidP="00933B0C">
            <w:pPr>
              <w:tabs>
                <w:tab w:val="left" w:pos="3293"/>
              </w:tabs>
              <w:spacing w:before="60" w:after="60" w:line="240" w:lineRule="auto"/>
              <w:ind w:left="35"/>
              <w:jc w:val="right"/>
              <w:rPr>
                <w:rFonts w:ascii="Calibri" w:eastAsia="Arial Unicode MS" w:hAnsi="Calibri" w:cs="Calibri"/>
                <w:sz w:val="18"/>
                <w:szCs w:val="18"/>
                <w:lang w:val="en-AU"/>
              </w:rPr>
            </w:pPr>
            <w:r w:rsidRPr="00933B0C">
              <w:rPr>
                <w:rFonts w:ascii="Calibri" w:hAnsi="Calibri" w:cs="Calibri"/>
                <w:color w:val="000000"/>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14:paraId="6BEB24B9" w14:textId="536907CB" w:rsidR="00933B0C" w:rsidRPr="00933B0C" w:rsidRDefault="00933B0C" w:rsidP="00933B0C">
            <w:pPr>
              <w:tabs>
                <w:tab w:val="left" w:pos="3293"/>
              </w:tabs>
              <w:spacing w:before="60" w:after="60" w:line="240" w:lineRule="auto"/>
              <w:ind w:left="35"/>
              <w:jc w:val="center"/>
              <w:rPr>
                <w:rFonts w:ascii="Calibri" w:eastAsia="Arial Unicode MS" w:hAnsi="Calibri" w:cs="Calibri"/>
                <w:sz w:val="18"/>
                <w:szCs w:val="18"/>
                <w:lang w:val="en-AU"/>
              </w:rPr>
            </w:pPr>
            <w:r w:rsidRPr="00933B0C">
              <w:rPr>
                <w:rFonts w:ascii="Calibri" w:hAnsi="Calibri" w:cs="Calibri"/>
                <w:color w:val="000000"/>
                <w:sz w:val="18"/>
                <w:szCs w:val="18"/>
              </w:rPr>
              <w:t>2.</w:t>
            </w:r>
            <w:r w:rsidR="00A11B21">
              <w:rPr>
                <w:rFonts w:ascii="Calibri" w:hAnsi="Calibri" w:cs="Calibri"/>
                <w:color w:val="000000"/>
                <w:sz w:val="18"/>
                <w:szCs w:val="18"/>
              </w:rPr>
              <w:t>8</w:t>
            </w:r>
          </w:p>
        </w:tc>
        <w:tc>
          <w:tcPr>
            <w:tcW w:w="704" w:type="dxa"/>
            <w:tcBorders>
              <w:top w:val="nil"/>
              <w:left w:val="nil"/>
              <w:bottom w:val="single" w:sz="4" w:space="0" w:color="auto"/>
              <w:right w:val="nil"/>
            </w:tcBorders>
            <w:shd w:val="clear" w:color="auto" w:fill="auto"/>
            <w:vAlign w:val="bottom"/>
          </w:tcPr>
          <w:p w14:paraId="36ECCA0A" w14:textId="65AFFBCA"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$220</w:t>
            </w:r>
          </w:p>
        </w:tc>
        <w:tc>
          <w:tcPr>
            <w:tcW w:w="706" w:type="dxa"/>
            <w:tcBorders>
              <w:top w:val="nil"/>
              <w:left w:val="nil"/>
              <w:bottom w:val="single" w:sz="4" w:space="0" w:color="auto"/>
              <w:right w:val="single" w:sz="4" w:space="0" w:color="auto"/>
            </w:tcBorders>
            <w:shd w:val="clear" w:color="auto" w:fill="auto"/>
            <w:vAlign w:val="bottom"/>
          </w:tcPr>
          <w:p w14:paraId="350FBB06" w14:textId="4BD25514" w:rsidR="00933B0C" w:rsidRPr="00933B0C" w:rsidRDefault="00933B0C" w:rsidP="00933B0C">
            <w:pPr>
              <w:tabs>
                <w:tab w:val="left" w:pos="3293"/>
              </w:tabs>
              <w:spacing w:before="60" w:after="60" w:line="240" w:lineRule="auto"/>
              <w:ind w:left="35"/>
              <w:jc w:val="center"/>
              <w:rPr>
                <w:rFonts w:ascii="Calibri" w:eastAsia="Times New Roman" w:hAnsi="Calibri" w:cs="Calibri"/>
                <w:color w:val="000000"/>
                <w:sz w:val="18"/>
                <w:szCs w:val="18"/>
                <w:lang w:val="en-AU"/>
              </w:rPr>
            </w:pPr>
            <w:r w:rsidRPr="00933B0C">
              <w:rPr>
                <w:rFonts w:ascii="Calibri" w:hAnsi="Calibri" w:cs="Calibri"/>
                <w:color w:val="000000"/>
                <w:sz w:val="18"/>
                <w:szCs w:val="18"/>
              </w:rPr>
              <w:t>2.5</w:t>
            </w:r>
          </w:p>
        </w:tc>
      </w:tr>
    </w:tbl>
    <w:p w14:paraId="43379889" w14:textId="0D3DB260" w:rsidR="00A37634" w:rsidRPr="00A37634" w:rsidRDefault="00A37634" w:rsidP="003221FC">
      <w:pPr>
        <w:spacing w:after="0" w:line="278" w:lineRule="auto"/>
        <w:ind w:left="360" w:hanging="218"/>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7% discount rate for costs and benefits 202</w:t>
      </w:r>
      <w:r w:rsidR="007254CA">
        <w:rPr>
          <w:rFonts w:ascii="Calibri" w:eastAsia="Cambria" w:hAnsi="Calibri" w:cs="Calibri"/>
          <w:sz w:val="16"/>
          <w:szCs w:val="24"/>
          <w:lang w:val="en-AU"/>
        </w:rPr>
        <w:t>0</w:t>
      </w:r>
      <w:r w:rsidRPr="00A37634">
        <w:rPr>
          <w:rFonts w:ascii="Calibri" w:eastAsia="Cambria" w:hAnsi="Calibri" w:cs="Calibri"/>
          <w:sz w:val="16"/>
          <w:szCs w:val="24"/>
          <w:lang w:val="en-AU"/>
        </w:rPr>
        <w:t>-203</w:t>
      </w:r>
      <w:r w:rsidR="007254CA">
        <w:rPr>
          <w:rFonts w:ascii="Calibri" w:eastAsia="Cambria" w:hAnsi="Calibri" w:cs="Calibri"/>
          <w:sz w:val="16"/>
          <w:szCs w:val="24"/>
          <w:lang w:val="en-AU"/>
        </w:rPr>
        <w:t>6</w:t>
      </w:r>
      <w:r w:rsidRPr="00A37634">
        <w:rPr>
          <w:rFonts w:ascii="Calibri" w:eastAsia="Cambria" w:hAnsi="Calibri" w:cs="Calibri"/>
          <w:sz w:val="16"/>
          <w:szCs w:val="24"/>
          <w:lang w:val="en-AU"/>
        </w:rPr>
        <w:t>; 6% discount rate for NZ</w:t>
      </w:r>
    </w:p>
    <w:p w14:paraId="46E38BBF" w14:textId="15FBD68A" w:rsidR="00A37634" w:rsidRDefault="00A37634" w:rsidP="00A37634">
      <w:pPr>
        <w:spacing w:after="120" w:line="276" w:lineRule="auto"/>
        <w:rPr>
          <w:rFonts w:ascii="Calibri" w:eastAsia="Calibri" w:hAnsi="Calibri" w:cs="Calibri"/>
          <w:szCs w:val="20"/>
          <w:lang w:val="en-AU"/>
        </w:rPr>
      </w:pPr>
    </w:p>
    <w:p w14:paraId="2274FF45" w14:textId="4B60A47F" w:rsidR="00A37634" w:rsidRPr="00A37634" w:rsidRDefault="00A37634" w:rsidP="003221FC">
      <w:pPr>
        <w:spacing w:before="240" w:after="120" w:line="240" w:lineRule="auto"/>
        <w:jc w:val="center"/>
        <w:rPr>
          <w:rFonts w:ascii="Calibri" w:eastAsia="Cambria" w:hAnsi="Calibri" w:cs="Calibri"/>
          <w:b/>
          <w:bCs/>
          <w:sz w:val="20"/>
          <w:szCs w:val="16"/>
          <w:lang w:val="en-AU"/>
        </w:rPr>
      </w:pPr>
      <w:bookmarkStart w:id="103" w:name="_Ref392238878"/>
      <w:bookmarkStart w:id="104" w:name="_Toc11360609"/>
      <w:bookmarkStart w:id="105" w:name="_Toc22486956"/>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12</w:t>
      </w:r>
      <w:r w:rsidRPr="00A37634">
        <w:rPr>
          <w:rFonts w:ascii="Calibri" w:eastAsia="Cambria" w:hAnsi="Calibri" w:cs="Calibri"/>
          <w:b/>
          <w:bCs/>
          <w:noProof/>
          <w:sz w:val="20"/>
          <w:szCs w:val="16"/>
          <w:lang w:val="en-AU"/>
        </w:rPr>
        <w:fldChar w:fldCharType="end"/>
      </w:r>
      <w:bookmarkEnd w:id="103"/>
      <w:r w:rsidRPr="00A37634">
        <w:rPr>
          <w:rFonts w:ascii="Calibri" w:eastAsia="Cambria" w:hAnsi="Calibri" w:cs="Calibri"/>
          <w:b/>
          <w:bCs/>
          <w:sz w:val="20"/>
          <w:szCs w:val="16"/>
          <w:lang w:val="en-AU"/>
        </w:rPr>
        <w:t>. Projected costs and benefits by jurisdiction (high activation)</w:t>
      </w:r>
      <w:bookmarkEnd w:id="104"/>
      <w:bookmarkEnd w:id="105"/>
    </w:p>
    <w:tbl>
      <w:tblPr>
        <w:tblW w:w="8469" w:type="dxa"/>
        <w:jc w:val="center"/>
        <w:tblLayout w:type="fixed"/>
        <w:tblCellMar>
          <w:left w:w="0" w:type="dxa"/>
          <w:right w:w="0" w:type="dxa"/>
        </w:tblCellMar>
        <w:tblLook w:val="0000" w:firstRow="0" w:lastRow="0" w:firstColumn="0" w:lastColumn="0" w:noHBand="0" w:noVBand="0"/>
      </w:tblPr>
      <w:tblGrid>
        <w:gridCol w:w="1022"/>
        <w:gridCol w:w="1168"/>
        <w:gridCol w:w="1095"/>
        <w:gridCol w:w="1096"/>
        <w:gridCol w:w="1096"/>
        <w:gridCol w:w="962"/>
        <w:gridCol w:w="584"/>
        <w:gridCol w:w="716"/>
        <w:gridCol w:w="730"/>
      </w:tblGrid>
      <w:tr w:rsidR="00A37634" w:rsidRPr="00BC35DA" w14:paraId="42A3F38F" w14:textId="77777777" w:rsidTr="00BC35DA">
        <w:trPr>
          <w:cantSplit/>
          <w:trHeight w:val="553"/>
          <w:tblHeader/>
          <w:jc w:val="center"/>
        </w:trPr>
        <w:tc>
          <w:tcPr>
            <w:tcW w:w="1022" w:type="dxa"/>
            <w:vMerge w:val="restart"/>
            <w:tcBorders>
              <w:top w:val="single" w:sz="4" w:space="0" w:color="auto"/>
              <w:left w:val="single" w:sz="4" w:space="0" w:color="auto"/>
              <w:bottom w:val="single" w:sz="4" w:space="0" w:color="auto"/>
            </w:tcBorders>
            <w:noWrap/>
          </w:tcPr>
          <w:p w14:paraId="7D71CE95"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1168" w:type="dxa"/>
            <w:vMerge w:val="restart"/>
            <w:tcBorders>
              <w:top w:val="single" w:sz="4" w:space="0" w:color="auto"/>
              <w:bottom w:val="single" w:sz="4" w:space="0" w:color="auto"/>
            </w:tcBorders>
            <w:noWrap/>
          </w:tcPr>
          <w:p w14:paraId="120F2623"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r w:rsidRPr="00BC35DA">
              <w:rPr>
                <w:rFonts w:ascii="Calibri" w:eastAsia="Arial Unicode MS" w:hAnsi="Calibri" w:cs="Calibri"/>
                <w:bCs/>
                <w:sz w:val="18"/>
                <w:szCs w:val="18"/>
                <w:lang w:val="en-AU"/>
              </w:rPr>
              <w:t xml:space="preserve">Routine DLC Reduction </w:t>
            </w:r>
            <w:r w:rsidRPr="00BC35DA">
              <w:rPr>
                <w:rFonts w:ascii="Calibri" w:eastAsia="Arial Unicode MS" w:hAnsi="Calibri" w:cs="Calibri"/>
                <w:bCs/>
                <w:sz w:val="18"/>
                <w:szCs w:val="18"/>
                <w:lang w:val="en-AU"/>
              </w:rPr>
              <w:br/>
              <w:t xml:space="preserve">available SMD </w:t>
            </w:r>
            <w:r w:rsidRPr="00BC35DA">
              <w:rPr>
                <w:rFonts w:ascii="Calibri" w:eastAsia="Arial Unicode MS" w:hAnsi="Calibri" w:cs="Calibri"/>
                <w:bCs/>
                <w:sz w:val="18"/>
                <w:szCs w:val="18"/>
                <w:lang w:val="en-AU"/>
              </w:rPr>
              <w:br/>
              <w:t>2035, MW (a)</w:t>
            </w:r>
          </w:p>
        </w:tc>
        <w:tc>
          <w:tcPr>
            <w:tcW w:w="1095" w:type="dxa"/>
            <w:vMerge w:val="restart"/>
            <w:tcBorders>
              <w:top w:val="single" w:sz="4" w:space="0" w:color="auto"/>
              <w:bottom w:val="single" w:sz="4" w:space="0" w:color="auto"/>
            </w:tcBorders>
            <w:noWrap/>
            <w:vAlign w:val="center"/>
          </w:tcPr>
          <w:p w14:paraId="6A36D7DE"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r w:rsidRPr="00BC35DA">
              <w:rPr>
                <w:rFonts w:ascii="Calibri" w:eastAsia="Arial Unicode MS" w:hAnsi="Calibri" w:cs="Calibri"/>
                <w:bCs/>
                <w:sz w:val="18"/>
                <w:szCs w:val="18"/>
                <w:lang w:val="en-AU"/>
              </w:rPr>
              <w:t>Costs</w:t>
            </w:r>
            <w:r w:rsidRPr="00BC35DA">
              <w:rPr>
                <w:rFonts w:ascii="Calibri" w:eastAsia="Arial Unicode MS" w:hAnsi="Calibri" w:cs="Calibri"/>
                <w:bCs/>
                <w:sz w:val="18"/>
                <w:szCs w:val="18"/>
                <w:lang w:val="en-AU"/>
              </w:rPr>
              <w:br/>
              <w:t>$M NPV</w:t>
            </w:r>
            <w:r w:rsidRPr="00BC35DA">
              <w:rPr>
                <w:rFonts w:ascii="Calibri" w:eastAsia="Arial Unicode MS" w:hAnsi="Calibri" w:cs="Calibri"/>
                <w:bCs/>
                <w:sz w:val="18"/>
                <w:szCs w:val="18"/>
                <w:lang w:val="en-AU"/>
              </w:rPr>
              <w:br/>
              <w:t>(b)</w:t>
            </w:r>
          </w:p>
          <w:p w14:paraId="5504409B"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1096" w:type="dxa"/>
            <w:vMerge w:val="restart"/>
            <w:tcBorders>
              <w:top w:val="single" w:sz="4" w:space="0" w:color="auto"/>
              <w:bottom w:val="single" w:sz="4" w:space="0" w:color="auto"/>
            </w:tcBorders>
            <w:noWrap/>
            <w:vAlign w:val="center"/>
          </w:tcPr>
          <w:p w14:paraId="1F2F55CC"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r w:rsidRPr="00BC35DA">
              <w:rPr>
                <w:rFonts w:ascii="Calibri" w:eastAsia="Arial Unicode MS" w:hAnsi="Calibri" w:cs="Calibri"/>
                <w:bCs/>
                <w:sz w:val="18"/>
                <w:szCs w:val="18"/>
                <w:lang w:val="en-AU"/>
              </w:rPr>
              <w:t>Benefits</w:t>
            </w:r>
            <w:r w:rsidRPr="00BC35DA">
              <w:rPr>
                <w:rFonts w:ascii="Calibri" w:eastAsia="Arial Unicode MS" w:hAnsi="Calibri" w:cs="Calibri"/>
                <w:bCs/>
                <w:sz w:val="18"/>
                <w:szCs w:val="18"/>
                <w:lang w:val="en-AU"/>
              </w:rPr>
              <w:br/>
              <w:t>$M NPV</w:t>
            </w:r>
            <w:r w:rsidRPr="00BC35DA">
              <w:rPr>
                <w:rFonts w:ascii="Calibri" w:eastAsia="Arial Unicode MS" w:hAnsi="Calibri" w:cs="Calibri"/>
                <w:bCs/>
                <w:sz w:val="18"/>
                <w:szCs w:val="18"/>
                <w:lang w:val="en-AU"/>
              </w:rPr>
              <w:br/>
              <w:t>(b)</w:t>
            </w:r>
          </w:p>
          <w:p w14:paraId="75FB44A1"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1096" w:type="dxa"/>
            <w:vMerge w:val="restart"/>
            <w:tcBorders>
              <w:top w:val="single" w:sz="4" w:space="0" w:color="auto"/>
              <w:bottom w:val="single" w:sz="4" w:space="0" w:color="auto"/>
            </w:tcBorders>
            <w:noWrap/>
            <w:vAlign w:val="center"/>
          </w:tcPr>
          <w:p w14:paraId="4384C64E"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r w:rsidRPr="00BC35DA">
              <w:rPr>
                <w:rFonts w:ascii="Calibri" w:eastAsia="Arial Unicode MS" w:hAnsi="Calibri" w:cs="Calibri"/>
                <w:bCs/>
                <w:sz w:val="18"/>
                <w:szCs w:val="18"/>
                <w:lang w:val="en-AU"/>
              </w:rPr>
              <w:t>Net</w:t>
            </w:r>
            <w:r w:rsidRPr="00BC35DA">
              <w:rPr>
                <w:rFonts w:ascii="Calibri" w:eastAsia="Arial Unicode MS" w:hAnsi="Calibri" w:cs="Calibri"/>
                <w:bCs/>
                <w:sz w:val="18"/>
                <w:szCs w:val="18"/>
                <w:lang w:val="en-AU"/>
              </w:rPr>
              <w:br/>
              <w:t>Benefits</w:t>
            </w:r>
            <w:r w:rsidRPr="00BC35DA">
              <w:rPr>
                <w:rFonts w:ascii="Calibri" w:eastAsia="Arial Unicode MS" w:hAnsi="Calibri" w:cs="Calibri"/>
                <w:bCs/>
                <w:sz w:val="18"/>
                <w:szCs w:val="18"/>
                <w:lang w:val="en-AU"/>
              </w:rPr>
              <w:br/>
              <w:t>$M NPV</w:t>
            </w:r>
            <w:r w:rsidRPr="00BC35DA">
              <w:rPr>
                <w:rFonts w:ascii="Calibri" w:eastAsia="Arial Unicode MS" w:hAnsi="Calibri" w:cs="Calibri"/>
                <w:bCs/>
                <w:sz w:val="18"/>
                <w:szCs w:val="18"/>
                <w:lang w:val="en-AU"/>
              </w:rPr>
              <w:br/>
              <w:t>(b)</w:t>
            </w:r>
          </w:p>
        </w:tc>
        <w:tc>
          <w:tcPr>
            <w:tcW w:w="962" w:type="dxa"/>
            <w:vMerge w:val="restart"/>
            <w:tcBorders>
              <w:top w:val="single" w:sz="4" w:space="0" w:color="auto"/>
              <w:bottom w:val="single" w:sz="4" w:space="0" w:color="auto"/>
            </w:tcBorders>
            <w:vAlign w:val="center"/>
          </w:tcPr>
          <w:p w14:paraId="57B874E1"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r w:rsidRPr="00BC35DA">
              <w:rPr>
                <w:rFonts w:ascii="Calibri" w:eastAsia="Arial Unicode MS" w:hAnsi="Calibri" w:cs="Calibri"/>
                <w:bCs/>
                <w:sz w:val="18"/>
                <w:szCs w:val="18"/>
                <w:lang w:val="en-AU"/>
              </w:rPr>
              <w:t>% net</w:t>
            </w:r>
            <w:r w:rsidRPr="00BC35DA">
              <w:rPr>
                <w:rFonts w:ascii="Calibri" w:eastAsia="Arial Unicode MS" w:hAnsi="Calibri" w:cs="Calibri"/>
                <w:bCs/>
                <w:sz w:val="18"/>
                <w:szCs w:val="18"/>
                <w:lang w:val="en-AU"/>
              </w:rPr>
              <w:br/>
              <w:t xml:space="preserve">national </w:t>
            </w:r>
            <w:r w:rsidRPr="00BC35DA">
              <w:rPr>
                <w:rFonts w:ascii="Calibri" w:eastAsia="Arial Unicode MS" w:hAnsi="Calibri" w:cs="Calibri"/>
                <w:bCs/>
                <w:sz w:val="18"/>
                <w:szCs w:val="18"/>
                <w:lang w:val="en-AU"/>
              </w:rPr>
              <w:br/>
              <w:t>benefits</w:t>
            </w:r>
          </w:p>
        </w:tc>
        <w:tc>
          <w:tcPr>
            <w:tcW w:w="584" w:type="dxa"/>
            <w:vMerge w:val="restart"/>
            <w:tcBorders>
              <w:top w:val="single" w:sz="4" w:space="0" w:color="auto"/>
              <w:bottom w:val="single" w:sz="4" w:space="0" w:color="auto"/>
              <w:right w:val="single" w:sz="4" w:space="0" w:color="auto"/>
            </w:tcBorders>
            <w:noWrap/>
            <w:vAlign w:val="center"/>
          </w:tcPr>
          <w:p w14:paraId="5A68ADB5"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r w:rsidRPr="00BC35DA">
              <w:rPr>
                <w:rFonts w:ascii="Calibri" w:eastAsia="Arial Unicode MS" w:hAnsi="Calibri" w:cs="Calibri"/>
                <w:bCs/>
                <w:sz w:val="18"/>
                <w:szCs w:val="18"/>
                <w:lang w:val="en-AU"/>
              </w:rPr>
              <w:t>B/C ratio</w:t>
            </w:r>
          </w:p>
        </w:tc>
        <w:tc>
          <w:tcPr>
            <w:tcW w:w="1446" w:type="dxa"/>
            <w:gridSpan w:val="2"/>
            <w:tcBorders>
              <w:top w:val="single" w:sz="4" w:space="0" w:color="auto"/>
              <w:left w:val="single" w:sz="4" w:space="0" w:color="auto"/>
              <w:bottom w:val="single" w:sz="4" w:space="0" w:color="auto"/>
              <w:right w:val="single" w:sz="4" w:space="0" w:color="auto"/>
            </w:tcBorders>
          </w:tcPr>
          <w:p w14:paraId="7CDCEE03"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r w:rsidRPr="00BC35DA">
              <w:rPr>
                <w:rFonts w:ascii="Calibri" w:eastAsia="Times New Roman" w:hAnsi="Calibri" w:cs="Calibri"/>
                <w:bCs/>
                <w:sz w:val="18"/>
                <w:szCs w:val="18"/>
                <w:lang w:val="en-AU"/>
              </w:rPr>
              <w:t>Without whole-sale benefit</w:t>
            </w:r>
          </w:p>
        </w:tc>
      </w:tr>
      <w:tr w:rsidR="00A37634" w:rsidRPr="00A37634" w14:paraId="6452CD70" w14:textId="77777777" w:rsidTr="00BC35DA">
        <w:trPr>
          <w:cantSplit/>
          <w:trHeight w:val="552"/>
          <w:tblHeader/>
          <w:jc w:val="center"/>
        </w:trPr>
        <w:tc>
          <w:tcPr>
            <w:tcW w:w="1022" w:type="dxa"/>
            <w:vMerge/>
            <w:tcBorders>
              <w:left w:val="single" w:sz="4" w:space="0" w:color="auto"/>
              <w:bottom w:val="single" w:sz="4" w:space="0" w:color="auto"/>
            </w:tcBorders>
            <w:noWrap/>
          </w:tcPr>
          <w:p w14:paraId="26C38234"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1168" w:type="dxa"/>
            <w:vMerge/>
            <w:tcBorders>
              <w:bottom w:val="single" w:sz="4" w:space="0" w:color="auto"/>
            </w:tcBorders>
            <w:noWrap/>
          </w:tcPr>
          <w:p w14:paraId="3566C2C8"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1095" w:type="dxa"/>
            <w:vMerge/>
            <w:tcBorders>
              <w:bottom w:val="single" w:sz="4" w:space="0" w:color="auto"/>
            </w:tcBorders>
            <w:noWrap/>
            <w:vAlign w:val="center"/>
          </w:tcPr>
          <w:p w14:paraId="424B4DD8"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1096" w:type="dxa"/>
            <w:vMerge/>
            <w:tcBorders>
              <w:bottom w:val="single" w:sz="4" w:space="0" w:color="auto"/>
            </w:tcBorders>
            <w:noWrap/>
            <w:vAlign w:val="center"/>
          </w:tcPr>
          <w:p w14:paraId="5DF6337B"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1096" w:type="dxa"/>
            <w:vMerge/>
            <w:tcBorders>
              <w:bottom w:val="single" w:sz="4" w:space="0" w:color="auto"/>
            </w:tcBorders>
            <w:noWrap/>
            <w:vAlign w:val="center"/>
          </w:tcPr>
          <w:p w14:paraId="4921D19F"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962" w:type="dxa"/>
            <w:vMerge/>
            <w:tcBorders>
              <w:bottom w:val="single" w:sz="4" w:space="0" w:color="auto"/>
            </w:tcBorders>
            <w:vAlign w:val="center"/>
          </w:tcPr>
          <w:p w14:paraId="317395BB"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584" w:type="dxa"/>
            <w:vMerge/>
            <w:tcBorders>
              <w:bottom w:val="single" w:sz="4" w:space="0" w:color="auto"/>
              <w:right w:val="single" w:sz="4" w:space="0" w:color="auto"/>
            </w:tcBorders>
            <w:noWrap/>
            <w:vAlign w:val="center"/>
          </w:tcPr>
          <w:p w14:paraId="3A440006"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p>
        </w:tc>
        <w:tc>
          <w:tcPr>
            <w:tcW w:w="716" w:type="dxa"/>
            <w:tcBorders>
              <w:top w:val="single" w:sz="4" w:space="0" w:color="auto"/>
              <w:left w:val="single" w:sz="4" w:space="0" w:color="auto"/>
              <w:bottom w:val="single" w:sz="4" w:space="0" w:color="auto"/>
            </w:tcBorders>
          </w:tcPr>
          <w:p w14:paraId="5DC1BEE5" w14:textId="48688312" w:rsidR="00A37634" w:rsidRPr="00BC35DA" w:rsidRDefault="00BC35DA" w:rsidP="00A37634">
            <w:pPr>
              <w:spacing w:before="60" w:after="60" w:line="240" w:lineRule="auto"/>
              <w:jc w:val="center"/>
              <w:rPr>
                <w:rFonts w:ascii="Calibri" w:eastAsia="Arial Unicode MS" w:hAnsi="Calibri" w:cs="Calibri"/>
                <w:bCs/>
                <w:sz w:val="18"/>
                <w:szCs w:val="18"/>
                <w:lang w:val="en-AU"/>
              </w:rPr>
            </w:pPr>
            <w:r>
              <w:rPr>
                <w:rFonts w:ascii="Calibri" w:eastAsia="Times New Roman" w:hAnsi="Calibri" w:cs="Calibri"/>
                <w:bCs/>
                <w:sz w:val="18"/>
                <w:szCs w:val="18"/>
                <w:lang w:val="en-AU"/>
              </w:rPr>
              <w:t xml:space="preserve">$M </w:t>
            </w:r>
            <w:r w:rsidR="00A37634" w:rsidRPr="00BC35DA">
              <w:rPr>
                <w:rFonts w:ascii="Calibri" w:eastAsia="Times New Roman" w:hAnsi="Calibri" w:cs="Calibri"/>
                <w:bCs/>
                <w:sz w:val="18"/>
                <w:szCs w:val="18"/>
                <w:lang w:val="en-AU"/>
              </w:rPr>
              <w:t>Net</w:t>
            </w:r>
            <w:r w:rsidR="00A37634" w:rsidRPr="00BC35DA">
              <w:rPr>
                <w:rFonts w:ascii="Calibri" w:eastAsia="Times New Roman" w:hAnsi="Calibri" w:cs="Calibri"/>
                <w:bCs/>
                <w:sz w:val="18"/>
                <w:szCs w:val="18"/>
                <w:lang w:val="en-AU"/>
              </w:rPr>
              <w:br/>
              <w:t>benefit</w:t>
            </w:r>
          </w:p>
        </w:tc>
        <w:tc>
          <w:tcPr>
            <w:tcW w:w="730" w:type="dxa"/>
            <w:tcBorders>
              <w:top w:val="single" w:sz="4" w:space="0" w:color="auto"/>
              <w:bottom w:val="single" w:sz="4" w:space="0" w:color="auto"/>
              <w:right w:val="single" w:sz="4" w:space="0" w:color="auto"/>
            </w:tcBorders>
          </w:tcPr>
          <w:p w14:paraId="6CC5336D" w14:textId="77777777" w:rsidR="00A37634" w:rsidRPr="00BC35DA" w:rsidRDefault="00A37634" w:rsidP="00A37634">
            <w:pPr>
              <w:spacing w:before="60" w:after="60" w:line="240" w:lineRule="auto"/>
              <w:jc w:val="center"/>
              <w:rPr>
                <w:rFonts w:ascii="Calibri" w:eastAsia="Arial Unicode MS" w:hAnsi="Calibri" w:cs="Calibri"/>
                <w:bCs/>
                <w:sz w:val="18"/>
                <w:szCs w:val="18"/>
                <w:lang w:val="en-AU"/>
              </w:rPr>
            </w:pPr>
            <w:r w:rsidRPr="00BC35DA">
              <w:rPr>
                <w:rFonts w:ascii="Calibri" w:eastAsia="Times New Roman" w:hAnsi="Calibri" w:cs="Calibri"/>
                <w:bCs/>
                <w:sz w:val="18"/>
                <w:szCs w:val="18"/>
                <w:lang w:val="en-AU"/>
              </w:rPr>
              <w:t>B/C ratio</w:t>
            </w:r>
          </w:p>
        </w:tc>
      </w:tr>
      <w:tr w:rsidR="00BC35DA" w:rsidRPr="00BC35DA" w14:paraId="3287C49D" w14:textId="77777777" w:rsidTr="00BC35DA">
        <w:trPr>
          <w:trHeight w:val="264"/>
          <w:jc w:val="center"/>
        </w:trPr>
        <w:tc>
          <w:tcPr>
            <w:tcW w:w="1022" w:type="dxa"/>
            <w:tcBorders>
              <w:top w:val="single" w:sz="4" w:space="0" w:color="auto"/>
              <w:left w:val="single" w:sz="4" w:space="0" w:color="auto"/>
              <w:bottom w:val="nil"/>
              <w:right w:val="nil"/>
            </w:tcBorders>
            <w:noWrap/>
            <w:vAlign w:val="bottom"/>
          </w:tcPr>
          <w:p w14:paraId="57A030CE"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NSW</w:t>
            </w:r>
          </w:p>
        </w:tc>
        <w:tc>
          <w:tcPr>
            <w:tcW w:w="1168" w:type="dxa"/>
            <w:tcBorders>
              <w:top w:val="single" w:sz="4" w:space="0" w:color="auto"/>
              <w:left w:val="nil"/>
              <w:bottom w:val="nil"/>
              <w:right w:val="nil"/>
            </w:tcBorders>
            <w:shd w:val="clear" w:color="auto" w:fill="auto"/>
            <w:noWrap/>
            <w:vAlign w:val="bottom"/>
          </w:tcPr>
          <w:p w14:paraId="377D36FD" w14:textId="20B09625"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1437</w:t>
            </w:r>
          </w:p>
        </w:tc>
        <w:tc>
          <w:tcPr>
            <w:tcW w:w="1095" w:type="dxa"/>
            <w:tcBorders>
              <w:top w:val="single" w:sz="4" w:space="0" w:color="auto"/>
              <w:left w:val="nil"/>
              <w:bottom w:val="nil"/>
              <w:right w:val="nil"/>
            </w:tcBorders>
            <w:shd w:val="clear" w:color="auto" w:fill="auto"/>
            <w:noWrap/>
            <w:vAlign w:val="bottom"/>
          </w:tcPr>
          <w:p w14:paraId="59B34DD1" w14:textId="192917E4"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$377</w:t>
            </w:r>
          </w:p>
        </w:tc>
        <w:tc>
          <w:tcPr>
            <w:tcW w:w="1096" w:type="dxa"/>
            <w:tcBorders>
              <w:top w:val="single" w:sz="4" w:space="0" w:color="auto"/>
              <w:left w:val="nil"/>
              <w:bottom w:val="nil"/>
              <w:right w:val="nil"/>
            </w:tcBorders>
            <w:shd w:val="clear" w:color="auto" w:fill="auto"/>
            <w:noWrap/>
            <w:vAlign w:val="bottom"/>
          </w:tcPr>
          <w:p w14:paraId="4EBD36D2" w14:textId="32569FBB"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$677</w:t>
            </w:r>
          </w:p>
        </w:tc>
        <w:tc>
          <w:tcPr>
            <w:tcW w:w="1096" w:type="dxa"/>
            <w:tcBorders>
              <w:top w:val="single" w:sz="4" w:space="0" w:color="auto"/>
              <w:left w:val="nil"/>
              <w:bottom w:val="nil"/>
              <w:right w:val="nil"/>
            </w:tcBorders>
            <w:shd w:val="clear" w:color="auto" w:fill="auto"/>
            <w:noWrap/>
            <w:vAlign w:val="bottom"/>
          </w:tcPr>
          <w:p w14:paraId="4BED05B5" w14:textId="2283AEA0"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$300</w:t>
            </w:r>
          </w:p>
        </w:tc>
        <w:tc>
          <w:tcPr>
            <w:tcW w:w="962" w:type="dxa"/>
            <w:tcBorders>
              <w:top w:val="single" w:sz="4" w:space="0" w:color="auto"/>
              <w:left w:val="nil"/>
              <w:bottom w:val="nil"/>
              <w:right w:val="nil"/>
            </w:tcBorders>
            <w:shd w:val="clear" w:color="auto" w:fill="auto"/>
            <w:vAlign w:val="bottom"/>
          </w:tcPr>
          <w:p w14:paraId="5F00CE6A" w14:textId="0C9F5561"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10.7%</w:t>
            </w:r>
          </w:p>
        </w:tc>
        <w:tc>
          <w:tcPr>
            <w:tcW w:w="584" w:type="dxa"/>
            <w:tcBorders>
              <w:top w:val="single" w:sz="4" w:space="0" w:color="auto"/>
              <w:left w:val="nil"/>
              <w:bottom w:val="nil"/>
              <w:right w:val="single" w:sz="4" w:space="0" w:color="auto"/>
            </w:tcBorders>
            <w:shd w:val="clear" w:color="auto" w:fill="auto"/>
            <w:noWrap/>
            <w:vAlign w:val="bottom"/>
          </w:tcPr>
          <w:p w14:paraId="3CFB944C" w14:textId="74A788F6"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1.8</w:t>
            </w:r>
          </w:p>
        </w:tc>
        <w:tc>
          <w:tcPr>
            <w:tcW w:w="716" w:type="dxa"/>
            <w:tcBorders>
              <w:top w:val="single" w:sz="4" w:space="0" w:color="auto"/>
              <w:left w:val="nil"/>
              <w:bottom w:val="nil"/>
              <w:right w:val="nil"/>
            </w:tcBorders>
            <w:shd w:val="clear" w:color="auto" w:fill="auto"/>
            <w:vAlign w:val="bottom"/>
          </w:tcPr>
          <w:p w14:paraId="1A74EEA5" w14:textId="6CADCF22"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$138</w:t>
            </w:r>
          </w:p>
        </w:tc>
        <w:tc>
          <w:tcPr>
            <w:tcW w:w="730" w:type="dxa"/>
            <w:tcBorders>
              <w:top w:val="single" w:sz="4" w:space="0" w:color="auto"/>
              <w:left w:val="nil"/>
              <w:bottom w:val="nil"/>
              <w:right w:val="single" w:sz="4" w:space="0" w:color="auto"/>
            </w:tcBorders>
            <w:shd w:val="clear" w:color="auto" w:fill="auto"/>
            <w:vAlign w:val="bottom"/>
          </w:tcPr>
          <w:p w14:paraId="12F3EAEA" w14:textId="26F81680"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1.4</w:t>
            </w:r>
          </w:p>
        </w:tc>
      </w:tr>
      <w:tr w:rsidR="00BC35DA" w:rsidRPr="00BC35DA" w14:paraId="64D2B9AD" w14:textId="77777777" w:rsidTr="00DC6674">
        <w:trPr>
          <w:trHeight w:val="264"/>
          <w:jc w:val="center"/>
        </w:trPr>
        <w:tc>
          <w:tcPr>
            <w:tcW w:w="1022" w:type="dxa"/>
            <w:tcBorders>
              <w:top w:val="nil"/>
              <w:left w:val="single" w:sz="4" w:space="0" w:color="auto"/>
              <w:bottom w:val="nil"/>
              <w:right w:val="nil"/>
            </w:tcBorders>
            <w:noWrap/>
            <w:vAlign w:val="bottom"/>
          </w:tcPr>
          <w:p w14:paraId="1D8E77F4"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Vic</w:t>
            </w:r>
          </w:p>
        </w:tc>
        <w:tc>
          <w:tcPr>
            <w:tcW w:w="1168" w:type="dxa"/>
            <w:tcBorders>
              <w:top w:val="nil"/>
              <w:left w:val="nil"/>
              <w:bottom w:val="nil"/>
              <w:right w:val="nil"/>
            </w:tcBorders>
            <w:shd w:val="clear" w:color="auto" w:fill="auto"/>
            <w:noWrap/>
            <w:vAlign w:val="bottom"/>
          </w:tcPr>
          <w:p w14:paraId="7D9C98F7" w14:textId="1F14656A"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965</w:t>
            </w:r>
          </w:p>
        </w:tc>
        <w:tc>
          <w:tcPr>
            <w:tcW w:w="1095" w:type="dxa"/>
            <w:tcBorders>
              <w:top w:val="nil"/>
              <w:left w:val="nil"/>
              <w:bottom w:val="nil"/>
              <w:right w:val="nil"/>
            </w:tcBorders>
            <w:shd w:val="clear" w:color="auto" w:fill="auto"/>
            <w:noWrap/>
            <w:vAlign w:val="bottom"/>
          </w:tcPr>
          <w:p w14:paraId="7BA526F3" w14:textId="03D99CA1"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$220</w:t>
            </w:r>
          </w:p>
        </w:tc>
        <w:tc>
          <w:tcPr>
            <w:tcW w:w="1096" w:type="dxa"/>
            <w:tcBorders>
              <w:top w:val="nil"/>
              <w:left w:val="nil"/>
              <w:bottom w:val="nil"/>
              <w:right w:val="nil"/>
            </w:tcBorders>
            <w:shd w:val="clear" w:color="auto" w:fill="auto"/>
            <w:noWrap/>
            <w:vAlign w:val="bottom"/>
          </w:tcPr>
          <w:p w14:paraId="09D435C9" w14:textId="7E1D58BB"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$723</w:t>
            </w:r>
          </w:p>
        </w:tc>
        <w:tc>
          <w:tcPr>
            <w:tcW w:w="1096" w:type="dxa"/>
            <w:tcBorders>
              <w:top w:val="nil"/>
              <w:left w:val="nil"/>
              <w:bottom w:val="nil"/>
              <w:right w:val="nil"/>
            </w:tcBorders>
            <w:shd w:val="clear" w:color="auto" w:fill="auto"/>
            <w:noWrap/>
            <w:vAlign w:val="bottom"/>
          </w:tcPr>
          <w:p w14:paraId="2D201D16" w14:textId="65F960CE"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$504</w:t>
            </w:r>
          </w:p>
        </w:tc>
        <w:tc>
          <w:tcPr>
            <w:tcW w:w="962" w:type="dxa"/>
            <w:tcBorders>
              <w:top w:val="nil"/>
              <w:left w:val="nil"/>
              <w:bottom w:val="nil"/>
              <w:right w:val="nil"/>
            </w:tcBorders>
            <w:shd w:val="clear" w:color="auto" w:fill="auto"/>
            <w:vAlign w:val="bottom"/>
          </w:tcPr>
          <w:p w14:paraId="4408B041" w14:textId="4868E3F4"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18.0%</w:t>
            </w:r>
          </w:p>
        </w:tc>
        <w:tc>
          <w:tcPr>
            <w:tcW w:w="584" w:type="dxa"/>
            <w:tcBorders>
              <w:top w:val="nil"/>
              <w:left w:val="nil"/>
              <w:bottom w:val="nil"/>
              <w:right w:val="single" w:sz="4" w:space="0" w:color="auto"/>
            </w:tcBorders>
            <w:shd w:val="clear" w:color="auto" w:fill="auto"/>
            <w:noWrap/>
            <w:vAlign w:val="bottom"/>
          </w:tcPr>
          <w:p w14:paraId="1C5E9099" w14:textId="78ABDE42"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3.3</w:t>
            </w:r>
          </w:p>
        </w:tc>
        <w:tc>
          <w:tcPr>
            <w:tcW w:w="716" w:type="dxa"/>
            <w:tcBorders>
              <w:top w:val="nil"/>
              <w:left w:val="nil"/>
              <w:bottom w:val="nil"/>
              <w:right w:val="nil"/>
            </w:tcBorders>
            <w:shd w:val="clear" w:color="auto" w:fill="auto"/>
            <w:vAlign w:val="bottom"/>
          </w:tcPr>
          <w:p w14:paraId="72DDEF08" w14:textId="36DD205A"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$385</w:t>
            </w:r>
          </w:p>
        </w:tc>
        <w:tc>
          <w:tcPr>
            <w:tcW w:w="730" w:type="dxa"/>
            <w:tcBorders>
              <w:top w:val="nil"/>
              <w:left w:val="nil"/>
              <w:bottom w:val="nil"/>
              <w:right w:val="single" w:sz="4" w:space="0" w:color="auto"/>
            </w:tcBorders>
            <w:shd w:val="clear" w:color="auto" w:fill="auto"/>
            <w:vAlign w:val="bottom"/>
          </w:tcPr>
          <w:p w14:paraId="4728019D" w14:textId="5D849C5C"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2.8</w:t>
            </w:r>
          </w:p>
        </w:tc>
      </w:tr>
      <w:tr w:rsidR="00BC35DA" w:rsidRPr="00BC35DA" w14:paraId="79C41BDC" w14:textId="77777777" w:rsidTr="00DC6674">
        <w:trPr>
          <w:trHeight w:val="264"/>
          <w:jc w:val="center"/>
        </w:trPr>
        <w:tc>
          <w:tcPr>
            <w:tcW w:w="1022" w:type="dxa"/>
            <w:tcBorders>
              <w:top w:val="nil"/>
              <w:left w:val="single" w:sz="4" w:space="0" w:color="auto"/>
              <w:bottom w:val="nil"/>
              <w:right w:val="nil"/>
            </w:tcBorders>
            <w:noWrap/>
            <w:vAlign w:val="bottom"/>
          </w:tcPr>
          <w:p w14:paraId="032A134B"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Qld</w:t>
            </w:r>
          </w:p>
        </w:tc>
        <w:tc>
          <w:tcPr>
            <w:tcW w:w="1168" w:type="dxa"/>
            <w:tcBorders>
              <w:top w:val="nil"/>
              <w:left w:val="nil"/>
              <w:bottom w:val="nil"/>
              <w:right w:val="nil"/>
            </w:tcBorders>
            <w:shd w:val="clear" w:color="auto" w:fill="auto"/>
            <w:noWrap/>
            <w:vAlign w:val="bottom"/>
          </w:tcPr>
          <w:p w14:paraId="0032D7E0" w14:textId="1A986988"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1362</w:t>
            </w:r>
          </w:p>
        </w:tc>
        <w:tc>
          <w:tcPr>
            <w:tcW w:w="1095" w:type="dxa"/>
            <w:tcBorders>
              <w:top w:val="nil"/>
              <w:left w:val="nil"/>
              <w:bottom w:val="nil"/>
              <w:right w:val="nil"/>
            </w:tcBorders>
            <w:shd w:val="clear" w:color="auto" w:fill="auto"/>
            <w:noWrap/>
            <w:vAlign w:val="bottom"/>
          </w:tcPr>
          <w:p w14:paraId="399065A0" w14:textId="1F5FCD7F"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$351</w:t>
            </w:r>
          </w:p>
        </w:tc>
        <w:tc>
          <w:tcPr>
            <w:tcW w:w="1096" w:type="dxa"/>
            <w:tcBorders>
              <w:top w:val="nil"/>
              <w:left w:val="nil"/>
              <w:bottom w:val="nil"/>
              <w:right w:val="nil"/>
            </w:tcBorders>
            <w:shd w:val="clear" w:color="auto" w:fill="auto"/>
            <w:noWrap/>
            <w:vAlign w:val="bottom"/>
          </w:tcPr>
          <w:p w14:paraId="73976CE7" w14:textId="7EBE5182"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$1,466</w:t>
            </w:r>
          </w:p>
        </w:tc>
        <w:tc>
          <w:tcPr>
            <w:tcW w:w="1096" w:type="dxa"/>
            <w:tcBorders>
              <w:top w:val="nil"/>
              <w:left w:val="nil"/>
              <w:bottom w:val="nil"/>
              <w:right w:val="nil"/>
            </w:tcBorders>
            <w:shd w:val="clear" w:color="auto" w:fill="auto"/>
            <w:noWrap/>
            <w:vAlign w:val="bottom"/>
          </w:tcPr>
          <w:p w14:paraId="1339DC4C" w14:textId="3D078E77"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$1,115</w:t>
            </w:r>
          </w:p>
        </w:tc>
        <w:tc>
          <w:tcPr>
            <w:tcW w:w="962" w:type="dxa"/>
            <w:tcBorders>
              <w:top w:val="nil"/>
              <w:left w:val="nil"/>
              <w:bottom w:val="nil"/>
              <w:right w:val="nil"/>
            </w:tcBorders>
            <w:shd w:val="clear" w:color="auto" w:fill="auto"/>
            <w:vAlign w:val="bottom"/>
          </w:tcPr>
          <w:p w14:paraId="2DC5052F" w14:textId="74D6AAFE"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39.8%</w:t>
            </w:r>
          </w:p>
        </w:tc>
        <w:tc>
          <w:tcPr>
            <w:tcW w:w="584" w:type="dxa"/>
            <w:tcBorders>
              <w:top w:val="nil"/>
              <w:left w:val="nil"/>
              <w:bottom w:val="nil"/>
              <w:right w:val="single" w:sz="4" w:space="0" w:color="auto"/>
            </w:tcBorders>
            <w:shd w:val="clear" w:color="auto" w:fill="auto"/>
            <w:noWrap/>
            <w:vAlign w:val="bottom"/>
          </w:tcPr>
          <w:p w14:paraId="7A64B10A" w14:textId="1C3C64F9"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4.2</w:t>
            </w:r>
          </w:p>
        </w:tc>
        <w:tc>
          <w:tcPr>
            <w:tcW w:w="716" w:type="dxa"/>
            <w:tcBorders>
              <w:top w:val="nil"/>
              <w:left w:val="nil"/>
              <w:bottom w:val="nil"/>
              <w:right w:val="nil"/>
            </w:tcBorders>
            <w:shd w:val="clear" w:color="auto" w:fill="auto"/>
            <w:vAlign w:val="bottom"/>
          </w:tcPr>
          <w:p w14:paraId="03E8CC17" w14:textId="0FBAA2B2"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$948</w:t>
            </w:r>
          </w:p>
        </w:tc>
        <w:tc>
          <w:tcPr>
            <w:tcW w:w="730" w:type="dxa"/>
            <w:tcBorders>
              <w:top w:val="nil"/>
              <w:left w:val="nil"/>
              <w:bottom w:val="nil"/>
              <w:right w:val="single" w:sz="4" w:space="0" w:color="auto"/>
            </w:tcBorders>
            <w:shd w:val="clear" w:color="auto" w:fill="auto"/>
            <w:vAlign w:val="bottom"/>
          </w:tcPr>
          <w:p w14:paraId="14EA40C9" w14:textId="22AA9335"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3.7</w:t>
            </w:r>
          </w:p>
        </w:tc>
      </w:tr>
      <w:tr w:rsidR="00BC35DA" w:rsidRPr="00BC35DA" w14:paraId="3784766A" w14:textId="77777777" w:rsidTr="00DC6674">
        <w:trPr>
          <w:trHeight w:val="264"/>
          <w:jc w:val="center"/>
        </w:trPr>
        <w:tc>
          <w:tcPr>
            <w:tcW w:w="1022" w:type="dxa"/>
            <w:tcBorders>
              <w:top w:val="nil"/>
              <w:left w:val="single" w:sz="4" w:space="0" w:color="auto"/>
              <w:bottom w:val="nil"/>
              <w:right w:val="nil"/>
            </w:tcBorders>
            <w:noWrap/>
            <w:vAlign w:val="bottom"/>
          </w:tcPr>
          <w:p w14:paraId="736DB3A4"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SA</w:t>
            </w:r>
          </w:p>
        </w:tc>
        <w:tc>
          <w:tcPr>
            <w:tcW w:w="1168" w:type="dxa"/>
            <w:tcBorders>
              <w:top w:val="nil"/>
              <w:left w:val="nil"/>
              <w:bottom w:val="nil"/>
              <w:right w:val="nil"/>
            </w:tcBorders>
            <w:shd w:val="clear" w:color="auto" w:fill="auto"/>
            <w:noWrap/>
            <w:vAlign w:val="bottom"/>
          </w:tcPr>
          <w:p w14:paraId="529189FF" w14:textId="483CC447"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386</w:t>
            </w:r>
          </w:p>
        </w:tc>
        <w:tc>
          <w:tcPr>
            <w:tcW w:w="1095" w:type="dxa"/>
            <w:tcBorders>
              <w:top w:val="nil"/>
              <w:left w:val="nil"/>
              <w:bottom w:val="nil"/>
              <w:right w:val="nil"/>
            </w:tcBorders>
            <w:shd w:val="clear" w:color="auto" w:fill="auto"/>
            <w:noWrap/>
            <w:vAlign w:val="bottom"/>
          </w:tcPr>
          <w:p w14:paraId="3467D95F" w14:textId="3FE1C2CF"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$88</w:t>
            </w:r>
          </w:p>
        </w:tc>
        <w:tc>
          <w:tcPr>
            <w:tcW w:w="1096" w:type="dxa"/>
            <w:tcBorders>
              <w:top w:val="nil"/>
              <w:left w:val="nil"/>
              <w:bottom w:val="nil"/>
              <w:right w:val="nil"/>
            </w:tcBorders>
            <w:shd w:val="clear" w:color="auto" w:fill="auto"/>
            <w:noWrap/>
            <w:vAlign w:val="bottom"/>
          </w:tcPr>
          <w:p w14:paraId="0F0AF445" w14:textId="0E09D807"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$340</w:t>
            </w:r>
          </w:p>
        </w:tc>
        <w:tc>
          <w:tcPr>
            <w:tcW w:w="1096" w:type="dxa"/>
            <w:tcBorders>
              <w:top w:val="nil"/>
              <w:left w:val="nil"/>
              <w:bottom w:val="nil"/>
              <w:right w:val="nil"/>
            </w:tcBorders>
            <w:shd w:val="clear" w:color="auto" w:fill="auto"/>
            <w:noWrap/>
            <w:vAlign w:val="bottom"/>
          </w:tcPr>
          <w:p w14:paraId="3249BDFB" w14:textId="6A0CDD04"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$252</w:t>
            </w:r>
          </w:p>
        </w:tc>
        <w:tc>
          <w:tcPr>
            <w:tcW w:w="962" w:type="dxa"/>
            <w:tcBorders>
              <w:top w:val="nil"/>
              <w:left w:val="nil"/>
              <w:bottom w:val="nil"/>
              <w:right w:val="nil"/>
            </w:tcBorders>
            <w:shd w:val="clear" w:color="auto" w:fill="auto"/>
            <w:vAlign w:val="bottom"/>
          </w:tcPr>
          <w:p w14:paraId="520A0187" w14:textId="1582ED15"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9.0%</w:t>
            </w:r>
          </w:p>
        </w:tc>
        <w:tc>
          <w:tcPr>
            <w:tcW w:w="584" w:type="dxa"/>
            <w:tcBorders>
              <w:top w:val="nil"/>
              <w:left w:val="nil"/>
              <w:bottom w:val="nil"/>
              <w:right w:val="single" w:sz="4" w:space="0" w:color="auto"/>
            </w:tcBorders>
            <w:shd w:val="clear" w:color="auto" w:fill="auto"/>
            <w:noWrap/>
            <w:vAlign w:val="bottom"/>
          </w:tcPr>
          <w:p w14:paraId="64E96C7C" w14:textId="2CA506C3"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3.9</w:t>
            </w:r>
          </w:p>
        </w:tc>
        <w:tc>
          <w:tcPr>
            <w:tcW w:w="716" w:type="dxa"/>
            <w:tcBorders>
              <w:top w:val="nil"/>
              <w:left w:val="nil"/>
              <w:bottom w:val="nil"/>
              <w:right w:val="nil"/>
            </w:tcBorders>
            <w:shd w:val="clear" w:color="auto" w:fill="auto"/>
            <w:vAlign w:val="bottom"/>
          </w:tcPr>
          <w:p w14:paraId="69F3C615" w14:textId="53AED2A2"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$210</w:t>
            </w:r>
          </w:p>
        </w:tc>
        <w:tc>
          <w:tcPr>
            <w:tcW w:w="730" w:type="dxa"/>
            <w:tcBorders>
              <w:top w:val="nil"/>
              <w:left w:val="nil"/>
              <w:bottom w:val="nil"/>
              <w:right w:val="single" w:sz="4" w:space="0" w:color="auto"/>
            </w:tcBorders>
            <w:shd w:val="clear" w:color="auto" w:fill="auto"/>
            <w:vAlign w:val="bottom"/>
          </w:tcPr>
          <w:p w14:paraId="48030931" w14:textId="5A967B81"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3.4</w:t>
            </w:r>
          </w:p>
        </w:tc>
      </w:tr>
      <w:tr w:rsidR="00BC35DA" w:rsidRPr="00BC35DA" w14:paraId="2C7AEF02" w14:textId="77777777" w:rsidTr="00DC6674">
        <w:trPr>
          <w:trHeight w:val="264"/>
          <w:jc w:val="center"/>
        </w:trPr>
        <w:tc>
          <w:tcPr>
            <w:tcW w:w="1022" w:type="dxa"/>
            <w:tcBorders>
              <w:top w:val="nil"/>
              <w:left w:val="single" w:sz="4" w:space="0" w:color="auto"/>
              <w:bottom w:val="nil"/>
              <w:right w:val="nil"/>
            </w:tcBorders>
            <w:noWrap/>
            <w:vAlign w:val="bottom"/>
          </w:tcPr>
          <w:p w14:paraId="6FBFA3A3"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WA</w:t>
            </w:r>
          </w:p>
        </w:tc>
        <w:tc>
          <w:tcPr>
            <w:tcW w:w="1168" w:type="dxa"/>
            <w:tcBorders>
              <w:top w:val="nil"/>
              <w:left w:val="nil"/>
              <w:bottom w:val="nil"/>
              <w:right w:val="nil"/>
            </w:tcBorders>
            <w:shd w:val="clear" w:color="auto" w:fill="auto"/>
            <w:noWrap/>
            <w:vAlign w:val="bottom"/>
          </w:tcPr>
          <w:p w14:paraId="25F589F8" w14:textId="1404516E"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652</w:t>
            </w:r>
          </w:p>
        </w:tc>
        <w:tc>
          <w:tcPr>
            <w:tcW w:w="1095" w:type="dxa"/>
            <w:tcBorders>
              <w:top w:val="nil"/>
              <w:left w:val="nil"/>
              <w:bottom w:val="nil"/>
              <w:right w:val="nil"/>
            </w:tcBorders>
            <w:shd w:val="clear" w:color="auto" w:fill="auto"/>
            <w:noWrap/>
            <w:vAlign w:val="bottom"/>
          </w:tcPr>
          <w:p w14:paraId="57BABC58" w14:textId="223B0B55"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$149</w:t>
            </w:r>
          </w:p>
        </w:tc>
        <w:tc>
          <w:tcPr>
            <w:tcW w:w="1096" w:type="dxa"/>
            <w:tcBorders>
              <w:top w:val="nil"/>
              <w:left w:val="nil"/>
              <w:bottom w:val="nil"/>
              <w:right w:val="nil"/>
            </w:tcBorders>
            <w:shd w:val="clear" w:color="auto" w:fill="auto"/>
            <w:noWrap/>
            <w:vAlign w:val="bottom"/>
          </w:tcPr>
          <w:p w14:paraId="31D86039" w14:textId="6989442A"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$738</w:t>
            </w:r>
          </w:p>
        </w:tc>
        <w:tc>
          <w:tcPr>
            <w:tcW w:w="1096" w:type="dxa"/>
            <w:tcBorders>
              <w:top w:val="nil"/>
              <w:left w:val="nil"/>
              <w:bottom w:val="nil"/>
              <w:right w:val="nil"/>
            </w:tcBorders>
            <w:shd w:val="clear" w:color="auto" w:fill="auto"/>
            <w:noWrap/>
            <w:vAlign w:val="bottom"/>
          </w:tcPr>
          <w:p w14:paraId="54F045E5" w14:textId="3B0FA824"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$590</w:t>
            </w:r>
          </w:p>
        </w:tc>
        <w:tc>
          <w:tcPr>
            <w:tcW w:w="962" w:type="dxa"/>
            <w:tcBorders>
              <w:top w:val="nil"/>
              <w:left w:val="nil"/>
              <w:bottom w:val="nil"/>
              <w:right w:val="nil"/>
            </w:tcBorders>
            <w:shd w:val="clear" w:color="auto" w:fill="auto"/>
            <w:vAlign w:val="bottom"/>
          </w:tcPr>
          <w:p w14:paraId="20B63E35" w14:textId="68D3BF85"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21.1%</w:t>
            </w:r>
          </w:p>
        </w:tc>
        <w:tc>
          <w:tcPr>
            <w:tcW w:w="584" w:type="dxa"/>
            <w:tcBorders>
              <w:top w:val="nil"/>
              <w:left w:val="nil"/>
              <w:bottom w:val="nil"/>
              <w:right w:val="single" w:sz="4" w:space="0" w:color="auto"/>
            </w:tcBorders>
            <w:shd w:val="clear" w:color="auto" w:fill="auto"/>
            <w:noWrap/>
            <w:vAlign w:val="bottom"/>
          </w:tcPr>
          <w:p w14:paraId="0A7D2CD5" w14:textId="7A7326B9"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5.0</w:t>
            </w:r>
          </w:p>
        </w:tc>
        <w:tc>
          <w:tcPr>
            <w:tcW w:w="716" w:type="dxa"/>
            <w:tcBorders>
              <w:top w:val="nil"/>
              <w:left w:val="nil"/>
              <w:bottom w:val="nil"/>
              <w:right w:val="nil"/>
            </w:tcBorders>
            <w:shd w:val="clear" w:color="auto" w:fill="auto"/>
            <w:vAlign w:val="bottom"/>
          </w:tcPr>
          <w:p w14:paraId="7F2D95FB" w14:textId="714010F9"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$518</w:t>
            </w:r>
          </w:p>
        </w:tc>
        <w:tc>
          <w:tcPr>
            <w:tcW w:w="730" w:type="dxa"/>
            <w:tcBorders>
              <w:top w:val="nil"/>
              <w:left w:val="nil"/>
              <w:bottom w:val="nil"/>
              <w:right w:val="single" w:sz="4" w:space="0" w:color="auto"/>
            </w:tcBorders>
            <w:shd w:val="clear" w:color="auto" w:fill="auto"/>
            <w:vAlign w:val="bottom"/>
          </w:tcPr>
          <w:p w14:paraId="12DFBDA4" w14:textId="3A09BAEB"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4.5</w:t>
            </w:r>
          </w:p>
        </w:tc>
      </w:tr>
      <w:tr w:rsidR="00BC35DA" w:rsidRPr="00BC35DA" w14:paraId="4C509BE9" w14:textId="77777777" w:rsidTr="00DC6674">
        <w:trPr>
          <w:trHeight w:val="264"/>
          <w:jc w:val="center"/>
        </w:trPr>
        <w:tc>
          <w:tcPr>
            <w:tcW w:w="1022" w:type="dxa"/>
            <w:tcBorders>
              <w:top w:val="nil"/>
              <w:left w:val="single" w:sz="4" w:space="0" w:color="auto"/>
              <w:bottom w:val="nil"/>
              <w:right w:val="nil"/>
            </w:tcBorders>
            <w:noWrap/>
            <w:vAlign w:val="bottom"/>
          </w:tcPr>
          <w:p w14:paraId="032FDC93"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Tas</w:t>
            </w:r>
          </w:p>
        </w:tc>
        <w:tc>
          <w:tcPr>
            <w:tcW w:w="1168" w:type="dxa"/>
            <w:tcBorders>
              <w:top w:val="nil"/>
              <w:left w:val="nil"/>
              <w:bottom w:val="nil"/>
              <w:right w:val="nil"/>
            </w:tcBorders>
            <w:shd w:val="clear" w:color="auto" w:fill="auto"/>
            <w:noWrap/>
            <w:vAlign w:val="bottom"/>
          </w:tcPr>
          <w:p w14:paraId="5E2D9365" w14:textId="022E6300"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96</w:t>
            </w:r>
          </w:p>
        </w:tc>
        <w:tc>
          <w:tcPr>
            <w:tcW w:w="1095" w:type="dxa"/>
            <w:tcBorders>
              <w:top w:val="nil"/>
              <w:left w:val="nil"/>
              <w:bottom w:val="nil"/>
              <w:right w:val="nil"/>
            </w:tcBorders>
            <w:shd w:val="clear" w:color="auto" w:fill="auto"/>
            <w:noWrap/>
            <w:vAlign w:val="bottom"/>
          </w:tcPr>
          <w:p w14:paraId="157C790A" w14:textId="2554EA8A"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$30</w:t>
            </w:r>
          </w:p>
        </w:tc>
        <w:tc>
          <w:tcPr>
            <w:tcW w:w="1096" w:type="dxa"/>
            <w:tcBorders>
              <w:top w:val="nil"/>
              <w:left w:val="nil"/>
              <w:bottom w:val="nil"/>
              <w:right w:val="nil"/>
            </w:tcBorders>
            <w:shd w:val="clear" w:color="auto" w:fill="auto"/>
            <w:noWrap/>
            <w:vAlign w:val="bottom"/>
          </w:tcPr>
          <w:p w14:paraId="633C3BF6" w14:textId="0196A3A8"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$83</w:t>
            </w:r>
          </w:p>
        </w:tc>
        <w:tc>
          <w:tcPr>
            <w:tcW w:w="1096" w:type="dxa"/>
            <w:tcBorders>
              <w:top w:val="nil"/>
              <w:left w:val="nil"/>
              <w:bottom w:val="nil"/>
              <w:right w:val="nil"/>
            </w:tcBorders>
            <w:shd w:val="clear" w:color="auto" w:fill="auto"/>
            <w:noWrap/>
            <w:vAlign w:val="bottom"/>
          </w:tcPr>
          <w:p w14:paraId="18D54993" w14:textId="2B40D692"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$53</w:t>
            </w:r>
          </w:p>
        </w:tc>
        <w:tc>
          <w:tcPr>
            <w:tcW w:w="962" w:type="dxa"/>
            <w:tcBorders>
              <w:top w:val="nil"/>
              <w:left w:val="nil"/>
              <w:bottom w:val="nil"/>
              <w:right w:val="nil"/>
            </w:tcBorders>
            <w:shd w:val="clear" w:color="auto" w:fill="auto"/>
            <w:vAlign w:val="bottom"/>
          </w:tcPr>
          <w:p w14:paraId="497453E2" w14:textId="1BB17876"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1.9%</w:t>
            </w:r>
          </w:p>
        </w:tc>
        <w:tc>
          <w:tcPr>
            <w:tcW w:w="584" w:type="dxa"/>
            <w:tcBorders>
              <w:top w:val="nil"/>
              <w:left w:val="nil"/>
              <w:bottom w:val="nil"/>
              <w:right w:val="single" w:sz="4" w:space="0" w:color="auto"/>
            </w:tcBorders>
            <w:shd w:val="clear" w:color="auto" w:fill="auto"/>
            <w:noWrap/>
            <w:vAlign w:val="bottom"/>
          </w:tcPr>
          <w:p w14:paraId="0EC2E9E2" w14:textId="4598BCE1"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2.8</w:t>
            </w:r>
          </w:p>
        </w:tc>
        <w:tc>
          <w:tcPr>
            <w:tcW w:w="716" w:type="dxa"/>
            <w:tcBorders>
              <w:top w:val="nil"/>
              <w:left w:val="nil"/>
              <w:bottom w:val="nil"/>
              <w:right w:val="nil"/>
            </w:tcBorders>
            <w:shd w:val="clear" w:color="auto" w:fill="auto"/>
            <w:vAlign w:val="bottom"/>
          </w:tcPr>
          <w:p w14:paraId="66934257" w14:textId="1B0DC948"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$41</w:t>
            </w:r>
          </w:p>
        </w:tc>
        <w:tc>
          <w:tcPr>
            <w:tcW w:w="730" w:type="dxa"/>
            <w:tcBorders>
              <w:top w:val="nil"/>
              <w:left w:val="nil"/>
              <w:bottom w:val="nil"/>
              <w:right w:val="single" w:sz="4" w:space="0" w:color="auto"/>
            </w:tcBorders>
            <w:shd w:val="clear" w:color="auto" w:fill="auto"/>
            <w:vAlign w:val="bottom"/>
          </w:tcPr>
          <w:p w14:paraId="3A64E922" w14:textId="2231955F"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2.4</w:t>
            </w:r>
          </w:p>
        </w:tc>
      </w:tr>
      <w:tr w:rsidR="00BC35DA" w:rsidRPr="00BC35DA" w14:paraId="6A5ED262" w14:textId="77777777" w:rsidTr="00DC6674">
        <w:trPr>
          <w:trHeight w:val="264"/>
          <w:jc w:val="center"/>
        </w:trPr>
        <w:tc>
          <w:tcPr>
            <w:tcW w:w="1022" w:type="dxa"/>
            <w:tcBorders>
              <w:top w:val="nil"/>
              <w:left w:val="single" w:sz="4" w:space="0" w:color="auto"/>
              <w:bottom w:val="nil"/>
              <w:right w:val="nil"/>
            </w:tcBorders>
            <w:noWrap/>
            <w:vAlign w:val="bottom"/>
          </w:tcPr>
          <w:p w14:paraId="4B7A1C53"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NT</w:t>
            </w:r>
          </w:p>
        </w:tc>
        <w:tc>
          <w:tcPr>
            <w:tcW w:w="1168" w:type="dxa"/>
            <w:tcBorders>
              <w:top w:val="nil"/>
              <w:left w:val="nil"/>
              <w:bottom w:val="nil"/>
              <w:right w:val="nil"/>
            </w:tcBorders>
            <w:shd w:val="clear" w:color="auto" w:fill="auto"/>
            <w:noWrap/>
            <w:vAlign w:val="bottom"/>
          </w:tcPr>
          <w:p w14:paraId="269D7E76" w14:textId="10C41A03"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60</w:t>
            </w:r>
          </w:p>
        </w:tc>
        <w:tc>
          <w:tcPr>
            <w:tcW w:w="1095" w:type="dxa"/>
            <w:tcBorders>
              <w:top w:val="nil"/>
              <w:left w:val="nil"/>
              <w:bottom w:val="nil"/>
              <w:right w:val="nil"/>
            </w:tcBorders>
            <w:shd w:val="clear" w:color="auto" w:fill="auto"/>
            <w:noWrap/>
            <w:vAlign w:val="bottom"/>
          </w:tcPr>
          <w:p w14:paraId="03093456" w14:textId="3B195471"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$20</w:t>
            </w:r>
          </w:p>
        </w:tc>
        <w:tc>
          <w:tcPr>
            <w:tcW w:w="1096" w:type="dxa"/>
            <w:tcBorders>
              <w:top w:val="nil"/>
              <w:left w:val="nil"/>
              <w:bottom w:val="nil"/>
              <w:right w:val="nil"/>
            </w:tcBorders>
            <w:shd w:val="clear" w:color="auto" w:fill="auto"/>
            <w:noWrap/>
            <w:vAlign w:val="bottom"/>
          </w:tcPr>
          <w:p w14:paraId="132974F4" w14:textId="254D0760"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$11</w:t>
            </w:r>
          </w:p>
        </w:tc>
        <w:tc>
          <w:tcPr>
            <w:tcW w:w="1096" w:type="dxa"/>
            <w:tcBorders>
              <w:top w:val="nil"/>
              <w:left w:val="nil"/>
              <w:bottom w:val="nil"/>
              <w:right w:val="nil"/>
            </w:tcBorders>
            <w:shd w:val="clear" w:color="auto" w:fill="auto"/>
            <w:noWrap/>
            <w:vAlign w:val="bottom"/>
          </w:tcPr>
          <w:p w14:paraId="3878607A" w14:textId="5BD1D4BC"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FF0000"/>
                <w:sz w:val="18"/>
                <w:szCs w:val="18"/>
              </w:rPr>
              <w:t>-$9</w:t>
            </w:r>
          </w:p>
        </w:tc>
        <w:tc>
          <w:tcPr>
            <w:tcW w:w="962" w:type="dxa"/>
            <w:tcBorders>
              <w:top w:val="nil"/>
              <w:left w:val="nil"/>
              <w:bottom w:val="nil"/>
              <w:right w:val="nil"/>
            </w:tcBorders>
            <w:shd w:val="clear" w:color="auto" w:fill="auto"/>
            <w:vAlign w:val="bottom"/>
          </w:tcPr>
          <w:p w14:paraId="7D19FCC3" w14:textId="3E3785D8"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-0.3%</w:t>
            </w:r>
          </w:p>
        </w:tc>
        <w:tc>
          <w:tcPr>
            <w:tcW w:w="584" w:type="dxa"/>
            <w:tcBorders>
              <w:top w:val="nil"/>
              <w:left w:val="nil"/>
              <w:bottom w:val="nil"/>
              <w:right w:val="single" w:sz="4" w:space="0" w:color="auto"/>
            </w:tcBorders>
            <w:shd w:val="clear" w:color="auto" w:fill="auto"/>
            <w:noWrap/>
            <w:vAlign w:val="bottom"/>
          </w:tcPr>
          <w:p w14:paraId="6902B9E0" w14:textId="402329F4"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0.5</w:t>
            </w:r>
          </w:p>
        </w:tc>
        <w:tc>
          <w:tcPr>
            <w:tcW w:w="716" w:type="dxa"/>
            <w:tcBorders>
              <w:top w:val="nil"/>
              <w:left w:val="nil"/>
              <w:bottom w:val="nil"/>
              <w:right w:val="nil"/>
            </w:tcBorders>
            <w:shd w:val="clear" w:color="auto" w:fill="auto"/>
            <w:vAlign w:val="bottom"/>
          </w:tcPr>
          <w:p w14:paraId="28A1BC17" w14:textId="54F14A4D"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FF0000"/>
                <w:sz w:val="18"/>
                <w:szCs w:val="18"/>
              </w:rPr>
              <w:t>-$15</w:t>
            </w:r>
          </w:p>
        </w:tc>
        <w:tc>
          <w:tcPr>
            <w:tcW w:w="730" w:type="dxa"/>
            <w:tcBorders>
              <w:top w:val="nil"/>
              <w:left w:val="nil"/>
              <w:bottom w:val="nil"/>
              <w:right w:val="single" w:sz="4" w:space="0" w:color="auto"/>
            </w:tcBorders>
            <w:shd w:val="clear" w:color="auto" w:fill="auto"/>
            <w:vAlign w:val="bottom"/>
          </w:tcPr>
          <w:p w14:paraId="5FB97F8B" w14:textId="15418A9B"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0.2</w:t>
            </w:r>
          </w:p>
        </w:tc>
      </w:tr>
      <w:tr w:rsidR="00BC35DA" w:rsidRPr="00BC35DA" w14:paraId="681AA732" w14:textId="77777777" w:rsidTr="00DC6674">
        <w:trPr>
          <w:trHeight w:val="264"/>
          <w:jc w:val="center"/>
        </w:trPr>
        <w:tc>
          <w:tcPr>
            <w:tcW w:w="1022" w:type="dxa"/>
            <w:tcBorders>
              <w:top w:val="nil"/>
              <w:left w:val="single" w:sz="4" w:space="0" w:color="auto"/>
              <w:bottom w:val="single" w:sz="4" w:space="0" w:color="auto"/>
              <w:right w:val="nil"/>
            </w:tcBorders>
            <w:noWrap/>
            <w:vAlign w:val="bottom"/>
          </w:tcPr>
          <w:p w14:paraId="52B9E01A"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ACT</w:t>
            </w:r>
          </w:p>
        </w:tc>
        <w:tc>
          <w:tcPr>
            <w:tcW w:w="1168" w:type="dxa"/>
            <w:tcBorders>
              <w:top w:val="nil"/>
              <w:left w:val="nil"/>
              <w:bottom w:val="nil"/>
              <w:right w:val="nil"/>
            </w:tcBorders>
            <w:shd w:val="clear" w:color="auto" w:fill="auto"/>
            <w:noWrap/>
            <w:vAlign w:val="bottom"/>
          </w:tcPr>
          <w:p w14:paraId="3FD731DE" w14:textId="38224534"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78</w:t>
            </w:r>
          </w:p>
        </w:tc>
        <w:tc>
          <w:tcPr>
            <w:tcW w:w="1095" w:type="dxa"/>
            <w:tcBorders>
              <w:top w:val="nil"/>
              <w:left w:val="nil"/>
              <w:bottom w:val="nil"/>
              <w:right w:val="nil"/>
            </w:tcBorders>
            <w:shd w:val="clear" w:color="auto" w:fill="auto"/>
            <w:noWrap/>
            <w:vAlign w:val="bottom"/>
          </w:tcPr>
          <w:p w14:paraId="3DA0E51E" w14:textId="5BC5A505"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$24</w:t>
            </w:r>
          </w:p>
        </w:tc>
        <w:tc>
          <w:tcPr>
            <w:tcW w:w="1096" w:type="dxa"/>
            <w:tcBorders>
              <w:top w:val="nil"/>
              <w:left w:val="nil"/>
              <w:bottom w:val="nil"/>
              <w:right w:val="nil"/>
            </w:tcBorders>
            <w:shd w:val="clear" w:color="auto" w:fill="auto"/>
            <w:noWrap/>
            <w:vAlign w:val="bottom"/>
          </w:tcPr>
          <w:p w14:paraId="60829713" w14:textId="0986CCCA"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$20</w:t>
            </w:r>
          </w:p>
        </w:tc>
        <w:tc>
          <w:tcPr>
            <w:tcW w:w="1096" w:type="dxa"/>
            <w:tcBorders>
              <w:top w:val="nil"/>
              <w:left w:val="nil"/>
              <w:bottom w:val="nil"/>
              <w:right w:val="nil"/>
            </w:tcBorders>
            <w:shd w:val="clear" w:color="auto" w:fill="auto"/>
            <w:noWrap/>
            <w:vAlign w:val="bottom"/>
          </w:tcPr>
          <w:p w14:paraId="0CEA9251" w14:textId="109B701C"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FF0000"/>
                <w:sz w:val="18"/>
                <w:szCs w:val="18"/>
              </w:rPr>
              <w:t>-$4</w:t>
            </w:r>
          </w:p>
        </w:tc>
        <w:tc>
          <w:tcPr>
            <w:tcW w:w="962" w:type="dxa"/>
            <w:tcBorders>
              <w:top w:val="nil"/>
              <w:left w:val="nil"/>
              <w:bottom w:val="nil"/>
              <w:right w:val="nil"/>
            </w:tcBorders>
            <w:shd w:val="clear" w:color="auto" w:fill="auto"/>
            <w:vAlign w:val="bottom"/>
          </w:tcPr>
          <w:p w14:paraId="1DFBDBCF" w14:textId="50DBF221"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-0.1%</w:t>
            </w:r>
          </w:p>
        </w:tc>
        <w:tc>
          <w:tcPr>
            <w:tcW w:w="584" w:type="dxa"/>
            <w:tcBorders>
              <w:top w:val="nil"/>
              <w:left w:val="nil"/>
              <w:bottom w:val="nil"/>
              <w:right w:val="single" w:sz="4" w:space="0" w:color="auto"/>
            </w:tcBorders>
            <w:shd w:val="clear" w:color="auto" w:fill="auto"/>
            <w:noWrap/>
            <w:vAlign w:val="bottom"/>
          </w:tcPr>
          <w:p w14:paraId="622C5862" w14:textId="7F6B6B57"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0.8</w:t>
            </w:r>
          </w:p>
        </w:tc>
        <w:tc>
          <w:tcPr>
            <w:tcW w:w="716" w:type="dxa"/>
            <w:tcBorders>
              <w:top w:val="nil"/>
              <w:left w:val="nil"/>
              <w:bottom w:val="nil"/>
              <w:right w:val="nil"/>
            </w:tcBorders>
            <w:shd w:val="clear" w:color="auto" w:fill="auto"/>
            <w:vAlign w:val="bottom"/>
          </w:tcPr>
          <w:p w14:paraId="5A478CAE" w14:textId="2027A7B3"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FF0000"/>
                <w:sz w:val="18"/>
                <w:szCs w:val="18"/>
              </w:rPr>
              <w:t>-$13</w:t>
            </w:r>
          </w:p>
        </w:tc>
        <w:tc>
          <w:tcPr>
            <w:tcW w:w="730" w:type="dxa"/>
            <w:tcBorders>
              <w:top w:val="nil"/>
              <w:left w:val="nil"/>
              <w:bottom w:val="nil"/>
              <w:right w:val="single" w:sz="4" w:space="0" w:color="auto"/>
            </w:tcBorders>
            <w:shd w:val="clear" w:color="auto" w:fill="auto"/>
            <w:vAlign w:val="bottom"/>
          </w:tcPr>
          <w:p w14:paraId="05ECCA54" w14:textId="592A1C3F"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0.5</w:t>
            </w:r>
          </w:p>
        </w:tc>
      </w:tr>
      <w:tr w:rsidR="00BC35DA" w:rsidRPr="00BC35DA" w14:paraId="2E9E3225" w14:textId="77777777" w:rsidTr="00DC6674">
        <w:trPr>
          <w:trHeight w:val="264"/>
          <w:jc w:val="center"/>
        </w:trPr>
        <w:tc>
          <w:tcPr>
            <w:tcW w:w="1022" w:type="dxa"/>
            <w:tcBorders>
              <w:top w:val="single" w:sz="4" w:space="0" w:color="auto"/>
              <w:left w:val="single" w:sz="4" w:space="0" w:color="auto"/>
              <w:bottom w:val="single" w:sz="4" w:space="0" w:color="auto"/>
              <w:right w:val="nil"/>
            </w:tcBorders>
            <w:noWrap/>
            <w:vAlign w:val="bottom"/>
          </w:tcPr>
          <w:p w14:paraId="618D0938"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Australia</w:t>
            </w:r>
          </w:p>
        </w:tc>
        <w:tc>
          <w:tcPr>
            <w:tcW w:w="1168" w:type="dxa"/>
            <w:tcBorders>
              <w:top w:val="single" w:sz="4" w:space="0" w:color="auto"/>
              <w:left w:val="nil"/>
              <w:bottom w:val="single" w:sz="4" w:space="0" w:color="auto"/>
              <w:right w:val="nil"/>
            </w:tcBorders>
            <w:shd w:val="clear" w:color="auto" w:fill="auto"/>
            <w:noWrap/>
            <w:vAlign w:val="bottom"/>
          </w:tcPr>
          <w:p w14:paraId="7AA7A44C" w14:textId="011ECA00"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5037</w:t>
            </w:r>
          </w:p>
        </w:tc>
        <w:tc>
          <w:tcPr>
            <w:tcW w:w="1095" w:type="dxa"/>
            <w:tcBorders>
              <w:top w:val="single" w:sz="4" w:space="0" w:color="auto"/>
              <w:left w:val="nil"/>
              <w:bottom w:val="single" w:sz="4" w:space="0" w:color="auto"/>
              <w:right w:val="nil"/>
            </w:tcBorders>
            <w:shd w:val="clear" w:color="auto" w:fill="auto"/>
            <w:noWrap/>
            <w:vAlign w:val="bottom"/>
          </w:tcPr>
          <w:p w14:paraId="0C56FA96" w14:textId="2246AA63"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$1,258</w:t>
            </w:r>
          </w:p>
        </w:tc>
        <w:tc>
          <w:tcPr>
            <w:tcW w:w="1096" w:type="dxa"/>
            <w:tcBorders>
              <w:top w:val="single" w:sz="4" w:space="0" w:color="auto"/>
              <w:left w:val="nil"/>
              <w:bottom w:val="single" w:sz="4" w:space="0" w:color="auto"/>
              <w:right w:val="nil"/>
            </w:tcBorders>
            <w:shd w:val="clear" w:color="auto" w:fill="auto"/>
            <w:noWrap/>
            <w:vAlign w:val="bottom"/>
          </w:tcPr>
          <w:p w14:paraId="7FD81372" w14:textId="75DAEB00"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$4,058</w:t>
            </w:r>
          </w:p>
        </w:tc>
        <w:tc>
          <w:tcPr>
            <w:tcW w:w="1096" w:type="dxa"/>
            <w:tcBorders>
              <w:top w:val="single" w:sz="4" w:space="0" w:color="auto"/>
              <w:left w:val="nil"/>
              <w:bottom w:val="single" w:sz="4" w:space="0" w:color="auto"/>
              <w:right w:val="nil"/>
            </w:tcBorders>
            <w:shd w:val="clear" w:color="auto" w:fill="auto"/>
            <w:noWrap/>
            <w:vAlign w:val="bottom"/>
          </w:tcPr>
          <w:p w14:paraId="1F6EFD25" w14:textId="57B26C3F"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$2,800</w:t>
            </w:r>
          </w:p>
        </w:tc>
        <w:tc>
          <w:tcPr>
            <w:tcW w:w="962" w:type="dxa"/>
            <w:tcBorders>
              <w:top w:val="single" w:sz="4" w:space="0" w:color="auto"/>
              <w:left w:val="nil"/>
              <w:bottom w:val="single" w:sz="4" w:space="0" w:color="auto"/>
              <w:right w:val="nil"/>
            </w:tcBorders>
            <w:shd w:val="clear" w:color="auto" w:fill="auto"/>
            <w:vAlign w:val="bottom"/>
          </w:tcPr>
          <w:p w14:paraId="7FF22A50" w14:textId="695587A5"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100.0%</w:t>
            </w:r>
          </w:p>
        </w:tc>
        <w:tc>
          <w:tcPr>
            <w:tcW w:w="584" w:type="dxa"/>
            <w:tcBorders>
              <w:top w:val="single" w:sz="4" w:space="0" w:color="auto"/>
              <w:left w:val="nil"/>
              <w:bottom w:val="single" w:sz="4" w:space="0" w:color="auto"/>
              <w:right w:val="single" w:sz="4" w:space="0" w:color="auto"/>
            </w:tcBorders>
            <w:shd w:val="clear" w:color="auto" w:fill="auto"/>
            <w:noWrap/>
            <w:vAlign w:val="bottom"/>
          </w:tcPr>
          <w:p w14:paraId="084E2FE9" w14:textId="230CAFED"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3.2</w:t>
            </w:r>
          </w:p>
        </w:tc>
        <w:tc>
          <w:tcPr>
            <w:tcW w:w="716" w:type="dxa"/>
            <w:tcBorders>
              <w:top w:val="single" w:sz="4" w:space="0" w:color="auto"/>
              <w:left w:val="nil"/>
              <w:bottom w:val="single" w:sz="4" w:space="0" w:color="auto"/>
              <w:right w:val="nil"/>
            </w:tcBorders>
            <w:shd w:val="clear" w:color="auto" w:fill="auto"/>
            <w:vAlign w:val="bottom"/>
          </w:tcPr>
          <w:p w14:paraId="3A90A00A" w14:textId="74AA7516"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$2,211</w:t>
            </w:r>
          </w:p>
        </w:tc>
        <w:tc>
          <w:tcPr>
            <w:tcW w:w="730" w:type="dxa"/>
            <w:tcBorders>
              <w:top w:val="single" w:sz="4" w:space="0" w:color="auto"/>
              <w:left w:val="nil"/>
              <w:bottom w:val="single" w:sz="4" w:space="0" w:color="auto"/>
              <w:right w:val="single" w:sz="4" w:space="0" w:color="auto"/>
            </w:tcBorders>
            <w:shd w:val="clear" w:color="auto" w:fill="auto"/>
            <w:vAlign w:val="bottom"/>
          </w:tcPr>
          <w:p w14:paraId="5958616B" w14:textId="3F44205F"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2.8</w:t>
            </w:r>
          </w:p>
        </w:tc>
      </w:tr>
      <w:tr w:rsidR="00BC35DA" w:rsidRPr="00BC35DA" w14:paraId="1E925017" w14:textId="77777777" w:rsidTr="00DC6674">
        <w:trPr>
          <w:trHeight w:val="264"/>
          <w:jc w:val="center"/>
        </w:trPr>
        <w:tc>
          <w:tcPr>
            <w:tcW w:w="1022" w:type="dxa"/>
            <w:tcBorders>
              <w:top w:val="single" w:sz="4" w:space="0" w:color="auto"/>
              <w:left w:val="single" w:sz="4" w:space="0" w:color="auto"/>
              <w:bottom w:val="single" w:sz="4" w:space="0" w:color="auto"/>
              <w:right w:val="nil"/>
            </w:tcBorders>
            <w:noWrap/>
            <w:vAlign w:val="bottom"/>
          </w:tcPr>
          <w:p w14:paraId="05F67AFB" w14:textId="77777777" w:rsidR="00BC35DA" w:rsidRPr="00BC35DA" w:rsidRDefault="00BC35DA" w:rsidP="00BC35DA">
            <w:pPr>
              <w:tabs>
                <w:tab w:val="left" w:pos="3293"/>
              </w:tabs>
              <w:spacing w:before="60" w:after="60" w:line="240" w:lineRule="auto"/>
              <w:ind w:left="35"/>
              <w:rPr>
                <w:rFonts w:ascii="Calibri" w:eastAsia="Arial Unicode MS" w:hAnsi="Calibri" w:cs="Calibri"/>
                <w:sz w:val="18"/>
                <w:szCs w:val="18"/>
                <w:lang w:val="en-AU"/>
              </w:rPr>
            </w:pPr>
            <w:r w:rsidRPr="00BC35DA">
              <w:rPr>
                <w:rFonts w:ascii="Calibri" w:eastAsia="Times New Roman" w:hAnsi="Calibri" w:cs="Calibri"/>
                <w:sz w:val="18"/>
                <w:szCs w:val="18"/>
                <w:lang w:val="en-AU"/>
              </w:rPr>
              <w:t>New Zealand</w:t>
            </w:r>
          </w:p>
        </w:tc>
        <w:tc>
          <w:tcPr>
            <w:tcW w:w="1168" w:type="dxa"/>
            <w:tcBorders>
              <w:top w:val="nil"/>
              <w:left w:val="nil"/>
              <w:bottom w:val="single" w:sz="4" w:space="0" w:color="auto"/>
              <w:right w:val="nil"/>
            </w:tcBorders>
            <w:shd w:val="clear" w:color="auto" w:fill="auto"/>
            <w:noWrap/>
            <w:vAlign w:val="bottom"/>
          </w:tcPr>
          <w:p w14:paraId="5BD891E0" w14:textId="19CD9A7D"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637</w:t>
            </w:r>
          </w:p>
        </w:tc>
        <w:tc>
          <w:tcPr>
            <w:tcW w:w="1095" w:type="dxa"/>
            <w:tcBorders>
              <w:top w:val="nil"/>
              <w:left w:val="nil"/>
              <w:bottom w:val="single" w:sz="4" w:space="0" w:color="auto"/>
              <w:right w:val="nil"/>
            </w:tcBorders>
            <w:shd w:val="clear" w:color="auto" w:fill="auto"/>
            <w:noWrap/>
            <w:vAlign w:val="bottom"/>
          </w:tcPr>
          <w:p w14:paraId="1E611C0A" w14:textId="1294FB92"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$179</w:t>
            </w:r>
          </w:p>
        </w:tc>
        <w:tc>
          <w:tcPr>
            <w:tcW w:w="1096" w:type="dxa"/>
            <w:tcBorders>
              <w:top w:val="nil"/>
              <w:left w:val="nil"/>
              <w:bottom w:val="single" w:sz="4" w:space="0" w:color="auto"/>
              <w:right w:val="nil"/>
            </w:tcBorders>
            <w:shd w:val="clear" w:color="auto" w:fill="auto"/>
            <w:noWrap/>
            <w:vAlign w:val="bottom"/>
          </w:tcPr>
          <w:p w14:paraId="0E7D610F" w14:textId="74D04F84"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$581</w:t>
            </w:r>
          </w:p>
        </w:tc>
        <w:tc>
          <w:tcPr>
            <w:tcW w:w="1096" w:type="dxa"/>
            <w:tcBorders>
              <w:top w:val="nil"/>
              <w:left w:val="nil"/>
              <w:bottom w:val="single" w:sz="4" w:space="0" w:color="auto"/>
              <w:right w:val="nil"/>
            </w:tcBorders>
            <w:shd w:val="clear" w:color="auto" w:fill="auto"/>
            <w:noWrap/>
            <w:vAlign w:val="bottom"/>
          </w:tcPr>
          <w:p w14:paraId="7B01437A" w14:textId="43A120E7"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$403</w:t>
            </w:r>
          </w:p>
        </w:tc>
        <w:tc>
          <w:tcPr>
            <w:tcW w:w="962" w:type="dxa"/>
            <w:tcBorders>
              <w:top w:val="nil"/>
              <w:left w:val="nil"/>
              <w:bottom w:val="single" w:sz="4" w:space="0" w:color="auto"/>
              <w:right w:val="nil"/>
            </w:tcBorders>
            <w:shd w:val="clear" w:color="auto" w:fill="auto"/>
            <w:vAlign w:val="bottom"/>
          </w:tcPr>
          <w:p w14:paraId="7A86A703" w14:textId="75C9B86C" w:rsidR="00BC35DA" w:rsidRPr="00BC35DA" w:rsidRDefault="00BC35DA" w:rsidP="00BC35DA">
            <w:pPr>
              <w:tabs>
                <w:tab w:val="left" w:pos="3293"/>
              </w:tabs>
              <w:spacing w:before="60" w:after="60" w:line="240" w:lineRule="auto"/>
              <w:ind w:left="35"/>
              <w:jc w:val="right"/>
              <w:rPr>
                <w:rFonts w:ascii="Calibri" w:eastAsia="Arial Unicode MS" w:hAnsi="Calibri" w:cs="Calibri"/>
                <w:sz w:val="18"/>
                <w:szCs w:val="18"/>
                <w:lang w:val="en-AU"/>
              </w:rPr>
            </w:pPr>
            <w:r w:rsidRPr="00BC35DA">
              <w:rPr>
                <w:rFonts w:ascii="Calibri" w:hAnsi="Calibri" w:cs="Calibri"/>
                <w:color w:val="000000"/>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14:paraId="1AC21C7F" w14:textId="767B8D01" w:rsidR="00BC35DA" w:rsidRPr="00BC35DA" w:rsidRDefault="00BC35DA" w:rsidP="00BC35DA">
            <w:pPr>
              <w:tabs>
                <w:tab w:val="left" w:pos="3293"/>
              </w:tabs>
              <w:spacing w:before="60" w:after="60" w:line="240" w:lineRule="auto"/>
              <w:ind w:left="35"/>
              <w:jc w:val="center"/>
              <w:rPr>
                <w:rFonts w:ascii="Calibri" w:eastAsia="Arial Unicode MS" w:hAnsi="Calibri" w:cs="Calibri"/>
                <w:sz w:val="18"/>
                <w:szCs w:val="18"/>
                <w:lang w:val="en-AU"/>
              </w:rPr>
            </w:pPr>
            <w:r w:rsidRPr="00BC35DA">
              <w:rPr>
                <w:rFonts w:ascii="Calibri" w:hAnsi="Calibri" w:cs="Calibri"/>
                <w:color w:val="000000"/>
                <w:sz w:val="18"/>
                <w:szCs w:val="18"/>
              </w:rPr>
              <w:t>3.3</w:t>
            </w:r>
          </w:p>
        </w:tc>
        <w:tc>
          <w:tcPr>
            <w:tcW w:w="716" w:type="dxa"/>
            <w:tcBorders>
              <w:top w:val="nil"/>
              <w:left w:val="nil"/>
              <w:bottom w:val="single" w:sz="4" w:space="0" w:color="auto"/>
              <w:right w:val="nil"/>
            </w:tcBorders>
            <w:shd w:val="clear" w:color="auto" w:fill="auto"/>
            <w:vAlign w:val="bottom"/>
          </w:tcPr>
          <w:p w14:paraId="23CBF819" w14:textId="35A9557B" w:rsidR="00BC35DA" w:rsidRPr="00BC35DA" w:rsidRDefault="00BC35DA"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sidRPr="00BC35DA">
              <w:rPr>
                <w:rFonts w:ascii="Calibri" w:hAnsi="Calibri" w:cs="Calibri"/>
                <w:color w:val="000000"/>
                <w:sz w:val="18"/>
                <w:szCs w:val="18"/>
              </w:rPr>
              <w:t>$</w:t>
            </w:r>
            <w:r w:rsidR="00036009">
              <w:rPr>
                <w:rFonts w:ascii="Calibri" w:hAnsi="Calibri" w:cs="Calibri"/>
                <w:color w:val="000000"/>
                <w:sz w:val="18"/>
                <w:szCs w:val="18"/>
              </w:rPr>
              <w:t>34</w:t>
            </w:r>
            <w:r w:rsidRPr="00BC35DA">
              <w:rPr>
                <w:rFonts w:ascii="Calibri" w:hAnsi="Calibri" w:cs="Calibri"/>
                <w:color w:val="000000"/>
                <w:sz w:val="18"/>
                <w:szCs w:val="18"/>
              </w:rPr>
              <w:t>3</w:t>
            </w:r>
          </w:p>
        </w:tc>
        <w:tc>
          <w:tcPr>
            <w:tcW w:w="730" w:type="dxa"/>
            <w:tcBorders>
              <w:top w:val="nil"/>
              <w:left w:val="nil"/>
              <w:bottom w:val="single" w:sz="4" w:space="0" w:color="auto"/>
              <w:right w:val="single" w:sz="4" w:space="0" w:color="auto"/>
            </w:tcBorders>
            <w:shd w:val="clear" w:color="auto" w:fill="auto"/>
            <w:vAlign w:val="bottom"/>
          </w:tcPr>
          <w:p w14:paraId="62F9A741" w14:textId="4C0A2B11" w:rsidR="00BC35DA" w:rsidRPr="00BC35DA" w:rsidRDefault="00036009" w:rsidP="00BC35DA">
            <w:pPr>
              <w:tabs>
                <w:tab w:val="left" w:pos="3293"/>
              </w:tabs>
              <w:spacing w:before="60" w:after="60" w:line="240" w:lineRule="auto"/>
              <w:ind w:left="35"/>
              <w:jc w:val="center"/>
              <w:rPr>
                <w:rFonts w:ascii="Calibri" w:eastAsia="Times New Roman" w:hAnsi="Calibri" w:cs="Calibri"/>
                <w:color w:val="000000"/>
                <w:sz w:val="18"/>
                <w:szCs w:val="18"/>
                <w:lang w:val="en-AU"/>
              </w:rPr>
            </w:pPr>
            <w:r>
              <w:rPr>
                <w:rFonts w:ascii="Calibri" w:eastAsia="Times New Roman" w:hAnsi="Calibri" w:cs="Calibri"/>
                <w:color w:val="000000"/>
                <w:sz w:val="18"/>
                <w:szCs w:val="18"/>
                <w:lang w:val="en-AU"/>
              </w:rPr>
              <w:t>2.9</w:t>
            </w:r>
          </w:p>
        </w:tc>
      </w:tr>
    </w:tbl>
    <w:p w14:paraId="6E175646" w14:textId="7D68B2E5"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7% discount rate for costs and benefits 202</w:t>
      </w:r>
      <w:r w:rsidR="007254CA">
        <w:rPr>
          <w:rFonts w:ascii="Calibri" w:eastAsia="Cambria" w:hAnsi="Calibri" w:cs="Calibri"/>
          <w:sz w:val="16"/>
          <w:szCs w:val="24"/>
          <w:lang w:val="en-AU"/>
        </w:rPr>
        <w:t>0</w:t>
      </w:r>
      <w:r w:rsidRPr="00A37634">
        <w:rPr>
          <w:rFonts w:ascii="Calibri" w:eastAsia="Cambria" w:hAnsi="Calibri" w:cs="Calibri"/>
          <w:sz w:val="16"/>
          <w:szCs w:val="24"/>
          <w:lang w:val="en-AU"/>
        </w:rPr>
        <w:t>-203</w:t>
      </w:r>
      <w:r w:rsidR="007254CA">
        <w:rPr>
          <w:rFonts w:ascii="Calibri" w:eastAsia="Cambria" w:hAnsi="Calibri" w:cs="Calibri"/>
          <w:sz w:val="16"/>
          <w:szCs w:val="24"/>
          <w:lang w:val="en-AU"/>
        </w:rPr>
        <w:t>6</w:t>
      </w:r>
      <w:r w:rsidRPr="00A37634">
        <w:rPr>
          <w:rFonts w:ascii="Calibri" w:eastAsia="Cambria" w:hAnsi="Calibri" w:cs="Calibri"/>
          <w:sz w:val="16"/>
          <w:szCs w:val="24"/>
          <w:lang w:val="en-AU"/>
        </w:rPr>
        <w:t>; 6% discount rate for NZ.</w:t>
      </w:r>
    </w:p>
    <w:p w14:paraId="7DED2D07" w14:textId="77777777" w:rsidR="003221FC" w:rsidRDefault="003221FC">
      <w:pPr>
        <w:rPr>
          <w:rFonts w:ascii="Calibri" w:eastAsia="Cambria" w:hAnsi="Calibri" w:cs="Calibri"/>
          <w:b/>
          <w:bCs/>
          <w:sz w:val="20"/>
          <w:szCs w:val="16"/>
          <w:lang w:val="en-AU"/>
        </w:rPr>
      </w:pPr>
      <w:bookmarkStart w:id="106" w:name="_Ref14778898"/>
      <w:bookmarkStart w:id="107" w:name="_Hlk14778817"/>
      <w:r>
        <w:rPr>
          <w:rFonts w:ascii="Calibri" w:eastAsia="Cambria" w:hAnsi="Calibri" w:cs="Calibri"/>
          <w:b/>
          <w:bCs/>
          <w:sz w:val="20"/>
          <w:szCs w:val="16"/>
          <w:lang w:val="en-AU"/>
        </w:rPr>
        <w:br w:type="page"/>
      </w:r>
    </w:p>
    <w:p w14:paraId="1055A60E" w14:textId="77980D63"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08" w:name="_Ref22134241"/>
      <w:bookmarkStart w:id="109" w:name="_Toc22486957"/>
      <w:r w:rsidRPr="00A37634">
        <w:rPr>
          <w:rFonts w:ascii="Calibri" w:eastAsia="Cambria" w:hAnsi="Calibri" w:cs="Calibri"/>
          <w:b/>
          <w:bCs/>
          <w:sz w:val="20"/>
          <w:szCs w:val="16"/>
          <w:lang w:val="en-AU"/>
        </w:rPr>
        <w:lastRenderedPageBreak/>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13</w:t>
      </w:r>
      <w:r w:rsidRPr="00A37634">
        <w:rPr>
          <w:rFonts w:ascii="Calibri" w:eastAsia="Cambria" w:hAnsi="Calibri" w:cs="Calibri"/>
          <w:b/>
          <w:bCs/>
          <w:noProof/>
          <w:sz w:val="20"/>
          <w:szCs w:val="16"/>
          <w:lang w:val="en-AU"/>
        </w:rPr>
        <w:fldChar w:fldCharType="end"/>
      </w:r>
      <w:bookmarkEnd w:id="106"/>
      <w:bookmarkEnd w:id="108"/>
      <w:r w:rsidRPr="00A37634">
        <w:rPr>
          <w:rFonts w:ascii="Calibri" w:eastAsia="Cambria" w:hAnsi="Calibri" w:cs="Calibri"/>
          <w:b/>
          <w:bCs/>
          <w:sz w:val="20"/>
          <w:szCs w:val="16"/>
          <w:lang w:val="en-AU"/>
        </w:rPr>
        <w:t>. Projected costs and benefits by appliance, Australia (low activation)</w:t>
      </w:r>
      <w:bookmarkEnd w:id="109"/>
    </w:p>
    <w:tbl>
      <w:tblPr>
        <w:tblW w:w="8651" w:type="dxa"/>
        <w:jc w:val="center"/>
        <w:tblLayout w:type="fixed"/>
        <w:tblCellMar>
          <w:left w:w="0" w:type="dxa"/>
          <w:right w:w="0" w:type="dxa"/>
        </w:tblCellMar>
        <w:tblLook w:val="0000" w:firstRow="0" w:lastRow="0" w:firstColumn="0" w:lastColumn="0" w:noHBand="0" w:noVBand="0"/>
      </w:tblPr>
      <w:tblGrid>
        <w:gridCol w:w="1271"/>
        <w:gridCol w:w="1104"/>
        <w:gridCol w:w="1089"/>
        <w:gridCol w:w="1089"/>
        <w:gridCol w:w="1089"/>
        <w:gridCol w:w="874"/>
        <w:gridCol w:w="709"/>
        <w:gridCol w:w="786"/>
        <w:gridCol w:w="640"/>
      </w:tblGrid>
      <w:tr w:rsidR="00A37634" w:rsidRPr="00DC6674" w14:paraId="44526232" w14:textId="77777777" w:rsidTr="007254CA">
        <w:trPr>
          <w:cantSplit/>
          <w:trHeight w:val="533"/>
          <w:tblHeader/>
          <w:jc w:val="center"/>
        </w:trPr>
        <w:tc>
          <w:tcPr>
            <w:tcW w:w="1271" w:type="dxa"/>
            <w:vMerge w:val="restart"/>
            <w:tcBorders>
              <w:top w:val="single" w:sz="4" w:space="0" w:color="auto"/>
              <w:left w:val="single" w:sz="4" w:space="0" w:color="auto"/>
              <w:right w:val="single" w:sz="4" w:space="0" w:color="auto"/>
            </w:tcBorders>
            <w:noWrap/>
          </w:tcPr>
          <w:p w14:paraId="40D02CD8" w14:textId="77777777" w:rsidR="00A37634" w:rsidRPr="00DC6674" w:rsidRDefault="00A37634" w:rsidP="00A37634">
            <w:pPr>
              <w:spacing w:before="60" w:after="60" w:line="240" w:lineRule="auto"/>
              <w:jc w:val="center"/>
              <w:rPr>
                <w:rFonts w:ascii="Calibri" w:eastAsia="Arial Unicode MS" w:hAnsi="Calibri" w:cs="Calibri"/>
                <w:bCs/>
                <w:sz w:val="18"/>
                <w:szCs w:val="18"/>
                <w:lang w:val="en-AU"/>
              </w:rPr>
            </w:pPr>
          </w:p>
        </w:tc>
        <w:tc>
          <w:tcPr>
            <w:tcW w:w="1104" w:type="dxa"/>
            <w:vMerge w:val="restart"/>
            <w:tcBorders>
              <w:top w:val="single" w:sz="4" w:space="0" w:color="auto"/>
              <w:left w:val="single" w:sz="4" w:space="0" w:color="auto"/>
              <w:bottom w:val="single" w:sz="4" w:space="0" w:color="auto"/>
            </w:tcBorders>
            <w:noWrap/>
          </w:tcPr>
          <w:p w14:paraId="0D55386F" w14:textId="1BDE2A4F" w:rsidR="00A37634" w:rsidRPr="00DC6674" w:rsidRDefault="00A37634" w:rsidP="00A37634">
            <w:pPr>
              <w:spacing w:before="60" w:after="60" w:line="240" w:lineRule="auto"/>
              <w:jc w:val="center"/>
              <w:rPr>
                <w:rFonts w:ascii="Calibri" w:eastAsia="Arial Unicode MS" w:hAnsi="Calibri" w:cs="Calibri"/>
                <w:bCs/>
                <w:sz w:val="18"/>
                <w:szCs w:val="18"/>
                <w:lang w:val="en-AU"/>
              </w:rPr>
            </w:pPr>
            <w:r w:rsidRPr="00DC6674">
              <w:rPr>
                <w:rFonts w:ascii="Calibri" w:eastAsia="Times New Roman" w:hAnsi="Calibri" w:cs="Calibri"/>
                <w:bCs/>
                <w:sz w:val="18"/>
                <w:szCs w:val="18"/>
                <w:lang w:val="en-AU"/>
              </w:rPr>
              <w:t>Routine DLC Reduction available SMD 203</w:t>
            </w:r>
            <w:r w:rsidR="00BC35DA" w:rsidRPr="00DC6674">
              <w:rPr>
                <w:rFonts w:ascii="Calibri" w:eastAsia="Times New Roman" w:hAnsi="Calibri" w:cs="Calibri"/>
                <w:bCs/>
                <w:sz w:val="18"/>
                <w:szCs w:val="18"/>
                <w:lang w:val="en-AU"/>
              </w:rPr>
              <w:t>6</w:t>
            </w:r>
            <w:r w:rsidRPr="00DC6674">
              <w:rPr>
                <w:rFonts w:ascii="Calibri" w:eastAsia="Times New Roman" w:hAnsi="Calibri" w:cs="Calibri"/>
                <w:bCs/>
                <w:sz w:val="18"/>
                <w:szCs w:val="18"/>
                <w:lang w:val="en-AU"/>
              </w:rPr>
              <w:t>, MWe (a)</w:t>
            </w:r>
          </w:p>
        </w:tc>
        <w:tc>
          <w:tcPr>
            <w:tcW w:w="1089" w:type="dxa"/>
            <w:vMerge w:val="restart"/>
            <w:tcBorders>
              <w:top w:val="single" w:sz="4" w:space="0" w:color="auto"/>
              <w:bottom w:val="single" w:sz="4" w:space="0" w:color="auto"/>
            </w:tcBorders>
            <w:noWrap/>
          </w:tcPr>
          <w:p w14:paraId="1962A543" w14:textId="77777777" w:rsidR="00A37634" w:rsidRPr="00DC6674" w:rsidRDefault="00A37634" w:rsidP="00A37634">
            <w:pPr>
              <w:spacing w:before="60" w:after="60" w:line="240" w:lineRule="auto"/>
              <w:jc w:val="center"/>
              <w:rPr>
                <w:rFonts w:ascii="Calibri" w:eastAsia="Arial Unicode MS" w:hAnsi="Calibri" w:cs="Calibri"/>
                <w:bCs/>
                <w:sz w:val="18"/>
                <w:szCs w:val="18"/>
                <w:lang w:val="en-AU"/>
              </w:rPr>
            </w:pPr>
            <w:r w:rsidRPr="00DC6674">
              <w:rPr>
                <w:rFonts w:ascii="Calibri" w:eastAsia="Times New Roman" w:hAnsi="Calibri" w:cs="Calibri"/>
                <w:bCs/>
                <w:sz w:val="18"/>
                <w:szCs w:val="18"/>
                <w:lang w:val="en-AU"/>
              </w:rPr>
              <w:t>Costs</w:t>
            </w:r>
            <w:r w:rsidRPr="00DC6674">
              <w:rPr>
                <w:rFonts w:ascii="Calibri" w:eastAsia="Times New Roman" w:hAnsi="Calibri" w:cs="Calibri"/>
                <w:bCs/>
                <w:sz w:val="18"/>
                <w:szCs w:val="18"/>
                <w:lang w:val="en-AU"/>
              </w:rPr>
              <w:br/>
              <w:t>$M NPV</w:t>
            </w:r>
            <w:r w:rsidRPr="00DC6674">
              <w:rPr>
                <w:rFonts w:ascii="Calibri" w:eastAsia="Times New Roman" w:hAnsi="Calibri" w:cs="Calibri"/>
                <w:bCs/>
                <w:sz w:val="18"/>
                <w:szCs w:val="18"/>
                <w:lang w:val="en-AU"/>
              </w:rPr>
              <w:br/>
              <w:t>(b)</w:t>
            </w:r>
          </w:p>
          <w:p w14:paraId="786AB1E2" w14:textId="77777777" w:rsidR="00A37634" w:rsidRPr="00DC6674" w:rsidRDefault="00A37634" w:rsidP="00A37634">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3037344C" w14:textId="77777777" w:rsidR="00A37634" w:rsidRPr="00DC6674" w:rsidRDefault="00A37634" w:rsidP="00A37634">
            <w:pPr>
              <w:spacing w:before="60" w:after="60" w:line="240" w:lineRule="auto"/>
              <w:jc w:val="center"/>
              <w:rPr>
                <w:rFonts w:ascii="Calibri" w:eastAsia="Arial Unicode MS" w:hAnsi="Calibri" w:cs="Calibri"/>
                <w:bCs/>
                <w:sz w:val="18"/>
                <w:szCs w:val="18"/>
                <w:lang w:val="en-AU"/>
              </w:rPr>
            </w:pPr>
            <w:r w:rsidRPr="00DC6674">
              <w:rPr>
                <w:rFonts w:ascii="Calibri" w:eastAsia="Times New Roman" w:hAnsi="Calibri" w:cs="Calibri"/>
                <w:bCs/>
                <w:sz w:val="18"/>
                <w:szCs w:val="18"/>
                <w:lang w:val="en-AU"/>
              </w:rPr>
              <w:t>Benefits</w:t>
            </w:r>
            <w:r w:rsidRPr="00DC6674">
              <w:rPr>
                <w:rFonts w:ascii="Calibri" w:eastAsia="Times New Roman" w:hAnsi="Calibri" w:cs="Calibri"/>
                <w:bCs/>
                <w:sz w:val="18"/>
                <w:szCs w:val="18"/>
                <w:lang w:val="en-AU"/>
              </w:rPr>
              <w:br/>
              <w:t>$M NPV</w:t>
            </w:r>
            <w:r w:rsidRPr="00DC6674">
              <w:rPr>
                <w:rFonts w:ascii="Calibri" w:eastAsia="Times New Roman" w:hAnsi="Calibri" w:cs="Calibri"/>
                <w:bCs/>
                <w:sz w:val="18"/>
                <w:szCs w:val="18"/>
                <w:lang w:val="en-AU"/>
              </w:rPr>
              <w:br/>
              <w:t>(b)</w:t>
            </w:r>
          </w:p>
          <w:p w14:paraId="50DE1190" w14:textId="77777777" w:rsidR="00A37634" w:rsidRPr="00DC6674" w:rsidRDefault="00A37634" w:rsidP="00A37634">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7254A5DD" w14:textId="77777777" w:rsidR="00A37634" w:rsidRPr="00DC6674" w:rsidRDefault="00A37634" w:rsidP="00A37634">
            <w:pPr>
              <w:spacing w:before="60" w:after="60" w:line="240" w:lineRule="auto"/>
              <w:jc w:val="center"/>
              <w:rPr>
                <w:rFonts w:ascii="Calibri" w:eastAsia="Arial Unicode MS" w:hAnsi="Calibri" w:cs="Calibri"/>
                <w:bCs/>
                <w:sz w:val="18"/>
                <w:szCs w:val="18"/>
                <w:lang w:val="en-AU"/>
              </w:rPr>
            </w:pPr>
            <w:r w:rsidRPr="00DC6674">
              <w:rPr>
                <w:rFonts w:ascii="Calibri" w:eastAsia="Times New Roman" w:hAnsi="Calibri" w:cs="Calibri"/>
                <w:bCs/>
                <w:sz w:val="18"/>
                <w:szCs w:val="18"/>
                <w:lang w:val="en-AU"/>
              </w:rPr>
              <w:t>Net</w:t>
            </w:r>
            <w:r w:rsidRPr="00DC6674">
              <w:rPr>
                <w:rFonts w:ascii="Calibri" w:eastAsia="Times New Roman" w:hAnsi="Calibri" w:cs="Calibri"/>
                <w:bCs/>
                <w:sz w:val="18"/>
                <w:szCs w:val="18"/>
                <w:lang w:val="en-AU"/>
              </w:rPr>
              <w:br/>
              <w:t>Benefits</w:t>
            </w:r>
            <w:r w:rsidRPr="00DC6674">
              <w:rPr>
                <w:rFonts w:ascii="Calibri" w:eastAsia="Times New Roman" w:hAnsi="Calibri" w:cs="Calibri"/>
                <w:bCs/>
                <w:sz w:val="18"/>
                <w:szCs w:val="18"/>
                <w:lang w:val="en-AU"/>
              </w:rPr>
              <w:br/>
              <w:t>$M NPV</w:t>
            </w:r>
            <w:r w:rsidRPr="00DC6674">
              <w:rPr>
                <w:rFonts w:ascii="Calibri" w:eastAsia="Times New Roman" w:hAnsi="Calibri" w:cs="Calibri"/>
                <w:bCs/>
                <w:sz w:val="18"/>
                <w:szCs w:val="18"/>
                <w:lang w:val="en-AU"/>
              </w:rPr>
              <w:br/>
              <w:t>(b)</w:t>
            </w:r>
          </w:p>
        </w:tc>
        <w:tc>
          <w:tcPr>
            <w:tcW w:w="874" w:type="dxa"/>
            <w:vMerge w:val="restart"/>
            <w:tcBorders>
              <w:top w:val="single" w:sz="4" w:space="0" w:color="auto"/>
              <w:bottom w:val="single" w:sz="4" w:space="0" w:color="auto"/>
            </w:tcBorders>
          </w:tcPr>
          <w:p w14:paraId="346C0659" w14:textId="77777777" w:rsidR="00A37634" w:rsidRPr="00DC6674" w:rsidRDefault="00A37634" w:rsidP="00A37634">
            <w:pPr>
              <w:spacing w:before="60" w:after="60" w:line="240" w:lineRule="auto"/>
              <w:jc w:val="center"/>
              <w:rPr>
                <w:rFonts w:ascii="Calibri" w:eastAsia="Times New Roman" w:hAnsi="Calibri" w:cs="Calibri"/>
                <w:bCs/>
                <w:sz w:val="18"/>
                <w:szCs w:val="18"/>
                <w:lang w:val="en-AU"/>
              </w:rPr>
            </w:pPr>
            <w:r w:rsidRPr="00DC6674">
              <w:rPr>
                <w:rFonts w:ascii="Calibri" w:eastAsia="Times New Roman" w:hAnsi="Calibri" w:cs="Calibri"/>
                <w:bCs/>
                <w:sz w:val="18"/>
                <w:szCs w:val="18"/>
                <w:lang w:val="en-AU"/>
              </w:rPr>
              <w:t xml:space="preserve">% net </w:t>
            </w:r>
            <w:r w:rsidRPr="00DC6674">
              <w:rPr>
                <w:rFonts w:ascii="Calibri" w:eastAsia="Times New Roman" w:hAnsi="Calibri" w:cs="Calibri"/>
                <w:bCs/>
                <w:sz w:val="18"/>
                <w:szCs w:val="18"/>
                <w:lang w:val="en-AU"/>
              </w:rPr>
              <w:br/>
              <w:t>national</w:t>
            </w:r>
            <w:r w:rsidRPr="00DC6674">
              <w:rPr>
                <w:rFonts w:ascii="Calibri" w:eastAsia="Times New Roman" w:hAnsi="Calibri" w:cs="Calibri"/>
                <w:bCs/>
                <w:sz w:val="18"/>
                <w:szCs w:val="18"/>
                <w:lang w:val="en-AU"/>
              </w:rPr>
              <w:br/>
              <w:t>benefits</w:t>
            </w:r>
          </w:p>
        </w:tc>
        <w:tc>
          <w:tcPr>
            <w:tcW w:w="709" w:type="dxa"/>
            <w:vMerge w:val="restart"/>
            <w:tcBorders>
              <w:top w:val="single" w:sz="4" w:space="0" w:color="auto"/>
              <w:bottom w:val="single" w:sz="4" w:space="0" w:color="auto"/>
              <w:right w:val="single" w:sz="4" w:space="0" w:color="auto"/>
            </w:tcBorders>
            <w:noWrap/>
          </w:tcPr>
          <w:p w14:paraId="2F3C4FF0" w14:textId="77777777" w:rsidR="00A37634" w:rsidRPr="00DC6674" w:rsidRDefault="00A37634" w:rsidP="00A37634">
            <w:pPr>
              <w:spacing w:before="60" w:after="60" w:line="240" w:lineRule="auto"/>
              <w:jc w:val="center"/>
              <w:rPr>
                <w:rFonts w:ascii="Calibri" w:eastAsia="Arial Unicode MS" w:hAnsi="Calibri" w:cs="Calibri"/>
                <w:bCs/>
                <w:sz w:val="18"/>
                <w:szCs w:val="18"/>
                <w:lang w:val="en-AU"/>
              </w:rPr>
            </w:pPr>
            <w:r w:rsidRPr="00DC6674">
              <w:rPr>
                <w:rFonts w:ascii="Calibri" w:eastAsia="Times New Roman" w:hAnsi="Calibri" w:cs="Calibri"/>
                <w:bCs/>
                <w:sz w:val="18"/>
                <w:szCs w:val="18"/>
                <w:lang w:val="en-AU"/>
              </w:rPr>
              <w:t>B/C ratio</w:t>
            </w:r>
          </w:p>
        </w:tc>
        <w:tc>
          <w:tcPr>
            <w:tcW w:w="1426" w:type="dxa"/>
            <w:gridSpan w:val="2"/>
            <w:tcBorders>
              <w:top w:val="single" w:sz="4" w:space="0" w:color="auto"/>
              <w:left w:val="single" w:sz="4" w:space="0" w:color="auto"/>
              <w:bottom w:val="single" w:sz="4" w:space="0" w:color="auto"/>
              <w:right w:val="single" w:sz="4" w:space="0" w:color="auto"/>
            </w:tcBorders>
          </w:tcPr>
          <w:p w14:paraId="37D3683B" w14:textId="77777777" w:rsidR="00A37634" w:rsidRPr="00DC6674" w:rsidRDefault="00A37634" w:rsidP="00A37634">
            <w:pPr>
              <w:spacing w:before="60" w:after="60" w:line="240" w:lineRule="auto"/>
              <w:jc w:val="center"/>
              <w:rPr>
                <w:rFonts w:ascii="Calibri" w:eastAsia="Times New Roman" w:hAnsi="Calibri" w:cs="Calibri"/>
                <w:bCs/>
                <w:sz w:val="18"/>
                <w:szCs w:val="18"/>
                <w:lang w:val="en-AU"/>
              </w:rPr>
            </w:pPr>
            <w:r w:rsidRPr="00DC6674">
              <w:rPr>
                <w:rFonts w:ascii="Calibri" w:eastAsia="Times New Roman" w:hAnsi="Calibri" w:cs="Calibri"/>
                <w:bCs/>
                <w:sz w:val="18"/>
                <w:szCs w:val="18"/>
                <w:lang w:val="en-AU"/>
              </w:rPr>
              <w:t>Without whole-sale price benefit</w:t>
            </w:r>
          </w:p>
        </w:tc>
      </w:tr>
      <w:tr w:rsidR="00A37634" w:rsidRPr="00A37634" w14:paraId="1AA1F344" w14:textId="77777777" w:rsidTr="007254CA">
        <w:trPr>
          <w:cantSplit/>
          <w:trHeight w:val="532"/>
          <w:tblHeader/>
          <w:jc w:val="center"/>
        </w:trPr>
        <w:tc>
          <w:tcPr>
            <w:tcW w:w="1271" w:type="dxa"/>
            <w:vMerge/>
            <w:tcBorders>
              <w:left w:val="single" w:sz="4" w:space="0" w:color="auto"/>
              <w:bottom w:val="single" w:sz="4" w:space="0" w:color="auto"/>
              <w:right w:val="single" w:sz="4" w:space="0" w:color="auto"/>
            </w:tcBorders>
            <w:noWrap/>
          </w:tcPr>
          <w:p w14:paraId="278DEBF0" w14:textId="77777777" w:rsidR="00A37634" w:rsidRPr="00A37634" w:rsidRDefault="00A37634" w:rsidP="00A37634">
            <w:pPr>
              <w:spacing w:before="60" w:after="60" w:line="240" w:lineRule="auto"/>
              <w:jc w:val="center"/>
              <w:rPr>
                <w:rFonts w:ascii="Calibri" w:eastAsia="Arial Unicode MS" w:hAnsi="Calibri" w:cs="Calibri"/>
                <w:b/>
                <w:sz w:val="18"/>
                <w:szCs w:val="18"/>
                <w:lang w:val="en-AU"/>
              </w:rPr>
            </w:pPr>
          </w:p>
        </w:tc>
        <w:tc>
          <w:tcPr>
            <w:tcW w:w="1104" w:type="dxa"/>
            <w:vMerge/>
            <w:tcBorders>
              <w:left w:val="single" w:sz="4" w:space="0" w:color="auto"/>
              <w:bottom w:val="single" w:sz="4" w:space="0" w:color="auto"/>
            </w:tcBorders>
            <w:noWrap/>
          </w:tcPr>
          <w:p w14:paraId="0AA10C84"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5F69CB84"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78B15D31"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475123A0"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874" w:type="dxa"/>
            <w:vMerge/>
            <w:tcBorders>
              <w:bottom w:val="single" w:sz="4" w:space="0" w:color="auto"/>
            </w:tcBorders>
          </w:tcPr>
          <w:p w14:paraId="0ED090A9"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709" w:type="dxa"/>
            <w:vMerge/>
            <w:tcBorders>
              <w:bottom w:val="single" w:sz="4" w:space="0" w:color="auto"/>
              <w:right w:val="single" w:sz="4" w:space="0" w:color="auto"/>
            </w:tcBorders>
            <w:noWrap/>
          </w:tcPr>
          <w:p w14:paraId="724A6D92"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786" w:type="dxa"/>
            <w:tcBorders>
              <w:top w:val="single" w:sz="4" w:space="0" w:color="auto"/>
              <w:left w:val="single" w:sz="4" w:space="0" w:color="auto"/>
              <w:bottom w:val="single" w:sz="4" w:space="0" w:color="auto"/>
            </w:tcBorders>
          </w:tcPr>
          <w:p w14:paraId="2C5A7380" w14:textId="771CB036" w:rsidR="00A37634" w:rsidRPr="007254CA" w:rsidRDefault="00BC35DA"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$M </w:t>
            </w:r>
            <w:r w:rsidR="00A37634" w:rsidRPr="007254CA">
              <w:rPr>
                <w:rFonts w:ascii="Calibri" w:eastAsia="Times New Roman" w:hAnsi="Calibri" w:cs="Calibri"/>
                <w:bCs/>
                <w:sz w:val="18"/>
                <w:szCs w:val="18"/>
                <w:lang w:val="en-AU"/>
              </w:rPr>
              <w:t>Net</w:t>
            </w:r>
            <w:r w:rsidR="00A37634" w:rsidRPr="007254CA">
              <w:rPr>
                <w:rFonts w:ascii="Calibri" w:eastAsia="Times New Roman" w:hAnsi="Calibri" w:cs="Calibri"/>
                <w:bCs/>
                <w:sz w:val="18"/>
                <w:szCs w:val="18"/>
                <w:lang w:val="en-AU"/>
              </w:rPr>
              <w:br/>
              <w:t>benefit</w:t>
            </w:r>
          </w:p>
        </w:tc>
        <w:tc>
          <w:tcPr>
            <w:tcW w:w="640" w:type="dxa"/>
            <w:tcBorders>
              <w:top w:val="single" w:sz="4" w:space="0" w:color="auto"/>
              <w:bottom w:val="single" w:sz="4" w:space="0" w:color="auto"/>
              <w:right w:val="single" w:sz="4" w:space="0" w:color="auto"/>
            </w:tcBorders>
          </w:tcPr>
          <w:p w14:paraId="250DB9E9" w14:textId="77777777" w:rsidR="00A37634" w:rsidRPr="007254CA" w:rsidRDefault="00A37634"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B/C ratio</w:t>
            </w:r>
          </w:p>
        </w:tc>
      </w:tr>
      <w:tr w:rsidR="00DC6674" w:rsidRPr="007254CA" w14:paraId="1F7E4E8F" w14:textId="77777777" w:rsidTr="007254CA">
        <w:trPr>
          <w:trHeight w:val="255"/>
          <w:jc w:val="center"/>
        </w:trPr>
        <w:tc>
          <w:tcPr>
            <w:tcW w:w="1271" w:type="dxa"/>
            <w:tcBorders>
              <w:top w:val="single" w:sz="4" w:space="0" w:color="auto"/>
              <w:left w:val="single" w:sz="4" w:space="0" w:color="auto"/>
              <w:bottom w:val="nil"/>
              <w:right w:val="single" w:sz="4" w:space="0" w:color="auto"/>
            </w:tcBorders>
            <w:noWrap/>
          </w:tcPr>
          <w:p w14:paraId="51FE4674" w14:textId="77777777" w:rsidR="00DC6674" w:rsidRPr="007254CA" w:rsidRDefault="00DC6674" w:rsidP="00DC6674">
            <w:pPr>
              <w:tabs>
                <w:tab w:val="left" w:pos="3293"/>
              </w:tabs>
              <w:spacing w:before="60" w:after="60" w:line="240" w:lineRule="auto"/>
              <w:ind w:left="35"/>
              <w:rPr>
                <w:rFonts w:ascii="Calibri" w:eastAsia="Times New Roman" w:hAnsi="Calibri" w:cs="Calibri"/>
                <w:sz w:val="18"/>
                <w:szCs w:val="18"/>
                <w:lang w:val="en-AU"/>
              </w:rPr>
            </w:pPr>
            <w:r w:rsidRPr="007254CA">
              <w:rPr>
                <w:rFonts w:ascii="Calibri" w:eastAsia="Times New Roman" w:hAnsi="Calibri" w:cs="Calibri"/>
                <w:sz w:val="18"/>
                <w:szCs w:val="18"/>
                <w:lang w:val="en-AU"/>
              </w:rPr>
              <w:t>Air Conds</w:t>
            </w:r>
          </w:p>
        </w:tc>
        <w:tc>
          <w:tcPr>
            <w:tcW w:w="1104" w:type="dxa"/>
            <w:tcBorders>
              <w:top w:val="single" w:sz="4" w:space="0" w:color="auto"/>
              <w:left w:val="single" w:sz="4" w:space="0" w:color="auto"/>
              <w:bottom w:val="nil"/>
              <w:right w:val="nil"/>
            </w:tcBorders>
            <w:shd w:val="clear" w:color="auto" w:fill="auto"/>
            <w:noWrap/>
            <w:vAlign w:val="bottom"/>
          </w:tcPr>
          <w:p w14:paraId="22E1A64F" w14:textId="1709CFE7"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1709</w:t>
            </w:r>
          </w:p>
        </w:tc>
        <w:tc>
          <w:tcPr>
            <w:tcW w:w="1089" w:type="dxa"/>
            <w:tcBorders>
              <w:top w:val="single" w:sz="4" w:space="0" w:color="auto"/>
              <w:left w:val="nil"/>
              <w:bottom w:val="nil"/>
              <w:right w:val="nil"/>
            </w:tcBorders>
            <w:shd w:val="clear" w:color="auto" w:fill="auto"/>
            <w:noWrap/>
            <w:vAlign w:val="bottom"/>
          </w:tcPr>
          <w:p w14:paraId="45B5FA31" w14:textId="468E2BBA"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$339</w:t>
            </w:r>
          </w:p>
        </w:tc>
        <w:tc>
          <w:tcPr>
            <w:tcW w:w="1089" w:type="dxa"/>
            <w:tcBorders>
              <w:top w:val="single" w:sz="4" w:space="0" w:color="auto"/>
              <w:left w:val="nil"/>
              <w:bottom w:val="nil"/>
              <w:right w:val="nil"/>
            </w:tcBorders>
            <w:shd w:val="clear" w:color="auto" w:fill="auto"/>
            <w:noWrap/>
            <w:vAlign w:val="bottom"/>
          </w:tcPr>
          <w:p w14:paraId="714C0D4E" w14:textId="737A944C"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$1,188</w:t>
            </w:r>
          </w:p>
        </w:tc>
        <w:tc>
          <w:tcPr>
            <w:tcW w:w="1089" w:type="dxa"/>
            <w:tcBorders>
              <w:top w:val="single" w:sz="4" w:space="0" w:color="auto"/>
              <w:left w:val="nil"/>
              <w:bottom w:val="nil"/>
              <w:right w:val="nil"/>
            </w:tcBorders>
            <w:shd w:val="clear" w:color="auto" w:fill="auto"/>
            <w:noWrap/>
            <w:vAlign w:val="bottom"/>
          </w:tcPr>
          <w:p w14:paraId="0DA74B92" w14:textId="2858E705"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$849</w:t>
            </w:r>
          </w:p>
        </w:tc>
        <w:tc>
          <w:tcPr>
            <w:tcW w:w="874" w:type="dxa"/>
            <w:tcBorders>
              <w:top w:val="single" w:sz="4" w:space="0" w:color="auto"/>
              <w:left w:val="nil"/>
              <w:bottom w:val="nil"/>
              <w:right w:val="nil"/>
            </w:tcBorders>
            <w:shd w:val="clear" w:color="auto" w:fill="auto"/>
            <w:vAlign w:val="bottom"/>
          </w:tcPr>
          <w:p w14:paraId="660AD89C" w14:textId="17F20E95"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56.9%</w:t>
            </w:r>
          </w:p>
        </w:tc>
        <w:tc>
          <w:tcPr>
            <w:tcW w:w="709" w:type="dxa"/>
            <w:tcBorders>
              <w:top w:val="single" w:sz="4" w:space="0" w:color="auto"/>
              <w:left w:val="nil"/>
              <w:bottom w:val="nil"/>
              <w:right w:val="single" w:sz="4" w:space="0" w:color="auto"/>
            </w:tcBorders>
            <w:shd w:val="clear" w:color="auto" w:fill="auto"/>
            <w:noWrap/>
            <w:vAlign w:val="bottom"/>
          </w:tcPr>
          <w:p w14:paraId="4924B7D5" w14:textId="2177E4E0"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3.5</w:t>
            </w:r>
          </w:p>
        </w:tc>
        <w:tc>
          <w:tcPr>
            <w:tcW w:w="786" w:type="dxa"/>
            <w:tcBorders>
              <w:top w:val="single" w:sz="4" w:space="0" w:color="auto"/>
              <w:left w:val="nil"/>
              <w:bottom w:val="nil"/>
              <w:right w:val="nil"/>
            </w:tcBorders>
            <w:shd w:val="clear" w:color="auto" w:fill="auto"/>
            <w:vAlign w:val="bottom"/>
          </w:tcPr>
          <w:p w14:paraId="20AD3415" w14:textId="3A01B85C" w:rsidR="00DC6674" w:rsidRPr="007254CA" w:rsidRDefault="00DC6674" w:rsidP="002B3B3D">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$594</w:t>
            </w:r>
          </w:p>
        </w:tc>
        <w:tc>
          <w:tcPr>
            <w:tcW w:w="640" w:type="dxa"/>
            <w:tcBorders>
              <w:top w:val="single" w:sz="4" w:space="0" w:color="auto"/>
              <w:left w:val="nil"/>
              <w:bottom w:val="nil"/>
              <w:right w:val="single" w:sz="4" w:space="0" w:color="auto"/>
            </w:tcBorders>
            <w:shd w:val="clear" w:color="auto" w:fill="auto"/>
            <w:vAlign w:val="bottom"/>
          </w:tcPr>
          <w:p w14:paraId="2FB3CAF8" w14:textId="7F8FE253"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2.8</w:t>
            </w:r>
          </w:p>
        </w:tc>
      </w:tr>
      <w:tr w:rsidR="00DC6674" w:rsidRPr="007254CA" w14:paraId="5A907CF2" w14:textId="77777777" w:rsidTr="00DC6674">
        <w:trPr>
          <w:trHeight w:val="255"/>
          <w:jc w:val="center"/>
        </w:trPr>
        <w:tc>
          <w:tcPr>
            <w:tcW w:w="1271" w:type="dxa"/>
            <w:tcBorders>
              <w:top w:val="nil"/>
              <w:left w:val="single" w:sz="4" w:space="0" w:color="auto"/>
              <w:bottom w:val="nil"/>
              <w:right w:val="single" w:sz="4" w:space="0" w:color="auto"/>
            </w:tcBorders>
            <w:noWrap/>
          </w:tcPr>
          <w:p w14:paraId="4B987BD8" w14:textId="77777777" w:rsidR="00DC6674" w:rsidRPr="007254CA" w:rsidRDefault="00DC6674" w:rsidP="00DC6674">
            <w:pPr>
              <w:tabs>
                <w:tab w:val="left" w:pos="3293"/>
              </w:tabs>
              <w:spacing w:before="60" w:after="60" w:line="240" w:lineRule="auto"/>
              <w:ind w:left="35"/>
              <w:rPr>
                <w:rFonts w:ascii="Calibri" w:eastAsia="Times New Roman" w:hAnsi="Calibri" w:cs="Calibri"/>
                <w:sz w:val="18"/>
                <w:szCs w:val="18"/>
                <w:lang w:val="en-AU"/>
              </w:rPr>
            </w:pPr>
            <w:r w:rsidRPr="007254CA">
              <w:rPr>
                <w:rFonts w:ascii="Calibri" w:eastAsia="Times New Roman" w:hAnsi="Calibri" w:cs="Calibri"/>
                <w:sz w:val="18"/>
                <w:szCs w:val="18"/>
                <w:lang w:val="en-AU"/>
              </w:rPr>
              <w:t>PP Controllers</w:t>
            </w:r>
          </w:p>
        </w:tc>
        <w:tc>
          <w:tcPr>
            <w:tcW w:w="1104" w:type="dxa"/>
            <w:tcBorders>
              <w:top w:val="nil"/>
              <w:left w:val="single" w:sz="4" w:space="0" w:color="auto"/>
              <w:bottom w:val="nil"/>
              <w:right w:val="nil"/>
            </w:tcBorders>
            <w:shd w:val="clear" w:color="auto" w:fill="auto"/>
            <w:noWrap/>
            <w:vAlign w:val="bottom"/>
          </w:tcPr>
          <w:p w14:paraId="33D3FAA4" w14:textId="3FB2730F"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122</w:t>
            </w:r>
          </w:p>
        </w:tc>
        <w:tc>
          <w:tcPr>
            <w:tcW w:w="1089" w:type="dxa"/>
            <w:tcBorders>
              <w:top w:val="nil"/>
              <w:left w:val="nil"/>
              <w:bottom w:val="nil"/>
              <w:right w:val="nil"/>
            </w:tcBorders>
            <w:shd w:val="clear" w:color="auto" w:fill="auto"/>
            <w:noWrap/>
            <w:vAlign w:val="bottom"/>
          </w:tcPr>
          <w:p w14:paraId="66433201" w14:textId="39566AB3"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$89</w:t>
            </w:r>
          </w:p>
        </w:tc>
        <w:tc>
          <w:tcPr>
            <w:tcW w:w="1089" w:type="dxa"/>
            <w:tcBorders>
              <w:top w:val="nil"/>
              <w:left w:val="nil"/>
              <w:bottom w:val="nil"/>
              <w:right w:val="nil"/>
            </w:tcBorders>
            <w:shd w:val="clear" w:color="auto" w:fill="auto"/>
            <w:noWrap/>
            <w:vAlign w:val="bottom"/>
          </w:tcPr>
          <w:p w14:paraId="3AE234B1" w14:textId="3F7AB784"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$147</w:t>
            </w:r>
          </w:p>
        </w:tc>
        <w:tc>
          <w:tcPr>
            <w:tcW w:w="1089" w:type="dxa"/>
            <w:tcBorders>
              <w:top w:val="nil"/>
              <w:left w:val="nil"/>
              <w:bottom w:val="nil"/>
              <w:right w:val="nil"/>
            </w:tcBorders>
            <w:shd w:val="clear" w:color="auto" w:fill="auto"/>
            <w:noWrap/>
            <w:vAlign w:val="bottom"/>
          </w:tcPr>
          <w:p w14:paraId="130C4C76" w14:textId="469CF236"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$58</w:t>
            </w:r>
          </w:p>
        </w:tc>
        <w:tc>
          <w:tcPr>
            <w:tcW w:w="874" w:type="dxa"/>
            <w:tcBorders>
              <w:top w:val="nil"/>
              <w:left w:val="nil"/>
              <w:bottom w:val="nil"/>
              <w:right w:val="nil"/>
            </w:tcBorders>
            <w:shd w:val="clear" w:color="auto" w:fill="auto"/>
            <w:vAlign w:val="bottom"/>
          </w:tcPr>
          <w:p w14:paraId="59DDFC65" w14:textId="6D1315C6"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3.9%</w:t>
            </w:r>
          </w:p>
        </w:tc>
        <w:tc>
          <w:tcPr>
            <w:tcW w:w="709" w:type="dxa"/>
            <w:tcBorders>
              <w:top w:val="nil"/>
              <w:left w:val="nil"/>
              <w:bottom w:val="nil"/>
              <w:right w:val="single" w:sz="4" w:space="0" w:color="auto"/>
            </w:tcBorders>
            <w:shd w:val="clear" w:color="auto" w:fill="auto"/>
            <w:noWrap/>
            <w:vAlign w:val="bottom"/>
          </w:tcPr>
          <w:p w14:paraId="34288B01" w14:textId="33DEEB60"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1.7</w:t>
            </w:r>
          </w:p>
        </w:tc>
        <w:tc>
          <w:tcPr>
            <w:tcW w:w="786" w:type="dxa"/>
            <w:tcBorders>
              <w:top w:val="nil"/>
              <w:left w:val="nil"/>
              <w:bottom w:val="nil"/>
              <w:right w:val="nil"/>
            </w:tcBorders>
            <w:shd w:val="clear" w:color="auto" w:fill="auto"/>
            <w:vAlign w:val="bottom"/>
          </w:tcPr>
          <w:p w14:paraId="126976D0" w14:textId="7C4AB77F" w:rsidR="00DC6674" w:rsidRPr="007254CA" w:rsidRDefault="00DC6674" w:rsidP="002B3B3D">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$51</w:t>
            </w:r>
          </w:p>
        </w:tc>
        <w:tc>
          <w:tcPr>
            <w:tcW w:w="640" w:type="dxa"/>
            <w:tcBorders>
              <w:top w:val="nil"/>
              <w:left w:val="nil"/>
              <w:bottom w:val="nil"/>
              <w:right w:val="single" w:sz="4" w:space="0" w:color="auto"/>
            </w:tcBorders>
            <w:shd w:val="clear" w:color="auto" w:fill="auto"/>
            <w:vAlign w:val="bottom"/>
          </w:tcPr>
          <w:p w14:paraId="72FFCE0B" w14:textId="39A2589E"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1.6</w:t>
            </w:r>
          </w:p>
        </w:tc>
      </w:tr>
      <w:tr w:rsidR="00DC6674" w:rsidRPr="007254CA" w14:paraId="06EFEB4C" w14:textId="77777777" w:rsidTr="00DC6674">
        <w:trPr>
          <w:trHeight w:val="255"/>
          <w:jc w:val="center"/>
        </w:trPr>
        <w:tc>
          <w:tcPr>
            <w:tcW w:w="1271" w:type="dxa"/>
            <w:tcBorders>
              <w:top w:val="nil"/>
              <w:left w:val="single" w:sz="4" w:space="0" w:color="auto"/>
              <w:bottom w:val="nil"/>
              <w:right w:val="single" w:sz="4" w:space="0" w:color="auto"/>
            </w:tcBorders>
            <w:noWrap/>
          </w:tcPr>
          <w:p w14:paraId="741640FA" w14:textId="77777777" w:rsidR="00DC6674" w:rsidRPr="007254CA" w:rsidRDefault="00DC6674" w:rsidP="00DC6674">
            <w:pPr>
              <w:tabs>
                <w:tab w:val="left" w:pos="3293"/>
              </w:tabs>
              <w:spacing w:before="60" w:after="60" w:line="240" w:lineRule="auto"/>
              <w:ind w:left="35"/>
              <w:rPr>
                <w:rFonts w:ascii="Calibri" w:eastAsia="Times New Roman" w:hAnsi="Calibri" w:cs="Calibri"/>
                <w:sz w:val="18"/>
                <w:szCs w:val="18"/>
                <w:lang w:val="en-AU"/>
              </w:rPr>
            </w:pPr>
            <w:r w:rsidRPr="007254CA">
              <w:rPr>
                <w:rFonts w:ascii="Calibri" w:eastAsia="Times New Roman" w:hAnsi="Calibri" w:cs="Calibri"/>
                <w:sz w:val="18"/>
                <w:szCs w:val="18"/>
                <w:lang w:val="en-AU"/>
              </w:rPr>
              <w:t>Water heaters</w:t>
            </w:r>
          </w:p>
        </w:tc>
        <w:tc>
          <w:tcPr>
            <w:tcW w:w="1104" w:type="dxa"/>
            <w:tcBorders>
              <w:top w:val="nil"/>
              <w:left w:val="single" w:sz="4" w:space="0" w:color="auto"/>
              <w:bottom w:val="nil"/>
              <w:right w:val="nil"/>
            </w:tcBorders>
            <w:shd w:val="clear" w:color="auto" w:fill="auto"/>
            <w:noWrap/>
            <w:vAlign w:val="bottom"/>
          </w:tcPr>
          <w:p w14:paraId="14C7BAB2" w14:textId="21BCAA2E"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146</w:t>
            </w:r>
          </w:p>
        </w:tc>
        <w:tc>
          <w:tcPr>
            <w:tcW w:w="1089" w:type="dxa"/>
            <w:tcBorders>
              <w:top w:val="nil"/>
              <w:left w:val="nil"/>
              <w:bottom w:val="nil"/>
              <w:right w:val="nil"/>
            </w:tcBorders>
            <w:shd w:val="clear" w:color="auto" w:fill="auto"/>
            <w:noWrap/>
            <w:vAlign w:val="bottom"/>
          </w:tcPr>
          <w:p w14:paraId="4D520C84" w14:textId="795F72D6"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$252</w:t>
            </w:r>
          </w:p>
        </w:tc>
        <w:tc>
          <w:tcPr>
            <w:tcW w:w="1089" w:type="dxa"/>
            <w:tcBorders>
              <w:top w:val="nil"/>
              <w:left w:val="nil"/>
              <w:bottom w:val="nil"/>
              <w:right w:val="nil"/>
            </w:tcBorders>
            <w:shd w:val="clear" w:color="auto" w:fill="auto"/>
            <w:noWrap/>
            <w:vAlign w:val="bottom"/>
          </w:tcPr>
          <w:p w14:paraId="5FB6F33A" w14:textId="7970846B"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$381</w:t>
            </w:r>
          </w:p>
        </w:tc>
        <w:tc>
          <w:tcPr>
            <w:tcW w:w="1089" w:type="dxa"/>
            <w:tcBorders>
              <w:top w:val="nil"/>
              <w:left w:val="nil"/>
              <w:bottom w:val="nil"/>
              <w:right w:val="nil"/>
            </w:tcBorders>
            <w:shd w:val="clear" w:color="auto" w:fill="auto"/>
            <w:noWrap/>
            <w:vAlign w:val="bottom"/>
          </w:tcPr>
          <w:p w14:paraId="089DD8A8" w14:textId="28D7C995"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$129</w:t>
            </w:r>
          </w:p>
        </w:tc>
        <w:tc>
          <w:tcPr>
            <w:tcW w:w="874" w:type="dxa"/>
            <w:tcBorders>
              <w:top w:val="nil"/>
              <w:left w:val="nil"/>
              <w:bottom w:val="nil"/>
              <w:right w:val="nil"/>
            </w:tcBorders>
            <w:shd w:val="clear" w:color="auto" w:fill="auto"/>
            <w:vAlign w:val="bottom"/>
          </w:tcPr>
          <w:p w14:paraId="2A8D5DAE" w14:textId="04A4C65C"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8.6%</w:t>
            </w:r>
          </w:p>
        </w:tc>
        <w:tc>
          <w:tcPr>
            <w:tcW w:w="709" w:type="dxa"/>
            <w:tcBorders>
              <w:top w:val="nil"/>
              <w:left w:val="nil"/>
              <w:bottom w:val="nil"/>
              <w:right w:val="single" w:sz="4" w:space="0" w:color="auto"/>
            </w:tcBorders>
            <w:shd w:val="clear" w:color="auto" w:fill="auto"/>
            <w:noWrap/>
            <w:vAlign w:val="bottom"/>
          </w:tcPr>
          <w:p w14:paraId="0C4F9BFA" w14:textId="681FC716"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1.5</w:t>
            </w:r>
          </w:p>
        </w:tc>
        <w:tc>
          <w:tcPr>
            <w:tcW w:w="786" w:type="dxa"/>
            <w:tcBorders>
              <w:top w:val="nil"/>
              <w:left w:val="nil"/>
              <w:bottom w:val="nil"/>
              <w:right w:val="nil"/>
            </w:tcBorders>
            <w:shd w:val="clear" w:color="auto" w:fill="auto"/>
            <w:vAlign w:val="bottom"/>
          </w:tcPr>
          <w:p w14:paraId="651F8F66" w14:textId="7F60F5F8" w:rsidR="00DC6674" w:rsidRPr="007254CA" w:rsidRDefault="00DC6674" w:rsidP="002B3B3D">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$121</w:t>
            </w:r>
          </w:p>
        </w:tc>
        <w:tc>
          <w:tcPr>
            <w:tcW w:w="640" w:type="dxa"/>
            <w:tcBorders>
              <w:top w:val="nil"/>
              <w:left w:val="nil"/>
              <w:bottom w:val="nil"/>
              <w:right w:val="single" w:sz="4" w:space="0" w:color="auto"/>
            </w:tcBorders>
            <w:shd w:val="clear" w:color="auto" w:fill="auto"/>
            <w:vAlign w:val="bottom"/>
          </w:tcPr>
          <w:p w14:paraId="06CD2422" w14:textId="24F40E6E"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1.5</w:t>
            </w:r>
          </w:p>
        </w:tc>
      </w:tr>
      <w:tr w:rsidR="00DC6674" w:rsidRPr="007254CA" w14:paraId="1DAE1AAB" w14:textId="77777777" w:rsidTr="00DC6674">
        <w:trPr>
          <w:trHeight w:val="255"/>
          <w:jc w:val="center"/>
        </w:trPr>
        <w:tc>
          <w:tcPr>
            <w:tcW w:w="1271" w:type="dxa"/>
            <w:tcBorders>
              <w:top w:val="nil"/>
              <w:left w:val="single" w:sz="4" w:space="0" w:color="auto"/>
              <w:bottom w:val="nil"/>
              <w:right w:val="single" w:sz="4" w:space="0" w:color="auto"/>
            </w:tcBorders>
            <w:noWrap/>
          </w:tcPr>
          <w:p w14:paraId="3D2265E7" w14:textId="77777777" w:rsidR="00DC6674" w:rsidRPr="007254CA" w:rsidRDefault="00DC6674" w:rsidP="00DC6674">
            <w:pPr>
              <w:tabs>
                <w:tab w:val="left" w:pos="3293"/>
              </w:tabs>
              <w:spacing w:before="60" w:after="60" w:line="240" w:lineRule="auto"/>
              <w:ind w:left="35"/>
              <w:rPr>
                <w:rFonts w:ascii="Calibri" w:eastAsia="Times New Roman" w:hAnsi="Calibri" w:cs="Calibri"/>
                <w:sz w:val="18"/>
                <w:szCs w:val="18"/>
                <w:lang w:val="en-AU"/>
              </w:rPr>
            </w:pPr>
            <w:r w:rsidRPr="007254CA">
              <w:rPr>
                <w:rFonts w:ascii="Calibri" w:eastAsia="Times New Roman" w:hAnsi="Calibri" w:cs="Calibri"/>
                <w:sz w:val="18"/>
                <w:szCs w:val="18"/>
                <w:lang w:val="en-AU"/>
              </w:rPr>
              <w:t>EV chargers</w:t>
            </w:r>
          </w:p>
        </w:tc>
        <w:tc>
          <w:tcPr>
            <w:tcW w:w="1104" w:type="dxa"/>
            <w:tcBorders>
              <w:top w:val="nil"/>
              <w:left w:val="single" w:sz="4" w:space="0" w:color="auto"/>
              <w:bottom w:val="nil"/>
              <w:right w:val="nil"/>
            </w:tcBorders>
            <w:shd w:val="clear" w:color="auto" w:fill="auto"/>
            <w:noWrap/>
            <w:vAlign w:val="bottom"/>
          </w:tcPr>
          <w:p w14:paraId="6BAC1799" w14:textId="08910896"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238</w:t>
            </w:r>
          </w:p>
        </w:tc>
        <w:tc>
          <w:tcPr>
            <w:tcW w:w="1089" w:type="dxa"/>
            <w:tcBorders>
              <w:top w:val="nil"/>
              <w:left w:val="nil"/>
              <w:bottom w:val="nil"/>
              <w:right w:val="nil"/>
            </w:tcBorders>
            <w:shd w:val="clear" w:color="auto" w:fill="auto"/>
            <w:noWrap/>
            <w:vAlign w:val="bottom"/>
          </w:tcPr>
          <w:p w14:paraId="441229C4" w14:textId="72AE30F0"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$178</w:t>
            </w:r>
          </w:p>
        </w:tc>
        <w:tc>
          <w:tcPr>
            <w:tcW w:w="1089" w:type="dxa"/>
            <w:tcBorders>
              <w:top w:val="nil"/>
              <w:left w:val="nil"/>
              <w:bottom w:val="nil"/>
              <w:right w:val="nil"/>
            </w:tcBorders>
            <w:shd w:val="clear" w:color="auto" w:fill="auto"/>
            <w:noWrap/>
            <w:vAlign w:val="bottom"/>
          </w:tcPr>
          <w:p w14:paraId="07D90E50" w14:textId="334D89E3"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$635</w:t>
            </w:r>
          </w:p>
        </w:tc>
        <w:tc>
          <w:tcPr>
            <w:tcW w:w="1089" w:type="dxa"/>
            <w:tcBorders>
              <w:top w:val="nil"/>
              <w:left w:val="nil"/>
              <w:bottom w:val="nil"/>
              <w:right w:val="nil"/>
            </w:tcBorders>
            <w:shd w:val="clear" w:color="auto" w:fill="auto"/>
            <w:noWrap/>
            <w:vAlign w:val="bottom"/>
          </w:tcPr>
          <w:p w14:paraId="2D06B8D4" w14:textId="2DDF1016"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$458</w:t>
            </w:r>
          </w:p>
        </w:tc>
        <w:tc>
          <w:tcPr>
            <w:tcW w:w="874" w:type="dxa"/>
            <w:tcBorders>
              <w:top w:val="nil"/>
              <w:left w:val="nil"/>
              <w:bottom w:val="nil"/>
              <w:right w:val="nil"/>
            </w:tcBorders>
            <w:shd w:val="clear" w:color="auto" w:fill="auto"/>
            <w:vAlign w:val="bottom"/>
          </w:tcPr>
          <w:p w14:paraId="75ED6578" w14:textId="760BFA1D"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30.6%</w:t>
            </w:r>
          </w:p>
        </w:tc>
        <w:tc>
          <w:tcPr>
            <w:tcW w:w="709" w:type="dxa"/>
            <w:tcBorders>
              <w:top w:val="nil"/>
              <w:left w:val="nil"/>
              <w:bottom w:val="nil"/>
              <w:right w:val="single" w:sz="4" w:space="0" w:color="auto"/>
            </w:tcBorders>
            <w:shd w:val="clear" w:color="auto" w:fill="auto"/>
            <w:noWrap/>
            <w:vAlign w:val="bottom"/>
          </w:tcPr>
          <w:p w14:paraId="2F5A9F3C" w14:textId="0C7774C3"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3.6</w:t>
            </w:r>
          </w:p>
        </w:tc>
        <w:tc>
          <w:tcPr>
            <w:tcW w:w="786" w:type="dxa"/>
            <w:tcBorders>
              <w:top w:val="nil"/>
              <w:left w:val="nil"/>
              <w:bottom w:val="nil"/>
              <w:right w:val="nil"/>
            </w:tcBorders>
            <w:shd w:val="clear" w:color="auto" w:fill="auto"/>
            <w:vAlign w:val="bottom"/>
          </w:tcPr>
          <w:p w14:paraId="429B9757" w14:textId="529468A9" w:rsidR="00DC6674" w:rsidRPr="007254CA" w:rsidRDefault="00DC6674" w:rsidP="002B3B3D">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$301</w:t>
            </w:r>
          </w:p>
        </w:tc>
        <w:tc>
          <w:tcPr>
            <w:tcW w:w="640" w:type="dxa"/>
            <w:tcBorders>
              <w:top w:val="nil"/>
              <w:left w:val="nil"/>
              <w:bottom w:val="nil"/>
              <w:right w:val="single" w:sz="4" w:space="0" w:color="auto"/>
            </w:tcBorders>
            <w:shd w:val="clear" w:color="auto" w:fill="auto"/>
            <w:vAlign w:val="bottom"/>
          </w:tcPr>
          <w:p w14:paraId="6609B693" w14:textId="72FC0DED"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2.7</w:t>
            </w:r>
          </w:p>
        </w:tc>
      </w:tr>
      <w:tr w:rsidR="00DC6674" w:rsidRPr="007254CA" w14:paraId="790EE971" w14:textId="77777777" w:rsidTr="00DC6674">
        <w:trPr>
          <w:trHeight w:val="255"/>
          <w:jc w:val="center"/>
        </w:trPr>
        <w:tc>
          <w:tcPr>
            <w:tcW w:w="1271" w:type="dxa"/>
            <w:tcBorders>
              <w:top w:val="single" w:sz="4" w:space="0" w:color="auto"/>
              <w:left w:val="single" w:sz="4" w:space="0" w:color="auto"/>
              <w:bottom w:val="single" w:sz="4" w:space="0" w:color="auto"/>
              <w:right w:val="single" w:sz="4" w:space="0" w:color="auto"/>
            </w:tcBorders>
            <w:noWrap/>
          </w:tcPr>
          <w:p w14:paraId="3B41CFDD" w14:textId="77777777" w:rsidR="00DC6674" w:rsidRPr="007254CA" w:rsidRDefault="00DC6674" w:rsidP="00DC6674">
            <w:pPr>
              <w:tabs>
                <w:tab w:val="left" w:pos="3293"/>
              </w:tabs>
              <w:spacing w:before="60" w:after="60" w:line="240" w:lineRule="auto"/>
              <w:ind w:left="35"/>
              <w:rPr>
                <w:rFonts w:ascii="Calibri" w:eastAsia="Times New Roman" w:hAnsi="Calibri" w:cs="Calibri"/>
                <w:sz w:val="18"/>
                <w:szCs w:val="18"/>
                <w:lang w:val="en-AU"/>
              </w:rPr>
            </w:pPr>
            <w:r w:rsidRPr="007254CA">
              <w:rPr>
                <w:rFonts w:ascii="Calibri" w:eastAsia="Times New Roman" w:hAnsi="Calibri" w:cs="Calibri"/>
                <w:sz w:val="18"/>
                <w:szCs w:val="18"/>
                <w:lang w:val="en-AU"/>
              </w:rPr>
              <w:t>All products</w:t>
            </w:r>
          </w:p>
        </w:tc>
        <w:tc>
          <w:tcPr>
            <w:tcW w:w="1104" w:type="dxa"/>
            <w:tcBorders>
              <w:top w:val="single" w:sz="4" w:space="0" w:color="auto"/>
              <w:left w:val="single" w:sz="4" w:space="0" w:color="auto"/>
              <w:bottom w:val="single" w:sz="4" w:space="0" w:color="auto"/>
              <w:right w:val="nil"/>
            </w:tcBorders>
            <w:shd w:val="clear" w:color="auto" w:fill="auto"/>
            <w:noWrap/>
            <w:vAlign w:val="bottom"/>
          </w:tcPr>
          <w:p w14:paraId="66D01E89" w14:textId="3BF74080"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2214</w:t>
            </w:r>
          </w:p>
        </w:tc>
        <w:tc>
          <w:tcPr>
            <w:tcW w:w="1089" w:type="dxa"/>
            <w:tcBorders>
              <w:top w:val="single" w:sz="4" w:space="0" w:color="auto"/>
              <w:left w:val="nil"/>
              <w:bottom w:val="single" w:sz="4" w:space="0" w:color="auto"/>
              <w:right w:val="nil"/>
            </w:tcBorders>
            <w:shd w:val="clear" w:color="auto" w:fill="auto"/>
            <w:noWrap/>
            <w:vAlign w:val="bottom"/>
          </w:tcPr>
          <w:p w14:paraId="59305206" w14:textId="13EF7E91"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$858</w:t>
            </w:r>
          </w:p>
        </w:tc>
        <w:tc>
          <w:tcPr>
            <w:tcW w:w="1089" w:type="dxa"/>
            <w:tcBorders>
              <w:top w:val="single" w:sz="4" w:space="0" w:color="auto"/>
              <w:left w:val="nil"/>
              <w:bottom w:val="single" w:sz="4" w:space="0" w:color="auto"/>
              <w:right w:val="nil"/>
            </w:tcBorders>
            <w:shd w:val="clear" w:color="auto" w:fill="auto"/>
            <w:noWrap/>
            <w:vAlign w:val="bottom"/>
          </w:tcPr>
          <w:p w14:paraId="2DC78B5E" w14:textId="0FBB8285"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$2,352</w:t>
            </w:r>
          </w:p>
        </w:tc>
        <w:tc>
          <w:tcPr>
            <w:tcW w:w="1089" w:type="dxa"/>
            <w:tcBorders>
              <w:top w:val="single" w:sz="4" w:space="0" w:color="auto"/>
              <w:left w:val="nil"/>
              <w:bottom w:val="single" w:sz="4" w:space="0" w:color="auto"/>
              <w:right w:val="nil"/>
            </w:tcBorders>
            <w:shd w:val="clear" w:color="auto" w:fill="auto"/>
            <w:noWrap/>
            <w:vAlign w:val="bottom"/>
          </w:tcPr>
          <w:p w14:paraId="5B3A7129" w14:textId="1521AC4B"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$1,493</w:t>
            </w:r>
          </w:p>
        </w:tc>
        <w:tc>
          <w:tcPr>
            <w:tcW w:w="874" w:type="dxa"/>
            <w:tcBorders>
              <w:top w:val="single" w:sz="4" w:space="0" w:color="auto"/>
              <w:left w:val="nil"/>
              <w:bottom w:val="single" w:sz="4" w:space="0" w:color="auto"/>
              <w:right w:val="nil"/>
            </w:tcBorders>
            <w:shd w:val="clear" w:color="auto" w:fill="auto"/>
            <w:vAlign w:val="bottom"/>
          </w:tcPr>
          <w:p w14:paraId="6C140DD4" w14:textId="47376EC5" w:rsidR="00DC6674" w:rsidRPr="007254CA" w:rsidRDefault="00DC6674" w:rsidP="00DC6674">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8637959" w14:textId="29B2C6D9"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2.7</w:t>
            </w:r>
          </w:p>
        </w:tc>
        <w:tc>
          <w:tcPr>
            <w:tcW w:w="786" w:type="dxa"/>
            <w:tcBorders>
              <w:top w:val="single" w:sz="4" w:space="0" w:color="auto"/>
              <w:left w:val="nil"/>
              <w:bottom w:val="single" w:sz="4" w:space="0" w:color="auto"/>
              <w:right w:val="nil"/>
            </w:tcBorders>
            <w:shd w:val="clear" w:color="auto" w:fill="auto"/>
            <w:vAlign w:val="bottom"/>
          </w:tcPr>
          <w:p w14:paraId="7B332491" w14:textId="253FCA52" w:rsidR="00DC6674" w:rsidRPr="007254CA" w:rsidRDefault="00DC6674" w:rsidP="002B3B3D">
            <w:pPr>
              <w:tabs>
                <w:tab w:val="left" w:pos="3293"/>
              </w:tabs>
              <w:spacing w:before="60" w:after="60" w:line="240" w:lineRule="auto"/>
              <w:ind w:left="35"/>
              <w:jc w:val="right"/>
              <w:rPr>
                <w:rFonts w:ascii="Calibri" w:eastAsia="Times New Roman" w:hAnsi="Calibri" w:cs="Calibri"/>
                <w:sz w:val="18"/>
                <w:szCs w:val="18"/>
                <w:lang w:val="en-AU"/>
              </w:rPr>
            </w:pPr>
            <w:r w:rsidRPr="007254CA">
              <w:rPr>
                <w:rFonts w:ascii="Calibri" w:hAnsi="Calibri" w:cs="Calibri"/>
                <w:color w:val="000000"/>
                <w:sz w:val="18"/>
                <w:szCs w:val="18"/>
              </w:rPr>
              <w:t>$1,067</w:t>
            </w:r>
          </w:p>
        </w:tc>
        <w:tc>
          <w:tcPr>
            <w:tcW w:w="640" w:type="dxa"/>
            <w:tcBorders>
              <w:top w:val="single" w:sz="4" w:space="0" w:color="auto"/>
              <w:left w:val="nil"/>
              <w:bottom w:val="single" w:sz="4" w:space="0" w:color="auto"/>
              <w:right w:val="single" w:sz="4" w:space="0" w:color="auto"/>
            </w:tcBorders>
            <w:shd w:val="clear" w:color="auto" w:fill="auto"/>
            <w:vAlign w:val="bottom"/>
          </w:tcPr>
          <w:p w14:paraId="740EDBB0" w14:textId="3F98E71A" w:rsidR="00DC6674" w:rsidRPr="007254CA" w:rsidRDefault="00DC6674" w:rsidP="00DC6674">
            <w:pPr>
              <w:tabs>
                <w:tab w:val="left" w:pos="3293"/>
              </w:tabs>
              <w:spacing w:before="60" w:after="60" w:line="240" w:lineRule="auto"/>
              <w:ind w:left="35"/>
              <w:jc w:val="center"/>
              <w:rPr>
                <w:rFonts w:ascii="Calibri" w:eastAsia="Times New Roman" w:hAnsi="Calibri" w:cs="Calibri"/>
                <w:sz w:val="18"/>
                <w:szCs w:val="18"/>
                <w:lang w:val="en-AU"/>
              </w:rPr>
            </w:pPr>
            <w:r w:rsidRPr="007254CA">
              <w:rPr>
                <w:rFonts w:ascii="Calibri" w:hAnsi="Calibri" w:cs="Calibri"/>
                <w:color w:val="000000"/>
                <w:sz w:val="18"/>
                <w:szCs w:val="18"/>
              </w:rPr>
              <w:t>2.2</w:t>
            </w:r>
          </w:p>
        </w:tc>
      </w:tr>
    </w:tbl>
    <w:p w14:paraId="4C1E93A7" w14:textId="2B457380"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7% discount rate for costs and benefits 202</w:t>
      </w:r>
      <w:r w:rsidR="007254CA">
        <w:rPr>
          <w:rFonts w:ascii="Calibri" w:eastAsia="Cambria" w:hAnsi="Calibri" w:cs="Calibri"/>
          <w:sz w:val="16"/>
          <w:szCs w:val="24"/>
          <w:lang w:val="en-AU"/>
        </w:rPr>
        <w:t>0</w:t>
      </w:r>
      <w:r w:rsidRPr="00A37634">
        <w:rPr>
          <w:rFonts w:ascii="Calibri" w:eastAsia="Cambria" w:hAnsi="Calibri" w:cs="Calibri"/>
          <w:sz w:val="16"/>
          <w:szCs w:val="24"/>
          <w:lang w:val="en-AU"/>
        </w:rPr>
        <w:t>-203</w:t>
      </w:r>
      <w:r w:rsidR="007254CA">
        <w:rPr>
          <w:rFonts w:ascii="Calibri" w:eastAsia="Cambria" w:hAnsi="Calibri" w:cs="Calibri"/>
          <w:sz w:val="16"/>
          <w:szCs w:val="24"/>
          <w:lang w:val="en-AU"/>
        </w:rPr>
        <w:t>6</w:t>
      </w:r>
      <w:r w:rsidRPr="00A37634">
        <w:rPr>
          <w:rFonts w:ascii="Calibri" w:eastAsia="Cambria" w:hAnsi="Calibri" w:cs="Calibri"/>
          <w:sz w:val="16"/>
          <w:szCs w:val="24"/>
          <w:lang w:val="en-AU"/>
        </w:rPr>
        <w:t xml:space="preserve"> </w:t>
      </w:r>
    </w:p>
    <w:p w14:paraId="44977C0D" w14:textId="77777777" w:rsidR="00BB0627" w:rsidRPr="002B3B3D" w:rsidRDefault="00BB0627" w:rsidP="002B3B3D">
      <w:pPr>
        <w:rPr>
          <w:lang w:val="en-AU"/>
        </w:rPr>
      </w:pPr>
      <w:bookmarkStart w:id="110" w:name="_Ref14778901"/>
      <w:bookmarkStart w:id="111" w:name="_Hlk14778715"/>
    </w:p>
    <w:p w14:paraId="4C135465" w14:textId="65645744"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12" w:name="_Ref22209701"/>
      <w:bookmarkStart w:id="113" w:name="_Toc22486958"/>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14</w:t>
      </w:r>
      <w:r w:rsidRPr="00A37634">
        <w:rPr>
          <w:rFonts w:ascii="Calibri" w:eastAsia="Cambria" w:hAnsi="Calibri" w:cs="Calibri"/>
          <w:b/>
          <w:bCs/>
          <w:noProof/>
          <w:sz w:val="20"/>
          <w:szCs w:val="16"/>
          <w:lang w:val="en-AU"/>
        </w:rPr>
        <w:fldChar w:fldCharType="end"/>
      </w:r>
      <w:bookmarkEnd w:id="110"/>
      <w:bookmarkEnd w:id="112"/>
      <w:r w:rsidRPr="00A37634">
        <w:rPr>
          <w:rFonts w:ascii="Calibri" w:eastAsia="Cambria" w:hAnsi="Calibri" w:cs="Calibri"/>
          <w:b/>
          <w:bCs/>
          <w:sz w:val="20"/>
          <w:szCs w:val="16"/>
          <w:lang w:val="en-AU"/>
        </w:rPr>
        <w:t>. Projected costs and benefits by appliance, Australia (medium activation)</w:t>
      </w:r>
      <w:bookmarkEnd w:id="113"/>
    </w:p>
    <w:bookmarkEnd w:id="111"/>
    <w:tbl>
      <w:tblPr>
        <w:tblW w:w="8651" w:type="dxa"/>
        <w:jc w:val="center"/>
        <w:tblLayout w:type="fixed"/>
        <w:tblCellMar>
          <w:left w:w="0" w:type="dxa"/>
          <w:right w:w="0" w:type="dxa"/>
        </w:tblCellMar>
        <w:tblLook w:val="0000" w:firstRow="0" w:lastRow="0" w:firstColumn="0" w:lastColumn="0" w:noHBand="0" w:noVBand="0"/>
      </w:tblPr>
      <w:tblGrid>
        <w:gridCol w:w="1271"/>
        <w:gridCol w:w="1104"/>
        <w:gridCol w:w="1089"/>
        <w:gridCol w:w="1089"/>
        <w:gridCol w:w="1089"/>
        <w:gridCol w:w="874"/>
        <w:gridCol w:w="709"/>
        <w:gridCol w:w="786"/>
        <w:gridCol w:w="640"/>
      </w:tblGrid>
      <w:tr w:rsidR="00A37634" w:rsidRPr="007254CA" w14:paraId="215C68B5" w14:textId="77777777" w:rsidTr="007254CA">
        <w:trPr>
          <w:cantSplit/>
          <w:trHeight w:val="533"/>
          <w:tblHeader/>
          <w:jc w:val="center"/>
        </w:trPr>
        <w:tc>
          <w:tcPr>
            <w:tcW w:w="1271" w:type="dxa"/>
            <w:vMerge w:val="restart"/>
            <w:tcBorders>
              <w:top w:val="single" w:sz="4" w:space="0" w:color="auto"/>
              <w:left w:val="single" w:sz="4" w:space="0" w:color="auto"/>
              <w:bottom w:val="single" w:sz="4" w:space="0" w:color="auto"/>
              <w:right w:val="single" w:sz="4" w:space="0" w:color="auto"/>
            </w:tcBorders>
            <w:noWrap/>
          </w:tcPr>
          <w:p w14:paraId="1C9981A8"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p>
        </w:tc>
        <w:tc>
          <w:tcPr>
            <w:tcW w:w="1104" w:type="dxa"/>
            <w:vMerge w:val="restart"/>
            <w:tcBorders>
              <w:top w:val="single" w:sz="4" w:space="0" w:color="auto"/>
              <w:left w:val="single" w:sz="4" w:space="0" w:color="auto"/>
              <w:bottom w:val="single" w:sz="4" w:space="0" w:color="auto"/>
            </w:tcBorders>
            <w:noWrap/>
          </w:tcPr>
          <w:p w14:paraId="480FD123" w14:textId="53BF8DF5"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Routine DLC Reduction available SMD 203</w:t>
            </w:r>
            <w:r w:rsidR="00BC35DA" w:rsidRPr="007254CA">
              <w:rPr>
                <w:rFonts w:ascii="Calibri" w:eastAsia="Times New Roman" w:hAnsi="Calibri" w:cs="Calibri"/>
                <w:bCs/>
                <w:sz w:val="18"/>
                <w:szCs w:val="18"/>
                <w:lang w:val="en-AU"/>
              </w:rPr>
              <w:t>6</w:t>
            </w:r>
            <w:r w:rsidRPr="007254CA">
              <w:rPr>
                <w:rFonts w:ascii="Calibri" w:eastAsia="Times New Roman" w:hAnsi="Calibri" w:cs="Calibri"/>
                <w:bCs/>
                <w:sz w:val="18"/>
                <w:szCs w:val="18"/>
                <w:lang w:val="en-AU"/>
              </w:rPr>
              <w:t>, MWe (a)</w:t>
            </w:r>
          </w:p>
        </w:tc>
        <w:tc>
          <w:tcPr>
            <w:tcW w:w="1089" w:type="dxa"/>
            <w:vMerge w:val="restart"/>
            <w:tcBorders>
              <w:top w:val="single" w:sz="4" w:space="0" w:color="auto"/>
              <w:bottom w:val="single" w:sz="4" w:space="0" w:color="auto"/>
            </w:tcBorders>
            <w:noWrap/>
          </w:tcPr>
          <w:p w14:paraId="21D71404"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Costs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5327B14C"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34C99444"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3449BE82"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0C1E57D9"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Net</w:t>
            </w:r>
            <w:r w:rsidRPr="007254CA">
              <w:rPr>
                <w:rFonts w:ascii="Calibri" w:eastAsia="Times New Roman" w:hAnsi="Calibri" w:cs="Calibri"/>
                <w:bCs/>
                <w:sz w:val="18"/>
                <w:szCs w:val="18"/>
                <w:lang w:val="en-AU"/>
              </w:rPr>
              <w:b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tc>
        <w:tc>
          <w:tcPr>
            <w:tcW w:w="874" w:type="dxa"/>
            <w:vMerge w:val="restart"/>
            <w:tcBorders>
              <w:top w:val="single" w:sz="4" w:space="0" w:color="auto"/>
              <w:bottom w:val="single" w:sz="4" w:space="0" w:color="auto"/>
            </w:tcBorders>
          </w:tcPr>
          <w:p w14:paraId="031CD26A" w14:textId="77777777" w:rsidR="00A37634" w:rsidRPr="007254CA" w:rsidRDefault="00A37634"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 net </w:t>
            </w:r>
            <w:r w:rsidRPr="007254CA">
              <w:rPr>
                <w:rFonts w:ascii="Calibri" w:eastAsia="Times New Roman" w:hAnsi="Calibri" w:cs="Calibri"/>
                <w:bCs/>
                <w:sz w:val="18"/>
                <w:szCs w:val="18"/>
                <w:lang w:val="en-AU"/>
              </w:rPr>
              <w:br/>
              <w:t>national</w:t>
            </w:r>
            <w:r w:rsidRPr="007254CA">
              <w:rPr>
                <w:rFonts w:ascii="Calibri" w:eastAsia="Times New Roman" w:hAnsi="Calibri" w:cs="Calibri"/>
                <w:bCs/>
                <w:sz w:val="18"/>
                <w:szCs w:val="18"/>
                <w:lang w:val="en-AU"/>
              </w:rPr>
              <w:br/>
              <w:t>benefits</w:t>
            </w:r>
          </w:p>
        </w:tc>
        <w:tc>
          <w:tcPr>
            <w:tcW w:w="709" w:type="dxa"/>
            <w:vMerge w:val="restart"/>
            <w:tcBorders>
              <w:top w:val="single" w:sz="4" w:space="0" w:color="auto"/>
              <w:bottom w:val="single" w:sz="4" w:space="0" w:color="auto"/>
              <w:right w:val="single" w:sz="4" w:space="0" w:color="auto"/>
            </w:tcBorders>
            <w:noWrap/>
          </w:tcPr>
          <w:p w14:paraId="03C0D0ED"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B/C ratio</w:t>
            </w:r>
          </w:p>
        </w:tc>
        <w:tc>
          <w:tcPr>
            <w:tcW w:w="1426" w:type="dxa"/>
            <w:gridSpan w:val="2"/>
            <w:tcBorders>
              <w:top w:val="single" w:sz="4" w:space="0" w:color="auto"/>
              <w:left w:val="single" w:sz="4" w:space="0" w:color="auto"/>
              <w:bottom w:val="single" w:sz="4" w:space="0" w:color="auto"/>
              <w:right w:val="single" w:sz="4" w:space="0" w:color="auto"/>
            </w:tcBorders>
          </w:tcPr>
          <w:p w14:paraId="171BD238" w14:textId="77777777" w:rsidR="00A37634" w:rsidRPr="007254CA" w:rsidRDefault="00A37634"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Without whole-sale price benefit</w:t>
            </w:r>
          </w:p>
        </w:tc>
      </w:tr>
      <w:tr w:rsidR="00A37634" w:rsidRPr="00A37634" w14:paraId="28EBEB31" w14:textId="77777777" w:rsidTr="007254CA">
        <w:trPr>
          <w:cantSplit/>
          <w:trHeight w:val="532"/>
          <w:tblHeader/>
          <w:jc w:val="center"/>
        </w:trPr>
        <w:tc>
          <w:tcPr>
            <w:tcW w:w="1271" w:type="dxa"/>
            <w:vMerge/>
            <w:tcBorders>
              <w:left w:val="single" w:sz="4" w:space="0" w:color="auto"/>
              <w:bottom w:val="single" w:sz="4" w:space="0" w:color="auto"/>
              <w:right w:val="single" w:sz="4" w:space="0" w:color="auto"/>
            </w:tcBorders>
            <w:noWrap/>
          </w:tcPr>
          <w:p w14:paraId="71299F16" w14:textId="77777777" w:rsidR="00A37634" w:rsidRPr="00A37634" w:rsidRDefault="00A37634" w:rsidP="00A37634">
            <w:pPr>
              <w:spacing w:before="60" w:after="60" w:line="240" w:lineRule="auto"/>
              <w:jc w:val="center"/>
              <w:rPr>
                <w:rFonts w:ascii="Calibri" w:eastAsia="Arial Unicode MS" w:hAnsi="Calibri" w:cs="Calibri"/>
                <w:b/>
                <w:sz w:val="18"/>
                <w:szCs w:val="18"/>
                <w:lang w:val="en-AU"/>
              </w:rPr>
            </w:pPr>
          </w:p>
        </w:tc>
        <w:tc>
          <w:tcPr>
            <w:tcW w:w="1104" w:type="dxa"/>
            <w:vMerge/>
            <w:tcBorders>
              <w:left w:val="single" w:sz="4" w:space="0" w:color="auto"/>
              <w:bottom w:val="single" w:sz="4" w:space="0" w:color="auto"/>
            </w:tcBorders>
            <w:noWrap/>
          </w:tcPr>
          <w:p w14:paraId="64C90171"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0E494A9C"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2CBFEE22"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5A1F4F50"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874" w:type="dxa"/>
            <w:vMerge/>
            <w:tcBorders>
              <w:bottom w:val="single" w:sz="4" w:space="0" w:color="auto"/>
            </w:tcBorders>
          </w:tcPr>
          <w:p w14:paraId="7E329C68"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709" w:type="dxa"/>
            <w:vMerge/>
            <w:tcBorders>
              <w:bottom w:val="single" w:sz="4" w:space="0" w:color="auto"/>
              <w:right w:val="single" w:sz="4" w:space="0" w:color="auto"/>
            </w:tcBorders>
            <w:noWrap/>
          </w:tcPr>
          <w:p w14:paraId="76A734A5"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786" w:type="dxa"/>
            <w:tcBorders>
              <w:top w:val="single" w:sz="4" w:space="0" w:color="auto"/>
              <w:left w:val="single" w:sz="4" w:space="0" w:color="auto"/>
              <w:bottom w:val="single" w:sz="4" w:space="0" w:color="auto"/>
            </w:tcBorders>
          </w:tcPr>
          <w:p w14:paraId="079B8951" w14:textId="51D65EA6" w:rsidR="00A37634" w:rsidRPr="007254CA" w:rsidRDefault="00DC6674"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$M </w:t>
            </w:r>
            <w:r w:rsidR="00A37634" w:rsidRPr="007254CA">
              <w:rPr>
                <w:rFonts w:ascii="Calibri" w:eastAsia="Times New Roman" w:hAnsi="Calibri" w:cs="Calibri"/>
                <w:bCs/>
                <w:sz w:val="18"/>
                <w:szCs w:val="18"/>
                <w:lang w:val="en-AU"/>
              </w:rPr>
              <w:t>Net</w:t>
            </w:r>
            <w:r w:rsidR="00A37634" w:rsidRPr="007254CA">
              <w:rPr>
                <w:rFonts w:ascii="Calibri" w:eastAsia="Times New Roman" w:hAnsi="Calibri" w:cs="Calibri"/>
                <w:bCs/>
                <w:sz w:val="18"/>
                <w:szCs w:val="18"/>
                <w:lang w:val="en-AU"/>
              </w:rPr>
              <w:br/>
              <w:t>benefit</w:t>
            </w:r>
          </w:p>
        </w:tc>
        <w:tc>
          <w:tcPr>
            <w:tcW w:w="640" w:type="dxa"/>
            <w:tcBorders>
              <w:top w:val="single" w:sz="4" w:space="0" w:color="auto"/>
              <w:bottom w:val="single" w:sz="4" w:space="0" w:color="auto"/>
              <w:right w:val="single" w:sz="4" w:space="0" w:color="auto"/>
            </w:tcBorders>
          </w:tcPr>
          <w:p w14:paraId="74EFA723" w14:textId="77777777" w:rsidR="00A37634" w:rsidRPr="007254CA" w:rsidRDefault="00A37634"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B/C ratio</w:t>
            </w:r>
          </w:p>
        </w:tc>
      </w:tr>
      <w:tr w:rsidR="002B3B3D" w:rsidRPr="002B3B3D" w14:paraId="364D217D" w14:textId="77777777" w:rsidTr="005958CF">
        <w:trPr>
          <w:trHeight w:val="255"/>
          <w:jc w:val="center"/>
        </w:trPr>
        <w:tc>
          <w:tcPr>
            <w:tcW w:w="1271" w:type="dxa"/>
            <w:tcBorders>
              <w:top w:val="single" w:sz="4" w:space="0" w:color="auto"/>
              <w:left w:val="single" w:sz="4" w:space="0" w:color="auto"/>
              <w:bottom w:val="nil"/>
              <w:right w:val="nil"/>
            </w:tcBorders>
            <w:noWrap/>
          </w:tcPr>
          <w:p w14:paraId="7DAA8BD7"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Air Conds</w:t>
            </w:r>
          </w:p>
        </w:tc>
        <w:tc>
          <w:tcPr>
            <w:tcW w:w="1104" w:type="dxa"/>
            <w:tcBorders>
              <w:top w:val="single" w:sz="4" w:space="0" w:color="auto"/>
              <w:left w:val="single" w:sz="4" w:space="0" w:color="auto"/>
              <w:bottom w:val="nil"/>
              <w:right w:val="nil"/>
            </w:tcBorders>
            <w:shd w:val="clear" w:color="auto" w:fill="auto"/>
            <w:noWrap/>
            <w:vAlign w:val="bottom"/>
          </w:tcPr>
          <w:p w14:paraId="12C3BD88" w14:textId="4F84752B"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2164</w:t>
            </w:r>
          </w:p>
        </w:tc>
        <w:tc>
          <w:tcPr>
            <w:tcW w:w="1089" w:type="dxa"/>
            <w:tcBorders>
              <w:top w:val="single" w:sz="4" w:space="0" w:color="auto"/>
              <w:left w:val="nil"/>
              <w:bottom w:val="nil"/>
              <w:right w:val="nil"/>
            </w:tcBorders>
            <w:shd w:val="clear" w:color="auto" w:fill="auto"/>
            <w:noWrap/>
            <w:vAlign w:val="bottom"/>
          </w:tcPr>
          <w:p w14:paraId="7A4AB8C9" w14:textId="5222595C"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$405</w:t>
            </w:r>
          </w:p>
        </w:tc>
        <w:tc>
          <w:tcPr>
            <w:tcW w:w="1089" w:type="dxa"/>
            <w:tcBorders>
              <w:top w:val="single" w:sz="4" w:space="0" w:color="auto"/>
              <w:left w:val="nil"/>
              <w:bottom w:val="nil"/>
              <w:right w:val="nil"/>
            </w:tcBorders>
            <w:shd w:val="clear" w:color="auto" w:fill="auto"/>
            <w:noWrap/>
            <w:vAlign w:val="bottom"/>
          </w:tcPr>
          <w:p w14:paraId="1F9FE192" w14:textId="2B014D37"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$1,420</w:t>
            </w:r>
          </w:p>
        </w:tc>
        <w:tc>
          <w:tcPr>
            <w:tcW w:w="1089" w:type="dxa"/>
            <w:tcBorders>
              <w:top w:val="single" w:sz="4" w:space="0" w:color="auto"/>
              <w:left w:val="nil"/>
              <w:bottom w:val="nil"/>
              <w:right w:val="nil"/>
            </w:tcBorders>
            <w:shd w:val="clear" w:color="auto" w:fill="auto"/>
            <w:noWrap/>
            <w:vAlign w:val="bottom"/>
          </w:tcPr>
          <w:p w14:paraId="539D5CE7" w14:textId="3EBF69BD"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$1,014</w:t>
            </w:r>
          </w:p>
        </w:tc>
        <w:tc>
          <w:tcPr>
            <w:tcW w:w="874" w:type="dxa"/>
            <w:tcBorders>
              <w:top w:val="single" w:sz="4" w:space="0" w:color="auto"/>
              <w:left w:val="nil"/>
              <w:bottom w:val="nil"/>
              <w:right w:val="nil"/>
            </w:tcBorders>
            <w:shd w:val="clear" w:color="auto" w:fill="auto"/>
            <w:vAlign w:val="bottom"/>
          </w:tcPr>
          <w:p w14:paraId="5701F2F7" w14:textId="01F566F8"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54.3%</w:t>
            </w:r>
          </w:p>
        </w:tc>
        <w:tc>
          <w:tcPr>
            <w:tcW w:w="709" w:type="dxa"/>
            <w:tcBorders>
              <w:top w:val="single" w:sz="4" w:space="0" w:color="auto"/>
              <w:left w:val="nil"/>
              <w:bottom w:val="nil"/>
              <w:right w:val="single" w:sz="4" w:space="0" w:color="auto"/>
            </w:tcBorders>
            <w:shd w:val="clear" w:color="auto" w:fill="auto"/>
            <w:noWrap/>
            <w:vAlign w:val="bottom"/>
          </w:tcPr>
          <w:p w14:paraId="00D2E0E6" w14:textId="3211DCD6"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3.5</w:t>
            </w:r>
          </w:p>
        </w:tc>
        <w:tc>
          <w:tcPr>
            <w:tcW w:w="786" w:type="dxa"/>
            <w:tcBorders>
              <w:top w:val="nil"/>
              <w:left w:val="nil"/>
              <w:bottom w:val="nil"/>
              <w:right w:val="nil"/>
            </w:tcBorders>
            <w:shd w:val="clear" w:color="auto" w:fill="auto"/>
            <w:vAlign w:val="bottom"/>
          </w:tcPr>
          <w:p w14:paraId="350A9200" w14:textId="01B3AD56"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$757</w:t>
            </w:r>
          </w:p>
        </w:tc>
        <w:tc>
          <w:tcPr>
            <w:tcW w:w="640" w:type="dxa"/>
            <w:tcBorders>
              <w:top w:val="single" w:sz="4" w:space="0" w:color="auto"/>
              <w:left w:val="nil"/>
              <w:bottom w:val="nil"/>
              <w:right w:val="single" w:sz="4" w:space="0" w:color="auto"/>
            </w:tcBorders>
            <w:shd w:val="clear" w:color="auto" w:fill="auto"/>
            <w:vAlign w:val="bottom"/>
          </w:tcPr>
          <w:p w14:paraId="718FD78D" w14:textId="2742B7F9"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2.9</w:t>
            </w:r>
          </w:p>
        </w:tc>
      </w:tr>
      <w:tr w:rsidR="002B3B3D" w:rsidRPr="002B3B3D" w14:paraId="1E70A076" w14:textId="77777777" w:rsidTr="005958CF">
        <w:trPr>
          <w:trHeight w:val="255"/>
          <w:jc w:val="center"/>
        </w:trPr>
        <w:tc>
          <w:tcPr>
            <w:tcW w:w="1271" w:type="dxa"/>
            <w:tcBorders>
              <w:top w:val="nil"/>
              <w:left w:val="single" w:sz="4" w:space="0" w:color="auto"/>
              <w:bottom w:val="nil"/>
              <w:right w:val="nil"/>
            </w:tcBorders>
            <w:noWrap/>
          </w:tcPr>
          <w:p w14:paraId="480A91CD"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PP Controllers</w:t>
            </w:r>
          </w:p>
        </w:tc>
        <w:tc>
          <w:tcPr>
            <w:tcW w:w="1104" w:type="dxa"/>
            <w:tcBorders>
              <w:top w:val="nil"/>
              <w:left w:val="single" w:sz="4" w:space="0" w:color="auto"/>
              <w:bottom w:val="nil"/>
              <w:right w:val="nil"/>
            </w:tcBorders>
            <w:shd w:val="clear" w:color="auto" w:fill="auto"/>
            <w:noWrap/>
            <w:vAlign w:val="bottom"/>
          </w:tcPr>
          <w:p w14:paraId="588833B2" w14:textId="47C86C50"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318</w:t>
            </w:r>
          </w:p>
        </w:tc>
        <w:tc>
          <w:tcPr>
            <w:tcW w:w="1089" w:type="dxa"/>
            <w:tcBorders>
              <w:top w:val="nil"/>
              <w:left w:val="nil"/>
              <w:bottom w:val="nil"/>
              <w:right w:val="nil"/>
            </w:tcBorders>
            <w:shd w:val="clear" w:color="auto" w:fill="auto"/>
            <w:noWrap/>
            <w:vAlign w:val="bottom"/>
          </w:tcPr>
          <w:p w14:paraId="7C3425C7" w14:textId="087CD757"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$102</w:t>
            </w:r>
          </w:p>
        </w:tc>
        <w:tc>
          <w:tcPr>
            <w:tcW w:w="1089" w:type="dxa"/>
            <w:tcBorders>
              <w:top w:val="nil"/>
              <w:left w:val="nil"/>
              <w:bottom w:val="nil"/>
              <w:right w:val="nil"/>
            </w:tcBorders>
            <w:shd w:val="clear" w:color="auto" w:fill="auto"/>
            <w:noWrap/>
            <w:vAlign w:val="bottom"/>
          </w:tcPr>
          <w:p w14:paraId="779A35A1" w14:textId="0177037B"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$192</w:t>
            </w:r>
          </w:p>
        </w:tc>
        <w:tc>
          <w:tcPr>
            <w:tcW w:w="1089" w:type="dxa"/>
            <w:tcBorders>
              <w:top w:val="nil"/>
              <w:left w:val="nil"/>
              <w:bottom w:val="nil"/>
              <w:right w:val="nil"/>
            </w:tcBorders>
            <w:shd w:val="clear" w:color="auto" w:fill="auto"/>
            <w:noWrap/>
            <w:vAlign w:val="bottom"/>
          </w:tcPr>
          <w:p w14:paraId="720868E2" w14:textId="53A0FC61"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$90</w:t>
            </w:r>
          </w:p>
        </w:tc>
        <w:tc>
          <w:tcPr>
            <w:tcW w:w="874" w:type="dxa"/>
            <w:tcBorders>
              <w:top w:val="nil"/>
              <w:left w:val="nil"/>
              <w:bottom w:val="nil"/>
              <w:right w:val="nil"/>
            </w:tcBorders>
            <w:shd w:val="clear" w:color="auto" w:fill="auto"/>
            <w:vAlign w:val="bottom"/>
          </w:tcPr>
          <w:p w14:paraId="47AC88A2" w14:textId="0D997342"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4.8%</w:t>
            </w:r>
          </w:p>
        </w:tc>
        <w:tc>
          <w:tcPr>
            <w:tcW w:w="709" w:type="dxa"/>
            <w:tcBorders>
              <w:top w:val="nil"/>
              <w:left w:val="nil"/>
              <w:bottom w:val="nil"/>
              <w:right w:val="single" w:sz="4" w:space="0" w:color="auto"/>
            </w:tcBorders>
            <w:shd w:val="clear" w:color="auto" w:fill="auto"/>
            <w:noWrap/>
            <w:vAlign w:val="bottom"/>
          </w:tcPr>
          <w:p w14:paraId="4102834C" w14:textId="11DFF127"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1.9</w:t>
            </w:r>
          </w:p>
        </w:tc>
        <w:tc>
          <w:tcPr>
            <w:tcW w:w="786" w:type="dxa"/>
            <w:tcBorders>
              <w:top w:val="nil"/>
              <w:left w:val="nil"/>
              <w:bottom w:val="nil"/>
              <w:right w:val="nil"/>
            </w:tcBorders>
            <w:shd w:val="clear" w:color="auto" w:fill="auto"/>
            <w:vAlign w:val="bottom"/>
          </w:tcPr>
          <w:p w14:paraId="1873C949" w14:textId="4CF45501"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$80</w:t>
            </w:r>
          </w:p>
        </w:tc>
        <w:tc>
          <w:tcPr>
            <w:tcW w:w="640" w:type="dxa"/>
            <w:tcBorders>
              <w:top w:val="nil"/>
              <w:left w:val="nil"/>
              <w:bottom w:val="nil"/>
              <w:right w:val="single" w:sz="4" w:space="0" w:color="auto"/>
            </w:tcBorders>
            <w:shd w:val="clear" w:color="auto" w:fill="auto"/>
            <w:vAlign w:val="bottom"/>
          </w:tcPr>
          <w:p w14:paraId="2CFDC4B8" w14:textId="072A9E6A"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1.8</w:t>
            </w:r>
          </w:p>
        </w:tc>
      </w:tr>
      <w:tr w:rsidR="002B3B3D" w:rsidRPr="002B3B3D" w14:paraId="4CA94498" w14:textId="77777777" w:rsidTr="005958CF">
        <w:trPr>
          <w:trHeight w:val="255"/>
          <w:jc w:val="center"/>
        </w:trPr>
        <w:tc>
          <w:tcPr>
            <w:tcW w:w="1271" w:type="dxa"/>
            <w:tcBorders>
              <w:top w:val="nil"/>
              <w:left w:val="single" w:sz="4" w:space="0" w:color="auto"/>
              <w:bottom w:val="nil"/>
              <w:right w:val="nil"/>
            </w:tcBorders>
            <w:noWrap/>
          </w:tcPr>
          <w:p w14:paraId="61C88BA2"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Water heaters</w:t>
            </w:r>
          </w:p>
        </w:tc>
        <w:tc>
          <w:tcPr>
            <w:tcW w:w="1104" w:type="dxa"/>
            <w:tcBorders>
              <w:top w:val="nil"/>
              <w:left w:val="single" w:sz="4" w:space="0" w:color="auto"/>
              <w:bottom w:val="nil"/>
              <w:right w:val="nil"/>
            </w:tcBorders>
            <w:shd w:val="clear" w:color="auto" w:fill="auto"/>
            <w:noWrap/>
            <w:vAlign w:val="bottom"/>
          </w:tcPr>
          <w:p w14:paraId="65A1AB9A" w14:textId="5D11B173"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292</w:t>
            </w:r>
          </w:p>
        </w:tc>
        <w:tc>
          <w:tcPr>
            <w:tcW w:w="1089" w:type="dxa"/>
            <w:tcBorders>
              <w:top w:val="nil"/>
              <w:left w:val="nil"/>
              <w:bottom w:val="nil"/>
              <w:right w:val="nil"/>
            </w:tcBorders>
            <w:shd w:val="clear" w:color="auto" w:fill="auto"/>
            <w:noWrap/>
            <w:vAlign w:val="bottom"/>
          </w:tcPr>
          <w:p w14:paraId="0641266A" w14:textId="20871921"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$252</w:t>
            </w:r>
          </w:p>
        </w:tc>
        <w:tc>
          <w:tcPr>
            <w:tcW w:w="1089" w:type="dxa"/>
            <w:tcBorders>
              <w:top w:val="nil"/>
              <w:left w:val="nil"/>
              <w:bottom w:val="nil"/>
              <w:right w:val="nil"/>
            </w:tcBorders>
            <w:shd w:val="clear" w:color="auto" w:fill="auto"/>
            <w:noWrap/>
            <w:vAlign w:val="bottom"/>
          </w:tcPr>
          <w:p w14:paraId="0C6B6077" w14:textId="002AFAC6"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$381</w:t>
            </w:r>
          </w:p>
        </w:tc>
        <w:tc>
          <w:tcPr>
            <w:tcW w:w="1089" w:type="dxa"/>
            <w:tcBorders>
              <w:top w:val="nil"/>
              <w:left w:val="nil"/>
              <w:bottom w:val="nil"/>
              <w:right w:val="nil"/>
            </w:tcBorders>
            <w:shd w:val="clear" w:color="auto" w:fill="auto"/>
            <w:noWrap/>
            <w:vAlign w:val="bottom"/>
          </w:tcPr>
          <w:p w14:paraId="0E60724D" w14:textId="25B1B70B"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$129</w:t>
            </w:r>
          </w:p>
        </w:tc>
        <w:tc>
          <w:tcPr>
            <w:tcW w:w="874" w:type="dxa"/>
            <w:tcBorders>
              <w:top w:val="nil"/>
              <w:left w:val="nil"/>
              <w:bottom w:val="nil"/>
              <w:right w:val="nil"/>
            </w:tcBorders>
            <w:shd w:val="clear" w:color="auto" w:fill="auto"/>
            <w:vAlign w:val="bottom"/>
          </w:tcPr>
          <w:p w14:paraId="250DA8E0" w14:textId="691FB9C5"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6.9%</w:t>
            </w:r>
          </w:p>
        </w:tc>
        <w:tc>
          <w:tcPr>
            <w:tcW w:w="709" w:type="dxa"/>
            <w:tcBorders>
              <w:top w:val="nil"/>
              <w:left w:val="nil"/>
              <w:bottom w:val="nil"/>
              <w:right w:val="single" w:sz="4" w:space="0" w:color="auto"/>
            </w:tcBorders>
            <w:shd w:val="clear" w:color="auto" w:fill="auto"/>
            <w:noWrap/>
            <w:vAlign w:val="bottom"/>
          </w:tcPr>
          <w:p w14:paraId="181455FF" w14:textId="42474243"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1.5</w:t>
            </w:r>
          </w:p>
        </w:tc>
        <w:tc>
          <w:tcPr>
            <w:tcW w:w="786" w:type="dxa"/>
            <w:tcBorders>
              <w:top w:val="nil"/>
              <w:left w:val="nil"/>
              <w:bottom w:val="nil"/>
              <w:right w:val="nil"/>
            </w:tcBorders>
            <w:shd w:val="clear" w:color="auto" w:fill="auto"/>
            <w:vAlign w:val="bottom"/>
          </w:tcPr>
          <w:p w14:paraId="5F33C916" w14:textId="16DB3443"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$121</w:t>
            </w:r>
          </w:p>
        </w:tc>
        <w:tc>
          <w:tcPr>
            <w:tcW w:w="640" w:type="dxa"/>
            <w:tcBorders>
              <w:top w:val="nil"/>
              <w:left w:val="nil"/>
              <w:bottom w:val="nil"/>
              <w:right w:val="single" w:sz="4" w:space="0" w:color="auto"/>
            </w:tcBorders>
            <w:shd w:val="clear" w:color="auto" w:fill="auto"/>
            <w:vAlign w:val="bottom"/>
          </w:tcPr>
          <w:p w14:paraId="60B64CB2" w14:textId="298FDE16"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1.5</w:t>
            </w:r>
          </w:p>
        </w:tc>
      </w:tr>
      <w:tr w:rsidR="002B3B3D" w:rsidRPr="002B3B3D" w14:paraId="399E168B" w14:textId="77777777" w:rsidTr="005958CF">
        <w:trPr>
          <w:trHeight w:val="255"/>
          <w:jc w:val="center"/>
        </w:trPr>
        <w:tc>
          <w:tcPr>
            <w:tcW w:w="1271" w:type="dxa"/>
            <w:tcBorders>
              <w:top w:val="nil"/>
              <w:left w:val="single" w:sz="4" w:space="0" w:color="auto"/>
              <w:bottom w:val="nil"/>
              <w:right w:val="nil"/>
            </w:tcBorders>
            <w:noWrap/>
          </w:tcPr>
          <w:p w14:paraId="14B965B2"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EV chargers</w:t>
            </w:r>
          </w:p>
        </w:tc>
        <w:tc>
          <w:tcPr>
            <w:tcW w:w="1104" w:type="dxa"/>
            <w:tcBorders>
              <w:top w:val="nil"/>
              <w:left w:val="single" w:sz="4" w:space="0" w:color="auto"/>
              <w:bottom w:val="nil"/>
              <w:right w:val="nil"/>
            </w:tcBorders>
            <w:shd w:val="clear" w:color="auto" w:fill="auto"/>
            <w:noWrap/>
            <w:vAlign w:val="bottom"/>
          </w:tcPr>
          <w:p w14:paraId="277F156A" w14:textId="3BEF2797"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626</w:t>
            </w:r>
          </w:p>
        </w:tc>
        <w:tc>
          <w:tcPr>
            <w:tcW w:w="1089" w:type="dxa"/>
            <w:tcBorders>
              <w:top w:val="nil"/>
              <w:left w:val="nil"/>
              <w:bottom w:val="nil"/>
              <w:right w:val="nil"/>
            </w:tcBorders>
            <w:shd w:val="clear" w:color="auto" w:fill="auto"/>
            <w:noWrap/>
            <w:vAlign w:val="bottom"/>
          </w:tcPr>
          <w:p w14:paraId="51653C61" w14:textId="70366C2C"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$201</w:t>
            </w:r>
          </w:p>
        </w:tc>
        <w:tc>
          <w:tcPr>
            <w:tcW w:w="1089" w:type="dxa"/>
            <w:tcBorders>
              <w:top w:val="nil"/>
              <w:left w:val="nil"/>
              <w:bottom w:val="nil"/>
              <w:right w:val="nil"/>
            </w:tcBorders>
            <w:shd w:val="clear" w:color="auto" w:fill="auto"/>
            <w:noWrap/>
            <w:vAlign w:val="bottom"/>
          </w:tcPr>
          <w:p w14:paraId="33CA29E9" w14:textId="35E5AB03"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$837</w:t>
            </w:r>
          </w:p>
        </w:tc>
        <w:tc>
          <w:tcPr>
            <w:tcW w:w="1089" w:type="dxa"/>
            <w:tcBorders>
              <w:top w:val="nil"/>
              <w:left w:val="nil"/>
              <w:bottom w:val="nil"/>
              <w:right w:val="nil"/>
            </w:tcBorders>
            <w:shd w:val="clear" w:color="auto" w:fill="auto"/>
            <w:noWrap/>
            <w:vAlign w:val="bottom"/>
          </w:tcPr>
          <w:p w14:paraId="6DB68CDC" w14:textId="5AD17E4F"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$636</w:t>
            </w:r>
          </w:p>
        </w:tc>
        <w:tc>
          <w:tcPr>
            <w:tcW w:w="874" w:type="dxa"/>
            <w:tcBorders>
              <w:top w:val="nil"/>
              <w:left w:val="nil"/>
              <w:bottom w:val="nil"/>
              <w:right w:val="nil"/>
            </w:tcBorders>
            <w:shd w:val="clear" w:color="auto" w:fill="auto"/>
            <w:vAlign w:val="bottom"/>
          </w:tcPr>
          <w:p w14:paraId="0F46BD20" w14:textId="18EC1019"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34.0%</w:t>
            </w:r>
          </w:p>
        </w:tc>
        <w:tc>
          <w:tcPr>
            <w:tcW w:w="709" w:type="dxa"/>
            <w:tcBorders>
              <w:top w:val="nil"/>
              <w:left w:val="nil"/>
              <w:bottom w:val="nil"/>
              <w:right w:val="single" w:sz="4" w:space="0" w:color="auto"/>
            </w:tcBorders>
            <w:shd w:val="clear" w:color="auto" w:fill="auto"/>
            <w:noWrap/>
            <w:vAlign w:val="bottom"/>
          </w:tcPr>
          <w:p w14:paraId="27D22900" w14:textId="2DA591CA"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4.2</w:t>
            </w:r>
          </w:p>
        </w:tc>
        <w:tc>
          <w:tcPr>
            <w:tcW w:w="786" w:type="dxa"/>
            <w:tcBorders>
              <w:top w:val="nil"/>
              <w:left w:val="nil"/>
              <w:bottom w:val="nil"/>
              <w:right w:val="nil"/>
            </w:tcBorders>
            <w:shd w:val="clear" w:color="auto" w:fill="auto"/>
            <w:vAlign w:val="bottom"/>
          </w:tcPr>
          <w:p w14:paraId="447BBD91" w14:textId="695819ED"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$430</w:t>
            </w:r>
          </w:p>
        </w:tc>
        <w:tc>
          <w:tcPr>
            <w:tcW w:w="640" w:type="dxa"/>
            <w:tcBorders>
              <w:top w:val="nil"/>
              <w:left w:val="nil"/>
              <w:bottom w:val="nil"/>
              <w:right w:val="single" w:sz="4" w:space="0" w:color="auto"/>
            </w:tcBorders>
            <w:shd w:val="clear" w:color="auto" w:fill="auto"/>
            <w:vAlign w:val="bottom"/>
          </w:tcPr>
          <w:p w14:paraId="5A2431F9" w14:textId="4D5B5EF8"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3.1</w:t>
            </w:r>
          </w:p>
        </w:tc>
      </w:tr>
      <w:tr w:rsidR="002B3B3D" w:rsidRPr="002B3B3D" w14:paraId="0355B035" w14:textId="77777777" w:rsidTr="005958CF">
        <w:trPr>
          <w:trHeight w:val="255"/>
          <w:jc w:val="center"/>
        </w:trPr>
        <w:tc>
          <w:tcPr>
            <w:tcW w:w="1271" w:type="dxa"/>
            <w:tcBorders>
              <w:top w:val="single" w:sz="4" w:space="0" w:color="auto"/>
              <w:left w:val="single" w:sz="4" w:space="0" w:color="auto"/>
              <w:bottom w:val="single" w:sz="4" w:space="0" w:color="auto"/>
              <w:right w:val="nil"/>
            </w:tcBorders>
            <w:noWrap/>
          </w:tcPr>
          <w:p w14:paraId="00D39A5B"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All products</w:t>
            </w:r>
          </w:p>
        </w:tc>
        <w:tc>
          <w:tcPr>
            <w:tcW w:w="1104" w:type="dxa"/>
            <w:tcBorders>
              <w:top w:val="single" w:sz="4" w:space="0" w:color="auto"/>
              <w:left w:val="single" w:sz="4" w:space="0" w:color="auto"/>
              <w:bottom w:val="single" w:sz="4" w:space="0" w:color="auto"/>
              <w:right w:val="nil"/>
            </w:tcBorders>
            <w:shd w:val="clear" w:color="auto" w:fill="auto"/>
            <w:noWrap/>
            <w:vAlign w:val="bottom"/>
          </w:tcPr>
          <w:p w14:paraId="50D54FF4" w14:textId="21D5BED9"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3400</w:t>
            </w:r>
          </w:p>
        </w:tc>
        <w:tc>
          <w:tcPr>
            <w:tcW w:w="1089" w:type="dxa"/>
            <w:tcBorders>
              <w:top w:val="single" w:sz="4" w:space="0" w:color="auto"/>
              <w:left w:val="nil"/>
              <w:bottom w:val="single" w:sz="4" w:space="0" w:color="auto"/>
              <w:right w:val="nil"/>
            </w:tcBorders>
            <w:shd w:val="clear" w:color="auto" w:fill="auto"/>
            <w:noWrap/>
            <w:vAlign w:val="bottom"/>
          </w:tcPr>
          <w:p w14:paraId="226914A4" w14:textId="52FF1693"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$960</w:t>
            </w:r>
          </w:p>
        </w:tc>
        <w:tc>
          <w:tcPr>
            <w:tcW w:w="1089" w:type="dxa"/>
            <w:tcBorders>
              <w:top w:val="single" w:sz="4" w:space="0" w:color="auto"/>
              <w:left w:val="nil"/>
              <w:bottom w:val="single" w:sz="4" w:space="0" w:color="auto"/>
              <w:right w:val="nil"/>
            </w:tcBorders>
            <w:shd w:val="clear" w:color="auto" w:fill="auto"/>
            <w:noWrap/>
            <w:vAlign w:val="bottom"/>
          </w:tcPr>
          <w:p w14:paraId="3449A415" w14:textId="0CF5D075"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$2,829</w:t>
            </w:r>
          </w:p>
        </w:tc>
        <w:tc>
          <w:tcPr>
            <w:tcW w:w="1089" w:type="dxa"/>
            <w:tcBorders>
              <w:top w:val="single" w:sz="4" w:space="0" w:color="auto"/>
              <w:left w:val="nil"/>
              <w:bottom w:val="single" w:sz="4" w:space="0" w:color="auto"/>
              <w:right w:val="nil"/>
            </w:tcBorders>
            <w:shd w:val="clear" w:color="auto" w:fill="auto"/>
            <w:noWrap/>
            <w:vAlign w:val="bottom"/>
          </w:tcPr>
          <w:p w14:paraId="08287E91" w14:textId="4804BEED"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$1,869</w:t>
            </w:r>
          </w:p>
        </w:tc>
        <w:tc>
          <w:tcPr>
            <w:tcW w:w="874" w:type="dxa"/>
            <w:tcBorders>
              <w:top w:val="single" w:sz="4" w:space="0" w:color="auto"/>
              <w:left w:val="nil"/>
              <w:bottom w:val="single" w:sz="4" w:space="0" w:color="auto"/>
              <w:right w:val="nil"/>
            </w:tcBorders>
            <w:shd w:val="clear" w:color="auto" w:fill="auto"/>
            <w:vAlign w:val="bottom"/>
          </w:tcPr>
          <w:p w14:paraId="148C385A" w14:textId="7886F4BC"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25A8699" w14:textId="6446A0CC"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2.9</w:t>
            </w:r>
          </w:p>
        </w:tc>
        <w:tc>
          <w:tcPr>
            <w:tcW w:w="786" w:type="dxa"/>
            <w:tcBorders>
              <w:top w:val="single" w:sz="4" w:space="0" w:color="auto"/>
              <w:left w:val="nil"/>
              <w:bottom w:val="single" w:sz="4" w:space="0" w:color="auto"/>
              <w:right w:val="nil"/>
            </w:tcBorders>
            <w:shd w:val="clear" w:color="auto" w:fill="auto"/>
            <w:vAlign w:val="bottom"/>
          </w:tcPr>
          <w:p w14:paraId="45EA745F" w14:textId="1633392F"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$1,388</w:t>
            </w:r>
          </w:p>
        </w:tc>
        <w:tc>
          <w:tcPr>
            <w:tcW w:w="640" w:type="dxa"/>
            <w:tcBorders>
              <w:top w:val="single" w:sz="4" w:space="0" w:color="auto"/>
              <w:left w:val="nil"/>
              <w:bottom w:val="single" w:sz="4" w:space="0" w:color="auto"/>
              <w:right w:val="single" w:sz="4" w:space="0" w:color="auto"/>
            </w:tcBorders>
            <w:shd w:val="clear" w:color="auto" w:fill="auto"/>
            <w:vAlign w:val="bottom"/>
          </w:tcPr>
          <w:p w14:paraId="4E7F43B7" w14:textId="3BE50804"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2.4</w:t>
            </w:r>
          </w:p>
        </w:tc>
      </w:tr>
    </w:tbl>
    <w:p w14:paraId="095583E0" w14:textId="70548ACE"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7% discount rate for costs and benefits 202</w:t>
      </w:r>
      <w:r w:rsidR="007254CA">
        <w:rPr>
          <w:rFonts w:ascii="Calibri" w:eastAsia="Cambria" w:hAnsi="Calibri" w:cs="Calibri"/>
          <w:sz w:val="16"/>
          <w:szCs w:val="24"/>
          <w:lang w:val="en-AU"/>
        </w:rPr>
        <w:t>0</w:t>
      </w:r>
      <w:r w:rsidRPr="00A37634">
        <w:rPr>
          <w:rFonts w:ascii="Calibri" w:eastAsia="Cambria" w:hAnsi="Calibri" w:cs="Calibri"/>
          <w:sz w:val="16"/>
          <w:szCs w:val="24"/>
          <w:lang w:val="en-AU"/>
        </w:rPr>
        <w:t>-203</w:t>
      </w:r>
      <w:r w:rsidR="007254CA">
        <w:rPr>
          <w:rFonts w:ascii="Calibri" w:eastAsia="Cambria" w:hAnsi="Calibri" w:cs="Calibri"/>
          <w:sz w:val="16"/>
          <w:szCs w:val="24"/>
          <w:lang w:val="en-AU"/>
        </w:rPr>
        <w:t>6</w:t>
      </w:r>
      <w:r w:rsidRPr="00A37634">
        <w:rPr>
          <w:rFonts w:ascii="Calibri" w:eastAsia="Cambria" w:hAnsi="Calibri" w:cs="Calibri"/>
          <w:sz w:val="16"/>
          <w:szCs w:val="24"/>
          <w:lang w:val="en-AU"/>
        </w:rPr>
        <w:t xml:space="preserve"> </w:t>
      </w:r>
    </w:p>
    <w:p w14:paraId="30B0D8B4" w14:textId="027ED57E" w:rsidR="00A37634" w:rsidRDefault="00A37634" w:rsidP="007254CA">
      <w:pPr>
        <w:rPr>
          <w:lang w:val="en-AU"/>
        </w:rPr>
      </w:pPr>
    </w:p>
    <w:p w14:paraId="578CAE57" w14:textId="2534DEE0"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14" w:name="_Ref14778934"/>
      <w:bookmarkStart w:id="115" w:name="_Toc22486959"/>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15</w:t>
      </w:r>
      <w:r w:rsidRPr="00A37634">
        <w:rPr>
          <w:rFonts w:ascii="Calibri" w:eastAsia="Cambria" w:hAnsi="Calibri" w:cs="Calibri"/>
          <w:b/>
          <w:bCs/>
          <w:noProof/>
          <w:sz w:val="20"/>
          <w:szCs w:val="16"/>
          <w:lang w:val="en-AU"/>
        </w:rPr>
        <w:fldChar w:fldCharType="end"/>
      </w:r>
      <w:bookmarkEnd w:id="114"/>
      <w:r w:rsidRPr="00A37634">
        <w:rPr>
          <w:rFonts w:ascii="Calibri" w:eastAsia="Cambria" w:hAnsi="Calibri" w:cs="Calibri"/>
          <w:b/>
          <w:bCs/>
          <w:sz w:val="20"/>
          <w:szCs w:val="16"/>
          <w:lang w:val="en-AU"/>
        </w:rPr>
        <w:t>. Projected costs and benefits by appliance Australia (high activation)</w:t>
      </w:r>
      <w:bookmarkEnd w:id="115"/>
    </w:p>
    <w:tbl>
      <w:tblPr>
        <w:tblW w:w="8651" w:type="dxa"/>
        <w:jc w:val="center"/>
        <w:tblLayout w:type="fixed"/>
        <w:tblCellMar>
          <w:left w:w="0" w:type="dxa"/>
          <w:right w:w="0" w:type="dxa"/>
        </w:tblCellMar>
        <w:tblLook w:val="0000" w:firstRow="0" w:lastRow="0" w:firstColumn="0" w:lastColumn="0" w:noHBand="0" w:noVBand="0"/>
      </w:tblPr>
      <w:tblGrid>
        <w:gridCol w:w="1271"/>
        <w:gridCol w:w="1276"/>
        <w:gridCol w:w="917"/>
        <w:gridCol w:w="1089"/>
        <w:gridCol w:w="1089"/>
        <w:gridCol w:w="874"/>
        <w:gridCol w:w="709"/>
        <w:gridCol w:w="786"/>
        <w:gridCol w:w="640"/>
      </w:tblGrid>
      <w:tr w:rsidR="00A37634" w:rsidRPr="007254CA" w14:paraId="70C11F09" w14:textId="77777777" w:rsidTr="002B3B3D">
        <w:trPr>
          <w:cantSplit/>
          <w:trHeight w:val="533"/>
          <w:tblHeader/>
          <w:jc w:val="center"/>
        </w:trPr>
        <w:tc>
          <w:tcPr>
            <w:tcW w:w="1271" w:type="dxa"/>
            <w:vMerge w:val="restart"/>
            <w:tcBorders>
              <w:top w:val="single" w:sz="4" w:space="0" w:color="auto"/>
              <w:left w:val="single" w:sz="4" w:space="0" w:color="auto"/>
              <w:bottom w:val="single" w:sz="4" w:space="0" w:color="auto"/>
              <w:right w:val="single" w:sz="4" w:space="0" w:color="auto"/>
            </w:tcBorders>
            <w:noWrap/>
          </w:tcPr>
          <w:p w14:paraId="4B092C2D"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p>
        </w:tc>
        <w:tc>
          <w:tcPr>
            <w:tcW w:w="1276" w:type="dxa"/>
            <w:vMerge w:val="restart"/>
            <w:tcBorders>
              <w:top w:val="single" w:sz="4" w:space="0" w:color="auto"/>
              <w:left w:val="single" w:sz="4" w:space="0" w:color="auto"/>
              <w:bottom w:val="single" w:sz="4" w:space="0" w:color="auto"/>
            </w:tcBorders>
            <w:noWrap/>
          </w:tcPr>
          <w:p w14:paraId="39F09BC1" w14:textId="3A7FAD70"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Routine DLC Reduction available SMD 203</w:t>
            </w:r>
            <w:r w:rsidR="00BC35DA" w:rsidRPr="007254CA">
              <w:rPr>
                <w:rFonts w:ascii="Calibri" w:eastAsia="Times New Roman" w:hAnsi="Calibri" w:cs="Calibri"/>
                <w:bCs/>
                <w:sz w:val="18"/>
                <w:szCs w:val="18"/>
                <w:lang w:val="en-AU"/>
              </w:rPr>
              <w:t>6</w:t>
            </w:r>
            <w:r w:rsidRPr="007254CA">
              <w:rPr>
                <w:rFonts w:ascii="Calibri" w:eastAsia="Times New Roman" w:hAnsi="Calibri" w:cs="Calibri"/>
                <w:bCs/>
                <w:sz w:val="18"/>
                <w:szCs w:val="18"/>
                <w:lang w:val="en-AU"/>
              </w:rPr>
              <w:t>, MWe (a)</w:t>
            </w:r>
          </w:p>
        </w:tc>
        <w:tc>
          <w:tcPr>
            <w:tcW w:w="917" w:type="dxa"/>
            <w:vMerge w:val="restart"/>
            <w:tcBorders>
              <w:top w:val="single" w:sz="4" w:space="0" w:color="auto"/>
              <w:bottom w:val="single" w:sz="4" w:space="0" w:color="auto"/>
            </w:tcBorders>
            <w:noWrap/>
          </w:tcPr>
          <w:p w14:paraId="5E941A0C"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Costs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72B81D84"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1C514505"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74D1923A"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26E3AADD"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Net</w:t>
            </w:r>
            <w:r w:rsidRPr="007254CA">
              <w:rPr>
                <w:rFonts w:ascii="Calibri" w:eastAsia="Times New Roman" w:hAnsi="Calibri" w:cs="Calibri"/>
                <w:bCs/>
                <w:sz w:val="18"/>
                <w:szCs w:val="18"/>
                <w:lang w:val="en-AU"/>
              </w:rPr>
              <w:b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tc>
        <w:tc>
          <w:tcPr>
            <w:tcW w:w="874" w:type="dxa"/>
            <w:vMerge w:val="restart"/>
            <w:tcBorders>
              <w:top w:val="single" w:sz="4" w:space="0" w:color="auto"/>
              <w:bottom w:val="single" w:sz="4" w:space="0" w:color="auto"/>
            </w:tcBorders>
          </w:tcPr>
          <w:p w14:paraId="071EBA6D" w14:textId="77777777" w:rsidR="00A37634" w:rsidRPr="007254CA" w:rsidRDefault="00A37634"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 net </w:t>
            </w:r>
            <w:r w:rsidRPr="007254CA">
              <w:rPr>
                <w:rFonts w:ascii="Calibri" w:eastAsia="Times New Roman" w:hAnsi="Calibri" w:cs="Calibri"/>
                <w:bCs/>
                <w:sz w:val="18"/>
                <w:szCs w:val="18"/>
                <w:lang w:val="en-AU"/>
              </w:rPr>
              <w:br/>
              <w:t>national</w:t>
            </w:r>
            <w:r w:rsidRPr="007254CA">
              <w:rPr>
                <w:rFonts w:ascii="Calibri" w:eastAsia="Times New Roman" w:hAnsi="Calibri" w:cs="Calibri"/>
                <w:bCs/>
                <w:sz w:val="18"/>
                <w:szCs w:val="18"/>
                <w:lang w:val="en-AU"/>
              </w:rPr>
              <w:br/>
              <w:t>benefits</w:t>
            </w:r>
          </w:p>
        </w:tc>
        <w:tc>
          <w:tcPr>
            <w:tcW w:w="709" w:type="dxa"/>
            <w:vMerge w:val="restart"/>
            <w:tcBorders>
              <w:top w:val="single" w:sz="4" w:space="0" w:color="auto"/>
              <w:bottom w:val="single" w:sz="4" w:space="0" w:color="auto"/>
              <w:right w:val="single" w:sz="4" w:space="0" w:color="auto"/>
            </w:tcBorders>
            <w:noWrap/>
          </w:tcPr>
          <w:p w14:paraId="40E2AEC8" w14:textId="77777777" w:rsidR="00A37634" w:rsidRPr="007254CA" w:rsidRDefault="00A37634" w:rsidP="00A37634">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B/C ratio</w:t>
            </w:r>
          </w:p>
        </w:tc>
        <w:tc>
          <w:tcPr>
            <w:tcW w:w="1426" w:type="dxa"/>
            <w:gridSpan w:val="2"/>
            <w:tcBorders>
              <w:top w:val="single" w:sz="4" w:space="0" w:color="auto"/>
              <w:left w:val="single" w:sz="4" w:space="0" w:color="auto"/>
              <w:bottom w:val="single" w:sz="4" w:space="0" w:color="auto"/>
              <w:right w:val="single" w:sz="4" w:space="0" w:color="auto"/>
            </w:tcBorders>
          </w:tcPr>
          <w:p w14:paraId="5357F790" w14:textId="77777777" w:rsidR="00A37634" w:rsidRPr="007254CA" w:rsidRDefault="00A37634"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Without whole-sale price benefit</w:t>
            </w:r>
          </w:p>
        </w:tc>
      </w:tr>
      <w:tr w:rsidR="00A37634" w:rsidRPr="00A37634" w14:paraId="7AC469C8" w14:textId="77777777" w:rsidTr="002B3B3D">
        <w:trPr>
          <w:cantSplit/>
          <w:trHeight w:val="433"/>
          <w:tblHeader/>
          <w:jc w:val="center"/>
        </w:trPr>
        <w:tc>
          <w:tcPr>
            <w:tcW w:w="1271" w:type="dxa"/>
            <w:vMerge/>
            <w:tcBorders>
              <w:left w:val="single" w:sz="4" w:space="0" w:color="auto"/>
              <w:bottom w:val="single" w:sz="4" w:space="0" w:color="auto"/>
              <w:right w:val="single" w:sz="4" w:space="0" w:color="auto"/>
            </w:tcBorders>
            <w:noWrap/>
          </w:tcPr>
          <w:p w14:paraId="3BD0804D" w14:textId="77777777" w:rsidR="00A37634" w:rsidRPr="00A37634" w:rsidRDefault="00A37634" w:rsidP="00A37634">
            <w:pPr>
              <w:spacing w:before="60" w:after="60" w:line="240" w:lineRule="auto"/>
              <w:jc w:val="center"/>
              <w:rPr>
                <w:rFonts w:ascii="Calibri" w:eastAsia="Arial Unicode MS" w:hAnsi="Calibri" w:cs="Calibri"/>
                <w:b/>
                <w:sz w:val="18"/>
                <w:szCs w:val="18"/>
                <w:lang w:val="en-AU"/>
              </w:rPr>
            </w:pPr>
          </w:p>
        </w:tc>
        <w:tc>
          <w:tcPr>
            <w:tcW w:w="1276" w:type="dxa"/>
            <w:vMerge/>
            <w:tcBorders>
              <w:left w:val="single" w:sz="4" w:space="0" w:color="auto"/>
              <w:bottom w:val="single" w:sz="4" w:space="0" w:color="auto"/>
            </w:tcBorders>
            <w:noWrap/>
          </w:tcPr>
          <w:p w14:paraId="48D6D055"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917" w:type="dxa"/>
            <w:vMerge/>
            <w:tcBorders>
              <w:bottom w:val="single" w:sz="4" w:space="0" w:color="auto"/>
            </w:tcBorders>
            <w:noWrap/>
          </w:tcPr>
          <w:p w14:paraId="740315DB"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356A6F9D"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4F48BA05"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874" w:type="dxa"/>
            <w:vMerge/>
            <w:tcBorders>
              <w:bottom w:val="single" w:sz="4" w:space="0" w:color="auto"/>
            </w:tcBorders>
          </w:tcPr>
          <w:p w14:paraId="34151F71"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709" w:type="dxa"/>
            <w:vMerge/>
            <w:tcBorders>
              <w:bottom w:val="single" w:sz="4" w:space="0" w:color="auto"/>
              <w:right w:val="single" w:sz="4" w:space="0" w:color="auto"/>
            </w:tcBorders>
            <w:noWrap/>
          </w:tcPr>
          <w:p w14:paraId="296412C9" w14:textId="77777777" w:rsidR="00A37634" w:rsidRPr="00A37634" w:rsidRDefault="00A37634" w:rsidP="00A37634">
            <w:pPr>
              <w:spacing w:before="60" w:after="60" w:line="240" w:lineRule="auto"/>
              <w:jc w:val="center"/>
              <w:rPr>
                <w:rFonts w:ascii="Calibri" w:eastAsia="Times New Roman" w:hAnsi="Calibri" w:cs="Calibri"/>
                <w:b/>
                <w:sz w:val="18"/>
                <w:szCs w:val="18"/>
                <w:lang w:val="en-AU"/>
              </w:rPr>
            </w:pPr>
          </w:p>
        </w:tc>
        <w:tc>
          <w:tcPr>
            <w:tcW w:w="786" w:type="dxa"/>
            <w:tcBorders>
              <w:top w:val="single" w:sz="4" w:space="0" w:color="auto"/>
              <w:left w:val="single" w:sz="4" w:space="0" w:color="auto"/>
              <w:bottom w:val="single" w:sz="4" w:space="0" w:color="auto"/>
            </w:tcBorders>
          </w:tcPr>
          <w:p w14:paraId="7F316F99" w14:textId="55AD0CFF" w:rsidR="00A37634" w:rsidRPr="007254CA" w:rsidRDefault="00DC6674"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$M </w:t>
            </w:r>
            <w:r w:rsidR="00A37634" w:rsidRPr="007254CA">
              <w:rPr>
                <w:rFonts w:ascii="Calibri" w:eastAsia="Times New Roman" w:hAnsi="Calibri" w:cs="Calibri"/>
                <w:bCs/>
                <w:sz w:val="18"/>
                <w:szCs w:val="18"/>
                <w:lang w:val="en-AU"/>
              </w:rPr>
              <w:t>Net</w:t>
            </w:r>
            <w:r w:rsidR="00A37634" w:rsidRPr="007254CA">
              <w:rPr>
                <w:rFonts w:ascii="Calibri" w:eastAsia="Times New Roman" w:hAnsi="Calibri" w:cs="Calibri"/>
                <w:bCs/>
                <w:sz w:val="18"/>
                <w:szCs w:val="18"/>
                <w:lang w:val="en-AU"/>
              </w:rPr>
              <w:br/>
              <w:t>benefit</w:t>
            </w:r>
          </w:p>
        </w:tc>
        <w:tc>
          <w:tcPr>
            <w:tcW w:w="640" w:type="dxa"/>
            <w:tcBorders>
              <w:top w:val="single" w:sz="4" w:space="0" w:color="auto"/>
              <w:bottom w:val="single" w:sz="4" w:space="0" w:color="auto"/>
              <w:right w:val="single" w:sz="4" w:space="0" w:color="auto"/>
            </w:tcBorders>
          </w:tcPr>
          <w:p w14:paraId="269344D5" w14:textId="77777777" w:rsidR="00A37634" w:rsidRPr="007254CA" w:rsidRDefault="00A37634" w:rsidP="00A37634">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B/C ratio</w:t>
            </w:r>
          </w:p>
        </w:tc>
      </w:tr>
      <w:tr w:rsidR="00A11B21" w:rsidRPr="00A11B21" w14:paraId="2C378B8B" w14:textId="77777777" w:rsidTr="005958CF">
        <w:trPr>
          <w:trHeight w:val="255"/>
          <w:jc w:val="center"/>
        </w:trPr>
        <w:tc>
          <w:tcPr>
            <w:tcW w:w="1271" w:type="dxa"/>
            <w:tcBorders>
              <w:top w:val="single" w:sz="4" w:space="0" w:color="auto"/>
              <w:left w:val="single" w:sz="4" w:space="0" w:color="auto"/>
              <w:bottom w:val="nil"/>
              <w:right w:val="single" w:sz="4" w:space="0" w:color="auto"/>
            </w:tcBorders>
            <w:noWrap/>
          </w:tcPr>
          <w:p w14:paraId="5C1B05A8" w14:textId="77777777" w:rsidR="00A11B21" w:rsidRPr="00A11B21" w:rsidRDefault="00A11B21" w:rsidP="00A11B21">
            <w:pPr>
              <w:tabs>
                <w:tab w:val="left" w:pos="3293"/>
              </w:tabs>
              <w:spacing w:before="60" w:after="60" w:line="240" w:lineRule="auto"/>
              <w:ind w:left="35"/>
              <w:rPr>
                <w:rFonts w:ascii="Calibri" w:eastAsia="Times New Roman" w:hAnsi="Calibri" w:cs="Calibri"/>
                <w:sz w:val="18"/>
                <w:szCs w:val="18"/>
                <w:lang w:val="en-AU"/>
              </w:rPr>
            </w:pPr>
            <w:r w:rsidRPr="00A11B21">
              <w:rPr>
                <w:rFonts w:ascii="Calibri" w:eastAsia="Times New Roman" w:hAnsi="Calibri" w:cs="Calibri"/>
                <w:sz w:val="18"/>
                <w:szCs w:val="18"/>
                <w:lang w:val="en-AU"/>
              </w:rPr>
              <w:t>Air Conds</w:t>
            </w:r>
          </w:p>
        </w:tc>
        <w:tc>
          <w:tcPr>
            <w:tcW w:w="1276" w:type="dxa"/>
            <w:tcBorders>
              <w:top w:val="nil"/>
              <w:left w:val="single" w:sz="4" w:space="0" w:color="auto"/>
              <w:bottom w:val="nil"/>
              <w:right w:val="nil"/>
            </w:tcBorders>
            <w:shd w:val="clear" w:color="auto" w:fill="auto"/>
            <w:noWrap/>
            <w:vAlign w:val="bottom"/>
          </w:tcPr>
          <w:p w14:paraId="13B4DC5E" w14:textId="2F1D265F"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3288</w:t>
            </w:r>
          </w:p>
        </w:tc>
        <w:tc>
          <w:tcPr>
            <w:tcW w:w="917" w:type="dxa"/>
            <w:tcBorders>
              <w:top w:val="nil"/>
              <w:left w:val="nil"/>
              <w:bottom w:val="nil"/>
              <w:right w:val="nil"/>
            </w:tcBorders>
            <w:shd w:val="clear" w:color="auto" w:fill="auto"/>
            <w:noWrap/>
            <w:vAlign w:val="bottom"/>
          </w:tcPr>
          <w:p w14:paraId="1C76CFED" w14:textId="516918F1"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$610</w:t>
            </w:r>
          </w:p>
        </w:tc>
        <w:tc>
          <w:tcPr>
            <w:tcW w:w="1089" w:type="dxa"/>
            <w:tcBorders>
              <w:top w:val="nil"/>
              <w:left w:val="nil"/>
              <w:bottom w:val="nil"/>
              <w:right w:val="nil"/>
            </w:tcBorders>
            <w:shd w:val="clear" w:color="auto" w:fill="auto"/>
            <w:noWrap/>
            <w:vAlign w:val="bottom"/>
          </w:tcPr>
          <w:p w14:paraId="15137F68" w14:textId="2CA2CBCB"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$2,060</w:t>
            </w:r>
          </w:p>
        </w:tc>
        <w:tc>
          <w:tcPr>
            <w:tcW w:w="1089" w:type="dxa"/>
            <w:tcBorders>
              <w:top w:val="nil"/>
              <w:left w:val="nil"/>
              <w:bottom w:val="nil"/>
              <w:right w:val="nil"/>
            </w:tcBorders>
            <w:shd w:val="clear" w:color="auto" w:fill="auto"/>
            <w:noWrap/>
            <w:vAlign w:val="bottom"/>
          </w:tcPr>
          <w:p w14:paraId="280B7720" w14:textId="132C29CF"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$1,450</w:t>
            </w:r>
          </w:p>
        </w:tc>
        <w:tc>
          <w:tcPr>
            <w:tcW w:w="874" w:type="dxa"/>
            <w:tcBorders>
              <w:top w:val="nil"/>
              <w:left w:val="nil"/>
              <w:bottom w:val="nil"/>
              <w:right w:val="nil"/>
            </w:tcBorders>
            <w:shd w:val="clear" w:color="auto" w:fill="auto"/>
            <w:vAlign w:val="bottom"/>
          </w:tcPr>
          <w:p w14:paraId="5AE5BEE5" w14:textId="399CA13D"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51.8%</w:t>
            </w:r>
          </w:p>
        </w:tc>
        <w:tc>
          <w:tcPr>
            <w:tcW w:w="709" w:type="dxa"/>
            <w:tcBorders>
              <w:top w:val="nil"/>
              <w:left w:val="nil"/>
              <w:bottom w:val="nil"/>
              <w:right w:val="single" w:sz="4" w:space="0" w:color="auto"/>
            </w:tcBorders>
            <w:shd w:val="clear" w:color="auto" w:fill="auto"/>
            <w:noWrap/>
            <w:vAlign w:val="bottom"/>
          </w:tcPr>
          <w:p w14:paraId="3AD940D7" w14:textId="34AF3400"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3.4</w:t>
            </w:r>
          </w:p>
        </w:tc>
        <w:tc>
          <w:tcPr>
            <w:tcW w:w="786" w:type="dxa"/>
            <w:tcBorders>
              <w:top w:val="nil"/>
              <w:left w:val="nil"/>
              <w:bottom w:val="nil"/>
              <w:right w:val="nil"/>
            </w:tcBorders>
            <w:shd w:val="clear" w:color="auto" w:fill="auto"/>
            <w:vAlign w:val="bottom"/>
          </w:tcPr>
          <w:p w14:paraId="3B99564A" w14:textId="182F89C5"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$1,797</w:t>
            </w:r>
          </w:p>
        </w:tc>
        <w:tc>
          <w:tcPr>
            <w:tcW w:w="640" w:type="dxa"/>
            <w:tcBorders>
              <w:top w:val="nil"/>
              <w:left w:val="nil"/>
              <w:bottom w:val="nil"/>
              <w:right w:val="single" w:sz="4" w:space="0" w:color="auto"/>
            </w:tcBorders>
            <w:shd w:val="clear" w:color="auto" w:fill="auto"/>
            <w:vAlign w:val="bottom"/>
          </w:tcPr>
          <w:p w14:paraId="04903B17" w14:textId="0DA4A6F2"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2.9</w:t>
            </w:r>
          </w:p>
        </w:tc>
      </w:tr>
      <w:tr w:rsidR="00A11B21" w:rsidRPr="00A11B21" w14:paraId="664E6870" w14:textId="77777777" w:rsidTr="005958CF">
        <w:trPr>
          <w:trHeight w:val="255"/>
          <w:jc w:val="center"/>
        </w:trPr>
        <w:tc>
          <w:tcPr>
            <w:tcW w:w="1271" w:type="dxa"/>
            <w:tcBorders>
              <w:top w:val="nil"/>
              <w:left w:val="single" w:sz="4" w:space="0" w:color="auto"/>
              <w:bottom w:val="nil"/>
              <w:right w:val="single" w:sz="4" w:space="0" w:color="auto"/>
            </w:tcBorders>
            <w:noWrap/>
          </w:tcPr>
          <w:p w14:paraId="69F11116" w14:textId="77777777" w:rsidR="00A11B21" w:rsidRPr="00A11B21" w:rsidRDefault="00A11B21" w:rsidP="00A11B21">
            <w:pPr>
              <w:tabs>
                <w:tab w:val="left" w:pos="3293"/>
              </w:tabs>
              <w:spacing w:before="60" w:after="60" w:line="240" w:lineRule="auto"/>
              <w:ind w:left="35"/>
              <w:rPr>
                <w:rFonts w:ascii="Calibri" w:eastAsia="Times New Roman" w:hAnsi="Calibri" w:cs="Calibri"/>
                <w:sz w:val="18"/>
                <w:szCs w:val="18"/>
                <w:lang w:val="en-AU"/>
              </w:rPr>
            </w:pPr>
            <w:r w:rsidRPr="00A11B21">
              <w:rPr>
                <w:rFonts w:ascii="Calibri" w:eastAsia="Times New Roman" w:hAnsi="Calibri" w:cs="Calibri"/>
                <w:sz w:val="18"/>
                <w:szCs w:val="18"/>
                <w:lang w:val="en-AU"/>
              </w:rPr>
              <w:t>PP Controllers</w:t>
            </w:r>
          </w:p>
        </w:tc>
        <w:tc>
          <w:tcPr>
            <w:tcW w:w="1276" w:type="dxa"/>
            <w:tcBorders>
              <w:top w:val="nil"/>
              <w:left w:val="single" w:sz="4" w:space="0" w:color="auto"/>
              <w:bottom w:val="nil"/>
              <w:right w:val="nil"/>
            </w:tcBorders>
            <w:shd w:val="clear" w:color="auto" w:fill="auto"/>
            <w:noWrap/>
            <w:vAlign w:val="bottom"/>
          </w:tcPr>
          <w:p w14:paraId="60295EAB" w14:textId="56E85678"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448</w:t>
            </w:r>
          </w:p>
        </w:tc>
        <w:tc>
          <w:tcPr>
            <w:tcW w:w="917" w:type="dxa"/>
            <w:tcBorders>
              <w:top w:val="nil"/>
              <w:left w:val="nil"/>
              <w:bottom w:val="nil"/>
              <w:right w:val="nil"/>
            </w:tcBorders>
            <w:shd w:val="clear" w:color="auto" w:fill="auto"/>
            <w:noWrap/>
            <w:vAlign w:val="bottom"/>
          </w:tcPr>
          <w:p w14:paraId="2E21B29E" w14:textId="7A8170D5"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$125</w:t>
            </w:r>
          </w:p>
        </w:tc>
        <w:tc>
          <w:tcPr>
            <w:tcW w:w="1089" w:type="dxa"/>
            <w:tcBorders>
              <w:top w:val="nil"/>
              <w:left w:val="nil"/>
              <w:bottom w:val="nil"/>
              <w:right w:val="nil"/>
            </w:tcBorders>
            <w:shd w:val="clear" w:color="auto" w:fill="auto"/>
            <w:noWrap/>
            <w:vAlign w:val="bottom"/>
          </w:tcPr>
          <w:p w14:paraId="5DCE31D6" w14:textId="747976F1"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$272</w:t>
            </w:r>
          </w:p>
        </w:tc>
        <w:tc>
          <w:tcPr>
            <w:tcW w:w="1089" w:type="dxa"/>
            <w:tcBorders>
              <w:top w:val="nil"/>
              <w:left w:val="nil"/>
              <w:bottom w:val="nil"/>
              <w:right w:val="nil"/>
            </w:tcBorders>
            <w:shd w:val="clear" w:color="auto" w:fill="auto"/>
            <w:noWrap/>
            <w:vAlign w:val="bottom"/>
          </w:tcPr>
          <w:p w14:paraId="4A5AC1CC" w14:textId="6F27144E"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$146</w:t>
            </w:r>
          </w:p>
        </w:tc>
        <w:tc>
          <w:tcPr>
            <w:tcW w:w="874" w:type="dxa"/>
            <w:tcBorders>
              <w:top w:val="nil"/>
              <w:left w:val="nil"/>
              <w:bottom w:val="nil"/>
              <w:right w:val="nil"/>
            </w:tcBorders>
            <w:shd w:val="clear" w:color="auto" w:fill="auto"/>
            <w:vAlign w:val="bottom"/>
          </w:tcPr>
          <w:p w14:paraId="16C98DE6" w14:textId="25A9C68A"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5.2%</w:t>
            </w:r>
          </w:p>
        </w:tc>
        <w:tc>
          <w:tcPr>
            <w:tcW w:w="709" w:type="dxa"/>
            <w:tcBorders>
              <w:top w:val="nil"/>
              <w:left w:val="nil"/>
              <w:bottom w:val="nil"/>
              <w:right w:val="single" w:sz="4" w:space="0" w:color="auto"/>
            </w:tcBorders>
            <w:shd w:val="clear" w:color="auto" w:fill="auto"/>
            <w:noWrap/>
            <w:vAlign w:val="bottom"/>
          </w:tcPr>
          <w:p w14:paraId="4D555B6A" w14:textId="13A845D9"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2.2</w:t>
            </w:r>
          </w:p>
        </w:tc>
        <w:tc>
          <w:tcPr>
            <w:tcW w:w="786" w:type="dxa"/>
            <w:tcBorders>
              <w:top w:val="nil"/>
              <w:left w:val="nil"/>
              <w:bottom w:val="nil"/>
              <w:right w:val="nil"/>
            </w:tcBorders>
            <w:shd w:val="clear" w:color="auto" w:fill="auto"/>
            <w:vAlign w:val="bottom"/>
          </w:tcPr>
          <w:p w14:paraId="5EA0C773" w14:textId="098986B9"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$258</w:t>
            </w:r>
          </w:p>
        </w:tc>
        <w:tc>
          <w:tcPr>
            <w:tcW w:w="640" w:type="dxa"/>
            <w:tcBorders>
              <w:top w:val="nil"/>
              <w:left w:val="nil"/>
              <w:bottom w:val="nil"/>
              <w:right w:val="single" w:sz="4" w:space="0" w:color="auto"/>
            </w:tcBorders>
            <w:shd w:val="clear" w:color="auto" w:fill="auto"/>
            <w:vAlign w:val="bottom"/>
          </w:tcPr>
          <w:p w14:paraId="59106DBA" w14:textId="5FDF7970"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2.1</w:t>
            </w:r>
          </w:p>
        </w:tc>
      </w:tr>
      <w:tr w:rsidR="00A11B21" w:rsidRPr="00A11B21" w14:paraId="2D4CFAB6" w14:textId="77777777" w:rsidTr="005958CF">
        <w:trPr>
          <w:trHeight w:val="255"/>
          <w:jc w:val="center"/>
        </w:trPr>
        <w:tc>
          <w:tcPr>
            <w:tcW w:w="1271" w:type="dxa"/>
            <w:tcBorders>
              <w:top w:val="nil"/>
              <w:left w:val="single" w:sz="4" w:space="0" w:color="auto"/>
              <w:bottom w:val="nil"/>
              <w:right w:val="single" w:sz="4" w:space="0" w:color="auto"/>
            </w:tcBorders>
            <w:noWrap/>
          </w:tcPr>
          <w:p w14:paraId="690971CB" w14:textId="77777777" w:rsidR="00A11B21" w:rsidRPr="00A11B21" w:rsidRDefault="00A11B21" w:rsidP="00A11B21">
            <w:pPr>
              <w:tabs>
                <w:tab w:val="left" w:pos="3293"/>
              </w:tabs>
              <w:spacing w:before="60" w:after="60" w:line="240" w:lineRule="auto"/>
              <w:ind w:left="35"/>
              <w:rPr>
                <w:rFonts w:ascii="Calibri" w:eastAsia="Times New Roman" w:hAnsi="Calibri" w:cs="Calibri"/>
                <w:sz w:val="18"/>
                <w:szCs w:val="18"/>
                <w:lang w:val="en-AU"/>
              </w:rPr>
            </w:pPr>
            <w:r w:rsidRPr="00A11B21">
              <w:rPr>
                <w:rFonts w:ascii="Calibri" w:eastAsia="Times New Roman" w:hAnsi="Calibri" w:cs="Calibri"/>
                <w:sz w:val="18"/>
                <w:szCs w:val="18"/>
                <w:lang w:val="en-AU"/>
              </w:rPr>
              <w:t>Water heaters</w:t>
            </w:r>
          </w:p>
        </w:tc>
        <w:tc>
          <w:tcPr>
            <w:tcW w:w="1276" w:type="dxa"/>
            <w:tcBorders>
              <w:top w:val="nil"/>
              <w:left w:val="single" w:sz="4" w:space="0" w:color="auto"/>
              <w:bottom w:val="nil"/>
              <w:right w:val="nil"/>
            </w:tcBorders>
            <w:shd w:val="clear" w:color="auto" w:fill="auto"/>
            <w:noWrap/>
            <w:vAlign w:val="bottom"/>
          </w:tcPr>
          <w:p w14:paraId="2A5F622C" w14:textId="574F5D13"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386</w:t>
            </w:r>
          </w:p>
        </w:tc>
        <w:tc>
          <w:tcPr>
            <w:tcW w:w="917" w:type="dxa"/>
            <w:tcBorders>
              <w:top w:val="nil"/>
              <w:left w:val="nil"/>
              <w:bottom w:val="nil"/>
              <w:right w:val="nil"/>
            </w:tcBorders>
            <w:shd w:val="clear" w:color="auto" w:fill="auto"/>
            <w:noWrap/>
            <w:vAlign w:val="bottom"/>
          </w:tcPr>
          <w:p w14:paraId="2845FB44" w14:textId="4EDCDBB1"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$278</w:t>
            </w:r>
          </w:p>
        </w:tc>
        <w:tc>
          <w:tcPr>
            <w:tcW w:w="1089" w:type="dxa"/>
            <w:tcBorders>
              <w:top w:val="nil"/>
              <w:left w:val="nil"/>
              <w:bottom w:val="nil"/>
              <w:right w:val="nil"/>
            </w:tcBorders>
            <w:shd w:val="clear" w:color="auto" w:fill="auto"/>
            <w:noWrap/>
            <w:vAlign w:val="bottom"/>
          </w:tcPr>
          <w:p w14:paraId="1FC52BE8" w14:textId="2F18C55B"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$504</w:t>
            </w:r>
          </w:p>
        </w:tc>
        <w:tc>
          <w:tcPr>
            <w:tcW w:w="1089" w:type="dxa"/>
            <w:tcBorders>
              <w:top w:val="nil"/>
              <w:left w:val="nil"/>
              <w:bottom w:val="nil"/>
              <w:right w:val="nil"/>
            </w:tcBorders>
            <w:shd w:val="clear" w:color="auto" w:fill="auto"/>
            <w:noWrap/>
            <w:vAlign w:val="bottom"/>
          </w:tcPr>
          <w:p w14:paraId="6A3232B4" w14:textId="1D48AE33"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$226</w:t>
            </w:r>
          </w:p>
        </w:tc>
        <w:tc>
          <w:tcPr>
            <w:tcW w:w="874" w:type="dxa"/>
            <w:tcBorders>
              <w:top w:val="nil"/>
              <w:left w:val="nil"/>
              <w:bottom w:val="nil"/>
              <w:right w:val="nil"/>
            </w:tcBorders>
            <w:shd w:val="clear" w:color="auto" w:fill="auto"/>
            <w:vAlign w:val="bottom"/>
          </w:tcPr>
          <w:p w14:paraId="22D011E9" w14:textId="71F8AC26"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8.1%</w:t>
            </w:r>
          </w:p>
        </w:tc>
        <w:tc>
          <w:tcPr>
            <w:tcW w:w="709" w:type="dxa"/>
            <w:tcBorders>
              <w:top w:val="nil"/>
              <w:left w:val="nil"/>
              <w:bottom w:val="nil"/>
              <w:right w:val="single" w:sz="4" w:space="0" w:color="auto"/>
            </w:tcBorders>
            <w:shd w:val="clear" w:color="auto" w:fill="auto"/>
            <w:noWrap/>
            <w:vAlign w:val="bottom"/>
          </w:tcPr>
          <w:p w14:paraId="234BEE6A" w14:textId="1D98DED2"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1.8</w:t>
            </w:r>
          </w:p>
        </w:tc>
        <w:tc>
          <w:tcPr>
            <w:tcW w:w="786" w:type="dxa"/>
            <w:tcBorders>
              <w:top w:val="nil"/>
              <w:left w:val="nil"/>
              <w:bottom w:val="nil"/>
              <w:right w:val="nil"/>
            </w:tcBorders>
            <w:shd w:val="clear" w:color="auto" w:fill="auto"/>
            <w:vAlign w:val="bottom"/>
          </w:tcPr>
          <w:p w14:paraId="33061906" w14:textId="7AB1DB9E"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$494</w:t>
            </w:r>
          </w:p>
        </w:tc>
        <w:tc>
          <w:tcPr>
            <w:tcW w:w="640" w:type="dxa"/>
            <w:tcBorders>
              <w:top w:val="nil"/>
              <w:left w:val="nil"/>
              <w:bottom w:val="nil"/>
              <w:right w:val="single" w:sz="4" w:space="0" w:color="auto"/>
            </w:tcBorders>
            <w:shd w:val="clear" w:color="auto" w:fill="auto"/>
            <w:vAlign w:val="bottom"/>
          </w:tcPr>
          <w:p w14:paraId="0BFABDB8" w14:textId="66DB3ABC"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1.8</w:t>
            </w:r>
          </w:p>
        </w:tc>
      </w:tr>
      <w:tr w:rsidR="00A11B21" w:rsidRPr="00A11B21" w14:paraId="4098CF54" w14:textId="77777777" w:rsidTr="005958CF">
        <w:trPr>
          <w:trHeight w:val="255"/>
          <w:jc w:val="center"/>
        </w:trPr>
        <w:tc>
          <w:tcPr>
            <w:tcW w:w="1271" w:type="dxa"/>
            <w:tcBorders>
              <w:top w:val="nil"/>
              <w:left w:val="single" w:sz="4" w:space="0" w:color="auto"/>
              <w:bottom w:val="nil"/>
              <w:right w:val="single" w:sz="4" w:space="0" w:color="auto"/>
            </w:tcBorders>
            <w:noWrap/>
          </w:tcPr>
          <w:p w14:paraId="7D3ADACD" w14:textId="77777777" w:rsidR="00A11B21" w:rsidRPr="00A11B21" w:rsidRDefault="00A11B21" w:rsidP="00A11B21">
            <w:pPr>
              <w:tabs>
                <w:tab w:val="left" w:pos="3293"/>
              </w:tabs>
              <w:spacing w:before="60" w:after="60" w:line="240" w:lineRule="auto"/>
              <w:ind w:left="35"/>
              <w:rPr>
                <w:rFonts w:ascii="Calibri" w:eastAsia="Times New Roman" w:hAnsi="Calibri" w:cs="Calibri"/>
                <w:sz w:val="18"/>
                <w:szCs w:val="18"/>
                <w:lang w:val="en-AU"/>
              </w:rPr>
            </w:pPr>
            <w:r w:rsidRPr="00A11B21">
              <w:rPr>
                <w:rFonts w:ascii="Calibri" w:eastAsia="Times New Roman" w:hAnsi="Calibri" w:cs="Calibri"/>
                <w:sz w:val="18"/>
                <w:szCs w:val="18"/>
                <w:lang w:val="en-AU"/>
              </w:rPr>
              <w:t>EV chargers</w:t>
            </w:r>
          </w:p>
        </w:tc>
        <w:tc>
          <w:tcPr>
            <w:tcW w:w="1276" w:type="dxa"/>
            <w:tcBorders>
              <w:top w:val="nil"/>
              <w:left w:val="single" w:sz="4" w:space="0" w:color="auto"/>
              <w:bottom w:val="nil"/>
              <w:right w:val="nil"/>
            </w:tcBorders>
            <w:shd w:val="clear" w:color="auto" w:fill="auto"/>
            <w:noWrap/>
            <w:vAlign w:val="bottom"/>
          </w:tcPr>
          <w:p w14:paraId="55E8DDA3" w14:textId="47EAEB2E"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915</w:t>
            </w:r>
          </w:p>
        </w:tc>
        <w:tc>
          <w:tcPr>
            <w:tcW w:w="917" w:type="dxa"/>
            <w:tcBorders>
              <w:top w:val="nil"/>
              <w:left w:val="nil"/>
              <w:bottom w:val="nil"/>
              <w:right w:val="nil"/>
            </w:tcBorders>
            <w:shd w:val="clear" w:color="auto" w:fill="auto"/>
            <w:noWrap/>
            <w:vAlign w:val="bottom"/>
          </w:tcPr>
          <w:p w14:paraId="618B9718" w14:textId="1AC143EA"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$245</w:t>
            </w:r>
          </w:p>
        </w:tc>
        <w:tc>
          <w:tcPr>
            <w:tcW w:w="1089" w:type="dxa"/>
            <w:tcBorders>
              <w:top w:val="nil"/>
              <w:left w:val="nil"/>
              <w:bottom w:val="nil"/>
              <w:right w:val="nil"/>
            </w:tcBorders>
            <w:shd w:val="clear" w:color="auto" w:fill="auto"/>
            <w:noWrap/>
            <w:vAlign w:val="bottom"/>
          </w:tcPr>
          <w:p w14:paraId="43306E9A" w14:textId="43808AC8"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$1,223</w:t>
            </w:r>
          </w:p>
        </w:tc>
        <w:tc>
          <w:tcPr>
            <w:tcW w:w="1089" w:type="dxa"/>
            <w:tcBorders>
              <w:top w:val="nil"/>
              <w:left w:val="nil"/>
              <w:bottom w:val="nil"/>
              <w:right w:val="nil"/>
            </w:tcBorders>
            <w:shd w:val="clear" w:color="auto" w:fill="auto"/>
            <w:noWrap/>
            <w:vAlign w:val="bottom"/>
          </w:tcPr>
          <w:p w14:paraId="340FDF97" w14:textId="3285A857"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$978</w:t>
            </w:r>
          </w:p>
        </w:tc>
        <w:tc>
          <w:tcPr>
            <w:tcW w:w="874" w:type="dxa"/>
            <w:tcBorders>
              <w:top w:val="nil"/>
              <w:left w:val="nil"/>
              <w:bottom w:val="nil"/>
              <w:right w:val="nil"/>
            </w:tcBorders>
            <w:shd w:val="clear" w:color="auto" w:fill="auto"/>
            <w:vAlign w:val="bottom"/>
          </w:tcPr>
          <w:p w14:paraId="60016EEF" w14:textId="7C163BBD"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34.9%</w:t>
            </w:r>
          </w:p>
        </w:tc>
        <w:tc>
          <w:tcPr>
            <w:tcW w:w="709" w:type="dxa"/>
            <w:tcBorders>
              <w:top w:val="nil"/>
              <w:left w:val="nil"/>
              <w:bottom w:val="nil"/>
              <w:right w:val="single" w:sz="4" w:space="0" w:color="auto"/>
            </w:tcBorders>
            <w:shd w:val="clear" w:color="auto" w:fill="auto"/>
            <w:noWrap/>
            <w:vAlign w:val="bottom"/>
          </w:tcPr>
          <w:p w14:paraId="3209A0D0" w14:textId="73E4F51F"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5.0</w:t>
            </w:r>
          </w:p>
        </w:tc>
        <w:tc>
          <w:tcPr>
            <w:tcW w:w="786" w:type="dxa"/>
            <w:tcBorders>
              <w:top w:val="nil"/>
              <w:left w:val="nil"/>
              <w:bottom w:val="nil"/>
              <w:right w:val="nil"/>
            </w:tcBorders>
            <w:shd w:val="clear" w:color="auto" w:fill="auto"/>
            <w:vAlign w:val="bottom"/>
          </w:tcPr>
          <w:p w14:paraId="366B2B2C" w14:textId="72D4AD8D"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$921</w:t>
            </w:r>
          </w:p>
        </w:tc>
        <w:tc>
          <w:tcPr>
            <w:tcW w:w="640" w:type="dxa"/>
            <w:tcBorders>
              <w:top w:val="nil"/>
              <w:left w:val="nil"/>
              <w:bottom w:val="nil"/>
              <w:right w:val="single" w:sz="4" w:space="0" w:color="auto"/>
            </w:tcBorders>
            <w:shd w:val="clear" w:color="auto" w:fill="auto"/>
            <w:vAlign w:val="bottom"/>
          </w:tcPr>
          <w:p w14:paraId="48640822" w14:textId="748D28D4"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3.8</w:t>
            </w:r>
          </w:p>
        </w:tc>
      </w:tr>
      <w:tr w:rsidR="00A11B21" w:rsidRPr="00A11B21" w14:paraId="5273E20B" w14:textId="77777777" w:rsidTr="005958CF">
        <w:trPr>
          <w:trHeight w:val="255"/>
          <w:jc w:val="center"/>
        </w:trPr>
        <w:tc>
          <w:tcPr>
            <w:tcW w:w="1271" w:type="dxa"/>
            <w:tcBorders>
              <w:top w:val="single" w:sz="4" w:space="0" w:color="auto"/>
              <w:left w:val="single" w:sz="4" w:space="0" w:color="auto"/>
              <w:bottom w:val="single" w:sz="4" w:space="0" w:color="auto"/>
              <w:right w:val="single" w:sz="4" w:space="0" w:color="auto"/>
            </w:tcBorders>
            <w:noWrap/>
          </w:tcPr>
          <w:p w14:paraId="41568E3A" w14:textId="77777777" w:rsidR="00A11B21" w:rsidRPr="00A11B21" w:rsidRDefault="00A11B21" w:rsidP="00A11B21">
            <w:pPr>
              <w:tabs>
                <w:tab w:val="left" w:pos="3293"/>
              </w:tabs>
              <w:spacing w:before="60" w:after="60" w:line="240" w:lineRule="auto"/>
              <w:ind w:left="35"/>
              <w:rPr>
                <w:rFonts w:ascii="Calibri" w:eastAsia="Times New Roman" w:hAnsi="Calibri" w:cs="Calibri"/>
                <w:sz w:val="18"/>
                <w:szCs w:val="18"/>
                <w:lang w:val="en-AU"/>
              </w:rPr>
            </w:pPr>
            <w:r w:rsidRPr="00A11B21">
              <w:rPr>
                <w:rFonts w:ascii="Calibri" w:eastAsia="Times New Roman" w:hAnsi="Calibri" w:cs="Calibri"/>
                <w:sz w:val="18"/>
                <w:szCs w:val="18"/>
                <w:lang w:val="en-AU"/>
              </w:rPr>
              <w:t>All products</w:t>
            </w:r>
          </w:p>
        </w:tc>
        <w:tc>
          <w:tcPr>
            <w:tcW w:w="1276" w:type="dxa"/>
            <w:tcBorders>
              <w:top w:val="single" w:sz="4" w:space="0" w:color="auto"/>
              <w:left w:val="single" w:sz="4" w:space="0" w:color="auto"/>
              <w:bottom w:val="single" w:sz="4" w:space="0" w:color="auto"/>
              <w:right w:val="nil"/>
            </w:tcBorders>
            <w:shd w:val="clear" w:color="auto" w:fill="auto"/>
            <w:noWrap/>
            <w:vAlign w:val="bottom"/>
          </w:tcPr>
          <w:p w14:paraId="309B1034" w14:textId="5EA2D7E5"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5037</w:t>
            </w:r>
          </w:p>
        </w:tc>
        <w:tc>
          <w:tcPr>
            <w:tcW w:w="917" w:type="dxa"/>
            <w:tcBorders>
              <w:top w:val="single" w:sz="4" w:space="0" w:color="auto"/>
              <w:left w:val="nil"/>
              <w:bottom w:val="single" w:sz="4" w:space="0" w:color="auto"/>
              <w:right w:val="nil"/>
            </w:tcBorders>
            <w:shd w:val="clear" w:color="auto" w:fill="auto"/>
            <w:noWrap/>
            <w:vAlign w:val="bottom"/>
          </w:tcPr>
          <w:p w14:paraId="47C95928" w14:textId="6C284711"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$1,258</w:t>
            </w:r>
          </w:p>
        </w:tc>
        <w:tc>
          <w:tcPr>
            <w:tcW w:w="1089" w:type="dxa"/>
            <w:tcBorders>
              <w:top w:val="single" w:sz="4" w:space="0" w:color="auto"/>
              <w:left w:val="nil"/>
              <w:bottom w:val="single" w:sz="4" w:space="0" w:color="auto"/>
              <w:right w:val="nil"/>
            </w:tcBorders>
            <w:shd w:val="clear" w:color="auto" w:fill="auto"/>
            <w:noWrap/>
            <w:vAlign w:val="bottom"/>
          </w:tcPr>
          <w:p w14:paraId="126E2B33" w14:textId="5C49BBF3"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$4,058</w:t>
            </w:r>
          </w:p>
        </w:tc>
        <w:tc>
          <w:tcPr>
            <w:tcW w:w="1089" w:type="dxa"/>
            <w:tcBorders>
              <w:top w:val="single" w:sz="4" w:space="0" w:color="auto"/>
              <w:left w:val="nil"/>
              <w:bottom w:val="single" w:sz="4" w:space="0" w:color="auto"/>
              <w:right w:val="nil"/>
            </w:tcBorders>
            <w:shd w:val="clear" w:color="auto" w:fill="auto"/>
            <w:noWrap/>
            <w:vAlign w:val="bottom"/>
          </w:tcPr>
          <w:p w14:paraId="277C0AF0" w14:textId="3AC1C0DE"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$2,800</w:t>
            </w:r>
          </w:p>
        </w:tc>
        <w:tc>
          <w:tcPr>
            <w:tcW w:w="874" w:type="dxa"/>
            <w:tcBorders>
              <w:top w:val="single" w:sz="4" w:space="0" w:color="auto"/>
              <w:left w:val="nil"/>
              <w:bottom w:val="single" w:sz="4" w:space="0" w:color="auto"/>
              <w:right w:val="nil"/>
            </w:tcBorders>
            <w:shd w:val="clear" w:color="auto" w:fill="auto"/>
            <w:vAlign w:val="bottom"/>
          </w:tcPr>
          <w:p w14:paraId="5CBC50A2" w14:textId="3D9C30F5"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F6E4093" w14:textId="557DDD34"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3.2</w:t>
            </w:r>
          </w:p>
        </w:tc>
        <w:tc>
          <w:tcPr>
            <w:tcW w:w="786" w:type="dxa"/>
            <w:tcBorders>
              <w:top w:val="single" w:sz="4" w:space="0" w:color="auto"/>
              <w:left w:val="nil"/>
              <w:bottom w:val="single" w:sz="4" w:space="0" w:color="auto"/>
              <w:right w:val="nil"/>
            </w:tcBorders>
            <w:shd w:val="clear" w:color="auto" w:fill="auto"/>
            <w:vAlign w:val="bottom"/>
          </w:tcPr>
          <w:p w14:paraId="03B02C8F" w14:textId="45942B23" w:rsidR="00A11B21" w:rsidRPr="00A11B21" w:rsidRDefault="00A11B21" w:rsidP="00A11B21">
            <w:pPr>
              <w:tabs>
                <w:tab w:val="left" w:pos="3293"/>
              </w:tabs>
              <w:spacing w:before="60" w:after="60" w:line="240" w:lineRule="auto"/>
              <w:ind w:left="35"/>
              <w:jc w:val="right"/>
              <w:rPr>
                <w:rFonts w:ascii="Calibri" w:eastAsia="Times New Roman" w:hAnsi="Calibri" w:cs="Calibri"/>
                <w:sz w:val="18"/>
                <w:szCs w:val="18"/>
                <w:lang w:val="en-AU"/>
              </w:rPr>
            </w:pPr>
            <w:r w:rsidRPr="00A11B21">
              <w:rPr>
                <w:rFonts w:ascii="Calibri" w:hAnsi="Calibri" w:cs="Calibri"/>
                <w:color w:val="000000"/>
                <w:sz w:val="18"/>
                <w:szCs w:val="18"/>
              </w:rPr>
              <w:t>$3,469</w:t>
            </w:r>
          </w:p>
        </w:tc>
        <w:tc>
          <w:tcPr>
            <w:tcW w:w="640" w:type="dxa"/>
            <w:tcBorders>
              <w:top w:val="single" w:sz="4" w:space="0" w:color="auto"/>
              <w:left w:val="nil"/>
              <w:bottom w:val="single" w:sz="4" w:space="0" w:color="auto"/>
              <w:right w:val="single" w:sz="4" w:space="0" w:color="auto"/>
            </w:tcBorders>
            <w:shd w:val="clear" w:color="auto" w:fill="auto"/>
            <w:vAlign w:val="bottom"/>
          </w:tcPr>
          <w:p w14:paraId="18AA25AB" w14:textId="2FAB7DD6" w:rsidR="00A11B21" w:rsidRPr="00A11B21" w:rsidRDefault="00A11B21" w:rsidP="00A11B21">
            <w:pPr>
              <w:tabs>
                <w:tab w:val="left" w:pos="3293"/>
              </w:tabs>
              <w:spacing w:before="60" w:after="60" w:line="240" w:lineRule="auto"/>
              <w:ind w:left="35"/>
              <w:jc w:val="center"/>
              <w:rPr>
                <w:rFonts w:ascii="Calibri" w:eastAsia="Times New Roman" w:hAnsi="Calibri" w:cs="Calibri"/>
                <w:sz w:val="18"/>
                <w:szCs w:val="18"/>
                <w:lang w:val="en-AU"/>
              </w:rPr>
            </w:pPr>
            <w:r w:rsidRPr="00A11B21">
              <w:rPr>
                <w:rFonts w:ascii="Calibri" w:hAnsi="Calibri" w:cs="Calibri"/>
                <w:color w:val="000000"/>
                <w:sz w:val="18"/>
                <w:szCs w:val="18"/>
              </w:rPr>
              <w:t>2.8</w:t>
            </w:r>
          </w:p>
        </w:tc>
      </w:tr>
    </w:tbl>
    <w:p w14:paraId="42B3A06E" w14:textId="1BB7DC60"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7% discount rate for costs and benefits 202</w:t>
      </w:r>
      <w:r w:rsidR="007254CA">
        <w:rPr>
          <w:rFonts w:ascii="Calibri" w:eastAsia="Cambria" w:hAnsi="Calibri" w:cs="Calibri"/>
          <w:sz w:val="16"/>
          <w:szCs w:val="24"/>
          <w:lang w:val="en-AU"/>
        </w:rPr>
        <w:t>0</w:t>
      </w:r>
      <w:r w:rsidRPr="00A37634">
        <w:rPr>
          <w:rFonts w:ascii="Calibri" w:eastAsia="Cambria" w:hAnsi="Calibri" w:cs="Calibri"/>
          <w:sz w:val="16"/>
          <w:szCs w:val="24"/>
          <w:lang w:val="en-AU"/>
        </w:rPr>
        <w:t>-203</w:t>
      </w:r>
      <w:r w:rsidR="007254CA">
        <w:rPr>
          <w:rFonts w:ascii="Calibri" w:eastAsia="Cambria" w:hAnsi="Calibri" w:cs="Calibri"/>
          <w:sz w:val="16"/>
          <w:szCs w:val="24"/>
          <w:lang w:val="en-AU"/>
        </w:rPr>
        <w:t>6</w:t>
      </w:r>
      <w:r w:rsidRPr="00A37634">
        <w:rPr>
          <w:rFonts w:ascii="Calibri" w:eastAsia="Cambria" w:hAnsi="Calibri" w:cs="Calibri"/>
          <w:sz w:val="16"/>
          <w:szCs w:val="24"/>
          <w:lang w:val="en-AU"/>
        </w:rPr>
        <w:t xml:space="preserve"> </w:t>
      </w:r>
    </w:p>
    <w:p w14:paraId="12A814B0" w14:textId="77777777" w:rsidR="003221FC" w:rsidRDefault="003221FC">
      <w:pPr>
        <w:rPr>
          <w:rFonts w:ascii="Calibri" w:eastAsia="Cambria" w:hAnsi="Calibri" w:cs="Calibri"/>
          <w:b/>
          <w:bCs/>
          <w:sz w:val="20"/>
          <w:szCs w:val="16"/>
          <w:lang w:val="en-AU"/>
        </w:rPr>
      </w:pPr>
      <w:bookmarkStart w:id="116" w:name="_Ref14778904"/>
      <w:bookmarkEnd w:id="107"/>
      <w:r>
        <w:rPr>
          <w:rFonts w:ascii="Calibri" w:eastAsia="Cambria" w:hAnsi="Calibri" w:cs="Calibri"/>
          <w:b/>
          <w:bCs/>
          <w:sz w:val="20"/>
          <w:szCs w:val="16"/>
          <w:lang w:val="en-AU"/>
        </w:rPr>
        <w:br w:type="page"/>
      </w:r>
    </w:p>
    <w:p w14:paraId="001E6D0A" w14:textId="5ABC27E7"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17" w:name="_Ref22134262"/>
      <w:bookmarkStart w:id="118" w:name="_Toc22486960"/>
      <w:r w:rsidRPr="00A37634">
        <w:rPr>
          <w:rFonts w:ascii="Calibri" w:eastAsia="Cambria" w:hAnsi="Calibri" w:cs="Calibri"/>
          <w:b/>
          <w:bCs/>
          <w:sz w:val="20"/>
          <w:szCs w:val="16"/>
          <w:lang w:val="en-AU"/>
        </w:rPr>
        <w:lastRenderedPageBreak/>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16</w:t>
      </w:r>
      <w:r w:rsidRPr="00A37634">
        <w:rPr>
          <w:rFonts w:ascii="Calibri" w:eastAsia="Cambria" w:hAnsi="Calibri" w:cs="Calibri"/>
          <w:b/>
          <w:bCs/>
          <w:noProof/>
          <w:sz w:val="20"/>
          <w:szCs w:val="16"/>
          <w:lang w:val="en-AU"/>
        </w:rPr>
        <w:fldChar w:fldCharType="end"/>
      </w:r>
      <w:bookmarkEnd w:id="116"/>
      <w:bookmarkEnd w:id="117"/>
      <w:r w:rsidRPr="00A37634">
        <w:rPr>
          <w:rFonts w:ascii="Calibri" w:eastAsia="Cambria" w:hAnsi="Calibri" w:cs="Calibri"/>
          <w:b/>
          <w:bCs/>
          <w:sz w:val="20"/>
          <w:szCs w:val="16"/>
          <w:lang w:val="en-AU"/>
        </w:rPr>
        <w:t>. Projected costs and benefits by appliance, New Zealand (low activation)</w:t>
      </w:r>
      <w:bookmarkEnd w:id="118"/>
    </w:p>
    <w:tbl>
      <w:tblPr>
        <w:tblW w:w="8651" w:type="dxa"/>
        <w:jc w:val="center"/>
        <w:tblLayout w:type="fixed"/>
        <w:tblCellMar>
          <w:left w:w="0" w:type="dxa"/>
          <w:right w:w="0" w:type="dxa"/>
        </w:tblCellMar>
        <w:tblLook w:val="0000" w:firstRow="0" w:lastRow="0" w:firstColumn="0" w:lastColumn="0" w:noHBand="0" w:noVBand="0"/>
      </w:tblPr>
      <w:tblGrid>
        <w:gridCol w:w="1271"/>
        <w:gridCol w:w="1276"/>
        <w:gridCol w:w="917"/>
        <w:gridCol w:w="1089"/>
        <w:gridCol w:w="1089"/>
        <w:gridCol w:w="874"/>
        <w:gridCol w:w="709"/>
        <w:gridCol w:w="786"/>
        <w:gridCol w:w="640"/>
      </w:tblGrid>
      <w:tr w:rsidR="002B3B3D" w:rsidRPr="007254CA" w14:paraId="2FB4C8AE" w14:textId="77777777" w:rsidTr="005958CF">
        <w:trPr>
          <w:cantSplit/>
          <w:trHeight w:val="533"/>
          <w:tblHeader/>
          <w:jc w:val="center"/>
        </w:trPr>
        <w:tc>
          <w:tcPr>
            <w:tcW w:w="1271" w:type="dxa"/>
            <w:vMerge w:val="restart"/>
            <w:tcBorders>
              <w:top w:val="single" w:sz="4" w:space="0" w:color="auto"/>
              <w:left w:val="single" w:sz="4" w:space="0" w:color="auto"/>
              <w:bottom w:val="single" w:sz="4" w:space="0" w:color="auto"/>
              <w:right w:val="single" w:sz="4" w:space="0" w:color="auto"/>
            </w:tcBorders>
            <w:noWrap/>
          </w:tcPr>
          <w:p w14:paraId="3692B13D"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p>
        </w:tc>
        <w:tc>
          <w:tcPr>
            <w:tcW w:w="1276" w:type="dxa"/>
            <w:vMerge w:val="restart"/>
            <w:tcBorders>
              <w:top w:val="single" w:sz="4" w:space="0" w:color="auto"/>
              <w:left w:val="single" w:sz="4" w:space="0" w:color="auto"/>
              <w:bottom w:val="single" w:sz="4" w:space="0" w:color="auto"/>
            </w:tcBorders>
            <w:noWrap/>
          </w:tcPr>
          <w:p w14:paraId="34A63053"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Routine DLC Reduction available SMD 2036, MWe (a)</w:t>
            </w:r>
          </w:p>
        </w:tc>
        <w:tc>
          <w:tcPr>
            <w:tcW w:w="917" w:type="dxa"/>
            <w:vMerge w:val="restart"/>
            <w:tcBorders>
              <w:top w:val="single" w:sz="4" w:space="0" w:color="auto"/>
              <w:bottom w:val="single" w:sz="4" w:space="0" w:color="auto"/>
            </w:tcBorders>
            <w:noWrap/>
          </w:tcPr>
          <w:p w14:paraId="6698BEB6"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Costs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0CD92ECD"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02E52A6B"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2C990A56"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062E5951"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Net</w:t>
            </w:r>
            <w:r w:rsidRPr="007254CA">
              <w:rPr>
                <w:rFonts w:ascii="Calibri" w:eastAsia="Times New Roman" w:hAnsi="Calibri" w:cs="Calibri"/>
                <w:bCs/>
                <w:sz w:val="18"/>
                <w:szCs w:val="18"/>
                <w:lang w:val="en-AU"/>
              </w:rPr>
              <w:b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tc>
        <w:tc>
          <w:tcPr>
            <w:tcW w:w="874" w:type="dxa"/>
            <w:vMerge w:val="restart"/>
            <w:tcBorders>
              <w:top w:val="single" w:sz="4" w:space="0" w:color="auto"/>
              <w:bottom w:val="single" w:sz="4" w:space="0" w:color="auto"/>
            </w:tcBorders>
          </w:tcPr>
          <w:p w14:paraId="3B253B43" w14:textId="77777777" w:rsidR="002B3B3D" w:rsidRPr="007254CA" w:rsidRDefault="002B3B3D"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 net </w:t>
            </w:r>
            <w:r w:rsidRPr="007254CA">
              <w:rPr>
                <w:rFonts w:ascii="Calibri" w:eastAsia="Times New Roman" w:hAnsi="Calibri" w:cs="Calibri"/>
                <w:bCs/>
                <w:sz w:val="18"/>
                <w:szCs w:val="18"/>
                <w:lang w:val="en-AU"/>
              </w:rPr>
              <w:br/>
              <w:t>national</w:t>
            </w:r>
            <w:r w:rsidRPr="007254CA">
              <w:rPr>
                <w:rFonts w:ascii="Calibri" w:eastAsia="Times New Roman" w:hAnsi="Calibri" w:cs="Calibri"/>
                <w:bCs/>
                <w:sz w:val="18"/>
                <w:szCs w:val="18"/>
                <w:lang w:val="en-AU"/>
              </w:rPr>
              <w:br/>
              <w:t>benefits</w:t>
            </w:r>
          </w:p>
        </w:tc>
        <w:tc>
          <w:tcPr>
            <w:tcW w:w="709" w:type="dxa"/>
            <w:vMerge w:val="restart"/>
            <w:tcBorders>
              <w:top w:val="single" w:sz="4" w:space="0" w:color="auto"/>
              <w:bottom w:val="single" w:sz="4" w:space="0" w:color="auto"/>
              <w:right w:val="single" w:sz="4" w:space="0" w:color="auto"/>
            </w:tcBorders>
            <w:noWrap/>
          </w:tcPr>
          <w:p w14:paraId="1E5F5415"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B/C ratio</w:t>
            </w:r>
          </w:p>
        </w:tc>
        <w:tc>
          <w:tcPr>
            <w:tcW w:w="1426" w:type="dxa"/>
            <w:gridSpan w:val="2"/>
            <w:tcBorders>
              <w:top w:val="single" w:sz="4" w:space="0" w:color="auto"/>
              <w:left w:val="single" w:sz="4" w:space="0" w:color="auto"/>
              <w:bottom w:val="single" w:sz="4" w:space="0" w:color="auto"/>
              <w:right w:val="single" w:sz="4" w:space="0" w:color="auto"/>
            </w:tcBorders>
          </w:tcPr>
          <w:p w14:paraId="4A295BD5" w14:textId="77777777" w:rsidR="002B3B3D" w:rsidRPr="007254CA" w:rsidRDefault="002B3B3D"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Without whole-sale price benefit</w:t>
            </w:r>
          </w:p>
        </w:tc>
      </w:tr>
      <w:tr w:rsidR="002B3B3D" w:rsidRPr="00A37634" w14:paraId="079ED2BC" w14:textId="77777777" w:rsidTr="005958CF">
        <w:trPr>
          <w:cantSplit/>
          <w:trHeight w:val="433"/>
          <w:tblHeader/>
          <w:jc w:val="center"/>
        </w:trPr>
        <w:tc>
          <w:tcPr>
            <w:tcW w:w="1271" w:type="dxa"/>
            <w:vMerge/>
            <w:tcBorders>
              <w:left w:val="single" w:sz="4" w:space="0" w:color="auto"/>
              <w:bottom w:val="single" w:sz="4" w:space="0" w:color="auto"/>
              <w:right w:val="single" w:sz="4" w:space="0" w:color="auto"/>
            </w:tcBorders>
            <w:noWrap/>
          </w:tcPr>
          <w:p w14:paraId="45838DEF" w14:textId="77777777" w:rsidR="002B3B3D" w:rsidRPr="00A37634" w:rsidRDefault="002B3B3D" w:rsidP="005958CF">
            <w:pPr>
              <w:spacing w:before="60" w:after="60" w:line="240" w:lineRule="auto"/>
              <w:jc w:val="center"/>
              <w:rPr>
                <w:rFonts w:ascii="Calibri" w:eastAsia="Arial Unicode MS" w:hAnsi="Calibri" w:cs="Calibri"/>
                <w:b/>
                <w:sz w:val="18"/>
                <w:szCs w:val="18"/>
                <w:lang w:val="en-AU"/>
              </w:rPr>
            </w:pPr>
          </w:p>
        </w:tc>
        <w:tc>
          <w:tcPr>
            <w:tcW w:w="1276" w:type="dxa"/>
            <w:vMerge/>
            <w:tcBorders>
              <w:left w:val="single" w:sz="4" w:space="0" w:color="auto"/>
              <w:bottom w:val="single" w:sz="4" w:space="0" w:color="auto"/>
            </w:tcBorders>
            <w:noWrap/>
          </w:tcPr>
          <w:p w14:paraId="62E8D1AE"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917" w:type="dxa"/>
            <w:vMerge/>
            <w:tcBorders>
              <w:bottom w:val="single" w:sz="4" w:space="0" w:color="auto"/>
            </w:tcBorders>
            <w:noWrap/>
          </w:tcPr>
          <w:p w14:paraId="18C0E178"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3A968998"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3C294D42"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874" w:type="dxa"/>
            <w:vMerge/>
            <w:tcBorders>
              <w:bottom w:val="single" w:sz="4" w:space="0" w:color="auto"/>
            </w:tcBorders>
          </w:tcPr>
          <w:p w14:paraId="1785A9EE"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709" w:type="dxa"/>
            <w:vMerge/>
            <w:tcBorders>
              <w:bottom w:val="single" w:sz="4" w:space="0" w:color="auto"/>
              <w:right w:val="single" w:sz="4" w:space="0" w:color="auto"/>
            </w:tcBorders>
            <w:noWrap/>
          </w:tcPr>
          <w:p w14:paraId="7DD4D7D7"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786" w:type="dxa"/>
            <w:tcBorders>
              <w:top w:val="single" w:sz="4" w:space="0" w:color="auto"/>
              <w:left w:val="single" w:sz="4" w:space="0" w:color="auto"/>
              <w:bottom w:val="single" w:sz="4" w:space="0" w:color="auto"/>
            </w:tcBorders>
          </w:tcPr>
          <w:p w14:paraId="69693EC6" w14:textId="77777777" w:rsidR="002B3B3D" w:rsidRPr="007254CA" w:rsidRDefault="002B3B3D"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$M Net</w:t>
            </w:r>
            <w:r w:rsidRPr="007254CA">
              <w:rPr>
                <w:rFonts w:ascii="Calibri" w:eastAsia="Times New Roman" w:hAnsi="Calibri" w:cs="Calibri"/>
                <w:bCs/>
                <w:sz w:val="18"/>
                <w:szCs w:val="18"/>
                <w:lang w:val="en-AU"/>
              </w:rPr>
              <w:br/>
              <w:t>benefit</w:t>
            </w:r>
          </w:p>
        </w:tc>
        <w:tc>
          <w:tcPr>
            <w:tcW w:w="640" w:type="dxa"/>
            <w:tcBorders>
              <w:top w:val="single" w:sz="4" w:space="0" w:color="auto"/>
              <w:bottom w:val="single" w:sz="4" w:space="0" w:color="auto"/>
              <w:right w:val="single" w:sz="4" w:space="0" w:color="auto"/>
            </w:tcBorders>
          </w:tcPr>
          <w:p w14:paraId="059A32E3" w14:textId="77777777" w:rsidR="002B3B3D" w:rsidRPr="007254CA" w:rsidRDefault="002B3B3D"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B/C ratio</w:t>
            </w:r>
          </w:p>
        </w:tc>
      </w:tr>
      <w:tr w:rsidR="002B3B3D" w:rsidRPr="002B3B3D" w14:paraId="36DA3F70" w14:textId="77777777" w:rsidTr="005958CF">
        <w:trPr>
          <w:trHeight w:val="255"/>
          <w:jc w:val="center"/>
        </w:trPr>
        <w:tc>
          <w:tcPr>
            <w:tcW w:w="1271" w:type="dxa"/>
            <w:tcBorders>
              <w:top w:val="single" w:sz="4" w:space="0" w:color="auto"/>
              <w:left w:val="single" w:sz="4" w:space="0" w:color="auto"/>
              <w:bottom w:val="nil"/>
              <w:right w:val="single" w:sz="4" w:space="0" w:color="auto"/>
            </w:tcBorders>
            <w:noWrap/>
          </w:tcPr>
          <w:p w14:paraId="73072679"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Air Conds</w:t>
            </w:r>
          </w:p>
        </w:tc>
        <w:tc>
          <w:tcPr>
            <w:tcW w:w="1276" w:type="dxa"/>
            <w:tcBorders>
              <w:top w:val="nil"/>
              <w:left w:val="single" w:sz="4" w:space="0" w:color="auto"/>
              <w:bottom w:val="nil"/>
              <w:right w:val="nil"/>
            </w:tcBorders>
            <w:shd w:val="clear" w:color="auto" w:fill="auto"/>
            <w:noWrap/>
            <w:vAlign w:val="bottom"/>
          </w:tcPr>
          <w:p w14:paraId="745BE84A" w14:textId="793DAC41"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173</w:t>
            </w:r>
          </w:p>
        </w:tc>
        <w:tc>
          <w:tcPr>
            <w:tcW w:w="917" w:type="dxa"/>
            <w:tcBorders>
              <w:top w:val="nil"/>
              <w:left w:val="nil"/>
              <w:bottom w:val="nil"/>
              <w:right w:val="nil"/>
            </w:tcBorders>
            <w:shd w:val="clear" w:color="auto" w:fill="auto"/>
            <w:noWrap/>
            <w:vAlign w:val="bottom"/>
          </w:tcPr>
          <w:p w14:paraId="04EB544D" w14:textId="5C91FEF4"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$46</w:t>
            </w:r>
          </w:p>
        </w:tc>
        <w:tc>
          <w:tcPr>
            <w:tcW w:w="1089" w:type="dxa"/>
            <w:tcBorders>
              <w:top w:val="nil"/>
              <w:left w:val="nil"/>
              <w:bottom w:val="nil"/>
              <w:right w:val="nil"/>
            </w:tcBorders>
            <w:shd w:val="clear" w:color="auto" w:fill="auto"/>
            <w:noWrap/>
            <w:vAlign w:val="bottom"/>
          </w:tcPr>
          <w:p w14:paraId="530DB35C" w14:textId="4AC4528E"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$118</w:t>
            </w:r>
          </w:p>
        </w:tc>
        <w:tc>
          <w:tcPr>
            <w:tcW w:w="1089" w:type="dxa"/>
            <w:tcBorders>
              <w:top w:val="nil"/>
              <w:left w:val="nil"/>
              <w:bottom w:val="nil"/>
              <w:right w:val="nil"/>
            </w:tcBorders>
            <w:shd w:val="clear" w:color="auto" w:fill="auto"/>
            <w:noWrap/>
            <w:vAlign w:val="bottom"/>
          </w:tcPr>
          <w:p w14:paraId="4FA6C2C3" w14:textId="5906728E"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$73</w:t>
            </w:r>
          </w:p>
        </w:tc>
        <w:tc>
          <w:tcPr>
            <w:tcW w:w="874" w:type="dxa"/>
            <w:tcBorders>
              <w:top w:val="nil"/>
              <w:left w:val="nil"/>
              <w:bottom w:val="nil"/>
              <w:right w:val="nil"/>
            </w:tcBorders>
            <w:shd w:val="clear" w:color="auto" w:fill="auto"/>
            <w:vAlign w:val="bottom"/>
          </w:tcPr>
          <w:p w14:paraId="4B8A93B9" w14:textId="3EBF3977"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35.9%</w:t>
            </w:r>
          </w:p>
        </w:tc>
        <w:tc>
          <w:tcPr>
            <w:tcW w:w="709" w:type="dxa"/>
            <w:tcBorders>
              <w:top w:val="nil"/>
              <w:left w:val="nil"/>
              <w:bottom w:val="nil"/>
              <w:right w:val="single" w:sz="4" w:space="0" w:color="auto"/>
            </w:tcBorders>
            <w:shd w:val="clear" w:color="auto" w:fill="auto"/>
            <w:noWrap/>
            <w:vAlign w:val="bottom"/>
          </w:tcPr>
          <w:p w14:paraId="1E51F4BB" w14:textId="7D7020CD"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2.6</w:t>
            </w:r>
          </w:p>
        </w:tc>
        <w:tc>
          <w:tcPr>
            <w:tcW w:w="786" w:type="dxa"/>
            <w:tcBorders>
              <w:top w:val="nil"/>
              <w:left w:val="nil"/>
              <w:bottom w:val="nil"/>
              <w:right w:val="nil"/>
            </w:tcBorders>
            <w:shd w:val="clear" w:color="auto" w:fill="auto"/>
            <w:vAlign w:val="bottom"/>
          </w:tcPr>
          <w:p w14:paraId="49265937" w14:textId="69A64314"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$73</w:t>
            </w:r>
          </w:p>
        </w:tc>
        <w:tc>
          <w:tcPr>
            <w:tcW w:w="640" w:type="dxa"/>
            <w:tcBorders>
              <w:top w:val="nil"/>
              <w:left w:val="nil"/>
              <w:bottom w:val="nil"/>
              <w:right w:val="single" w:sz="4" w:space="0" w:color="auto"/>
            </w:tcBorders>
            <w:shd w:val="clear" w:color="auto" w:fill="auto"/>
            <w:vAlign w:val="bottom"/>
          </w:tcPr>
          <w:p w14:paraId="5F395E0F" w14:textId="7A75BDD2"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2.6</w:t>
            </w:r>
          </w:p>
        </w:tc>
      </w:tr>
      <w:tr w:rsidR="002B3B3D" w:rsidRPr="002B3B3D" w14:paraId="19A0DD21" w14:textId="77777777" w:rsidTr="005958CF">
        <w:trPr>
          <w:trHeight w:val="255"/>
          <w:jc w:val="center"/>
        </w:trPr>
        <w:tc>
          <w:tcPr>
            <w:tcW w:w="1271" w:type="dxa"/>
            <w:tcBorders>
              <w:top w:val="nil"/>
              <w:left w:val="single" w:sz="4" w:space="0" w:color="auto"/>
              <w:bottom w:val="nil"/>
              <w:right w:val="single" w:sz="4" w:space="0" w:color="auto"/>
            </w:tcBorders>
            <w:noWrap/>
          </w:tcPr>
          <w:p w14:paraId="6DC08B4B"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PP Controllers</w:t>
            </w:r>
          </w:p>
        </w:tc>
        <w:tc>
          <w:tcPr>
            <w:tcW w:w="1276" w:type="dxa"/>
            <w:tcBorders>
              <w:top w:val="nil"/>
              <w:left w:val="single" w:sz="4" w:space="0" w:color="auto"/>
              <w:bottom w:val="nil"/>
              <w:right w:val="nil"/>
            </w:tcBorders>
            <w:shd w:val="clear" w:color="auto" w:fill="auto"/>
            <w:noWrap/>
            <w:vAlign w:val="bottom"/>
          </w:tcPr>
          <w:p w14:paraId="0EACB3C3" w14:textId="2BAB8325"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Pr>
                <w:rFonts w:ascii="Calibri" w:hAnsi="Calibri" w:cs="Calibri"/>
                <w:color w:val="000000"/>
                <w:sz w:val="18"/>
                <w:szCs w:val="18"/>
              </w:rPr>
              <w:t>NA</w:t>
            </w:r>
          </w:p>
        </w:tc>
        <w:tc>
          <w:tcPr>
            <w:tcW w:w="917" w:type="dxa"/>
            <w:tcBorders>
              <w:top w:val="nil"/>
              <w:left w:val="nil"/>
              <w:bottom w:val="nil"/>
              <w:right w:val="nil"/>
            </w:tcBorders>
            <w:shd w:val="clear" w:color="auto" w:fill="auto"/>
            <w:noWrap/>
            <w:vAlign w:val="bottom"/>
          </w:tcPr>
          <w:p w14:paraId="1278E887" w14:textId="4DAD1B4D"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1089" w:type="dxa"/>
            <w:tcBorders>
              <w:top w:val="nil"/>
              <w:left w:val="nil"/>
              <w:bottom w:val="nil"/>
              <w:right w:val="nil"/>
            </w:tcBorders>
            <w:shd w:val="clear" w:color="auto" w:fill="auto"/>
            <w:noWrap/>
            <w:vAlign w:val="bottom"/>
          </w:tcPr>
          <w:p w14:paraId="437D4EB8" w14:textId="7F17B84D"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1089" w:type="dxa"/>
            <w:tcBorders>
              <w:top w:val="nil"/>
              <w:left w:val="nil"/>
              <w:bottom w:val="nil"/>
              <w:right w:val="nil"/>
            </w:tcBorders>
            <w:shd w:val="clear" w:color="auto" w:fill="auto"/>
            <w:noWrap/>
            <w:vAlign w:val="bottom"/>
          </w:tcPr>
          <w:p w14:paraId="3941D437" w14:textId="2CE85EF9"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874" w:type="dxa"/>
            <w:tcBorders>
              <w:top w:val="nil"/>
              <w:left w:val="nil"/>
              <w:bottom w:val="nil"/>
              <w:right w:val="nil"/>
            </w:tcBorders>
            <w:shd w:val="clear" w:color="auto" w:fill="auto"/>
            <w:vAlign w:val="bottom"/>
          </w:tcPr>
          <w:p w14:paraId="2D7726FC" w14:textId="6000A9CE"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709" w:type="dxa"/>
            <w:tcBorders>
              <w:top w:val="nil"/>
              <w:left w:val="nil"/>
              <w:bottom w:val="nil"/>
              <w:right w:val="single" w:sz="4" w:space="0" w:color="auto"/>
            </w:tcBorders>
            <w:shd w:val="clear" w:color="auto" w:fill="auto"/>
            <w:noWrap/>
            <w:vAlign w:val="bottom"/>
          </w:tcPr>
          <w:p w14:paraId="4F1F65B1" w14:textId="46F6FED4"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c>
          <w:tcPr>
            <w:tcW w:w="786" w:type="dxa"/>
            <w:tcBorders>
              <w:top w:val="nil"/>
              <w:left w:val="nil"/>
              <w:bottom w:val="nil"/>
              <w:right w:val="nil"/>
            </w:tcBorders>
            <w:shd w:val="clear" w:color="auto" w:fill="auto"/>
            <w:vAlign w:val="bottom"/>
          </w:tcPr>
          <w:p w14:paraId="028D1078" w14:textId="1A699356"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c>
          <w:tcPr>
            <w:tcW w:w="640" w:type="dxa"/>
            <w:tcBorders>
              <w:top w:val="nil"/>
              <w:left w:val="nil"/>
              <w:bottom w:val="nil"/>
              <w:right w:val="single" w:sz="4" w:space="0" w:color="auto"/>
            </w:tcBorders>
            <w:shd w:val="clear" w:color="auto" w:fill="auto"/>
            <w:vAlign w:val="bottom"/>
          </w:tcPr>
          <w:p w14:paraId="78BD84E9" w14:textId="4A2732CB"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r>
      <w:tr w:rsidR="002B3B3D" w:rsidRPr="002B3B3D" w14:paraId="21D3B021" w14:textId="77777777" w:rsidTr="005958CF">
        <w:trPr>
          <w:trHeight w:val="255"/>
          <w:jc w:val="center"/>
        </w:trPr>
        <w:tc>
          <w:tcPr>
            <w:tcW w:w="1271" w:type="dxa"/>
            <w:tcBorders>
              <w:top w:val="nil"/>
              <w:left w:val="single" w:sz="4" w:space="0" w:color="auto"/>
              <w:bottom w:val="nil"/>
              <w:right w:val="single" w:sz="4" w:space="0" w:color="auto"/>
            </w:tcBorders>
            <w:noWrap/>
          </w:tcPr>
          <w:p w14:paraId="4B4FF68E"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Water heaters</w:t>
            </w:r>
          </w:p>
        </w:tc>
        <w:tc>
          <w:tcPr>
            <w:tcW w:w="1276" w:type="dxa"/>
            <w:tcBorders>
              <w:top w:val="nil"/>
              <w:left w:val="single" w:sz="4" w:space="0" w:color="auto"/>
              <w:bottom w:val="nil"/>
              <w:right w:val="nil"/>
            </w:tcBorders>
            <w:shd w:val="clear" w:color="auto" w:fill="auto"/>
            <w:noWrap/>
            <w:vAlign w:val="bottom"/>
          </w:tcPr>
          <w:p w14:paraId="55B28EEF" w14:textId="4D5709F9"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53</w:t>
            </w:r>
          </w:p>
        </w:tc>
        <w:tc>
          <w:tcPr>
            <w:tcW w:w="917" w:type="dxa"/>
            <w:tcBorders>
              <w:top w:val="nil"/>
              <w:left w:val="nil"/>
              <w:bottom w:val="nil"/>
              <w:right w:val="nil"/>
            </w:tcBorders>
            <w:shd w:val="clear" w:color="auto" w:fill="auto"/>
            <w:noWrap/>
            <w:vAlign w:val="bottom"/>
          </w:tcPr>
          <w:p w14:paraId="3E224F80" w14:textId="21BC1A72"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$61</w:t>
            </w:r>
          </w:p>
        </w:tc>
        <w:tc>
          <w:tcPr>
            <w:tcW w:w="1089" w:type="dxa"/>
            <w:tcBorders>
              <w:top w:val="nil"/>
              <w:left w:val="nil"/>
              <w:bottom w:val="nil"/>
              <w:right w:val="nil"/>
            </w:tcBorders>
            <w:shd w:val="clear" w:color="auto" w:fill="auto"/>
            <w:noWrap/>
            <w:vAlign w:val="bottom"/>
          </w:tcPr>
          <w:p w14:paraId="4550B1D3" w14:textId="256A4DC8"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$112</w:t>
            </w:r>
          </w:p>
        </w:tc>
        <w:tc>
          <w:tcPr>
            <w:tcW w:w="1089" w:type="dxa"/>
            <w:tcBorders>
              <w:top w:val="nil"/>
              <w:left w:val="nil"/>
              <w:bottom w:val="nil"/>
              <w:right w:val="nil"/>
            </w:tcBorders>
            <w:shd w:val="clear" w:color="auto" w:fill="auto"/>
            <w:noWrap/>
            <w:vAlign w:val="bottom"/>
          </w:tcPr>
          <w:p w14:paraId="43C2BAB4" w14:textId="2212C55B"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$51</w:t>
            </w:r>
          </w:p>
        </w:tc>
        <w:tc>
          <w:tcPr>
            <w:tcW w:w="874" w:type="dxa"/>
            <w:tcBorders>
              <w:top w:val="nil"/>
              <w:left w:val="nil"/>
              <w:bottom w:val="nil"/>
              <w:right w:val="nil"/>
            </w:tcBorders>
            <w:shd w:val="clear" w:color="auto" w:fill="auto"/>
            <w:vAlign w:val="bottom"/>
          </w:tcPr>
          <w:p w14:paraId="20815712" w14:textId="75FFE948"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25.3%</w:t>
            </w:r>
          </w:p>
        </w:tc>
        <w:tc>
          <w:tcPr>
            <w:tcW w:w="709" w:type="dxa"/>
            <w:tcBorders>
              <w:top w:val="nil"/>
              <w:left w:val="nil"/>
              <w:bottom w:val="nil"/>
              <w:right w:val="single" w:sz="4" w:space="0" w:color="auto"/>
            </w:tcBorders>
            <w:shd w:val="clear" w:color="auto" w:fill="auto"/>
            <w:noWrap/>
            <w:vAlign w:val="bottom"/>
          </w:tcPr>
          <w:p w14:paraId="1CF6128D" w14:textId="636693EE"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1.8</w:t>
            </w:r>
          </w:p>
        </w:tc>
        <w:tc>
          <w:tcPr>
            <w:tcW w:w="786" w:type="dxa"/>
            <w:tcBorders>
              <w:top w:val="nil"/>
              <w:left w:val="nil"/>
              <w:bottom w:val="nil"/>
              <w:right w:val="nil"/>
            </w:tcBorders>
            <w:shd w:val="clear" w:color="auto" w:fill="auto"/>
            <w:vAlign w:val="bottom"/>
          </w:tcPr>
          <w:p w14:paraId="273269DD" w14:textId="3C4C4EC4"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$48</w:t>
            </w:r>
          </w:p>
        </w:tc>
        <w:tc>
          <w:tcPr>
            <w:tcW w:w="640" w:type="dxa"/>
            <w:tcBorders>
              <w:top w:val="nil"/>
              <w:left w:val="nil"/>
              <w:bottom w:val="nil"/>
              <w:right w:val="single" w:sz="4" w:space="0" w:color="auto"/>
            </w:tcBorders>
            <w:shd w:val="clear" w:color="auto" w:fill="auto"/>
            <w:vAlign w:val="bottom"/>
          </w:tcPr>
          <w:p w14:paraId="5414176E" w14:textId="5EF4BE9C"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1.8</w:t>
            </w:r>
          </w:p>
        </w:tc>
      </w:tr>
      <w:tr w:rsidR="002B3B3D" w:rsidRPr="002B3B3D" w14:paraId="513344DD" w14:textId="77777777" w:rsidTr="002B3B3D">
        <w:trPr>
          <w:trHeight w:val="255"/>
          <w:jc w:val="center"/>
        </w:trPr>
        <w:tc>
          <w:tcPr>
            <w:tcW w:w="1271" w:type="dxa"/>
            <w:tcBorders>
              <w:top w:val="nil"/>
              <w:left w:val="single" w:sz="4" w:space="0" w:color="auto"/>
              <w:bottom w:val="nil"/>
              <w:right w:val="single" w:sz="4" w:space="0" w:color="auto"/>
            </w:tcBorders>
            <w:noWrap/>
          </w:tcPr>
          <w:p w14:paraId="51189B4F"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EV chargers</w:t>
            </w:r>
          </w:p>
        </w:tc>
        <w:tc>
          <w:tcPr>
            <w:tcW w:w="1276" w:type="dxa"/>
            <w:tcBorders>
              <w:top w:val="nil"/>
              <w:left w:val="single" w:sz="4" w:space="0" w:color="auto"/>
              <w:bottom w:val="nil"/>
              <w:right w:val="nil"/>
            </w:tcBorders>
            <w:shd w:val="clear" w:color="auto" w:fill="auto"/>
            <w:noWrap/>
            <w:vAlign w:val="bottom"/>
          </w:tcPr>
          <w:p w14:paraId="380AFDD1" w14:textId="257A16F4"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42</w:t>
            </w:r>
          </w:p>
        </w:tc>
        <w:tc>
          <w:tcPr>
            <w:tcW w:w="917" w:type="dxa"/>
            <w:tcBorders>
              <w:top w:val="nil"/>
              <w:left w:val="nil"/>
              <w:bottom w:val="nil"/>
              <w:right w:val="nil"/>
            </w:tcBorders>
            <w:shd w:val="clear" w:color="auto" w:fill="auto"/>
            <w:noWrap/>
            <w:vAlign w:val="bottom"/>
          </w:tcPr>
          <w:p w14:paraId="18B805C8" w14:textId="472233CF"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$27</w:t>
            </w:r>
          </w:p>
        </w:tc>
        <w:tc>
          <w:tcPr>
            <w:tcW w:w="1089" w:type="dxa"/>
            <w:tcBorders>
              <w:top w:val="nil"/>
              <w:left w:val="nil"/>
              <w:bottom w:val="nil"/>
              <w:right w:val="nil"/>
            </w:tcBorders>
            <w:shd w:val="clear" w:color="auto" w:fill="auto"/>
            <w:noWrap/>
            <w:vAlign w:val="bottom"/>
          </w:tcPr>
          <w:p w14:paraId="66C28EBD" w14:textId="241219E0"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$105</w:t>
            </w:r>
          </w:p>
        </w:tc>
        <w:tc>
          <w:tcPr>
            <w:tcW w:w="1089" w:type="dxa"/>
            <w:tcBorders>
              <w:top w:val="nil"/>
              <w:left w:val="nil"/>
              <w:bottom w:val="nil"/>
              <w:right w:val="nil"/>
            </w:tcBorders>
            <w:shd w:val="clear" w:color="auto" w:fill="auto"/>
            <w:noWrap/>
            <w:vAlign w:val="bottom"/>
          </w:tcPr>
          <w:p w14:paraId="50EAD4A2" w14:textId="317C3250"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$78</w:t>
            </w:r>
          </w:p>
        </w:tc>
        <w:tc>
          <w:tcPr>
            <w:tcW w:w="874" w:type="dxa"/>
            <w:tcBorders>
              <w:top w:val="nil"/>
              <w:left w:val="nil"/>
              <w:bottom w:val="nil"/>
              <w:right w:val="nil"/>
            </w:tcBorders>
            <w:shd w:val="clear" w:color="auto" w:fill="auto"/>
            <w:vAlign w:val="bottom"/>
          </w:tcPr>
          <w:p w14:paraId="5BEC1AE0" w14:textId="7B1EBE54"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38.8%</w:t>
            </w:r>
          </w:p>
        </w:tc>
        <w:tc>
          <w:tcPr>
            <w:tcW w:w="709" w:type="dxa"/>
            <w:tcBorders>
              <w:top w:val="nil"/>
              <w:left w:val="nil"/>
              <w:bottom w:val="nil"/>
              <w:right w:val="single" w:sz="4" w:space="0" w:color="auto"/>
            </w:tcBorders>
            <w:shd w:val="clear" w:color="auto" w:fill="auto"/>
            <w:noWrap/>
            <w:vAlign w:val="bottom"/>
          </w:tcPr>
          <w:p w14:paraId="0BCFDCEB" w14:textId="607A0112"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3.9</w:t>
            </w:r>
          </w:p>
        </w:tc>
        <w:tc>
          <w:tcPr>
            <w:tcW w:w="786" w:type="dxa"/>
            <w:tcBorders>
              <w:top w:val="nil"/>
              <w:left w:val="nil"/>
              <w:bottom w:val="single" w:sz="4" w:space="0" w:color="auto"/>
              <w:right w:val="nil"/>
            </w:tcBorders>
            <w:shd w:val="clear" w:color="auto" w:fill="auto"/>
            <w:vAlign w:val="bottom"/>
          </w:tcPr>
          <w:p w14:paraId="405AD92B" w14:textId="1B0D252F"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$50</w:t>
            </w:r>
          </w:p>
        </w:tc>
        <w:tc>
          <w:tcPr>
            <w:tcW w:w="640" w:type="dxa"/>
            <w:tcBorders>
              <w:top w:val="nil"/>
              <w:left w:val="nil"/>
              <w:bottom w:val="single" w:sz="4" w:space="0" w:color="auto"/>
              <w:right w:val="single" w:sz="4" w:space="0" w:color="auto"/>
            </w:tcBorders>
            <w:shd w:val="clear" w:color="auto" w:fill="auto"/>
            <w:vAlign w:val="bottom"/>
          </w:tcPr>
          <w:p w14:paraId="784A307E" w14:textId="5AA7B87D"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2.9</w:t>
            </w:r>
          </w:p>
        </w:tc>
      </w:tr>
      <w:tr w:rsidR="002B3B3D" w:rsidRPr="002B3B3D" w14:paraId="6CB56ABF" w14:textId="77777777" w:rsidTr="002B3B3D">
        <w:trPr>
          <w:trHeight w:val="255"/>
          <w:jc w:val="center"/>
        </w:trPr>
        <w:tc>
          <w:tcPr>
            <w:tcW w:w="1271" w:type="dxa"/>
            <w:tcBorders>
              <w:top w:val="single" w:sz="4" w:space="0" w:color="auto"/>
              <w:left w:val="single" w:sz="4" w:space="0" w:color="auto"/>
              <w:bottom w:val="single" w:sz="4" w:space="0" w:color="auto"/>
              <w:right w:val="single" w:sz="4" w:space="0" w:color="auto"/>
            </w:tcBorders>
            <w:noWrap/>
          </w:tcPr>
          <w:p w14:paraId="36E5AC20"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All products</w:t>
            </w:r>
          </w:p>
        </w:tc>
        <w:tc>
          <w:tcPr>
            <w:tcW w:w="1276" w:type="dxa"/>
            <w:tcBorders>
              <w:top w:val="single" w:sz="4" w:space="0" w:color="auto"/>
              <w:left w:val="single" w:sz="4" w:space="0" w:color="auto"/>
              <w:bottom w:val="single" w:sz="4" w:space="0" w:color="auto"/>
              <w:right w:val="nil"/>
            </w:tcBorders>
            <w:shd w:val="clear" w:color="auto" w:fill="auto"/>
            <w:noWrap/>
            <w:vAlign w:val="bottom"/>
          </w:tcPr>
          <w:p w14:paraId="2409194D" w14:textId="51AC0D6A"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268</w:t>
            </w:r>
          </w:p>
        </w:tc>
        <w:tc>
          <w:tcPr>
            <w:tcW w:w="917" w:type="dxa"/>
            <w:tcBorders>
              <w:top w:val="single" w:sz="4" w:space="0" w:color="auto"/>
              <w:left w:val="nil"/>
              <w:bottom w:val="single" w:sz="4" w:space="0" w:color="auto"/>
              <w:right w:val="nil"/>
            </w:tcBorders>
            <w:shd w:val="clear" w:color="auto" w:fill="auto"/>
            <w:noWrap/>
            <w:vAlign w:val="bottom"/>
          </w:tcPr>
          <w:p w14:paraId="0C1C5201" w14:textId="14BC5F7E"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$133</w:t>
            </w:r>
          </w:p>
        </w:tc>
        <w:tc>
          <w:tcPr>
            <w:tcW w:w="1089" w:type="dxa"/>
            <w:tcBorders>
              <w:top w:val="single" w:sz="4" w:space="0" w:color="auto"/>
              <w:left w:val="nil"/>
              <w:bottom w:val="single" w:sz="4" w:space="0" w:color="auto"/>
              <w:right w:val="nil"/>
            </w:tcBorders>
            <w:shd w:val="clear" w:color="auto" w:fill="auto"/>
            <w:noWrap/>
            <w:vAlign w:val="bottom"/>
          </w:tcPr>
          <w:p w14:paraId="3582983A" w14:textId="639F9F6D"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$336</w:t>
            </w:r>
          </w:p>
        </w:tc>
        <w:tc>
          <w:tcPr>
            <w:tcW w:w="1089" w:type="dxa"/>
            <w:tcBorders>
              <w:top w:val="single" w:sz="4" w:space="0" w:color="auto"/>
              <w:left w:val="nil"/>
              <w:bottom w:val="single" w:sz="4" w:space="0" w:color="auto"/>
              <w:right w:val="nil"/>
            </w:tcBorders>
            <w:shd w:val="clear" w:color="auto" w:fill="auto"/>
            <w:noWrap/>
            <w:vAlign w:val="bottom"/>
          </w:tcPr>
          <w:p w14:paraId="6E16B4D2" w14:textId="7C5CD95D"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$202</w:t>
            </w:r>
          </w:p>
        </w:tc>
        <w:tc>
          <w:tcPr>
            <w:tcW w:w="874" w:type="dxa"/>
            <w:tcBorders>
              <w:top w:val="single" w:sz="4" w:space="0" w:color="auto"/>
              <w:left w:val="nil"/>
              <w:bottom w:val="single" w:sz="4" w:space="0" w:color="auto"/>
              <w:right w:val="nil"/>
            </w:tcBorders>
            <w:shd w:val="clear" w:color="auto" w:fill="auto"/>
            <w:vAlign w:val="bottom"/>
          </w:tcPr>
          <w:p w14:paraId="7823CEA0" w14:textId="0AC1F8F9"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0BAD786" w14:textId="16A497D6"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2.5</w:t>
            </w:r>
          </w:p>
        </w:tc>
        <w:tc>
          <w:tcPr>
            <w:tcW w:w="786" w:type="dxa"/>
            <w:tcBorders>
              <w:top w:val="single" w:sz="4" w:space="0" w:color="auto"/>
              <w:left w:val="nil"/>
              <w:bottom w:val="single" w:sz="4" w:space="0" w:color="auto"/>
              <w:right w:val="nil"/>
            </w:tcBorders>
            <w:shd w:val="clear" w:color="auto" w:fill="auto"/>
            <w:vAlign w:val="bottom"/>
          </w:tcPr>
          <w:p w14:paraId="6AEAEBD8" w14:textId="6C33653F"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$171</w:t>
            </w:r>
          </w:p>
        </w:tc>
        <w:tc>
          <w:tcPr>
            <w:tcW w:w="640" w:type="dxa"/>
            <w:tcBorders>
              <w:top w:val="single" w:sz="4" w:space="0" w:color="auto"/>
              <w:left w:val="nil"/>
              <w:bottom w:val="single" w:sz="4" w:space="0" w:color="auto"/>
              <w:right w:val="single" w:sz="4" w:space="0" w:color="auto"/>
            </w:tcBorders>
            <w:shd w:val="clear" w:color="auto" w:fill="auto"/>
            <w:vAlign w:val="bottom"/>
          </w:tcPr>
          <w:p w14:paraId="5166B833" w14:textId="728A9000"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2.3</w:t>
            </w:r>
          </w:p>
        </w:tc>
      </w:tr>
    </w:tbl>
    <w:p w14:paraId="21BAEA43" w14:textId="08514B98"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6% discount rate for costs and benefits 202</w:t>
      </w:r>
      <w:r w:rsidR="002B3B3D">
        <w:rPr>
          <w:rFonts w:ascii="Calibri" w:eastAsia="Cambria" w:hAnsi="Calibri" w:cs="Calibri"/>
          <w:sz w:val="16"/>
          <w:szCs w:val="24"/>
          <w:lang w:val="en-AU"/>
        </w:rPr>
        <w:t>0</w:t>
      </w:r>
      <w:r w:rsidRPr="00A37634">
        <w:rPr>
          <w:rFonts w:ascii="Calibri" w:eastAsia="Cambria" w:hAnsi="Calibri" w:cs="Calibri"/>
          <w:sz w:val="16"/>
          <w:szCs w:val="24"/>
          <w:lang w:val="en-AU"/>
        </w:rPr>
        <w:t>-203</w:t>
      </w:r>
      <w:r w:rsidR="002B3B3D">
        <w:rPr>
          <w:rFonts w:ascii="Calibri" w:eastAsia="Cambria" w:hAnsi="Calibri" w:cs="Calibri"/>
          <w:sz w:val="16"/>
          <w:szCs w:val="24"/>
          <w:lang w:val="en-AU"/>
        </w:rPr>
        <w:t>6</w:t>
      </w:r>
      <w:r w:rsidRPr="00A37634">
        <w:rPr>
          <w:rFonts w:ascii="Calibri" w:eastAsia="Cambria" w:hAnsi="Calibri" w:cs="Calibri"/>
          <w:sz w:val="16"/>
          <w:szCs w:val="24"/>
          <w:lang w:val="en-AU"/>
        </w:rPr>
        <w:t xml:space="preserve"> </w:t>
      </w:r>
    </w:p>
    <w:p w14:paraId="3BC47796" w14:textId="77777777" w:rsidR="00BB0627" w:rsidRDefault="00BB0627" w:rsidP="00441911">
      <w:pPr>
        <w:rPr>
          <w:lang w:val="en-AU"/>
        </w:rPr>
      </w:pPr>
    </w:p>
    <w:p w14:paraId="1AB9BF12" w14:textId="47F70E84"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19" w:name="_Ref22133461"/>
      <w:bookmarkStart w:id="120" w:name="_Toc22486961"/>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17</w:t>
      </w:r>
      <w:r w:rsidRPr="00A37634">
        <w:rPr>
          <w:rFonts w:ascii="Calibri" w:eastAsia="Cambria" w:hAnsi="Calibri" w:cs="Calibri"/>
          <w:b/>
          <w:bCs/>
          <w:noProof/>
          <w:sz w:val="20"/>
          <w:szCs w:val="16"/>
          <w:lang w:val="en-AU"/>
        </w:rPr>
        <w:fldChar w:fldCharType="end"/>
      </w:r>
      <w:bookmarkEnd w:id="119"/>
      <w:r w:rsidRPr="00A37634">
        <w:rPr>
          <w:rFonts w:ascii="Calibri" w:eastAsia="Cambria" w:hAnsi="Calibri" w:cs="Calibri"/>
          <w:b/>
          <w:bCs/>
          <w:sz w:val="20"/>
          <w:szCs w:val="16"/>
          <w:lang w:val="en-AU"/>
        </w:rPr>
        <w:t>. Projected costs and benefits by appliance, New Zealand (medium activation)</w:t>
      </w:r>
      <w:bookmarkEnd w:id="120"/>
    </w:p>
    <w:tbl>
      <w:tblPr>
        <w:tblW w:w="8651" w:type="dxa"/>
        <w:jc w:val="center"/>
        <w:tblLayout w:type="fixed"/>
        <w:tblCellMar>
          <w:left w:w="0" w:type="dxa"/>
          <w:right w:w="0" w:type="dxa"/>
        </w:tblCellMar>
        <w:tblLook w:val="0000" w:firstRow="0" w:lastRow="0" w:firstColumn="0" w:lastColumn="0" w:noHBand="0" w:noVBand="0"/>
      </w:tblPr>
      <w:tblGrid>
        <w:gridCol w:w="1271"/>
        <w:gridCol w:w="1276"/>
        <w:gridCol w:w="917"/>
        <w:gridCol w:w="1089"/>
        <w:gridCol w:w="1089"/>
        <w:gridCol w:w="874"/>
        <w:gridCol w:w="709"/>
        <w:gridCol w:w="786"/>
        <w:gridCol w:w="640"/>
      </w:tblGrid>
      <w:tr w:rsidR="002B3B3D" w:rsidRPr="007254CA" w14:paraId="7B333CFA" w14:textId="77777777" w:rsidTr="005958CF">
        <w:trPr>
          <w:cantSplit/>
          <w:trHeight w:val="533"/>
          <w:tblHeader/>
          <w:jc w:val="center"/>
        </w:trPr>
        <w:tc>
          <w:tcPr>
            <w:tcW w:w="1271" w:type="dxa"/>
            <w:vMerge w:val="restart"/>
            <w:tcBorders>
              <w:top w:val="single" w:sz="4" w:space="0" w:color="auto"/>
              <w:left w:val="single" w:sz="4" w:space="0" w:color="auto"/>
              <w:bottom w:val="single" w:sz="4" w:space="0" w:color="auto"/>
              <w:right w:val="single" w:sz="4" w:space="0" w:color="auto"/>
            </w:tcBorders>
            <w:noWrap/>
          </w:tcPr>
          <w:p w14:paraId="15C6BB4A"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p>
        </w:tc>
        <w:tc>
          <w:tcPr>
            <w:tcW w:w="1276" w:type="dxa"/>
            <w:vMerge w:val="restart"/>
            <w:tcBorders>
              <w:top w:val="single" w:sz="4" w:space="0" w:color="auto"/>
              <w:left w:val="single" w:sz="4" w:space="0" w:color="auto"/>
              <w:bottom w:val="single" w:sz="4" w:space="0" w:color="auto"/>
            </w:tcBorders>
            <w:noWrap/>
          </w:tcPr>
          <w:p w14:paraId="040BD34A"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Routine DLC Reduction available SMD 2036, MWe (a)</w:t>
            </w:r>
          </w:p>
        </w:tc>
        <w:tc>
          <w:tcPr>
            <w:tcW w:w="917" w:type="dxa"/>
            <w:vMerge w:val="restart"/>
            <w:tcBorders>
              <w:top w:val="single" w:sz="4" w:space="0" w:color="auto"/>
              <w:bottom w:val="single" w:sz="4" w:space="0" w:color="auto"/>
            </w:tcBorders>
            <w:noWrap/>
          </w:tcPr>
          <w:p w14:paraId="54B56359"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Costs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4DB12047"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1F30208E"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145DBC7C"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6B148CCD"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Net</w:t>
            </w:r>
            <w:r w:rsidRPr="007254CA">
              <w:rPr>
                <w:rFonts w:ascii="Calibri" w:eastAsia="Times New Roman" w:hAnsi="Calibri" w:cs="Calibri"/>
                <w:bCs/>
                <w:sz w:val="18"/>
                <w:szCs w:val="18"/>
                <w:lang w:val="en-AU"/>
              </w:rPr>
              <w:b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tc>
        <w:tc>
          <w:tcPr>
            <w:tcW w:w="874" w:type="dxa"/>
            <w:vMerge w:val="restart"/>
            <w:tcBorders>
              <w:top w:val="single" w:sz="4" w:space="0" w:color="auto"/>
              <w:bottom w:val="single" w:sz="4" w:space="0" w:color="auto"/>
            </w:tcBorders>
          </w:tcPr>
          <w:p w14:paraId="0E6A97AD" w14:textId="77777777" w:rsidR="002B3B3D" w:rsidRPr="007254CA" w:rsidRDefault="002B3B3D"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 net </w:t>
            </w:r>
            <w:r w:rsidRPr="007254CA">
              <w:rPr>
                <w:rFonts w:ascii="Calibri" w:eastAsia="Times New Roman" w:hAnsi="Calibri" w:cs="Calibri"/>
                <w:bCs/>
                <w:sz w:val="18"/>
                <w:szCs w:val="18"/>
                <w:lang w:val="en-AU"/>
              </w:rPr>
              <w:br/>
              <w:t>national</w:t>
            </w:r>
            <w:r w:rsidRPr="007254CA">
              <w:rPr>
                <w:rFonts w:ascii="Calibri" w:eastAsia="Times New Roman" w:hAnsi="Calibri" w:cs="Calibri"/>
                <w:bCs/>
                <w:sz w:val="18"/>
                <w:szCs w:val="18"/>
                <w:lang w:val="en-AU"/>
              </w:rPr>
              <w:br/>
              <w:t>benefits</w:t>
            </w:r>
          </w:p>
        </w:tc>
        <w:tc>
          <w:tcPr>
            <w:tcW w:w="709" w:type="dxa"/>
            <w:vMerge w:val="restart"/>
            <w:tcBorders>
              <w:top w:val="single" w:sz="4" w:space="0" w:color="auto"/>
              <w:bottom w:val="single" w:sz="4" w:space="0" w:color="auto"/>
              <w:right w:val="single" w:sz="4" w:space="0" w:color="auto"/>
            </w:tcBorders>
            <w:noWrap/>
          </w:tcPr>
          <w:p w14:paraId="2A497D6C" w14:textId="77777777" w:rsidR="002B3B3D" w:rsidRPr="007254CA" w:rsidRDefault="002B3B3D"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B/C ratio</w:t>
            </w:r>
          </w:p>
        </w:tc>
        <w:tc>
          <w:tcPr>
            <w:tcW w:w="1426" w:type="dxa"/>
            <w:gridSpan w:val="2"/>
            <w:tcBorders>
              <w:top w:val="single" w:sz="4" w:space="0" w:color="auto"/>
              <w:left w:val="single" w:sz="4" w:space="0" w:color="auto"/>
              <w:bottom w:val="single" w:sz="4" w:space="0" w:color="auto"/>
              <w:right w:val="single" w:sz="4" w:space="0" w:color="auto"/>
            </w:tcBorders>
          </w:tcPr>
          <w:p w14:paraId="605D6D34" w14:textId="77777777" w:rsidR="002B3B3D" w:rsidRPr="007254CA" w:rsidRDefault="002B3B3D"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Without whole-sale price benefit</w:t>
            </w:r>
          </w:p>
        </w:tc>
      </w:tr>
      <w:tr w:rsidR="002B3B3D" w:rsidRPr="00A37634" w14:paraId="1F565066" w14:textId="77777777" w:rsidTr="005958CF">
        <w:trPr>
          <w:cantSplit/>
          <w:trHeight w:val="433"/>
          <w:tblHeader/>
          <w:jc w:val="center"/>
        </w:trPr>
        <w:tc>
          <w:tcPr>
            <w:tcW w:w="1271" w:type="dxa"/>
            <w:vMerge/>
            <w:tcBorders>
              <w:left w:val="single" w:sz="4" w:space="0" w:color="auto"/>
              <w:bottom w:val="single" w:sz="4" w:space="0" w:color="auto"/>
              <w:right w:val="single" w:sz="4" w:space="0" w:color="auto"/>
            </w:tcBorders>
            <w:noWrap/>
          </w:tcPr>
          <w:p w14:paraId="77B741E5" w14:textId="77777777" w:rsidR="002B3B3D" w:rsidRPr="00A37634" w:rsidRDefault="002B3B3D" w:rsidP="005958CF">
            <w:pPr>
              <w:spacing w:before="60" w:after="60" w:line="240" w:lineRule="auto"/>
              <w:jc w:val="center"/>
              <w:rPr>
                <w:rFonts w:ascii="Calibri" w:eastAsia="Arial Unicode MS" w:hAnsi="Calibri" w:cs="Calibri"/>
                <w:b/>
                <w:sz w:val="18"/>
                <w:szCs w:val="18"/>
                <w:lang w:val="en-AU"/>
              </w:rPr>
            </w:pPr>
          </w:p>
        </w:tc>
        <w:tc>
          <w:tcPr>
            <w:tcW w:w="1276" w:type="dxa"/>
            <w:vMerge/>
            <w:tcBorders>
              <w:left w:val="single" w:sz="4" w:space="0" w:color="auto"/>
              <w:bottom w:val="single" w:sz="4" w:space="0" w:color="auto"/>
            </w:tcBorders>
            <w:noWrap/>
          </w:tcPr>
          <w:p w14:paraId="4C67F0CA"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917" w:type="dxa"/>
            <w:vMerge/>
            <w:tcBorders>
              <w:bottom w:val="single" w:sz="4" w:space="0" w:color="auto"/>
            </w:tcBorders>
            <w:noWrap/>
          </w:tcPr>
          <w:p w14:paraId="4A8D664D"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2D9A678C"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17833BF4"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874" w:type="dxa"/>
            <w:vMerge/>
            <w:tcBorders>
              <w:bottom w:val="single" w:sz="4" w:space="0" w:color="auto"/>
            </w:tcBorders>
          </w:tcPr>
          <w:p w14:paraId="209FCE2B"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709" w:type="dxa"/>
            <w:vMerge/>
            <w:tcBorders>
              <w:bottom w:val="single" w:sz="4" w:space="0" w:color="auto"/>
              <w:right w:val="single" w:sz="4" w:space="0" w:color="auto"/>
            </w:tcBorders>
            <w:noWrap/>
          </w:tcPr>
          <w:p w14:paraId="2DB508E3" w14:textId="77777777" w:rsidR="002B3B3D" w:rsidRPr="00A37634" w:rsidRDefault="002B3B3D" w:rsidP="005958CF">
            <w:pPr>
              <w:spacing w:before="60" w:after="60" w:line="240" w:lineRule="auto"/>
              <w:jc w:val="center"/>
              <w:rPr>
                <w:rFonts w:ascii="Calibri" w:eastAsia="Times New Roman" w:hAnsi="Calibri" w:cs="Calibri"/>
                <w:b/>
                <w:sz w:val="18"/>
                <w:szCs w:val="18"/>
                <w:lang w:val="en-AU"/>
              </w:rPr>
            </w:pPr>
          </w:p>
        </w:tc>
        <w:tc>
          <w:tcPr>
            <w:tcW w:w="786" w:type="dxa"/>
            <w:tcBorders>
              <w:top w:val="single" w:sz="4" w:space="0" w:color="auto"/>
              <w:left w:val="single" w:sz="4" w:space="0" w:color="auto"/>
              <w:bottom w:val="single" w:sz="4" w:space="0" w:color="auto"/>
            </w:tcBorders>
          </w:tcPr>
          <w:p w14:paraId="1522A7F6" w14:textId="77777777" w:rsidR="002B3B3D" w:rsidRPr="007254CA" w:rsidRDefault="002B3B3D"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$M Net</w:t>
            </w:r>
            <w:r w:rsidRPr="007254CA">
              <w:rPr>
                <w:rFonts w:ascii="Calibri" w:eastAsia="Times New Roman" w:hAnsi="Calibri" w:cs="Calibri"/>
                <w:bCs/>
                <w:sz w:val="18"/>
                <w:szCs w:val="18"/>
                <w:lang w:val="en-AU"/>
              </w:rPr>
              <w:br/>
              <w:t>benefit</w:t>
            </w:r>
          </w:p>
        </w:tc>
        <w:tc>
          <w:tcPr>
            <w:tcW w:w="640" w:type="dxa"/>
            <w:tcBorders>
              <w:top w:val="single" w:sz="4" w:space="0" w:color="auto"/>
              <w:bottom w:val="single" w:sz="4" w:space="0" w:color="auto"/>
              <w:right w:val="single" w:sz="4" w:space="0" w:color="auto"/>
            </w:tcBorders>
          </w:tcPr>
          <w:p w14:paraId="6D924462" w14:textId="77777777" w:rsidR="002B3B3D" w:rsidRPr="007254CA" w:rsidRDefault="002B3B3D"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B/C ratio</w:t>
            </w:r>
          </w:p>
        </w:tc>
      </w:tr>
      <w:tr w:rsidR="002B3B3D" w:rsidRPr="002B3B3D" w14:paraId="19CC8F1C" w14:textId="77777777" w:rsidTr="005958CF">
        <w:trPr>
          <w:trHeight w:val="255"/>
          <w:jc w:val="center"/>
        </w:trPr>
        <w:tc>
          <w:tcPr>
            <w:tcW w:w="1271" w:type="dxa"/>
            <w:tcBorders>
              <w:top w:val="single" w:sz="4" w:space="0" w:color="auto"/>
              <w:left w:val="single" w:sz="4" w:space="0" w:color="auto"/>
              <w:bottom w:val="nil"/>
              <w:right w:val="single" w:sz="4" w:space="0" w:color="auto"/>
            </w:tcBorders>
            <w:noWrap/>
          </w:tcPr>
          <w:p w14:paraId="4D572901"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Air Conds</w:t>
            </w:r>
          </w:p>
        </w:tc>
        <w:tc>
          <w:tcPr>
            <w:tcW w:w="1276" w:type="dxa"/>
            <w:tcBorders>
              <w:top w:val="nil"/>
              <w:left w:val="single" w:sz="4" w:space="0" w:color="auto"/>
              <w:bottom w:val="nil"/>
              <w:right w:val="nil"/>
            </w:tcBorders>
            <w:shd w:val="clear" w:color="auto" w:fill="auto"/>
            <w:noWrap/>
            <w:vAlign w:val="bottom"/>
          </w:tcPr>
          <w:p w14:paraId="23CCDDF0" w14:textId="447EBB14"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228</w:t>
            </w:r>
          </w:p>
        </w:tc>
        <w:tc>
          <w:tcPr>
            <w:tcW w:w="917" w:type="dxa"/>
            <w:tcBorders>
              <w:top w:val="nil"/>
              <w:left w:val="nil"/>
              <w:bottom w:val="nil"/>
              <w:right w:val="nil"/>
            </w:tcBorders>
            <w:shd w:val="clear" w:color="auto" w:fill="auto"/>
            <w:noWrap/>
            <w:vAlign w:val="bottom"/>
          </w:tcPr>
          <w:p w14:paraId="056AFA1C" w14:textId="23D8452B"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$56</w:t>
            </w:r>
          </w:p>
        </w:tc>
        <w:tc>
          <w:tcPr>
            <w:tcW w:w="1089" w:type="dxa"/>
            <w:tcBorders>
              <w:top w:val="nil"/>
              <w:left w:val="nil"/>
              <w:bottom w:val="nil"/>
              <w:right w:val="nil"/>
            </w:tcBorders>
            <w:shd w:val="clear" w:color="auto" w:fill="auto"/>
            <w:noWrap/>
            <w:vAlign w:val="bottom"/>
          </w:tcPr>
          <w:p w14:paraId="7409C74E" w14:textId="15057A74"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$156</w:t>
            </w:r>
          </w:p>
        </w:tc>
        <w:tc>
          <w:tcPr>
            <w:tcW w:w="1089" w:type="dxa"/>
            <w:tcBorders>
              <w:top w:val="nil"/>
              <w:left w:val="nil"/>
              <w:bottom w:val="nil"/>
              <w:right w:val="nil"/>
            </w:tcBorders>
            <w:shd w:val="clear" w:color="auto" w:fill="auto"/>
            <w:noWrap/>
            <w:vAlign w:val="bottom"/>
          </w:tcPr>
          <w:p w14:paraId="362FF1F3" w14:textId="7F4401EB"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$101</w:t>
            </w:r>
          </w:p>
        </w:tc>
        <w:tc>
          <w:tcPr>
            <w:tcW w:w="874" w:type="dxa"/>
            <w:tcBorders>
              <w:top w:val="nil"/>
              <w:left w:val="nil"/>
              <w:bottom w:val="nil"/>
              <w:right w:val="nil"/>
            </w:tcBorders>
            <w:shd w:val="clear" w:color="auto" w:fill="auto"/>
            <w:vAlign w:val="bottom"/>
          </w:tcPr>
          <w:p w14:paraId="6861BF6E" w14:textId="05376E77"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38.7%</w:t>
            </w:r>
          </w:p>
        </w:tc>
        <w:tc>
          <w:tcPr>
            <w:tcW w:w="709" w:type="dxa"/>
            <w:tcBorders>
              <w:top w:val="nil"/>
              <w:left w:val="nil"/>
              <w:bottom w:val="nil"/>
              <w:right w:val="single" w:sz="4" w:space="0" w:color="auto"/>
            </w:tcBorders>
            <w:shd w:val="clear" w:color="auto" w:fill="auto"/>
            <w:noWrap/>
            <w:vAlign w:val="bottom"/>
          </w:tcPr>
          <w:p w14:paraId="08F9DC18" w14:textId="13504142"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2.8</w:t>
            </w:r>
          </w:p>
        </w:tc>
        <w:tc>
          <w:tcPr>
            <w:tcW w:w="786" w:type="dxa"/>
            <w:tcBorders>
              <w:top w:val="nil"/>
              <w:left w:val="nil"/>
              <w:bottom w:val="nil"/>
              <w:right w:val="nil"/>
            </w:tcBorders>
            <w:shd w:val="clear" w:color="auto" w:fill="auto"/>
            <w:vAlign w:val="bottom"/>
          </w:tcPr>
          <w:p w14:paraId="747D453B" w14:textId="7492FAFE"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$101</w:t>
            </w:r>
          </w:p>
        </w:tc>
        <w:tc>
          <w:tcPr>
            <w:tcW w:w="640" w:type="dxa"/>
            <w:tcBorders>
              <w:top w:val="nil"/>
              <w:left w:val="nil"/>
              <w:bottom w:val="nil"/>
              <w:right w:val="single" w:sz="4" w:space="0" w:color="auto"/>
            </w:tcBorders>
            <w:shd w:val="clear" w:color="auto" w:fill="auto"/>
            <w:vAlign w:val="bottom"/>
          </w:tcPr>
          <w:p w14:paraId="04D5D156" w14:textId="47E40A3E"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2.8</w:t>
            </w:r>
          </w:p>
        </w:tc>
      </w:tr>
      <w:tr w:rsidR="00441911" w:rsidRPr="002B3B3D" w14:paraId="001B34A2" w14:textId="77777777" w:rsidTr="005958CF">
        <w:trPr>
          <w:trHeight w:val="255"/>
          <w:jc w:val="center"/>
        </w:trPr>
        <w:tc>
          <w:tcPr>
            <w:tcW w:w="1271" w:type="dxa"/>
            <w:tcBorders>
              <w:top w:val="nil"/>
              <w:left w:val="single" w:sz="4" w:space="0" w:color="auto"/>
              <w:bottom w:val="nil"/>
              <w:right w:val="single" w:sz="4" w:space="0" w:color="auto"/>
            </w:tcBorders>
            <w:noWrap/>
          </w:tcPr>
          <w:p w14:paraId="579AE7DB" w14:textId="77777777" w:rsidR="00441911" w:rsidRPr="002B3B3D" w:rsidRDefault="00441911" w:rsidP="00441911">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PP Controllers</w:t>
            </w:r>
          </w:p>
        </w:tc>
        <w:tc>
          <w:tcPr>
            <w:tcW w:w="1276" w:type="dxa"/>
            <w:tcBorders>
              <w:top w:val="nil"/>
              <w:left w:val="single" w:sz="4" w:space="0" w:color="auto"/>
              <w:bottom w:val="nil"/>
              <w:right w:val="nil"/>
            </w:tcBorders>
            <w:shd w:val="clear" w:color="auto" w:fill="auto"/>
            <w:noWrap/>
            <w:vAlign w:val="bottom"/>
          </w:tcPr>
          <w:p w14:paraId="6CBDAFB9" w14:textId="1715A64B" w:rsidR="00441911" w:rsidRPr="002B3B3D"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hAnsi="Calibri" w:cs="Calibri"/>
                <w:color w:val="000000"/>
                <w:sz w:val="18"/>
                <w:szCs w:val="18"/>
              </w:rPr>
              <w:t>NA</w:t>
            </w:r>
          </w:p>
        </w:tc>
        <w:tc>
          <w:tcPr>
            <w:tcW w:w="917" w:type="dxa"/>
            <w:tcBorders>
              <w:top w:val="nil"/>
              <w:left w:val="nil"/>
              <w:bottom w:val="nil"/>
              <w:right w:val="nil"/>
            </w:tcBorders>
            <w:shd w:val="clear" w:color="auto" w:fill="auto"/>
            <w:noWrap/>
            <w:vAlign w:val="bottom"/>
          </w:tcPr>
          <w:p w14:paraId="440B2D04" w14:textId="349943F8" w:rsidR="00441911" w:rsidRPr="002B3B3D"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1089" w:type="dxa"/>
            <w:tcBorders>
              <w:top w:val="nil"/>
              <w:left w:val="nil"/>
              <w:bottom w:val="nil"/>
              <w:right w:val="nil"/>
            </w:tcBorders>
            <w:shd w:val="clear" w:color="auto" w:fill="auto"/>
            <w:noWrap/>
            <w:vAlign w:val="bottom"/>
          </w:tcPr>
          <w:p w14:paraId="7BCAC000" w14:textId="76D147D3" w:rsidR="00441911" w:rsidRPr="002B3B3D"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1089" w:type="dxa"/>
            <w:tcBorders>
              <w:top w:val="nil"/>
              <w:left w:val="nil"/>
              <w:bottom w:val="nil"/>
              <w:right w:val="nil"/>
            </w:tcBorders>
            <w:shd w:val="clear" w:color="auto" w:fill="auto"/>
            <w:noWrap/>
            <w:vAlign w:val="bottom"/>
          </w:tcPr>
          <w:p w14:paraId="2C34C021" w14:textId="55BD5579" w:rsidR="00441911" w:rsidRPr="002B3B3D"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874" w:type="dxa"/>
            <w:tcBorders>
              <w:top w:val="nil"/>
              <w:left w:val="nil"/>
              <w:bottom w:val="nil"/>
              <w:right w:val="nil"/>
            </w:tcBorders>
            <w:shd w:val="clear" w:color="auto" w:fill="auto"/>
            <w:vAlign w:val="bottom"/>
          </w:tcPr>
          <w:p w14:paraId="7EBB7CD7" w14:textId="5B84EB7B" w:rsidR="00441911" w:rsidRPr="002B3B3D"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709" w:type="dxa"/>
            <w:tcBorders>
              <w:top w:val="nil"/>
              <w:left w:val="nil"/>
              <w:bottom w:val="nil"/>
              <w:right w:val="single" w:sz="4" w:space="0" w:color="auto"/>
            </w:tcBorders>
            <w:shd w:val="clear" w:color="auto" w:fill="auto"/>
            <w:noWrap/>
            <w:vAlign w:val="bottom"/>
          </w:tcPr>
          <w:p w14:paraId="79B12F8D" w14:textId="6E45979D" w:rsidR="00441911" w:rsidRPr="002B3B3D"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c>
          <w:tcPr>
            <w:tcW w:w="786" w:type="dxa"/>
            <w:tcBorders>
              <w:top w:val="nil"/>
              <w:left w:val="nil"/>
              <w:bottom w:val="nil"/>
              <w:right w:val="nil"/>
            </w:tcBorders>
            <w:shd w:val="clear" w:color="auto" w:fill="auto"/>
            <w:vAlign w:val="bottom"/>
          </w:tcPr>
          <w:p w14:paraId="1D7A2059" w14:textId="7ED65353" w:rsidR="00441911" w:rsidRPr="002B3B3D"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c>
          <w:tcPr>
            <w:tcW w:w="640" w:type="dxa"/>
            <w:tcBorders>
              <w:top w:val="nil"/>
              <w:left w:val="nil"/>
              <w:bottom w:val="nil"/>
              <w:right w:val="single" w:sz="4" w:space="0" w:color="auto"/>
            </w:tcBorders>
            <w:shd w:val="clear" w:color="auto" w:fill="auto"/>
            <w:vAlign w:val="bottom"/>
          </w:tcPr>
          <w:p w14:paraId="7137AE00" w14:textId="76756799" w:rsidR="00441911" w:rsidRPr="002B3B3D"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r>
      <w:tr w:rsidR="002B3B3D" w:rsidRPr="002B3B3D" w14:paraId="6E7A7F3F" w14:textId="77777777" w:rsidTr="005958CF">
        <w:trPr>
          <w:trHeight w:val="255"/>
          <w:jc w:val="center"/>
        </w:trPr>
        <w:tc>
          <w:tcPr>
            <w:tcW w:w="1271" w:type="dxa"/>
            <w:tcBorders>
              <w:top w:val="nil"/>
              <w:left w:val="single" w:sz="4" w:space="0" w:color="auto"/>
              <w:bottom w:val="nil"/>
              <w:right w:val="single" w:sz="4" w:space="0" w:color="auto"/>
            </w:tcBorders>
            <w:noWrap/>
          </w:tcPr>
          <w:p w14:paraId="2EBEDD6E"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Water heaters</w:t>
            </w:r>
          </w:p>
        </w:tc>
        <w:tc>
          <w:tcPr>
            <w:tcW w:w="1276" w:type="dxa"/>
            <w:tcBorders>
              <w:top w:val="nil"/>
              <w:left w:val="single" w:sz="4" w:space="0" w:color="auto"/>
              <w:bottom w:val="nil"/>
              <w:right w:val="nil"/>
            </w:tcBorders>
            <w:shd w:val="clear" w:color="auto" w:fill="auto"/>
            <w:noWrap/>
            <w:vAlign w:val="bottom"/>
          </w:tcPr>
          <w:p w14:paraId="6B418FBD" w14:textId="6445F5C4"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105</w:t>
            </w:r>
          </w:p>
        </w:tc>
        <w:tc>
          <w:tcPr>
            <w:tcW w:w="917" w:type="dxa"/>
            <w:tcBorders>
              <w:top w:val="nil"/>
              <w:left w:val="nil"/>
              <w:bottom w:val="nil"/>
              <w:right w:val="nil"/>
            </w:tcBorders>
            <w:shd w:val="clear" w:color="auto" w:fill="auto"/>
            <w:noWrap/>
            <w:vAlign w:val="bottom"/>
          </w:tcPr>
          <w:p w14:paraId="4D343886" w14:textId="6C52CB04"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$61</w:t>
            </w:r>
          </w:p>
        </w:tc>
        <w:tc>
          <w:tcPr>
            <w:tcW w:w="1089" w:type="dxa"/>
            <w:tcBorders>
              <w:top w:val="nil"/>
              <w:left w:val="nil"/>
              <w:bottom w:val="nil"/>
              <w:right w:val="nil"/>
            </w:tcBorders>
            <w:shd w:val="clear" w:color="auto" w:fill="auto"/>
            <w:noWrap/>
            <w:vAlign w:val="bottom"/>
          </w:tcPr>
          <w:p w14:paraId="6769580D" w14:textId="12FB15D2"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$112</w:t>
            </w:r>
          </w:p>
        </w:tc>
        <w:tc>
          <w:tcPr>
            <w:tcW w:w="1089" w:type="dxa"/>
            <w:tcBorders>
              <w:top w:val="nil"/>
              <w:left w:val="nil"/>
              <w:bottom w:val="nil"/>
              <w:right w:val="nil"/>
            </w:tcBorders>
            <w:shd w:val="clear" w:color="auto" w:fill="auto"/>
            <w:noWrap/>
            <w:vAlign w:val="bottom"/>
          </w:tcPr>
          <w:p w14:paraId="4F63CFBA" w14:textId="78F4701B"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$51</w:t>
            </w:r>
          </w:p>
        </w:tc>
        <w:tc>
          <w:tcPr>
            <w:tcW w:w="874" w:type="dxa"/>
            <w:tcBorders>
              <w:top w:val="nil"/>
              <w:left w:val="nil"/>
              <w:bottom w:val="nil"/>
              <w:right w:val="nil"/>
            </w:tcBorders>
            <w:shd w:val="clear" w:color="auto" w:fill="auto"/>
            <w:vAlign w:val="bottom"/>
          </w:tcPr>
          <w:p w14:paraId="4324E6B7" w14:textId="74C2865B"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19.7%</w:t>
            </w:r>
          </w:p>
        </w:tc>
        <w:tc>
          <w:tcPr>
            <w:tcW w:w="709" w:type="dxa"/>
            <w:tcBorders>
              <w:top w:val="nil"/>
              <w:left w:val="nil"/>
              <w:bottom w:val="nil"/>
              <w:right w:val="single" w:sz="4" w:space="0" w:color="auto"/>
            </w:tcBorders>
            <w:shd w:val="clear" w:color="auto" w:fill="auto"/>
            <w:noWrap/>
            <w:vAlign w:val="bottom"/>
          </w:tcPr>
          <w:p w14:paraId="79B3D3A4" w14:textId="2B34EDF3"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1.8</w:t>
            </w:r>
          </w:p>
        </w:tc>
        <w:tc>
          <w:tcPr>
            <w:tcW w:w="786" w:type="dxa"/>
            <w:tcBorders>
              <w:top w:val="nil"/>
              <w:left w:val="nil"/>
              <w:bottom w:val="nil"/>
              <w:right w:val="nil"/>
            </w:tcBorders>
            <w:shd w:val="clear" w:color="auto" w:fill="auto"/>
            <w:vAlign w:val="bottom"/>
          </w:tcPr>
          <w:p w14:paraId="02CB40A1" w14:textId="0CB8E731"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$48</w:t>
            </w:r>
          </w:p>
        </w:tc>
        <w:tc>
          <w:tcPr>
            <w:tcW w:w="640" w:type="dxa"/>
            <w:tcBorders>
              <w:top w:val="nil"/>
              <w:left w:val="nil"/>
              <w:bottom w:val="nil"/>
              <w:right w:val="single" w:sz="4" w:space="0" w:color="auto"/>
            </w:tcBorders>
            <w:shd w:val="clear" w:color="auto" w:fill="auto"/>
            <w:vAlign w:val="bottom"/>
          </w:tcPr>
          <w:p w14:paraId="4A7B1251" w14:textId="37B6D3B7"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1.8</w:t>
            </w:r>
          </w:p>
        </w:tc>
      </w:tr>
      <w:tr w:rsidR="002B3B3D" w:rsidRPr="002B3B3D" w14:paraId="6FDA366E" w14:textId="77777777" w:rsidTr="005958CF">
        <w:trPr>
          <w:trHeight w:val="255"/>
          <w:jc w:val="center"/>
        </w:trPr>
        <w:tc>
          <w:tcPr>
            <w:tcW w:w="1271" w:type="dxa"/>
            <w:tcBorders>
              <w:top w:val="nil"/>
              <w:left w:val="single" w:sz="4" w:space="0" w:color="auto"/>
              <w:bottom w:val="nil"/>
              <w:right w:val="single" w:sz="4" w:space="0" w:color="auto"/>
            </w:tcBorders>
            <w:noWrap/>
          </w:tcPr>
          <w:p w14:paraId="6C709237"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EV chargers</w:t>
            </w:r>
          </w:p>
        </w:tc>
        <w:tc>
          <w:tcPr>
            <w:tcW w:w="1276" w:type="dxa"/>
            <w:tcBorders>
              <w:top w:val="nil"/>
              <w:left w:val="single" w:sz="4" w:space="0" w:color="auto"/>
              <w:bottom w:val="nil"/>
              <w:right w:val="nil"/>
            </w:tcBorders>
            <w:shd w:val="clear" w:color="auto" w:fill="auto"/>
            <w:noWrap/>
            <w:vAlign w:val="bottom"/>
          </w:tcPr>
          <w:p w14:paraId="35A62B69" w14:textId="1AB66631"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111</w:t>
            </w:r>
          </w:p>
        </w:tc>
        <w:tc>
          <w:tcPr>
            <w:tcW w:w="917" w:type="dxa"/>
            <w:tcBorders>
              <w:top w:val="nil"/>
              <w:left w:val="nil"/>
              <w:bottom w:val="nil"/>
              <w:right w:val="nil"/>
            </w:tcBorders>
            <w:shd w:val="clear" w:color="auto" w:fill="auto"/>
            <w:noWrap/>
            <w:vAlign w:val="bottom"/>
          </w:tcPr>
          <w:p w14:paraId="42DC367B" w14:textId="27CD673C"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$30</w:t>
            </w:r>
          </w:p>
        </w:tc>
        <w:tc>
          <w:tcPr>
            <w:tcW w:w="1089" w:type="dxa"/>
            <w:tcBorders>
              <w:top w:val="nil"/>
              <w:left w:val="nil"/>
              <w:bottom w:val="nil"/>
              <w:right w:val="nil"/>
            </w:tcBorders>
            <w:shd w:val="clear" w:color="auto" w:fill="auto"/>
            <w:noWrap/>
            <w:vAlign w:val="bottom"/>
          </w:tcPr>
          <w:p w14:paraId="1522F6A3" w14:textId="6A4D070E"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$139</w:t>
            </w:r>
          </w:p>
        </w:tc>
        <w:tc>
          <w:tcPr>
            <w:tcW w:w="1089" w:type="dxa"/>
            <w:tcBorders>
              <w:top w:val="nil"/>
              <w:left w:val="nil"/>
              <w:bottom w:val="nil"/>
              <w:right w:val="nil"/>
            </w:tcBorders>
            <w:shd w:val="clear" w:color="auto" w:fill="auto"/>
            <w:noWrap/>
            <w:vAlign w:val="bottom"/>
          </w:tcPr>
          <w:p w14:paraId="795C788B" w14:textId="37210866"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$108</w:t>
            </w:r>
          </w:p>
        </w:tc>
        <w:tc>
          <w:tcPr>
            <w:tcW w:w="874" w:type="dxa"/>
            <w:tcBorders>
              <w:top w:val="nil"/>
              <w:left w:val="nil"/>
              <w:bottom w:val="nil"/>
              <w:right w:val="nil"/>
            </w:tcBorders>
            <w:shd w:val="clear" w:color="auto" w:fill="auto"/>
            <w:vAlign w:val="bottom"/>
          </w:tcPr>
          <w:p w14:paraId="6B896893" w14:textId="41DE0C4F"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41.7%</w:t>
            </w:r>
          </w:p>
        </w:tc>
        <w:tc>
          <w:tcPr>
            <w:tcW w:w="709" w:type="dxa"/>
            <w:tcBorders>
              <w:top w:val="nil"/>
              <w:left w:val="nil"/>
              <w:bottom w:val="nil"/>
              <w:right w:val="single" w:sz="4" w:space="0" w:color="auto"/>
            </w:tcBorders>
            <w:shd w:val="clear" w:color="auto" w:fill="auto"/>
            <w:noWrap/>
            <w:vAlign w:val="bottom"/>
          </w:tcPr>
          <w:p w14:paraId="117DC7D1" w14:textId="35FFCC3B"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4.6</w:t>
            </w:r>
          </w:p>
        </w:tc>
        <w:tc>
          <w:tcPr>
            <w:tcW w:w="786" w:type="dxa"/>
            <w:tcBorders>
              <w:top w:val="nil"/>
              <w:left w:val="nil"/>
              <w:bottom w:val="nil"/>
              <w:right w:val="nil"/>
            </w:tcBorders>
            <w:shd w:val="clear" w:color="auto" w:fill="auto"/>
            <w:vAlign w:val="bottom"/>
          </w:tcPr>
          <w:p w14:paraId="21674C82" w14:textId="42CE1E12"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$71</w:t>
            </w:r>
          </w:p>
        </w:tc>
        <w:tc>
          <w:tcPr>
            <w:tcW w:w="640" w:type="dxa"/>
            <w:tcBorders>
              <w:top w:val="nil"/>
              <w:left w:val="nil"/>
              <w:bottom w:val="nil"/>
              <w:right w:val="single" w:sz="4" w:space="0" w:color="auto"/>
            </w:tcBorders>
            <w:shd w:val="clear" w:color="auto" w:fill="auto"/>
            <w:vAlign w:val="bottom"/>
          </w:tcPr>
          <w:p w14:paraId="12EED7D1" w14:textId="15663783"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3.3</w:t>
            </w:r>
          </w:p>
        </w:tc>
      </w:tr>
      <w:tr w:rsidR="002B3B3D" w:rsidRPr="002B3B3D" w14:paraId="3048E218" w14:textId="77777777" w:rsidTr="005958CF">
        <w:trPr>
          <w:trHeight w:val="255"/>
          <w:jc w:val="center"/>
        </w:trPr>
        <w:tc>
          <w:tcPr>
            <w:tcW w:w="1271" w:type="dxa"/>
            <w:tcBorders>
              <w:top w:val="single" w:sz="4" w:space="0" w:color="auto"/>
              <w:left w:val="single" w:sz="4" w:space="0" w:color="auto"/>
              <w:bottom w:val="single" w:sz="4" w:space="0" w:color="auto"/>
              <w:right w:val="single" w:sz="4" w:space="0" w:color="auto"/>
            </w:tcBorders>
            <w:noWrap/>
          </w:tcPr>
          <w:p w14:paraId="2166FB12" w14:textId="77777777" w:rsidR="002B3B3D" w:rsidRPr="002B3B3D" w:rsidRDefault="002B3B3D" w:rsidP="002B3B3D">
            <w:pPr>
              <w:tabs>
                <w:tab w:val="left" w:pos="3293"/>
              </w:tabs>
              <w:spacing w:before="60" w:after="60" w:line="240" w:lineRule="auto"/>
              <w:ind w:left="35"/>
              <w:rPr>
                <w:rFonts w:ascii="Calibri" w:eastAsia="Times New Roman" w:hAnsi="Calibri" w:cs="Calibri"/>
                <w:sz w:val="18"/>
                <w:szCs w:val="18"/>
                <w:lang w:val="en-AU"/>
              </w:rPr>
            </w:pPr>
            <w:r w:rsidRPr="002B3B3D">
              <w:rPr>
                <w:rFonts w:ascii="Calibri" w:eastAsia="Times New Roman" w:hAnsi="Calibri" w:cs="Calibri"/>
                <w:sz w:val="18"/>
                <w:szCs w:val="18"/>
                <w:lang w:val="en-AU"/>
              </w:rPr>
              <w:t>All products</w:t>
            </w:r>
          </w:p>
        </w:tc>
        <w:tc>
          <w:tcPr>
            <w:tcW w:w="1276" w:type="dxa"/>
            <w:tcBorders>
              <w:top w:val="single" w:sz="4" w:space="0" w:color="auto"/>
              <w:left w:val="single" w:sz="4" w:space="0" w:color="auto"/>
              <w:bottom w:val="single" w:sz="4" w:space="0" w:color="auto"/>
              <w:right w:val="nil"/>
            </w:tcBorders>
            <w:shd w:val="clear" w:color="auto" w:fill="auto"/>
            <w:noWrap/>
            <w:vAlign w:val="bottom"/>
          </w:tcPr>
          <w:p w14:paraId="06BAA49B" w14:textId="1B95606B"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444</w:t>
            </w:r>
          </w:p>
        </w:tc>
        <w:tc>
          <w:tcPr>
            <w:tcW w:w="917" w:type="dxa"/>
            <w:tcBorders>
              <w:top w:val="single" w:sz="4" w:space="0" w:color="auto"/>
              <w:left w:val="nil"/>
              <w:bottom w:val="single" w:sz="4" w:space="0" w:color="auto"/>
              <w:right w:val="nil"/>
            </w:tcBorders>
            <w:shd w:val="clear" w:color="auto" w:fill="auto"/>
            <w:noWrap/>
            <w:vAlign w:val="bottom"/>
          </w:tcPr>
          <w:p w14:paraId="4149713A" w14:textId="49A907D9"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$147</w:t>
            </w:r>
          </w:p>
        </w:tc>
        <w:tc>
          <w:tcPr>
            <w:tcW w:w="1089" w:type="dxa"/>
            <w:tcBorders>
              <w:top w:val="single" w:sz="4" w:space="0" w:color="auto"/>
              <w:left w:val="nil"/>
              <w:bottom w:val="single" w:sz="4" w:space="0" w:color="auto"/>
              <w:right w:val="nil"/>
            </w:tcBorders>
            <w:shd w:val="clear" w:color="auto" w:fill="auto"/>
            <w:noWrap/>
            <w:vAlign w:val="bottom"/>
          </w:tcPr>
          <w:p w14:paraId="39898A46" w14:textId="0ED64467"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$407</w:t>
            </w:r>
          </w:p>
        </w:tc>
        <w:tc>
          <w:tcPr>
            <w:tcW w:w="1089" w:type="dxa"/>
            <w:tcBorders>
              <w:top w:val="single" w:sz="4" w:space="0" w:color="auto"/>
              <w:left w:val="nil"/>
              <w:bottom w:val="single" w:sz="4" w:space="0" w:color="auto"/>
              <w:right w:val="nil"/>
            </w:tcBorders>
            <w:shd w:val="clear" w:color="auto" w:fill="auto"/>
            <w:noWrap/>
            <w:vAlign w:val="bottom"/>
          </w:tcPr>
          <w:p w14:paraId="6C8A6EDA" w14:textId="33EE6059"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$260</w:t>
            </w:r>
          </w:p>
        </w:tc>
        <w:tc>
          <w:tcPr>
            <w:tcW w:w="874" w:type="dxa"/>
            <w:tcBorders>
              <w:top w:val="single" w:sz="4" w:space="0" w:color="auto"/>
              <w:left w:val="nil"/>
              <w:bottom w:val="single" w:sz="4" w:space="0" w:color="auto"/>
              <w:right w:val="nil"/>
            </w:tcBorders>
            <w:shd w:val="clear" w:color="auto" w:fill="auto"/>
            <w:vAlign w:val="bottom"/>
          </w:tcPr>
          <w:p w14:paraId="15CB8FB8" w14:textId="373696E2" w:rsidR="002B3B3D" w:rsidRPr="002B3B3D" w:rsidRDefault="002B3B3D" w:rsidP="002B3B3D">
            <w:pPr>
              <w:tabs>
                <w:tab w:val="left" w:pos="3293"/>
              </w:tabs>
              <w:spacing w:before="60" w:after="60" w:line="240" w:lineRule="auto"/>
              <w:ind w:left="35"/>
              <w:jc w:val="right"/>
              <w:rPr>
                <w:rFonts w:ascii="Calibri" w:eastAsia="Times New Roman" w:hAnsi="Calibri" w:cs="Calibri"/>
                <w:sz w:val="18"/>
                <w:szCs w:val="18"/>
                <w:lang w:val="en-AU"/>
              </w:rPr>
            </w:pPr>
            <w:r w:rsidRPr="002B3B3D">
              <w:rPr>
                <w:rFonts w:ascii="Calibri" w:hAnsi="Calibri" w:cs="Calibri"/>
                <w:color w:val="000000"/>
                <w:sz w:val="18"/>
                <w:szCs w:val="18"/>
              </w:rPr>
              <w:t>100.0%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D553653" w14:textId="7C741EA2"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2.8</w:t>
            </w:r>
          </w:p>
        </w:tc>
        <w:tc>
          <w:tcPr>
            <w:tcW w:w="786" w:type="dxa"/>
            <w:tcBorders>
              <w:top w:val="single" w:sz="4" w:space="0" w:color="auto"/>
              <w:left w:val="nil"/>
              <w:bottom w:val="single" w:sz="4" w:space="0" w:color="auto"/>
              <w:right w:val="nil"/>
            </w:tcBorders>
            <w:shd w:val="clear" w:color="auto" w:fill="auto"/>
            <w:vAlign w:val="bottom"/>
          </w:tcPr>
          <w:p w14:paraId="0911D5A3" w14:textId="3F59D25C"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$220</w:t>
            </w:r>
          </w:p>
        </w:tc>
        <w:tc>
          <w:tcPr>
            <w:tcW w:w="640" w:type="dxa"/>
            <w:tcBorders>
              <w:top w:val="single" w:sz="4" w:space="0" w:color="auto"/>
              <w:left w:val="nil"/>
              <w:bottom w:val="single" w:sz="4" w:space="0" w:color="auto"/>
              <w:right w:val="single" w:sz="4" w:space="0" w:color="auto"/>
            </w:tcBorders>
            <w:shd w:val="clear" w:color="auto" w:fill="auto"/>
            <w:vAlign w:val="bottom"/>
          </w:tcPr>
          <w:p w14:paraId="0C3D8CA2" w14:textId="0FDDE720" w:rsidR="002B3B3D" w:rsidRPr="002B3B3D" w:rsidRDefault="002B3B3D" w:rsidP="002B3B3D">
            <w:pPr>
              <w:tabs>
                <w:tab w:val="left" w:pos="3293"/>
              </w:tabs>
              <w:spacing w:before="60" w:after="60" w:line="240" w:lineRule="auto"/>
              <w:ind w:left="35"/>
              <w:jc w:val="center"/>
              <w:rPr>
                <w:rFonts w:ascii="Calibri" w:eastAsia="Times New Roman" w:hAnsi="Calibri" w:cs="Calibri"/>
                <w:sz w:val="18"/>
                <w:szCs w:val="18"/>
                <w:lang w:val="en-AU"/>
              </w:rPr>
            </w:pPr>
            <w:r w:rsidRPr="002B3B3D">
              <w:rPr>
                <w:rFonts w:ascii="Calibri" w:hAnsi="Calibri" w:cs="Calibri"/>
                <w:color w:val="000000"/>
                <w:sz w:val="18"/>
                <w:szCs w:val="18"/>
              </w:rPr>
              <w:t>2.5</w:t>
            </w:r>
          </w:p>
        </w:tc>
      </w:tr>
    </w:tbl>
    <w:p w14:paraId="090C11A5" w14:textId="3B983130"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6% discount rate for costs and benefits 202</w:t>
      </w:r>
      <w:r w:rsidR="00441911">
        <w:rPr>
          <w:rFonts w:ascii="Calibri" w:eastAsia="Cambria" w:hAnsi="Calibri" w:cs="Calibri"/>
          <w:sz w:val="16"/>
          <w:szCs w:val="24"/>
          <w:lang w:val="en-AU"/>
        </w:rPr>
        <w:t>0</w:t>
      </w:r>
      <w:r w:rsidRPr="00A37634">
        <w:rPr>
          <w:rFonts w:ascii="Calibri" w:eastAsia="Cambria" w:hAnsi="Calibri" w:cs="Calibri"/>
          <w:sz w:val="16"/>
          <w:szCs w:val="24"/>
          <w:lang w:val="en-AU"/>
        </w:rPr>
        <w:t>-203</w:t>
      </w:r>
      <w:r w:rsidR="00441911">
        <w:rPr>
          <w:rFonts w:ascii="Calibri" w:eastAsia="Cambria" w:hAnsi="Calibri" w:cs="Calibri"/>
          <w:sz w:val="16"/>
          <w:szCs w:val="24"/>
          <w:lang w:val="en-AU"/>
        </w:rPr>
        <w:t>6</w:t>
      </w:r>
      <w:r w:rsidRPr="00A37634">
        <w:rPr>
          <w:rFonts w:ascii="Calibri" w:eastAsia="Cambria" w:hAnsi="Calibri" w:cs="Calibri"/>
          <w:sz w:val="16"/>
          <w:szCs w:val="24"/>
          <w:lang w:val="en-AU"/>
        </w:rPr>
        <w:t xml:space="preserve"> </w:t>
      </w:r>
    </w:p>
    <w:p w14:paraId="2F0D971F" w14:textId="7B2C9639" w:rsidR="00A37634" w:rsidRDefault="00A37634" w:rsidP="00A37634">
      <w:pPr>
        <w:spacing w:after="120" w:line="276" w:lineRule="auto"/>
        <w:rPr>
          <w:rFonts w:ascii="Calibri" w:eastAsia="Calibri" w:hAnsi="Calibri" w:cs="Calibri"/>
          <w:szCs w:val="20"/>
          <w:lang w:val="en-AU"/>
        </w:rPr>
      </w:pPr>
    </w:p>
    <w:p w14:paraId="376B523C" w14:textId="60115F2C" w:rsidR="00A37634" w:rsidRPr="00A37634" w:rsidRDefault="00A37634" w:rsidP="003221FC">
      <w:pPr>
        <w:spacing w:before="240" w:after="120" w:line="240" w:lineRule="auto"/>
        <w:jc w:val="center"/>
        <w:rPr>
          <w:rFonts w:ascii="Calibri" w:eastAsia="Cambria" w:hAnsi="Calibri" w:cs="Calibri"/>
          <w:b/>
          <w:bCs/>
          <w:sz w:val="20"/>
          <w:szCs w:val="16"/>
          <w:lang w:val="en-AU"/>
        </w:rPr>
      </w:pPr>
      <w:bookmarkStart w:id="121" w:name="_Ref14778906"/>
      <w:bookmarkStart w:id="122" w:name="_Toc22486962"/>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41269">
        <w:rPr>
          <w:rFonts w:ascii="Calibri" w:eastAsia="Cambria" w:hAnsi="Calibri" w:cs="Calibri"/>
          <w:b/>
          <w:bCs/>
          <w:noProof/>
          <w:sz w:val="20"/>
          <w:szCs w:val="16"/>
          <w:lang w:val="en-AU"/>
        </w:rPr>
        <w:t>18</w:t>
      </w:r>
      <w:r w:rsidRPr="00A37634">
        <w:rPr>
          <w:rFonts w:ascii="Calibri" w:eastAsia="Cambria" w:hAnsi="Calibri" w:cs="Calibri"/>
          <w:b/>
          <w:bCs/>
          <w:noProof/>
          <w:sz w:val="20"/>
          <w:szCs w:val="16"/>
          <w:lang w:val="en-AU"/>
        </w:rPr>
        <w:fldChar w:fldCharType="end"/>
      </w:r>
      <w:bookmarkEnd w:id="121"/>
      <w:r w:rsidRPr="00A37634">
        <w:rPr>
          <w:rFonts w:ascii="Calibri" w:eastAsia="Cambria" w:hAnsi="Calibri" w:cs="Calibri"/>
          <w:b/>
          <w:bCs/>
          <w:sz w:val="20"/>
          <w:szCs w:val="16"/>
          <w:lang w:val="en-AU"/>
        </w:rPr>
        <w:t>. Projected costs and benefits by appliance. New Zealand (high activation)</w:t>
      </w:r>
      <w:bookmarkEnd w:id="122"/>
    </w:p>
    <w:tbl>
      <w:tblPr>
        <w:tblW w:w="8651" w:type="dxa"/>
        <w:jc w:val="center"/>
        <w:tblLayout w:type="fixed"/>
        <w:tblCellMar>
          <w:left w:w="0" w:type="dxa"/>
          <w:right w:w="0" w:type="dxa"/>
        </w:tblCellMar>
        <w:tblLook w:val="0000" w:firstRow="0" w:lastRow="0" w:firstColumn="0" w:lastColumn="0" w:noHBand="0" w:noVBand="0"/>
      </w:tblPr>
      <w:tblGrid>
        <w:gridCol w:w="1271"/>
        <w:gridCol w:w="1276"/>
        <w:gridCol w:w="917"/>
        <w:gridCol w:w="1089"/>
        <w:gridCol w:w="1089"/>
        <w:gridCol w:w="874"/>
        <w:gridCol w:w="709"/>
        <w:gridCol w:w="786"/>
        <w:gridCol w:w="640"/>
      </w:tblGrid>
      <w:tr w:rsidR="00441911" w:rsidRPr="007254CA" w14:paraId="43075860" w14:textId="77777777" w:rsidTr="005958CF">
        <w:trPr>
          <w:cantSplit/>
          <w:trHeight w:val="533"/>
          <w:tblHeader/>
          <w:jc w:val="center"/>
        </w:trPr>
        <w:tc>
          <w:tcPr>
            <w:tcW w:w="1271" w:type="dxa"/>
            <w:vMerge w:val="restart"/>
            <w:tcBorders>
              <w:top w:val="single" w:sz="4" w:space="0" w:color="auto"/>
              <w:left w:val="single" w:sz="4" w:space="0" w:color="auto"/>
              <w:bottom w:val="single" w:sz="4" w:space="0" w:color="auto"/>
              <w:right w:val="single" w:sz="4" w:space="0" w:color="auto"/>
            </w:tcBorders>
            <w:noWrap/>
          </w:tcPr>
          <w:p w14:paraId="04F9EAF0" w14:textId="77777777" w:rsidR="00441911" w:rsidRPr="007254CA" w:rsidRDefault="00441911" w:rsidP="005958CF">
            <w:pPr>
              <w:spacing w:before="60" w:after="60" w:line="240" w:lineRule="auto"/>
              <w:jc w:val="center"/>
              <w:rPr>
                <w:rFonts w:ascii="Calibri" w:eastAsia="Arial Unicode MS" w:hAnsi="Calibri" w:cs="Calibri"/>
                <w:bCs/>
                <w:sz w:val="18"/>
                <w:szCs w:val="18"/>
                <w:lang w:val="en-AU"/>
              </w:rPr>
            </w:pPr>
          </w:p>
        </w:tc>
        <w:tc>
          <w:tcPr>
            <w:tcW w:w="1276" w:type="dxa"/>
            <w:vMerge w:val="restart"/>
            <w:tcBorders>
              <w:top w:val="single" w:sz="4" w:space="0" w:color="auto"/>
              <w:left w:val="single" w:sz="4" w:space="0" w:color="auto"/>
              <w:bottom w:val="single" w:sz="4" w:space="0" w:color="auto"/>
            </w:tcBorders>
            <w:noWrap/>
          </w:tcPr>
          <w:p w14:paraId="02B6B0A3" w14:textId="77777777" w:rsidR="00441911" w:rsidRPr="007254CA" w:rsidRDefault="00441911"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Routine DLC Reduction available SMD 2036, MWe (a)</w:t>
            </w:r>
          </w:p>
        </w:tc>
        <w:tc>
          <w:tcPr>
            <w:tcW w:w="917" w:type="dxa"/>
            <w:vMerge w:val="restart"/>
            <w:tcBorders>
              <w:top w:val="single" w:sz="4" w:space="0" w:color="auto"/>
              <w:bottom w:val="single" w:sz="4" w:space="0" w:color="auto"/>
            </w:tcBorders>
            <w:noWrap/>
          </w:tcPr>
          <w:p w14:paraId="35A32094" w14:textId="77777777" w:rsidR="00441911" w:rsidRPr="007254CA" w:rsidRDefault="00441911"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Costs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4E258C8F" w14:textId="77777777" w:rsidR="00441911" w:rsidRPr="007254CA" w:rsidRDefault="00441911" w:rsidP="005958CF">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118E1CAC" w14:textId="77777777" w:rsidR="00441911" w:rsidRPr="007254CA" w:rsidRDefault="00441911"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p w14:paraId="13EEBA58" w14:textId="77777777" w:rsidR="00441911" w:rsidRPr="007254CA" w:rsidRDefault="00441911" w:rsidP="005958CF">
            <w:pPr>
              <w:spacing w:before="60" w:after="60" w:line="240" w:lineRule="auto"/>
              <w:jc w:val="center"/>
              <w:rPr>
                <w:rFonts w:ascii="Calibri" w:eastAsia="Arial Unicode MS" w:hAnsi="Calibri" w:cs="Calibri"/>
                <w:bCs/>
                <w:sz w:val="18"/>
                <w:szCs w:val="18"/>
                <w:lang w:val="en-AU"/>
              </w:rPr>
            </w:pPr>
          </w:p>
        </w:tc>
        <w:tc>
          <w:tcPr>
            <w:tcW w:w="1089" w:type="dxa"/>
            <w:vMerge w:val="restart"/>
            <w:tcBorders>
              <w:top w:val="single" w:sz="4" w:space="0" w:color="auto"/>
              <w:bottom w:val="single" w:sz="4" w:space="0" w:color="auto"/>
            </w:tcBorders>
            <w:noWrap/>
          </w:tcPr>
          <w:p w14:paraId="486F7CDD" w14:textId="77777777" w:rsidR="00441911" w:rsidRPr="007254CA" w:rsidRDefault="00441911"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Net</w:t>
            </w:r>
            <w:r w:rsidRPr="007254CA">
              <w:rPr>
                <w:rFonts w:ascii="Calibri" w:eastAsia="Times New Roman" w:hAnsi="Calibri" w:cs="Calibri"/>
                <w:bCs/>
                <w:sz w:val="18"/>
                <w:szCs w:val="18"/>
                <w:lang w:val="en-AU"/>
              </w:rPr>
              <w:br/>
              <w:t>Benefits</w:t>
            </w:r>
            <w:r w:rsidRPr="007254CA">
              <w:rPr>
                <w:rFonts w:ascii="Calibri" w:eastAsia="Times New Roman" w:hAnsi="Calibri" w:cs="Calibri"/>
                <w:bCs/>
                <w:sz w:val="18"/>
                <w:szCs w:val="18"/>
                <w:lang w:val="en-AU"/>
              </w:rPr>
              <w:br/>
              <w:t>$M NPV</w:t>
            </w:r>
            <w:r w:rsidRPr="007254CA">
              <w:rPr>
                <w:rFonts w:ascii="Calibri" w:eastAsia="Times New Roman" w:hAnsi="Calibri" w:cs="Calibri"/>
                <w:bCs/>
                <w:sz w:val="18"/>
                <w:szCs w:val="18"/>
                <w:lang w:val="en-AU"/>
              </w:rPr>
              <w:br/>
              <w:t>(b)</w:t>
            </w:r>
          </w:p>
        </w:tc>
        <w:tc>
          <w:tcPr>
            <w:tcW w:w="874" w:type="dxa"/>
            <w:vMerge w:val="restart"/>
            <w:tcBorders>
              <w:top w:val="single" w:sz="4" w:space="0" w:color="auto"/>
              <w:bottom w:val="single" w:sz="4" w:space="0" w:color="auto"/>
            </w:tcBorders>
          </w:tcPr>
          <w:p w14:paraId="7815FB48" w14:textId="77777777" w:rsidR="00441911" w:rsidRPr="007254CA" w:rsidRDefault="00441911"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 xml:space="preserve">% net </w:t>
            </w:r>
            <w:r w:rsidRPr="007254CA">
              <w:rPr>
                <w:rFonts w:ascii="Calibri" w:eastAsia="Times New Roman" w:hAnsi="Calibri" w:cs="Calibri"/>
                <w:bCs/>
                <w:sz w:val="18"/>
                <w:szCs w:val="18"/>
                <w:lang w:val="en-AU"/>
              </w:rPr>
              <w:br/>
              <w:t>national</w:t>
            </w:r>
            <w:r w:rsidRPr="007254CA">
              <w:rPr>
                <w:rFonts w:ascii="Calibri" w:eastAsia="Times New Roman" w:hAnsi="Calibri" w:cs="Calibri"/>
                <w:bCs/>
                <w:sz w:val="18"/>
                <w:szCs w:val="18"/>
                <w:lang w:val="en-AU"/>
              </w:rPr>
              <w:br/>
              <w:t>benefits</w:t>
            </w:r>
          </w:p>
        </w:tc>
        <w:tc>
          <w:tcPr>
            <w:tcW w:w="709" w:type="dxa"/>
            <w:vMerge w:val="restart"/>
            <w:tcBorders>
              <w:top w:val="single" w:sz="4" w:space="0" w:color="auto"/>
              <w:bottom w:val="single" w:sz="4" w:space="0" w:color="auto"/>
              <w:right w:val="single" w:sz="4" w:space="0" w:color="auto"/>
            </w:tcBorders>
            <w:noWrap/>
          </w:tcPr>
          <w:p w14:paraId="7E55E08E" w14:textId="77777777" w:rsidR="00441911" w:rsidRPr="007254CA" w:rsidRDefault="00441911" w:rsidP="005958CF">
            <w:pPr>
              <w:spacing w:before="60" w:after="60" w:line="240" w:lineRule="auto"/>
              <w:jc w:val="center"/>
              <w:rPr>
                <w:rFonts w:ascii="Calibri" w:eastAsia="Arial Unicode MS" w:hAnsi="Calibri" w:cs="Calibri"/>
                <w:bCs/>
                <w:sz w:val="18"/>
                <w:szCs w:val="18"/>
                <w:lang w:val="en-AU"/>
              </w:rPr>
            </w:pPr>
            <w:r w:rsidRPr="007254CA">
              <w:rPr>
                <w:rFonts w:ascii="Calibri" w:eastAsia="Times New Roman" w:hAnsi="Calibri" w:cs="Calibri"/>
                <w:bCs/>
                <w:sz w:val="18"/>
                <w:szCs w:val="18"/>
                <w:lang w:val="en-AU"/>
              </w:rPr>
              <w:t>B/C ratio</w:t>
            </w:r>
          </w:p>
        </w:tc>
        <w:tc>
          <w:tcPr>
            <w:tcW w:w="1426" w:type="dxa"/>
            <w:gridSpan w:val="2"/>
            <w:tcBorders>
              <w:top w:val="single" w:sz="4" w:space="0" w:color="auto"/>
              <w:left w:val="single" w:sz="4" w:space="0" w:color="auto"/>
              <w:bottom w:val="single" w:sz="4" w:space="0" w:color="auto"/>
              <w:right w:val="single" w:sz="4" w:space="0" w:color="auto"/>
            </w:tcBorders>
          </w:tcPr>
          <w:p w14:paraId="3F949AE7" w14:textId="77777777" w:rsidR="00441911" w:rsidRPr="007254CA" w:rsidRDefault="00441911"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Without whole-sale price benefit</w:t>
            </w:r>
          </w:p>
        </w:tc>
      </w:tr>
      <w:tr w:rsidR="00441911" w:rsidRPr="00A37634" w14:paraId="56B827FB" w14:textId="77777777" w:rsidTr="005958CF">
        <w:trPr>
          <w:cantSplit/>
          <w:trHeight w:val="433"/>
          <w:tblHeader/>
          <w:jc w:val="center"/>
        </w:trPr>
        <w:tc>
          <w:tcPr>
            <w:tcW w:w="1271" w:type="dxa"/>
            <w:vMerge/>
            <w:tcBorders>
              <w:left w:val="single" w:sz="4" w:space="0" w:color="auto"/>
              <w:bottom w:val="single" w:sz="4" w:space="0" w:color="auto"/>
              <w:right w:val="single" w:sz="4" w:space="0" w:color="auto"/>
            </w:tcBorders>
            <w:noWrap/>
          </w:tcPr>
          <w:p w14:paraId="0BD62728" w14:textId="77777777" w:rsidR="00441911" w:rsidRPr="00A37634" w:rsidRDefault="00441911" w:rsidP="005958CF">
            <w:pPr>
              <w:spacing w:before="60" w:after="60" w:line="240" w:lineRule="auto"/>
              <w:jc w:val="center"/>
              <w:rPr>
                <w:rFonts w:ascii="Calibri" w:eastAsia="Arial Unicode MS" w:hAnsi="Calibri" w:cs="Calibri"/>
                <w:b/>
                <w:sz w:val="18"/>
                <w:szCs w:val="18"/>
                <w:lang w:val="en-AU"/>
              </w:rPr>
            </w:pPr>
          </w:p>
        </w:tc>
        <w:tc>
          <w:tcPr>
            <w:tcW w:w="1276" w:type="dxa"/>
            <w:vMerge/>
            <w:tcBorders>
              <w:left w:val="single" w:sz="4" w:space="0" w:color="auto"/>
              <w:bottom w:val="single" w:sz="4" w:space="0" w:color="auto"/>
            </w:tcBorders>
            <w:noWrap/>
          </w:tcPr>
          <w:p w14:paraId="31A8D990" w14:textId="77777777" w:rsidR="00441911" w:rsidRPr="00A37634" w:rsidRDefault="00441911" w:rsidP="005958CF">
            <w:pPr>
              <w:spacing w:before="60" w:after="60" w:line="240" w:lineRule="auto"/>
              <w:jc w:val="center"/>
              <w:rPr>
                <w:rFonts w:ascii="Calibri" w:eastAsia="Times New Roman" w:hAnsi="Calibri" w:cs="Calibri"/>
                <w:b/>
                <w:sz w:val="18"/>
                <w:szCs w:val="18"/>
                <w:lang w:val="en-AU"/>
              </w:rPr>
            </w:pPr>
          </w:p>
        </w:tc>
        <w:tc>
          <w:tcPr>
            <w:tcW w:w="917" w:type="dxa"/>
            <w:vMerge/>
            <w:tcBorders>
              <w:bottom w:val="single" w:sz="4" w:space="0" w:color="auto"/>
            </w:tcBorders>
            <w:noWrap/>
          </w:tcPr>
          <w:p w14:paraId="35AF2D59" w14:textId="77777777" w:rsidR="00441911" w:rsidRPr="00A37634" w:rsidRDefault="00441911" w:rsidP="005958CF">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1C6B867A" w14:textId="77777777" w:rsidR="00441911" w:rsidRPr="00A37634" w:rsidRDefault="00441911" w:rsidP="005958CF">
            <w:pPr>
              <w:spacing w:before="60" w:after="60" w:line="240" w:lineRule="auto"/>
              <w:jc w:val="center"/>
              <w:rPr>
                <w:rFonts w:ascii="Calibri" w:eastAsia="Times New Roman" w:hAnsi="Calibri" w:cs="Calibri"/>
                <w:b/>
                <w:sz w:val="18"/>
                <w:szCs w:val="18"/>
                <w:lang w:val="en-AU"/>
              </w:rPr>
            </w:pPr>
          </w:p>
        </w:tc>
        <w:tc>
          <w:tcPr>
            <w:tcW w:w="1089" w:type="dxa"/>
            <w:vMerge/>
            <w:tcBorders>
              <w:bottom w:val="single" w:sz="4" w:space="0" w:color="auto"/>
            </w:tcBorders>
            <w:noWrap/>
          </w:tcPr>
          <w:p w14:paraId="6412B34F" w14:textId="77777777" w:rsidR="00441911" w:rsidRPr="00A37634" w:rsidRDefault="00441911" w:rsidP="005958CF">
            <w:pPr>
              <w:spacing w:before="60" w:after="60" w:line="240" w:lineRule="auto"/>
              <w:jc w:val="center"/>
              <w:rPr>
                <w:rFonts w:ascii="Calibri" w:eastAsia="Times New Roman" w:hAnsi="Calibri" w:cs="Calibri"/>
                <w:b/>
                <w:sz w:val="18"/>
                <w:szCs w:val="18"/>
                <w:lang w:val="en-AU"/>
              </w:rPr>
            </w:pPr>
          </w:p>
        </w:tc>
        <w:tc>
          <w:tcPr>
            <w:tcW w:w="874" w:type="dxa"/>
            <w:vMerge/>
            <w:tcBorders>
              <w:bottom w:val="single" w:sz="4" w:space="0" w:color="auto"/>
            </w:tcBorders>
          </w:tcPr>
          <w:p w14:paraId="3C75D85B" w14:textId="77777777" w:rsidR="00441911" w:rsidRPr="00A37634" w:rsidRDefault="00441911" w:rsidP="005958CF">
            <w:pPr>
              <w:spacing w:before="60" w:after="60" w:line="240" w:lineRule="auto"/>
              <w:jc w:val="center"/>
              <w:rPr>
                <w:rFonts w:ascii="Calibri" w:eastAsia="Times New Roman" w:hAnsi="Calibri" w:cs="Calibri"/>
                <w:b/>
                <w:sz w:val="18"/>
                <w:szCs w:val="18"/>
                <w:lang w:val="en-AU"/>
              </w:rPr>
            </w:pPr>
          </w:p>
        </w:tc>
        <w:tc>
          <w:tcPr>
            <w:tcW w:w="709" w:type="dxa"/>
            <w:vMerge/>
            <w:tcBorders>
              <w:bottom w:val="single" w:sz="4" w:space="0" w:color="auto"/>
              <w:right w:val="single" w:sz="4" w:space="0" w:color="auto"/>
            </w:tcBorders>
            <w:noWrap/>
          </w:tcPr>
          <w:p w14:paraId="0FFA022A" w14:textId="77777777" w:rsidR="00441911" w:rsidRPr="00A37634" w:rsidRDefault="00441911" w:rsidP="005958CF">
            <w:pPr>
              <w:spacing w:before="60" w:after="60" w:line="240" w:lineRule="auto"/>
              <w:jc w:val="center"/>
              <w:rPr>
                <w:rFonts w:ascii="Calibri" w:eastAsia="Times New Roman" w:hAnsi="Calibri" w:cs="Calibri"/>
                <w:b/>
                <w:sz w:val="18"/>
                <w:szCs w:val="18"/>
                <w:lang w:val="en-AU"/>
              </w:rPr>
            </w:pPr>
          </w:p>
        </w:tc>
        <w:tc>
          <w:tcPr>
            <w:tcW w:w="786" w:type="dxa"/>
            <w:tcBorders>
              <w:top w:val="single" w:sz="4" w:space="0" w:color="auto"/>
              <w:left w:val="single" w:sz="4" w:space="0" w:color="auto"/>
              <w:bottom w:val="single" w:sz="4" w:space="0" w:color="auto"/>
            </w:tcBorders>
          </w:tcPr>
          <w:p w14:paraId="0531B657" w14:textId="77777777" w:rsidR="00441911" w:rsidRPr="007254CA" w:rsidRDefault="00441911"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$M Net</w:t>
            </w:r>
            <w:r w:rsidRPr="007254CA">
              <w:rPr>
                <w:rFonts w:ascii="Calibri" w:eastAsia="Times New Roman" w:hAnsi="Calibri" w:cs="Calibri"/>
                <w:bCs/>
                <w:sz w:val="18"/>
                <w:szCs w:val="18"/>
                <w:lang w:val="en-AU"/>
              </w:rPr>
              <w:br/>
              <w:t>benefit</w:t>
            </w:r>
          </w:p>
        </w:tc>
        <w:tc>
          <w:tcPr>
            <w:tcW w:w="640" w:type="dxa"/>
            <w:tcBorders>
              <w:top w:val="single" w:sz="4" w:space="0" w:color="auto"/>
              <w:bottom w:val="single" w:sz="4" w:space="0" w:color="auto"/>
              <w:right w:val="single" w:sz="4" w:space="0" w:color="auto"/>
            </w:tcBorders>
          </w:tcPr>
          <w:p w14:paraId="5F2CDA1B" w14:textId="77777777" w:rsidR="00441911" w:rsidRPr="007254CA" w:rsidRDefault="00441911" w:rsidP="005958CF">
            <w:pPr>
              <w:spacing w:before="60" w:after="60" w:line="240" w:lineRule="auto"/>
              <w:jc w:val="center"/>
              <w:rPr>
                <w:rFonts w:ascii="Calibri" w:eastAsia="Times New Roman" w:hAnsi="Calibri" w:cs="Calibri"/>
                <w:bCs/>
                <w:sz w:val="18"/>
                <w:szCs w:val="18"/>
                <w:lang w:val="en-AU"/>
              </w:rPr>
            </w:pPr>
            <w:r w:rsidRPr="007254CA">
              <w:rPr>
                <w:rFonts w:ascii="Calibri" w:eastAsia="Times New Roman" w:hAnsi="Calibri" w:cs="Calibri"/>
                <w:bCs/>
                <w:sz w:val="18"/>
                <w:szCs w:val="18"/>
                <w:lang w:val="en-AU"/>
              </w:rPr>
              <w:t>B/C ratio</w:t>
            </w:r>
          </w:p>
        </w:tc>
      </w:tr>
      <w:tr w:rsidR="00441911" w:rsidRPr="00441911" w14:paraId="2561453D" w14:textId="77777777" w:rsidTr="005958CF">
        <w:trPr>
          <w:trHeight w:val="255"/>
          <w:jc w:val="center"/>
        </w:trPr>
        <w:tc>
          <w:tcPr>
            <w:tcW w:w="1271" w:type="dxa"/>
            <w:tcBorders>
              <w:top w:val="single" w:sz="4" w:space="0" w:color="auto"/>
              <w:left w:val="single" w:sz="4" w:space="0" w:color="auto"/>
              <w:bottom w:val="nil"/>
              <w:right w:val="single" w:sz="4" w:space="0" w:color="auto"/>
            </w:tcBorders>
            <w:noWrap/>
          </w:tcPr>
          <w:p w14:paraId="71E2B0C8" w14:textId="77777777" w:rsidR="00441911" w:rsidRPr="00441911" w:rsidRDefault="00441911" w:rsidP="00441911">
            <w:pPr>
              <w:tabs>
                <w:tab w:val="left" w:pos="3293"/>
              </w:tabs>
              <w:spacing w:before="60" w:after="60" w:line="240" w:lineRule="auto"/>
              <w:ind w:left="35"/>
              <w:rPr>
                <w:rFonts w:ascii="Calibri" w:eastAsia="Times New Roman" w:hAnsi="Calibri" w:cs="Calibri"/>
                <w:sz w:val="18"/>
                <w:szCs w:val="18"/>
                <w:lang w:val="en-AU"/>
              </w:rPr>
            </w:pPr>
            <w:r w:rsidRPr="00441911">
              <w:rPr>
                <w:rFonts w:ascii="Calibri" w:eastAsia="Times New Roman" w:hAnsi="Calibri" w:cs="Calibri"/>
                <w:sz w:val="18"/>
                <w:szCs w:val="18"/>
                <w:lang w:val="en-AU"/>
              </w:rPr>
              <w:t>Air Conds</w:t>
            </w:r>
          </w:p>
        </w:tc>
        <w:tc>
          <w:tcPr>
            <w:tcW w:w="1276" w:type="dxa"/>
            <w:tcBorders>
              <w:top w:val="nil"/>
              <w:left w:val="single" w:sz="4" w:space="0" w:color="auto"/>
              <w:bottom w:val="nil"/>
              <w:right w:val="nil"/>
            </w:tcBorders>
            <w:shd w:val="clear" w:color="auto" w:fill="auto"/>
            <w:noWrap/>
            <w:vAlign w:val="bottom"/>
          </w:tcPr>
          <w:p w14:paraId="20A4D860" w14:textId="0281243C"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334</w:t>
            </w:r>
          </w:p>
        </w:tc>
        <w:tc>
          <w:tcPr>
            <w:tcW w:w="917" w:type="dxa"/>
            <w:tcBorders>
              <w:top w:val="nil"/>
              <w:left w:val="nil"/>
              <w:bottom w:val="nil"/>
              <w:right w:val="nil"/>
            </w:tcBorders>
            <w:shd w:val="clear" w:color="auto" w:fill="auto"/>
            <w:noWrap/>
            <w:vAlign w:val="bottom"/>
          </w:tcPr>
          <w:p w14:paraId="6F0DAE1E" w14:textId="5399F2BA"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$75</w:t>
            </w:r>
          </w:p>
        </w:tc>
        <w:tc>
          <w:tcPr>
            <w:tcW w:w="1089" w:type="dxa"/>
            <w:tcBorders>
              <w:top w:val="nil"/>
              <w:left w:val="nil"/>
              <w:bottom w:val="nil"/>
              <w:right w:val="nil"/>
            </w:tcBorders>
            <w:shd w:val="clear" w:color="auto" w:fill="auto"/>
            <w:noWrap/>
            <w:vAlign w:val="bottom"/>
          </w:tcPr>
          <w:p w14:paraId="7ADDAD88" w14:textId="5E3A2110"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$230</w:t>
            </w:r>
          </w:p>
        </w:tc>
        <w:tc>
          <w:tcPr>
            <w:tcW w:w="1089" w:type="dxa"/>
            <w:tcBorders>
              <w:top w:val="nil"/>
              <w:left w:val="nil"/>
              <w:bottom w:val="nil"/>
              <w:right w:val="nil"/>
            </w:tcBorders>
            <w:shd w:val="clear" w:color="auto" w:fill="auto"/>
            <w:noWrap/>
            <w:vAlign w:val="bottom"/>
          </w:tcPr>
          <w:p w14:paraId="25572555" w14:textId="3D0F8A88"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$155</w:t>
            </w:r>
          </w:p>
        </w:tc>
        <w:tc>
          <w:tcPr>
            <w:tcW w:w="874" w:type="dxa"/>
            <w:tcBorders>
              <w:top w:val="nil"/>
              <w:left w:val="nil"/>
              <w:bottom w:val="nil"/>
              <w:right w:val="nil"/>
            </w:tcBorders>
            <w:shd w:val="clear" w:color="auto" w:fill="auto"/>
            <w:vAlign w:val="bottom"/>
          </w:tcPr>
          <w:p w14:paraId="1B3FE926" w14:textId="44D7CD5F"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5.5%</w:t>
            </w:r>
          </w:p>
        </w:tc>
        <w:tc>
          <w:tcPr>
            <w:tcW w:w="709" w:type="dxa"/>
            <w:tcBorders>
              <w:top w:val="nil"/>
              <w:left w:val="nil"/>
              <w:bottom w:val="nil"/>
              <w:right w:val="single" w:sz="4" w:space="0" w:color="auto"/>
            </w:tcBorders>
            <w:shd w:val="clear" w:color="auto" w:fill="auto"/>
            <w:noWrap/>
            <w:vAlign w:val="bottom"/>
          </w:tcPr>
          <w:p w14:paraId="7DE02447" w14:textId="4912E2FE"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3.1</w:t>
            </w:r>
          </w:p>
        </w:tc>
        <w:tc>
          <w:tcPr>
            <w:tcW w:w="786" w:type="dxa"/>
            <w:tcBorders>
              <w:top w:val="nil"/>
              <w:left w:val="nil"/>
              <w:bottom w:val="nil"/>
              <w:right w:val="nil"/>
            </w:tcBorders>
            <w:shd w:val="clear" w:color="auto" w:fill="auto"/>
            <w:vAlign w:val="bottom"/>
          </w:tcPr>
          <w:p w14:paraId="1ADCB0F4" w14:textId="1BA2AAE4"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$155</w:t>
            </w:r>
          </w:p>
        </w:tc>
        <w:tc>
          <w:tcPr>
            <w:tcW w:w="640" w:type="dxa"/>
            <w:tcBorders>
              <w:top w:val="nil"/>
              <w:left w:val="nil"/>
              <w:bottom w:val="nil"/>
              <w:right w:val="single" w:sz="4" w:space="0" w:color="auto"/>
            </w:tcBorders>
            <w:shd w:val="clear" w:color="auto" w:fill="auto"/>
            <w:vAlign w:val="bottom"/>
          </w:tcPr>
          <w:p w14:paraId="1F7D4F8B" w14:textId="2768790A"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3.1</w:t>
            </w:r>
          </w:p>
        </w:tc>
      </w:tr>
      <w:tr w:rsidR="00441911" w:rsidRPr="00441911" w14:paraId="71A1F642" w14:textId="77777777" w:rsidTr="005958CF">
        <w:trPr>
          <w:trHeight w:val="255"/>
          <w:jc w:val="center"/>
        </w:trPr>
        <w:tc>
          <w:tcPr>
            <w:tcW w:w="1271" w:type="dxa"/>
            <w:tcBorders>
              <w:top w:val="nil"/>
              <w:left w:val="single" w:sz="4" w:space="0" w:color="auto"/>
              <w:bottom w:val="nil"/>
              <w:right w:val="single" w:sz="4" w:space="0" w:color="auto"/>
            </w:tcBorders>
            <w:noWrap/>
          </w:tcPr>
          <w:p w14:paraId="1FAA026A" w14:textId="77777777" w:rsidR="00441911" w:rsidRPr="00441911" w:rsidRDefault="00441911" w:rsidP="00441911">
            <w:pPr>
              <w:tabs>
                <w:tab w:val="left" w:pos="3293"/>
              </w:tabs>
              <w:spacing w:before="60" w:after="60" w:line="240" w:lineRule="auto"/>
              <w:ind w:left="35"/>
              <w:rPr>
                <w:rFonts w:ascii="Calibri" w:eastAsia="Times New Roman" w:hAnsi="Calibri" w:cs="Calibri"/>
                <w:sz w:val="18"/>
                <w:szCs w:val="18"/>
                <w:lang w:val="en-AU"/>
              </w:rPr>
            </w:pPr>
            <w:r w:rsidRPr="00441911">
              <w:rPr>
                <w:rFonts w:ascii="Calibri" w:eastAsia="Times New Roman" w:hAnsi="Calibri" w:cs="Calibri"/>
                <w:sz w:val="18"/>
                <w:szCs w:val="18"/>
                <w:lang w:val="en-AU"/>
              </w:rPr>
              <w:t>PP Controllers</w:t>
            </w:r>
          </w:p>
        </w:tc>
        <w:tc>
          <w:tcPr>
            <w:tcW w:w="1276" w:type="dxa"/>
            <w:tcBorders>
              <w:top w:val="nil"/>
              <w:left w:val="single" w:sz="4" w:space="0" w:color="auto"/>
              <w:bottom w:val="nil"/>
              <w:right w:val="nil"/>
            </w:tcBorders>
            <w:shd w:val="clear" w:color="auto" w:fill="auto"/>
            <w:noWrap/>
            <w:vAlign w:val="bottom"/>
          </w:tcPr>
          <w:p w14:paraId="582B5A66" w14:textId="187F5603"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hAnsi="Calibri" w:cs="Calibri"/>
                <w:color w:val="000000"/>
                <w:sz w:val="18"/>
                <w:szCs w:val="18"/>
              </w:rPr>
              <w:t>NA</w:t>
            </w:r>
          </w:p>
        </w:tc>
        <w:tc>
          <w:tcPr>
            <w:tcW w:w="917" w:type="dxa"/>
            <w:tcBorders>
              <w:top w:val="nil"/>
              <w:left w:val="nil"/>
              <w:bottom w:val="nil"/>
              <w:right w:val="nil"/>
            </w:tcBorders>
            <w:shd w:val="clear" w:color="auto" w:fill="auto"/>
            <w:noWrap/>
            <w:vAlign w:val="bottom"/>
          </w:tcPr>
          <w:p w14:paraId="1237D63F" w14:textId="68136A56"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1089" w:type="dxa"/>
            <w:tcBorders>
              <w:top w:val="nil"/>
              <w:left w:val="nil"/>
              <w:bottom w:val="nil"/>
              <w:right w:val="nil"/>
            </w:tcBorders>
            <w:shd w:val="clear" w:color="auto" w:fill="auto"/>
            <w:noWrap/>
            <w:vAlign w:val="bottom"/>
          </w:tcPr>
          <w:p w14:paraId="0322E48A" w14:textId="4BE34D64"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1089" w:type="dxa"/>
            <w:tcBorders>
              <w:top w:val="nil"/>
              <w:left w:val="nil"/>
              <w:bottom w:val="nil"/>
              <w:right w:val="nil"/>
            </w:tcBorders>
            <w:shd w:val="clear" w:color="auto" w:fill="auto"/>
            <w:noWrap/>
            <w:vAlign w:val="bottom"/>
          </w:tcPr>
          <w:p w14:paraId="6CA637B4" w14:textId="6A1CE199"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874" w:type="dxa"/>
            <w:tcBorders>
              <w:top w:val="nil"/>
              <w:left w:val="nil"/>
              <w:bottom w:val="nil"/>
              <w:right w:val="nil"/>
            </w:tcBorders>
            <w:shd w:val="clear" w:color="auto" w:fill="auto"/>
            <w:vAlign w:val="bottom"/>
          </w:tcPr>
          <w:p w14:paraId="3FB3EFBA" w14:textId="7107967A"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Pr>
                <w:rFonts w:ascii="Calibri" w:eastAsia="Times New Roman" w:hAnsi="Calibri" w:cs="Calibri"/>
                <w:sz w:val="18"/>
                <w:szCs w:val="18"/>
                <w:lang w:val="en-AU"/>
              </w:rPr>
              <w:t>NA</w:t>
            </w:r>
          </w:p>
        </w:tc>
        <w:tc>
          <w:tcPr>
            <w:tcW w:w="709" w:type="dxa"/>
            <w:tcBorders>
              <w:top w:val="nil"/>
              <w:left w:val="nil"/>
              <w:bottom w:val="nil"/>
              <w:right w:val="single" w:sz="4" w:space="0" w:color="auto"/>
            </w:tcBorders>
            <w:shd w:val="clear" w:color="auto" w:fill="auto"/>
            <w:noWrap/>
            <w:vAlign w:val="bottom"/>
          </w:tcPr>
          <w:p w14:paraId="75007C5F" w14:textId="5A5CF165"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c>
          <w:tcPr>
            <w:tcW w:w="786" w:type="dxa"/>
            <w:tcBorders>
              <w:top w:val="nil"/>
              <w:left w:val="nil"/>
              <w:bottom w:val="nil"/>
              <w:right w:val="nil"/>
            </w:tcBorders>
            <w:shd w:val="clear" w:color="auto" w:fill="auto"/>
            <w:vAlign w:val="bottom"/>
          </w:tcPr>
          <w:p w14:paraId="2EB0457E" w14:textId="3AA59273"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c>
          <w:tcPr>
            <w:tcW w:w="640" w:type="dxa"/>
            <w:tcBorders>
              <w:top w:val="nil"/>
              <w:left w:val="nil"/>
              <w:bottom w:val="nil"/>
              <w:right w:val="single" w:sz="4" w:space="0" w:color="auto"/>
            </w:tcBorders>
            <w:shd w:val="clear" w:color="auto" w:fill="auto"/>
            <w:vAlign w:val="bottom"/>
          </w:tcPr>
          <w:p w14:paraId="3B66CBB7" w14:textId="1F8A29A5"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Pr>
                <w:rFonts w:ascii="Calibri" w:hAnsi="Calibri" w:cs="Calibri"/>
                <w:color w:val="000000"/>
                <w:sz w:val="18"/>
                <w:szCs w:val="18"/>
              </w:rPr>
              <w:t>NA</w:t>
            </w:r>
          </w:p>
        </w:tc>
      </w:tr>
      <w:tr w:rsidR="00441911" w:rsidRPr="00441911" w14:paraId="143669D9" w14:textId="77777777" w:rsidTr="005958CF">
        <w:trPr>
          <w:trHeight w:val="255"/>
          <w:jc w:val="center"/>
        </w:trPr>
        <w:tc>
          <w:tcPr>
            <w:tcW w:w="1271" w:type="dxa"/>
            <w:tcBorders>
              <w:top w:val="nil"/>
              <w:left w:val="single" w:sz="4" w:space="0" w:color="auto"/>
              <w:bottom w:val="nil"/>
              <w:right w:val="single" w:sz="4" w:space="0" w:color="auto"/>
            </w:tcBorders>
            <w:noWrap/>
          </w:tcPr>
          <w:p w14:paraId="6D712674" w14:textId="77777777" w:rsidR="00441911" w:rsidRPr="00441911" w:rsidRDefault="00441911" w:rsidP="00441911">
            <w:pPr>
              <w:tabs>
                <w:tab w:val="left" w:pos="3293"/>
              </w:tabs>
              <w:spacing w:before="60" w:after="60" w:line="240" w:lineRule="auto"/>
              <w:ind w:left="35"/>
              <w:rPr>
                <w:rFonts w:ascii="Calibri" w:eastAsia="Times New Roman" w:hAnsi="Calibri" w:cs="Calibri"/>
                <w:sz w:val="18"/>
                <w:szCs w:val="18"/>
                <w:lang w:val="en-AU"/>
              </w:rPr>
            </w:pPr>
            <w:r w:rsidRPr="00441911">
              <w:rPr>
                <w:rFonts w:ascii="Calibri" w:eastAsia="Times New Roman" w:hAnsi="Calibri" w:cs="Calibri"/>
                <w:sz w:val="18"/>
                <w:szCs w:val="18"/>
                <w:lang w:val="en-AU"/>
              </w:rPr>
              <w:t>Water heaters</w:t>
            </w:r>
          </w:p>
        </w:tc>
        <w:tc>
          <w:tcPr>
            <w:tcW w:w="1276" w:type="dxa"/>
            <w:tcBorders>
              <w:top w:val="nil"/>
              <w:left w:val="single" w:sz="4" w:space="0" w:color="auto"/>
              <w:bottom w:val="nil"/>
              <w:right w:val="nil"/>
            </w:tcBorders>
            <w:shd w:val="clear" w:color="auto" w:fill="auto"/>
            <w:noWrap/>
            <w:vAlign w:val="bottom"/>
          </w:tcPr>
          <w:p w14:paraId="28DD204F" w14:textId="5E197FD2"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139</w:t>
            </w:r>
          </w:p>
        </w:tc>
        <w:tc>
          <w:tcPr>
            <w:tcW w:w="917" w:type="dxa"/>
            <w:tcBorders>
              <w:top w:val="nil"/>
              <w:left w:val="nil"/>
              <w:bottom w:val="nil"/>
              <w:right w:val="nil"/>
            </w:tcBorders>
            <w:shd w:val="clear" w:color="auto" w:fill="auto"/>
            <w:noWrap/>
            <w:vAlign w:val="bottom"/>
          </w:tcPr>
          <w:p w14:paraId="462D4D64" w14:textId="0707C32B"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$66</w:t>
            </w:r>
          </w:p>
        </w:tc>
        <w:tc>
          <w:tcPr>
            <w:tcW w:w="1089" w:type="dxa"/>
            <w:tcBorders>
              <w:top w:val="nil"/>
              <w:left w:val="nil"/>
              <w:bottom w:val="nil"/>
              <w:right w:val="nil"/>
            </w:tcBorders>
            <w:shd w:val="clear" w:color="auto" w:fill="auto"/>
            <w:noWrap/>
            <w:vAlign w:val="bottom"/>
          </w:tcPr>
          <w:p w14:paraId="52FED53C" w14:textId="068671C4"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$148</w:t>
            </w:r>
          </w:p>
        </w:tc>
        <w:tc>
          <w:tcPr>
            <w:tcW w:w="1089" w:type="dxa"/>
            <w:tcBorders>
              <w:top w:val="nil"/>
              <w:left w:val="nil"/>
              <w:bottom w:val="nil"/>
              <w:right w:val="nil"/>
            </w:tcBorders>
            <w:shd w:val="clear" w:color="auto" w:fill="auto"/>
            <w:noWrap/>
            <w:vAlign w:val="bottom"/>
          </w:tcPr>
          <w:p w14:paraId="15474BD2" w14:textId="67455152"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$82</w:t>
            </w:r>
          </w:p>
        </w:tc>
        <w:tc>
          <w:tcPr>
            <w:tcW w:w="874" w:type="dxa"/>
            <w:tcBorders>
              <w:top w:val="nil"/>
              <w:left w:val="nil"/>
              <w:bottom w:val="nil"/>
              <w:right w:val="nil"/>
            </w:tcBorders>
            <w:shd w:val="clear" w:color="auto" w:fill="auto"/>
            <w:vAlign w:val="bottom"/>
          </w:tcPr>
          <w:p w14:paraId="6B3475C7" w14:textId="647ACB11"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2.9%</w:t>
            </w:r>
          </w:p>
        </w:tc>
        <w:tc>
          <w:tcPr>
            <w:tcW w:w="709" w:type="dxa"/>
            <w:tcBorders>
              <w:top w:val="nil"/>
              <w:left w:val="nil"/>
              <w:bottom w:val="nil"/>
              <w:right w:val="single" w:sz="4" w:space="0" w:color="auto"/>
            </w:tcBorders>
            <w:shd w:val="clear" w:color="auto" w:fill="auto"/>
            <w:noWrap/>
            <w:vAlign w:val="bottom"/>
          </w:tcPr>
          <w:p w14:paraId="56973FDD" w14:textId="3B5F4D20"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2.2</w:t>
            </w:r>
          </w:p>
        </w:tc>
        <w:tc>
          <w:tcPr>
            <w:tcW w:w="786" w:type="dxa"/>
            <w:tcBorders>
              <w:top w:val="nil"/>
              <w:left w:val="nil"/>
              <w:bottom w:val="nil"/>
              <w:right w:val="nil"/>
            </w:tcBorders>
            <w:shd w:val="clear" w:color="auto" w:fill="auto"/>
            <w:vAlign w:val="bottom"/>
          </w:tcPr>
          <w:p w14:paraId="0379E2C5" w14:textId="28028F42"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$78</w:t>
            </w:r>
          </w:p>
        </w:tc>
        <w:tc>
          <w:tcPr>
            <w:tcW w:w="640" w:type="dxa"/>
            <w:tcBorders>
              <w:top w:val="nil"/>
              <w:left w:val="nil"/>
              <w:bottom w:val="nil"/>
              <w:right w:val="single" w:sz="4" w:space="0" w:color="auto"/>
            </w:tcBorders>
            <w:shd w:val="clear" w:color="auto" w:fill="auto"/>
            <w:vAlign w:val="bottom"/>
          </w:tcPr>
          <w:p w14:paraId="75FD5F1A" w14:textId="25B23992"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2.2</w:t>
            </w:r>
          </w:p>
        </w:tc>
      </w:tr>
      <w:tr w:rsidR="00441911" w:rsidRPr="00441911" w14:paraId="1E318F64" w14:textId="77777777" w:rsidTr="005958CF">
        <w:trPr>
          <w:trHeight w:val="255"/>
          <w:jc w:val="center"/>
        </w:trPr>
        <w:tc>
          <w:tcPr>
            <w:tcW w:w="1271" w:type="dxa"/>
            <w:tcBorders>
              <w:top w:val="nil"/>
              <w:left w:val="single" w:sz="4" w:space="0" w:color="auto"/>
              <w:bottom w:val="nil"/>
              <w:right w:val="single" w:sz="4" w:space="0" w:color="auto"/>
            </w:tcBorders>
            <w:noWrap/>
          </w:tcPr>
          <w:p w14:paraId="068777FC" w14:textId="77777777" w:rsidR="00441911" w:rsidRPr="00441911" w:rsidRDefault="00441911" w:rsidP="00441911">
            <w:pPr>
              <w:tabs>
                <w:tab w:val="left" w:pos="3293"/>
              </w:tabs>
              <w:spacing w:before="60" w:after="60" w:line="240" w:lineRule="auto"/>
              <w:ind w:left="35"/>
              <w:rPr>
                <w:rFonts w:ascii="Calibri" w:eastAsia="Times New Roman" w:hAnsi="Calibri" w:cs="Calibri"/>
                <w:sz w:val="18"/>
                <w:szCs w:val="18"/>
                <w:lang w:val="en-AU"/>
              </w:rPr>
            </w:pPr>
            <w:r w:rsidRPr="00441911">
              <w:rPr>
                <w:rFonts w:ascii="Calibri" w:eastAsia="Times New Roman" w:hAnsi="Calibri" w:cs="Calibri"/>
                <w:sz w:val="18"/>
                <w:szCs w:val="18"/>
                <w:lang w:val="en-AU"/>
              </w:rPr>
              <w:t>EV chargers</w:t>
            </w:r>
          </w:p>
        </w:tc>
        <w:tc>
          <w:tcPr>
            <w:tcW w:w="1276" w:type="dxa"/>
            <w:tcBorders>
              <w:top w:val="nil"/>
              <w:left w:val="single" w:sz="4" w:space="0" w:color="auto"/>
              <w:bottom w:val="nil"/>
              <w:right w:val="nil"/>
            </w:tcBorders>
            <w:shd w:val="clear" w:color="auto" w:fill="auto"/>
            <w:noWrap/>
            <w:vAlign w:val="bottom"/>
          </w:tcPr>
          <w:p w14:paraId="1612C355" w14:textId="78FA6C32"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163</w:t>
            </w:r>
          </w:p>
        </w:tc>
        <w:tc>
          <w:tcPr>
            <w:tcW w:w="917" w:type="dxa"/>
            <w:tcBorders>
              <w:top w:val="nil"/>
              <w:left w:val="nil"/>
              <w:bottom w:val="nil"/>
              <w:right w:val="nil"/>
            </w:tcBorders>
            <w:shd w:val="clear" w:color="auto" w:fill="auto"/>
            <w:noWrap/>
            <w:vAlign w:val="bottom"/>
          </w:tcPr>
          <w:p w14:paraId="68DC63FA" w14:textId="6E847AED"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$37</w:t>
            </w:r>
          </w:p>
        </w:tc>
        <w:tc>
          <w:tcPr>
            <w:tcW w:w="1089" w:type="dxa"/>
            <w:tcBorders>
              <w:top w:val="nil"/>
              <w:left w:val="nil"/>
              <w:bottom w:val="nil"/>
              <w:right w:val="nil"/>
            </w:tcBorders>
            <w:shd w:val="clear" w:color="auto" w:fill="auto"/>
            <w:noWrap/>
            <w:vAlign w:val="bottom"/>
          </w:tcPr>
          <w:p w14:paraId="69F44E53" w14:textId="499137DB"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$203</w:t>
            </w:r>
          </w:p>
        </w:tc>
        <w:tc>
          <w:tcPr>
            <w:tcW w:w="1089" w:type="dxa"/>
            <w:tcBorders>
              <w:top w:val="nil"/>
              <w:left w:val="nil"/>
              <w:bottom w:val="nil"/>
              <w:right w:val="nil"/>
            </w:tcBorders>
            <w:shd w:val="clear" w:color="auto" w:fill="auto"/>
            <w:noWrap/>
            <w:vAlign w:val="bottom"/>
          </w:tcPr>
          <w:p w14:paraId="5C6DC48E" w14:textId="4238F9CC"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$166</w:t>
            </w:r>
          </w:p>
        </w:tc>
        <w:tc>
          <w:tcPr>
            <w:tcW w:w="874" w:type="dxa"/>
            <w:tcBorders>
              <w:top w:val="nil"/>
              <w:left w:val="nil"/>
              <w:bottom w:val="nil"/>
              <w:right w:val="nil"/>
            </w:tcBorders>
            <w:shd w:val="clear" w:color="auto" w:fill="auto"/>
            <w:vAlign w:val="bottom"/>
          </w:tcPr>
          <w:p w14:paraId="7A1A65D5" w14:textId="4260D0D4"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5.9%</w:t>
            </w:r>
          </w:p>
        </w:tc>
        <w:tc>
          <w:tcPr>
            <w:tcW w:w="709" w:type="dxa"/>
            <w:tcBorders>
              <w:top w:val="nil"/>
              <w:left w:val="nil"/>
              <w:bottom w:val="nil"/>
              <w:right w:val="single" w:sz="4" w:space="0" w:color="auto"/>
            </w:tcBorders>
            <w:shd w:val="clear" w:color="auto" w:fill="auto"/>
            <w:noWrap/>
            <w:vAlign w:val="bottom"/>
          </w:tcPr>
          <w:p w14:paraId="61C18BF2" w14:textId="5FFA69C8"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5.5</w:t>
            </w:r>
          </w:p>
        </w:tc>
        <w:tc>
          <w:tcPr>
            <w:tcW w:w="786" w:type="dxa"/>
            <w:tcBorders>
              <w:top w:val="nil"/>
              <w:left w:val="nil"/>
              <w:bottom w:val="nil"/>
              <w:right w:val="nil"/>
            </w:tcBorders>
            <w:shd w:val="clear" w:color="auto" w:fill="auto"/>
            <w:vAlign w:val="bottom"/>
          </w:tcPr>
          <w:p w14:paraId="5922AE96" w14:textId="4CB10609"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$111</w:t>
            </w:r>
          </w:p>
        </w:tc>
        <w:tc>
          <w:tcPr>
            <w:tcW w:w="640" w:type="dxa"/>
            <w:tcBorders>
              <w:top w:val="nil"/>
              <w:left w:val="nil"/>
              <w:bottom w:val="nil"/>
              <w:right w:val="single" w:sz="4" w:space="0" w:color="auto"/>
            </w:tcBorders>
            <w:shd w:val="clear" w:color="auto" w:fill="auto"/>
            <w:vAlign w:val="bottom"/>
          </w:tcPr>
          <w:p w14:paraId="22908B02" w14:textId="4CE59C0A"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4.0</w:t>
            </w:r>
          </w:p>
        </w:tc>
      </w:tr>
      <w:tr w:rsidR="00441911" w:rsidRPr="00441911" w14:paraId="4BF1996A" w14:textId="77777777" w:rsidTr="005958CF">
        <w:trPr>
          <w:trHeight w:val="255"/>
          <w:jc w:val="center"/>
        </w:trPr>
        <w:tc>
          <w:tcPr>
            <w:tcW w:w="1271" w:type="dxa"/>
            <w:tcBorders>
              <w:top w:val="single" w:sz="4" w:space="0" w:color="auto"/>
              <w:left w:val="single" w:sz="4" w:space="0" w:color="auto"/>
              <w:bottom w:val="single" w:sz="4" w:space="0" w:color="auto"/>
              <w:right w:val="single" w:sz="4" w:space="0" w:color="auto"/>
            </w:tcBorders>
            <w:noWrap/>
          </w:tcPr>
          <w:p w14:paraId="6E56A3A0" w14:textId="77777777" w:rsidR="00441911" w:rsidRPr="00441911" w:rsidRDefault="00441911" w:rsidP="00441911">
            <w:pPr>
              <w:tabs>
                <w:tab w:val="left" w:pos="3293"/>
              </w:tabs>
              <w:spacing w:before="60" w:after="60" w:line="240" w:lineRule="auto"/>
              <w:ind w:left="35"/>
              <w:rPr>
                <w:rFonts w:ascii="Calibri" w:eastAsia="Times New Roman" w:hAnsi="Calibri" w:cs="Calibri"/>
                <w:sz w:val="18"/>
                <w:szCs w:val="18"/>
                <w:lang w:val="en-AU"/>
              </w:rPr>
            </w:pPr>
            <w:r w:rsidRPr="00441911">
              <w:rPr>
                <w:rFonts w:ascii="Calibri" w:eastAsia="Times New Roman" w:hAnsi="Calibri" w:cs="Calibri"/>
                <w:sz w:val="18"/>
                <w:szCs w:val="18"/>
                <w:lang w:val="en-AU"/>
              </w:rPr>
              <w:t>All products</w:t>
            </w:r>
          </w:p>
        </w:tc>
        <w:tc>
          <w:tcPr>
            <w:tcW w:w="1276" w:type="dxa"/>
            <w:tcBorders>
              <w:top w:val="single" w:sz="4" w:space="0" w:color="auto"/>
              <w:left w:val="single" w:sz="4" w:space="0" w:color="auto"/>
              <w:bottom w:val="single" w:sz="4" w:space="0" w:color="auto"/>
              <w:right w:val="nil"/>
            </w:tcBorders>
            <w:shd w:val="clear" w:color="auto" w:fill="auto"/>
            <w:noWrap/>
            <w:vAlign w:val="bottom"/>
          </w:tcPr>
          <w:p w14:paraId="0CD02917" w14:textId="6B3A23EC"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637</w:t>
            </w:r>
          </w:p>
        </w:tc>
        <w:tc>
          <w:tcPr>
            <w:tcW w:w="917" w:type="dxa"/>
            <w:tcBorders>
              <w:top w:val="single" w:sz="4" w:space="0" w:color="auto"/>
              <w:left w:val="nil"/>
              <w:bottom w:val="single" w:sz="4" w:space="0" w:color="auto"/>
              <w:right w:val="nil"/>
            </w:tcBorders>
            <w:shd w:val="clear" w:color="auto" w:fill="auto"/>
            <w:noWrap/>
            <w:vAlign w:val="bottom"/>
          </w:tcPr>
          <w:p w14:paraId="28C5037D" w14:textId="5F80B5CD"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$179</w:t>
            </w:r>
          </w:p>
        </w:tc>
        <w:tc>
          <w:tcPr>
            <w:tcW w:w="1089" w:type="dxa"/>
            <w:tcBorders>
              <w:top w:val="single" w:sz="4" w:space="0" w:color="auto"/>
              <w:left w:val="nil"/>
              <w:bottom w:val="single" w:sz="4" w:space="0" w:color="auto"/>
              <w:right w:val="nil"/>
            </w:tcBorders>
            <w:shd w:val="clear" w:color="auto" w:fill="auto"/>
            <w:noWrap/>
            <w:vAlign w:val="bottom"/>
          </w:tcPr>
          <w:p w14:paraId="2923ABBA" w14:textId="7EF18E1A"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$581</w:t>
            </w:r>
          </w:p>
        </w:tc>
        <w:tc>
          <w:tcPr>
            <w:tcW w:w="1089" w:type="dxa"/>
            <w:tcBorders>
              <w:top w:val="single" w:sz="4" w:space="0" w:color="auto"/>
              <w:left w:val="nil"/>
              <w:bottom w:val="single" w:sz="4" w:space="0" w:color="auto"/>
              <w:right w:val="nil"/>
            </w:tcBorders>
            <w:shd w:val="clear" w:color="auto" w:fill="auto"/>
            <w:noWrap/>
            <w:vAlign w:val="bottom"/>
          </w:tcPr>
          <w:p w14:paraId="587FC5D3" w14:textId="63C2D820"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$403</w:t>
            </w:r>
          </w:p>
        </w:tc>
        <w:tc>
          <w:tcPr>
            <w:tcW w:w="874" w:type="dxa"/>
            <w:tcBorders>
              <w:top w:val="single" w:sz="4" w:space="0" w:color="auto"/>
              <w:left w:val="nil"/>
              <w:bottom w:val="single" w:sz="4" w:space="0" w:color="auto"/>
              <w:right w:val="nil"/>
            </w:tcBorders>
            <w:shd w:val="clear" w:color="auto" w:fill="auto"/>
            <w:vAlign w:val="bottom"/>
          </w:tcPr>
          <w:p w14:paraId="38D525E4" w14:textId="65B8418C" w:rsidR="00441911" w:rsidRPr="00441911" w:rsidRDefault="00441911" w:rsidP="00441911">
            <w:pPr>
              <w:tabs>
                <w:tab w:val="left" w:pos="3293"/>
              </w:tabs>
              <w:spacing w:before="60" w:after="60" w:line="240" w:lineRule="auto"/>
              <w:ind w:left="35"/>
              <w:jc w:val="right"/>
              <w:rPr>
                <w:rFonts w:ascii="Calibri" w:eastAsia="Times New Roman" w:hAnsi="Calibri" w:cs="Calibri"/>
                <w:sz w:val="18"/>
                <w:szCs w:val="18"/>
                <w:lang w:val="en-AU"/>
              </w:rPr>
            </w:pPr>
            <w:r w:rsidRPr="00441911">
              <w:rPr>
                <w:rFonts w:ascii="Calibri" w:hAnsi="Calibri" w:cs="Calibri"/>
                <w:color w:val="000000"/>
                <w:sz w:val="18"/>
                <w:szCs w:val="18"/>
              </w:rPr>
              <w:t>14.4%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41B676E" w14:textId="60F08D6E"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3.3</w:t>
            </w:r>
          </w:p>
        </w:tc>
        <w:tc>
          <w:tcPr>
            <w:tcW w:w="786" w:type="dxa"/>
            <w:tcBorders>
              <w:top w:val="single" w:sz="4" w:space="0" w:color="auto"/>
              <w:left w:val="nil"/>
              <w:bottom w:val="single" w:sz="4" w:space="0" w:color="auto"/>
              <w:right w:val="nil"/>
            </w:tcBorders>
            <w:shd w:val="clear" w:color="auto" w:fill="auto"/>
            <w:vAlign w:val="bottom"/>
          </w:tcPr>
          <w:p w14:paraId="0A5BCB5E" w14:textId="6C8AC89A"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$343</w:t>
            </w:r>
          </w:p>
        </w:tc>
        <w:tc>
          <w:tcPr>
            <w:tcW w:w="640" w:type="dxa"/>
            <w:tcBorders>
              <w:top w:val="single" w:sz="4" w:space="0" w:color="auto"/>
              <w:left w:val="nil"/>
              <w:bottom w:val="single" w:sz="4" w:space="0" w:color="auto"/>
              <w:right w:val="single" w:sz="4" w:space="0" w:color="auto"/>
            </w:tcBorders>
            <w:shd w:val="clear" w:color="auto" w:fill="auto"/>
            <w:vAlign w:val="bottom"/>
          </w:tcPr>
          <w:p w14:paraId="7E9597E8" w14:textId="58130F3C" w:rsidR="00441911" w:rsidRPr="00441911" w:rsidRDefault="00441911" w:rsidP="00441911">
            <w:pPr>
              <w:tabs>
                <w:tab w:val="left" w:pos="3293"/>
              </w:tabs>
              <w:spacing w:before="60" w:after="60" w:line="240" w:lineRule="auto"/>
              <w:ind w:left="35"/>
              <w:jc w:val="center"/>
              <w:rPr>
                <w:rFonts w:ascii="Calibri" w:eastAsia="Times New Roman" w:hAnsi="Calibri" w:cs="Calibri"/>
                <w:sz w:val="18"/>
                <w:szCs w:val="18"/>
                <w:lang w:val="en-AU"/>
              </w:rPr>
            </w:pPr>
            <w:r w:rsidRPr="00441911">
              <w:rPr>
                <w:rFonts w:ascii="Calibri" w:hAnsi="Calibri" w:cs="Calibri"/>
                <w:color w:val="000000"/>
                <w:sz w:val="18"/>
                <w:szCs w:val="18"/>
              </w:rPr>
              <w:t>2.9</w:t>
            </w:r>
          </w:p>
        </w:tc>
      </w:tr>
    </w:tbl>
    <w:p w14:paraId="07C2C68F" w14:textId="020E8CF1"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50% of total MWe of participating DR-capable products. (b) NPV at 6% discount rate for costs and benefits 2021-203</w:t>
      </w:r>
      <w:r w:rsidR="00036009">
        <w:rPr>
          <w:rFonts w:ascii="Calibri" w:eastAsia="Cambria" w:hAnsi="Calibri" w:cs="Calibri"/>
          <w:sz w:val="16"/>
          <w:szCs w:val="24"/>
          <w:lang w:val="en-AU"/>
        </w:rPr>
        <w:t>6</w:t>
      </w:r>
      <w:r w:rsidRPr="00A37634">
        <w:rPr>
          <w:rFonts w:ascii="Calibri" w:eastAsia="Cambria" w:hAnsi="Calibri" w:cs="Calibri"/>
          <w:sz w:val="16"/>
          <w:szCs w:val="24"/>
          <w:lang w:val="en-AU"/>
        </w:rPr>
        <w:t xml:space="preserve"> </w:t>
      </w:r>
    </w:p>
    <w:p w14:paraId="4D1A773B" w14:textId="77777777" w:rsidR="003221FC" w:rsidRDefault="003221FC">
      <w:pPr>
        <w:rPr>
          <w:rFonts w:ascii="Calibri" w:eastAsia="Calibri" w:hAnsi="Calibri" w:cs="Calibri"/>
          <w:b/>
          <w:bCs/>
          <w:color w:val="FF0000"/>
          <w:sz w:val="28"/>
          <w:szCs w:val="20"/>
          <w:lang w:val="en-AU"/>
        </w:rPr>
      </w:pPr>
      <w:r>
        <w:rPr>
          <w:rFonts w:ascii="Calibri" w:eastAsia="Calibri" w:hAnsi="Calibri" w:cs="Calibri"/>
          <w:b/>
          <w:bCs/>
          <w:color w:val="FF0000"/>
          <w:sz w:val="28"/>
          <w:szCs w:val="20"/>
          <w:lang w:val="en-AU"/>
        </w:rPr>
        <w:br w:type="page"/>
      </w:r>
    </w:p>
    <w:p w14:paraId="56480EC0" w14:textId="5BF47ADE" w:rsidR="00A37634" w:rsidRPr="00A37634" w:rsidRDefault="00A37634" w:rsidP="00A37634">
      <w:pPr>
        <w:spacing w:before="240" w:after="240" w:line="276" w:lineRule="auto"/>
        <w:rPr>
          <w:rFonts w:ascii="Calibri" w:eastAsia="Calibri" w:hAnsi="Calibri" w:cs="Calibri"/>
          <w:b/>
          <w:bCs/>
          <w:color w:val="FF0000"/>
          <w:sz w:val="28"/>
          <w:szCs w:val="20"/>
          <w:lang w:val="en-AU"/>
        </w:rPr>
      </w:pPr>
      <w:r w:rsidRPr="00A37634">
        <w:rPr>
          <w:rFonts w:ascii="Calibri" w:eastAsia="Calibri" w:hAnsi="Calibri" w:cs="Calibri"/>
          <w:b/>
          <w:bCs/>
          <w:color w:val="FF0000"/>
          <w:sz w:val="28"/>
          <w:szCs w:val="20"/>
          <w:lang w:val="en-AU"/>
        </w:rPr>
        <w:lastRenderedPageBreak/>
        <w:t>Wholesale Price Effects</w:t>
      </w:r>
    </w:p>
    <w:p w14:paraId="256ABB6F" w14:textId="5EF8025F" w:rsidR="00A37634" w:rsidRPr="00A37634" w:rsidRDefault="00A37634" w:rsidP="00A37634">
      <w:pPr>
        <w:spacing w:before="24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benefits of the proposed measure can be realised under the NEL as it stands. While the AEMC’s wholesale price mechanism rule changes are likely to lead to the entry of a new class of DR aggregators into the wholesale market (who would most likely make use of a universal AS/NZS 4755 DR platform if it were available, and if they were permitted to contract with retail customers), realising the benefits of the present proposal does not depend on them. However, if the wholesale price savings projected in the cost-benefit analysis failed to materialise, the overall net benefit and the B/C ratios would be lower, as indicated in the last two columns of </w:t>
      </w:r>
      <w:r w:rsidRPr="00036009">
        <w:rPr>
          <w:rStyle w:val="FigreferenceChar"/>
        </w:rPr>
        <w:fldChar w:fldCharType="begin"/>
      </w:r>
      <w:r w:rsidRPr="00036009">
        <w:rPr>
          <w:rStyle w:val="FigreferenceChar"/>
        </w:rPr>
        <w:instrText xml:space="preserve"> REF _Ref14777407 \h  \* MERGEFORMAT </w:instrText>
      </w:r>
      <w:r w:rsidRPr="00036009">
        <w:rPr>
          <w:rStyle w:val="FigreferenceChar"/>
        </w:rPr>
      </w:r>
      <w:r w:rsidRPr="00036009">
        <w:rPr>
          <w:rStyle w:val="FigreferenceChar"/>
        </w:rPr>
        <w:fldChar w:fldCharType="separate"/>
      </w:r>
      <w:r w:rsidR="006B22A7" w:rsidRPr="006B22A7">
        <w:rPr>
          <w:rStyle w:val="FigreferenceChar"/>
        </w:rPr>
        <w:t>Table 12</w:t>
      </w:r>
      <w:r w:rsidRPr="00036009">
        <w:rPr>
          <w:rStyle w:val="FigreferenceChar"/>
        </w:rPr>
        <w:fldChar w:fldCharType="end"/>
      </w:r>
      <w:r w:rsidRPr="00A37634">
        <w:rPr>
          <w:rFonts w:ascii="Calibri" w:eastAsia="Calibri" w:hAnsi="Calibri" w:cs="Calibri"/>
          <w:szCs w:val="20"/>
          <w:lang w:val="en-AU"/>
        </w:rPr>
        <w:t xml:space="preserve"> to </w:t>
      </w:r>
      <w:r w:rsidR="00036009" w:rsidRPr="00036009">
        <w:rPr>
          <w:rStyle w:val="FigreferenceChar"/>
        </w:rPr>
        <w:fldChar w:fldCharType="begin"/>
      </w:r>
      <w:r w:rsidR="00036009" w:rsidRPr="00036009">
        <w:rPr>
          <w:rStyle w:val="FigreferenceChar"/>
        </w:rPr>
        <w:instrText xml:space="preserve"> REF _Ref14778906 \h </w:instrText>
      </w:r>
      <w:r w:rsidR="00036009">
        <w:rPr>
          <w:rStyle w:val="FigreferenceChar"/>
        </w:rPr>
        <w:instrText xml:space="preserve"> \* MERGEFORMAT </w:instrText>
      </w:r>
      <w:r w:rsidR="00036009" w:rsidRPr="00036009">
        <w:rPr>
          <w:rStyle w:val="FigreferenceChar"/>
        </w:rPr>
      </w:r>
      <w:r w:rsidR="00036009" w:rsidRPr="00036009">
        <w:rPr>
          <w:rStyle w:val="FigreferenceChar"/>
        </w:rPr>
        <w:fldChar w:fldCharType="separate"/>
      </w:r>
      <w:r w:rsidR="006B22A7" w:rsidRPr="006B22A7">
        <w:rPr>
          <w:rStyle w:val="FigreferenceChar"/>
        </w:rPr>
        <w:t>Table 20</w:t>
      </w:r>
      <w:r w:rsidR="00036009" w:rsidRPr="00036009">
        <w:rPr>
          <w:rStyle w:val="FigreferenceChar"/>
        </w:rPr>
        <w:fldChar w:fldCharType="end"/>
      </w:r>
      <w:r w:rsidRPr="00A37634">
        <w:rPr>
          <w:rFonts w:ascii="Calibri" w:eastAsia="Calibri" w:hAnsi="Calibri" w:cs="Calibri"/>
          <w:szCs w:val="20"/>
          <w:lang w:val="en-AU"/>
        </w:rPr>
        <w:t>.</w:t>
      </w:r>
    </w:p>
    <w:p w14:paraId="0AA56972" w14:textId="7EAAFEE5"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NPV of net benefits would fall by between about $</w:t>
      </w:r>
      <w:r w:rsidR="00917221">
        <w:rPr>
          <w:rFonts w:ascii="Calibri" w:eastAsia="Calibri" w:hAnsi="Calibri" w:cs="Calibri"/>
          <w:szCs w:val="20"/>
          <w:lang w:val="en-AU"/>
        </w:rPr>
        <w:t>430</w:t>
      </w:r>
      <w:r w:rsidRPr="00A37634">
        <w:rPr>
          <w:rFonts w:ascii="Calibri" w:eastAsia="Calibri" w:hAnsi="Calibri" w:cs="Calibri"/>
          <w:szCs w:val="20"/>
          <w:lang w:val="en-AU"/>
        </w:rPr>
        <w:t xml:space="preserve"> </w:t>
      </w:r>
      <w:r w:rsidR="00B915B7">
        <w:rPr>
          <w:rFonts w:ascii="Calibri" w:eastAsia="Calibri" w:hAnsi="Calibri" w:cs="Calibri"/>
          <w:szCs w:val="20"/>
          <w:lang w:val="en-AU"/>
        </w:rPr>
        <w:t>million</w:t>
      </w:r>
      <w:r w:rsidRPr="00A37634">
        <w:rPr>
          <w:rFonts w:ascii="Calibri" w:eastAsia="Calibri" w:hAnsi="Calibri" w:cs="Calibri"/>
          <w:szCs w:val="20"/>
          <w:lang w:val="en-AU"/>
        </w:rPr>
        <w:t xml:space="preserve"> (at low activation rates) and $</w:t>
      </w:r>
      <w:r w:rsidR="00917221">
        <w:rPr>
          <w:rFonts w:ascii="Calibri" w:eastAsia="Calibri" w:hAnsi="Calibri" w:cs="Calibri"/>
          <w:szCs w:val="20"/>
          <w:lang w:val="en-AU"/>
        </w:rPr>
        <w:t>590</w:t>
      </w:r>
      <w:r w:rsidRPr="00A37634">
        <w:rPr>
          <w:rFonts w:ascii="Calibri" w:eastAsia="Calibri" w:hAnsi="Calibri" w:cs="Calibri"/>
          <w:szCs w:val="20"/>
          <w:lang w:val="en-AU"/>
        </w:rPr>
        <w:t xml:space="preserve"> </w:t>
      </w:r>
      <w:r w:rsidR="00B915B7">
        <w:rPr>
          <w:rFonts w:ascii="Calibri" w:eastAsia="Calibri" w:hAnsi="Calibri" w:cs="Calibri"/>
          <w:szCs w:val="20"/>
          <w:lang w:val="en-AU"/>
        </w:rPr>
        <w:t>million</w:t>
      </w:r>
      <w:r w:rsidRPr="00A37634">
        <w:rPr>
          <w:rFonts w:ascii="Calibri" w:eastAsia="Calibri" w:hAnsi="Calibri" w:cs="Calibri"/>
          <w:szCs w:val="20"/>
          <w:lang w:val="en-AU"/>
        </w:rPr>
        <w:t xml:space="preserve"> (at high activation rates). </w:t>
      </w:r>
      <w:r w:rsidR="00917221">
        <w:rPr>
          <w:rFonts w:ascii="Calibri" w:eastAsia="Calibri" w:hAnsi="Calibri" w:cs="Calibri"/>
          <w:szCs w:val="20"/>
          <w:lang w:val="en-AU"/>
        </w:rPr>
        <w:t>T</w:t>
      </w:r>
      <w:r w:rsidRPr="00A37634">
        <w:rPr>
          <w:rFonts w:ascii="Calibri" w:eastAsia="Calibri" w:hAnsi="Calibri" w:cs="Calibri"/>
          <w:szCs w:val="20"/>
          <w:lang w:val="en-AU"/>
        </w:rPr>
        <w:t xml:space="preserve">he B/C rates for Australia would remain above </w:t>
      </w:r>
      <w:r w:rsidR="00917221">
        <w:rPr>
          <w:rFonts w:ascii="Calibri" w:eastAsia="Calibri" w:hAnsi="Calibri" w:cs="Calibri"/>
          <w:szCs w:val="20"/>
          <w:lang w:val="en-AU"/>
        </w:rPr>
        <w:t xml:space="preserve">2.2 </w:t>
      </w:r>
      <w:r w:rsidRPr="00A37634">
        <w:rPr>
          <w:rFonts w:ascii="Calibri" w:eastAsia="Calibri" w:hAnsi="Calibri" w:cs="Calibri"/>
          <w:szCs w:val="20"/>
          <w:lang w:val="en-AU"/>
        </w:rPr>
        <w:t>in all cases</w:t>
      </w:r>
      <w:r w:rsidR="00917221">
        <w:rPr>
          <w:rFonts w:ascii="Calibri" w:eastAsia="Calibri" w:hAnsi="Calibri" w:cs="Calibri"/>
          <w:szCs w:val="20"/>
          <w:lang w:val="en-AU"/>
        </w:rPr>
        <w:t>. For New Zealand</w:t>
      </w:r>
      <w:r w:rsidRPr="00A37634">
        <w:rPr>
          <w:rFonts w:ascii="Calibri" w:eastAsia="Calibri" w:hAnsi="Calibri" w:cs="Calibri"/>
          <w:szCs w:val="20"/>
          <w:lang w:val="en-AU"/>
        </w:rPr>
        <w:t xml:space="preserve">, </w:t>
      </w:r>
      <w:r w:rsidR="00917221">
        <w:rPr>
          <w:rFonts w:ascii="Calibri" w:eastAsia="Calibri" w:hAnsi="Calibri" w:cs="Calibri"/>
          <w:szCs w:val="20"/>
          <w:lang w:val="en-AU"/>
        </w:rPr>
        <w:t xml:space="preserve">excluding the benefits of wholesale price effects would lower net benefits by between NZ $59 </w:t>
      </w:r>
      <w:r w:rsidR="00B915B7">
        <w:rPr>
          <w:rFonts w:ascii="Calibri" w:eastAsia="Calibri" w:hAnsi="Calibri" w:cs="Calibri"/>
          <w:szCs w:val="20"/>
          <w:lang w:val="en-AU"/>
        </w:rPr>
        <w:t>million</w:t>
      </w:r>
      <w:r w:rsidR="00917221">
        <w:rPr>
          <w:rFonts w:ascii="Calibri" w:eastAsia="Calibri" w:hAnsi="Calibri" w:cs="Calibri"/>
          <w:szCs w:val="20"/>
          <w:lang w:val="en-AU"/>
        </w:rPr>
        <w:t xml:space="preserve"> and NZ $32</w:t>
      </w:r>
      <w:r w:rsidR="00B915B7">
        <w:rPr>
          <w:rFonts w:ascii="Calibri" w:eastAsia="Calibri" w:hAnsi="Calibri" w:cs="Calibri"/>
          <w:szCs w:val="20"/>
          <w:lang w:val="en-AU"/>
        </w:rPr>
        <w:t xml:space="preserve"> million</w:t>
      </w:r>
      <w:r w:rsidR="00917221">
        <w:rPr>
          <w:rFonts w:ascii="Calibri" w:eastAsia="Calibri" w:hAnsi="Calibri" w:cs="Calibri"/>
          <w:szCs w:val="20"/>
          <w:lang w:val="en-AU"/>
        </w:rPr>
        <w:t>, but the B/C ration would remain about 2.3 in all cases.</w:t>
      </w:r>
      <w:r w:rsidRPr="00A37634">
        <w:rPr>
          <w:rFonts w:ascii="Calibri" w:eastAsia="Calibri" w:hAnsi="Calibri" w:cs="Calibri"/>
          <w:szCs w:val="20"/>
          <w:lang w:val="en-AU"/>
        </w:rPr>
        <w:t xml:space="preserve">   </w:t>
      </w:r>
    </w:p>
    <w:p w14:paraId="06CADEE8" w14:textId="77777777" w:rsidR="00A37634" w:rsidRPr="00A37634" w:rsidRDefault="00A37634" w:rsidP="00A37634">
      <w:pPr>
        <w:spacing w:before="240" w:after="240" w:line="276" w:lineRule="auto"/>
        <w:rPr>
          <w:rFonts w:ascii="Calibri" w:eastAsia="Calibri" w:hAnsi="Calibri" w:cs="Calibri"/>
          <w:b/>
          <w:bCs/>
          <w:color w:val="FF0000"/>
          <w:sz w:val="28"/>
          <w:szCs w:val="20"/>
          <w:lang w:val="en-AU"/>
        </w:rPr>
      </w:pPr>
      <w:r w:rsidRPr="00A37634">
        <w:rPr>
          <w:rFonts w:ascii="Calibri" w:eastAsia="Calibri" w:hAnsi="Calibri" w:cs="Calibri"/>
          <w:b/>
          <w:bCs/>
          <w:color w:val="FF0000"/>
          <w:sz w:val="28"/>
          <w:szCs w:val="20"/>
          <w:lang w:val="en-AU"/>
        </w:rPr>
        <w:t>Retail Tariff Effects</w:t>
      </w:r>
    </w:p>
    <w:p w14:paraId="2FD62F5E"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Costs and benefits are calculated from the viewpoint of the entire electricity supply chain (generation, transmission, distribution and retailing, DR program costs and appliance costs). It is assumed that the cost savings between the BAU and with measure (WM) cases will be passed back to those consumers who voluntarily accept activation of their AS/NZS 4755-compliant appliances as well as to other electricity consumers. The extent to which different categories of consumers can benefit, as well their propensity to participate in DR programs, will depend partly on the type of tariffs they face.</w:t>
      </w:r>
    </w:p>
    <w:p w14:paraId="46E3EEC2"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ACCC Retail Electricity Pricing Inquiry estimated that in 2017/18 wholesale electricity costs made up 34% of the price of each kWh to Australian households, network charges 43%, retail costs and margins 17% and environmental programs 6%.</w:t>
      </w:r>
      <w:r w:rsidRPr="00A37634">
        <w:rPr>
          <w:rFonts w:ascii="Calibri" w:eastAsia="Calibri" w:hAnsi="Calibri" w:cs="Calibri"/>
          <w:szCs w:val="20"/>
          <w:vertAlign w:val="superscript"/>
          <w:lang w:val="en-AU"/>
        </w:rPr>
        <w:footnoteReference w:id="79"/>
      </w:r>
      <w:r w:rsidRPr="00A37634">
        <w:rPr>
          <w:rFonts w:ascii="Calibri" w:eastAsia="Calibri" w:hAnsi="Calibri" w:cs="Calibri"/>
          <w:szCs w:val="20"/>
          <w:lang w:val="en-AU"/>
        </w:rPr>
        <w:t xml:space="preserve"> The ACCC identified different ways in which the costs of using the network are signalled to consumers: flat tariffs, TOU tariffs, demand tariffs, capacity tariffs and CPP tariffs. </w:t>
      </w:r>
    </w:p>
    <w:p w14:paraId="314B5880" w14:textId="17EEC15D"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Customers on flat tariffs (88% of all customers at present) would derive no direct </w:t>
      </w:r>
      <w:r w:rsidRPr="00A37634">
        <w:rPr>
          <w:rFonts w:ascii="Calibri" w:eastAsia="Calibri" w:hAnsi="Calibri" w:cs="Calibri"/>
          <w:i/>
          <w:iCs/>
          <w:szCs w:val="20"/>
          <w:lang w:val="en-AU"/>
        </w:rPr>
        <w:t xml:space="preserve">tariff </w:t>
      </w:r>
      <w:r w:rsidRPr="00A37634">
        <w:rPr>
          <w:rFonts w:ascii="Calibri" w:eastAsia="Calibri" w:hAnsi="Calibri" w:cs="Calibri"/>
          <w:szCs w:val="20"/>
          <w:lang w:val="en-AU"/>
        </w:rPr>
        <w:t xml:space="preserve">benefit from participating in DR programs, but can be motivated to participate through cash incentives (up-front as in PeakSmart, annual bonuses or per DR event). They would incur some comfort cost during AC DR events, because cooling output would be restricted (although surveys have found that very few people are aware of this, and of those that are aware only a small proportion consider it so unacceptable that they withdraw from the program). </w:t>
      </w:r>
      <w:r w:rsidR="00917221" w:rsidRPr="00A37634">
        <w:rPr>
          <w:rFonts w:ascii="Calibri" w:eastAsia="Calibri" w:hAnsi="Calibri" w:cs="Calibri"/>
          <w:szCs w:val="20"/>
          <w:lang w:val="en-AU"/>
        </w:rPr>
        <w:t>The number of DR events would most likely be limited under any DR contract.</w:t>
      </w:r>
      <w:r w:rsidR="00917221" w:rsidRPr="00A37634">
        <w:rPr>
          <w:rFonts w:ascii="Calibri" w:eastAsia="Calibri" w:hAnsi="Calibri" w:cs="Calibri"/>
          <w:szCs w:val="20"/>
          <w:vertAlign w:val="superscript"/>
          <w:lang w:val="en-AU"/>
        </w:rPr>
        <w:footnoteReference w:id="80"/>
      </w:r>
    </w:p>
    <w:p w14:paraId="328F000A" w14:textId="38EDDAC6"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If the AC is still on after the DR event, it will try to cool a space that is warmer (or in winter, warm a space that is cooler) than if it had not responded. The total energy used from the start of the DR event until the end of that session of AC operation may well be higher than if there had been no DR event. In that case, a flat tariff consumer would be slightly worse off after each DR event (probably by </w:t>
      </w:r>
      <w:proofErr w:type="gramStart"/>
      <w:r w:rsidRPr="00A37634">
        <w:rPr>
          <w:rFonts w:ascii="Calibri" w:eastAsia="Calibri" w:hAnsi="Calibri" w:cs="Calibri"/>
          <w:szCs w:val="20"/>
          <w:lang w:val="en-AU"/>
        </w:rPr>
        <w:t>a number of</w:t>
      </w:r>
      <w:proofErr w:type="gramEnd"/>
      <w:r w:rsidRPr="00A37634">
        <w:rPr>
          <w:rFonts w:ascii="Calibri" w:eastAsia="Calibri" w:hAnsi="Calibri" w:cs="Calibri"/>
          <w:szCs w:val="20"/>
          <w:lang w:val="en-AU"/>
        </w:rPr>
        <w:t xml:space="preserve"> cents rather than a number of dollars) but this would be set against participation payments that are likely to be in the hundreds of dollars.  </w:t>
      </w:r>
    </w:p>
    <w:p w14:paraId="33015BCC"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lastRenderedPageBreak/>
        <w:t>Network tariffs are likely to be high during periods of network congestion and low at other times. The ACCC states:</w:t>
      </w:r>
    </w:p>
    <w:p w14:paraId="562B649E" w14:textId="77777777" w:rsidR="00A37634" w:rsidRPr="00A37634" w:rsidRDefault="00A37634" w:rsidP="00A37634">
      <w:pPr>
        <w:spacing w:before="120" w:after="120" w:line="276" w:lineRule="auto"/>
        <w:ind w:left="720"/>
        <w:rPr>
          <w:rFonts w:ascii="Calibri" w:eastAsia="Calibri" w:hAnsi="Calibri" w:cs="Calibri"/>
          <w:szCs w:val="20"/>
          <w:lang w:val="en-AU"/>
        </w:rPr>
      </w:pPr>
      <w:r w:rsidRPr="00A37634">
        <w:rPr>
          <w:rFonts w:ascii="Calibri" w:eastAsia="Calibri" w:hAnsi="Calibri" w:cs="Calibri"/>
          <w:szCs w:val="20"/>
          <w:lang w:val="en-AU"/>
        </w:rPr>
        <w:t xml:space="preserve">“In contrast to both flat rate and </w:t>
      </w:r>
      <w:proofErr w:type="spellStart"/>
      <w:r w:rsidRPr="00A37634">
        <w:rPr>
          <w:rFonts w:ascii="Calibri" w:eastAsia="Calibri" w:hAnsi="Calibri" w:cs="Calibri"/>
          <w:szCs w:val="20"/>
          <w:lang w:val="en-AU"/>
        </w:rPr>
        <w:t>ToU</w:t>
      </w:r>
      <w:proofErr w:type="spellEnd"/>
      <w:r w:rsidRPr="00A37634">
        <w:rPr>
          <w:rFonts w:ascii="Calibri" w:eastAsia="Calibri" w:hAnsi="Calibri" w:cs="Calibri"/>
          <w:szCs w:val="20"/>
          <w:lang w:val="en-AU"/>
        </w:rPr>
        <w:t xml:space="preserve"> pricing, which are based on kWh usage, a demand tariff differs in that it is based on the maximum point in time demand (in kW or kVA) of a customer during pre</w:t>
      </w:r>
      <w:r w:rsidRPr="00A37634">
        <w:rPr>
          <w:rFonts w:ascii="Cambria Math" w:eastAsia="Calibri" w:hAnsi="Cambria Math" w:cs="Cambria Math"/>
          <w:szCs w:val="20"/>
          <w:lang w:val="en-AU"/>
        </w:rPr>
        <w:t>‑</w:t>
      </w:r>
      <w:r w:rsidRPr="00A37634">
        <w:rPr>
          <w:rFonts w:ascii="Calibri" w:eastAsia="Calibri" w:hAnsi="Calibri" w:cs="Calibri"/>
          <w:szCs w:val="20"/>
          <w:lang w:val="en-AU"/>
        </w:rPr>
        <w:t>defined ‘peak windows’. The windows are set by reference to the usual peak network demand. Usage outside of the relevant pre-defined period does not contribute to the demand charge component (although usage charges and fixed charges may still apply).”</w:t>
      </w:r>
      <w:r w:rsidRPr="00A37634">
        <w:rPr>
          <w:rFonts w:ascii="Calibri" w:eastAsia="Calibri" w:hAnsi="Calibri" w:cs="Calibri"/>
          <w:szCs w:val="20"/>
          <w:vertAlign w:val="superscript"/>
          <w:lang w:val="en-AU"/>
        </w:rPr>
        <w:footnoteReference w:id="81"/>
      </w:r>
    </w:p>
    <w:p w14:paraId="59BFF47D"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ACCC has recommended that DNSPs adopt this form of pricing, initially for the charges that retailers </w:t>
      </w:r>
      <w:proofErr w:type="gramStart"/>
      <w:r w:rsidRPr="00A37634">
        <w:rPr>
          <w:rFonts w:ascii="Calibri" w:eastAsia="Calibri" w:hAnsi="Calibri" w:cs="Calibri"/>
          <w:szCs w:val="20"/>
          <w:lang w:val="en-AU"/>
        </w:rPr>
        <w:t>have to</w:t>
      </w:r>
      <w:proofErr w:type="gramEnd"/>
      <w:r w:rsidRPr="00A37634">
        <w:rPr>
          <w:rFonts w:ascii="Calibri" w:eastAsia="Calibri" w:hAnsi="Calibri" w:cs="Calibri"/>
          <w:szCs w:val="20"/>
          <w:lang w:val="en-AU"/>
        </w:rPr>
        <w:t xml:space="preserve"> pay them for the load of each consumer (so indirectly giving the retailer the motivation to manage the loads of consumers who incur high network costs) and eventually for each consumer to face demand charges directly (i.e. they would no longer be permitted to remain on flat tariffs once they get a smart meter).</w:t>
      </w:r>
      <w:r w:rsidRPr="00A37634">
        <w:rPr>
          <w:rFonts w:ascii="Calibri" w:eastAsia="Calibri" w:hAnsi="Calibri" w:cs="Calibri"/>
          <w:szCs w:val="20"/>
          <w:vertAlign w:val="superscript"/>
          <w:lang w:val="en-AU"/>
        </w:rPr>
        <w:footnoteReference w:id="82"/>
      </w:r>
      <w:r w:rsidRPr="00A37634">
        <w:rPr>
          <w:rFonts w:ascii="Calibri" w:eastAsia="Calibri" w:hAnsi="Calibri" w:cs="Calibri"/>
          <w:szCs w:val="20"/>
          <w:lang w:val="en-AU"/>
        </w:rPr>
        <w:t xml:space="preserve"> The ACCC notes: </w:t>
      </w:r>
    </w:p>
    <w:p w14:paraId="34133940" w14:textId="77777777" w:rsidR="00A37634" w:rsidRPr="00A37634" w:rsidRDefault="00A37634" w:rsidP="00A37634">
      <w:pPr>
        <w:spacing w:before="120" w:after="120" w:line="276" w:lineRule="auto"/>
        <w:ind w:left="720"/>
        <w:rPr>
          <w:rFonts w:ascii="Calibri" w:eastAsia="Calibri" w:hAnsi="Calibri" w:cs="Calibri"/>
          <w:szCs w:val="20"/>
          <w:lang w:val="en-AU"/>
        </w:rPr>
      </w:pPr>
      <w:r w:rsidRPr="00A37634">
        <w:rPr>
          <w:rFonts w:ascii="Calibri" w:eastAsia="Calibri" w:hAnsi="Calibri" w:cs="Calibri"/>
          <w:szCs w:val="20"/>
          <w:lang w:val="en-AU"/>
        </w:rPr>
        <w:t xml:space="preserve">“Given the potential for negative bill shock outcomes from any transition to cost-reflective network tariffs should retailers pass these network tariffs through to customers, governments should legislate to ensure transitional assistance is provided for residential and small business customers. This assistance should focus on maximising the benefits, and reducing the transitional risks, of the move to cost-reflective pricing structures. This includes: </w:t>
      </w:r>
    </w:p>
    <w:p w14:paraId="60881DEC" w14:textId="77777777" w:rsidR="00A37634" w:rsidRPr="00A37634" w:rsidRDefault="00A37634" w:rsidP="00FF17C7">
      <w:pPr>
        <w:numPr>
          <w:ilvl w:val="0"/>
          <w:numId w:val="11"/>
        </w:numPr>
        <w:spacing w:before="120" w:after="120" w:line="276" w:lineRule="auto"/>
        <w:ind w:left="1080"/>
        <w:contextualSpacing/>
        <w:rPr>
          <w:rFonts w:ascii="Calibri" w:eastAsia="Calibri" w:hAnsi="Calibri" w:cs="Calibri"/>
          <w:szCs w:val="20"/>
          <w:lang w:val="en-AU"/>
        </w:rPr>
      </w:pPr>
      <w:r w:rsidRPr="00A37634">
        <w:rPr>
          <w:rFonts w:ascii="Calibri" w:eastAsia="Calibri" w:hAnsi="Calibri" w:cs="Calibri"/>
          <w:szCs w:val="20"/>
          <w:lang w:val="en-AU"/>
        </w:rPr>
        <w:t>compulsory ‘data sampling period’ for consumers following installation of a smart meter</w:t>
      </w:r>
    </w:p>
    <w:p w14:paraId="60F0C01F" w14:textId="77777777" w:rsidR="00A37634" w:rsidRPr="00A37634" w:rsidRDefault="00A37634" w:rsidP="00FF17C7">
      <w:pPr>
        <w:numPr>
          <w:ilvl w:val="0"/>
          <w:numId w:val="11"/>
        </w:numPr>
        <w:spacing w:before="120" w:after="120" w:line="276" w:lineRule="auto"/>
        <w:ind w:left="1080"/>
        <w:contextualSpacing/>
        <w:rPr>
          <w:rFonts w:ascii="Calibri" w:eastAsia="Calibri" w:hAnsi="Calibri" w:cs="Calibri"/>
          <w:szCs w:val="20"/>
          <w:lang w:val="en-AU"/>
        </w:rPr>
      </w:pPr>
      <w:r w:rsidRPr="00A37634">
        <w:rPr>
          <w:rFonts w:ascii="Calibri" w:eastAsia="Calibri" w:hAnsi="Calibri" w:cs="Calibri"/>
          <w:szCs w:val="20"/>
          <w:lang w:val="en-AU"/>
        </w:rPr>
        <w:t>a requirement for retailers to provide a retail offer using a flat rate structure</w:t>
      </w:r>
    </w:p>
    <w:p w14:paraId="0F0759DA" w14:textId="77777777" w:rsidR="00A37634" w:rsidRPr="00A37634" w:rsidRDefault="00A37634" w:rsidP="00FF17C7">
      <w:pPr>
        <w:numPr>
          <w:ilvl w:val="0"/>
          <w:numId w:val="11"/>
        </w:numPr>
        <w:spacing w:before="120" w:after="120" w:line="276" w:lineRule="auto"/>
        <w:ind w:left="1080"/>
        <w:contextualSpacing/>
        <w:rPr>
          <w:rFonts w:ascii="Calibri" w:eastAsia="Calibri" w:hAnsi="Calibri" w:cs="Calibri"/>
          <w:szCs w:val="20"/>
          <w:lang w:val="en-AU"/>
        </w:rPr>
      </w:pPr>
      <w:r w:rsidRPr="00A37634">
        <w:rPr>
          <w:rFonts w:ascii="Calibri" w:eastAsia="Calibri" w:hAnsi="Calibri" w:cs="Calibri"/>
          <w:szCs w:val="20"/>
          <w:lang w:val="en-AU"/>
        </w:rPr>
        <w:t xml:space="preserve">additional targeted assistance for vulnerable consumers.” </w:t>
      </w:r>
    </w:p>
    <w:p w14:paraId="5AB2F541" w14:textId="74583668" w:rsidR="00A37634" w:rsidRPr="00A37634" w:rsidRDefault="00A37634" w:rsidP="008E7146">
      <w:pPr>
        <w:spacing w:before="24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Enrolling consumers in an automated load-control DR program would be a very effective means of reducing their price exposure risk. It is theoretically possible that an appliance that is demand-managed during a DR event will try to recover that operation (and energy use) during a subsequent period when network charges are higher, and so impose higher tariff costs on the consumer. However, this is contrary to logic. DRSPs would derive most commercial benefit from activating the DR capability under their control at the times of </w:t>
      </w:r>
      <w:r w:rsidRPr="00A37634">
        <w:rPr>
          <w:rFonts w:ascii="Calibri" w:eastAsia="Calibri" w:hAnsi="Calibri" w:cs="Calibri"/>
          <w:i/>
          <w:iCs/>
          <w:szCs w:val="20"/>
          <w:lang w:val="en-AU"/>
        </w:rPr>
        <w:t>highest</w:t>
      </w:r>
      <w:r w:rsidRPr="00A37634">
        <w:rPr>
          <w:rFonts w:ascii="Calibri" w:eastAsia="Calibri" w:hAnsi="Calibri" w:cs="Calibri"/>
          <w:szCs w:val="20"/>
          <w:lang w:val="en-AU"/>
        </w:rPr>
        <w:t xml:space="preserve"> network costs, so shifting usage into times when network charges and tariffs are lower. Also, it would be relatively straightforward for DRSPs to contractually indemnify their customers against any such price risk.</w:t>
      </w:r>
    </w:p>
    <w:p w14:paraId="1E779F7F" w14:textId="71ADCECC" w:rsid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The ultimate protection for consumers, however, is that participation in any DR programs, including those using the capabilities of their AS/NZS 4755-compliant products, would be voluntary. If the DRSP were unable to offer the</w:t>
      </w:r>
      <w:r w:rsidR="00D71588">
        <w:rPr>
          <w:rFonts w:ascii="Calibri" w:eastAsia="Calibri" w:hAnsi="Calibri" w:cs="Calibri"/>
          <w:szCs w:val="20"/>
          <w:lang w:val="en-AU"/>
        </w:rPr>
        <w:t>m</w:t>
      </w:r>
      <w:r w:rsidRPr="00A37634">
        <w:rPr>
          <w:rFonts w:ascii="Calibri" w:eastAsia="Calibri" w:hAnsi="Calibri" w:cs="Calibri"/>
          <w:szCs w:val="20"/>
          <w:lang w:val="en-AU"/>
        </w:rPr>
        <w:t xml:space="preserve"> sufficient incentive they would not join, and if they found that the costs exceeded the benefits they could withdraw. </w:t>
      </w:r>
    </w:p>
    <w:p w14:paraId="142E1DC8" w14:textId="449D4366" w:rsidR="00C515A0" w:rsidRPr="009110C0" w:rsidRDefault="009110C0" w:rsidP="009110C0">
      <w:pPr>
        <w:spacing w:before="240" w:after="240" w:line="276" w:lineRule="auto"/>
        <w:rPr>
          <w:rFonts w:ascii="Calibri" w:eastAsia="Calibri" w:hAnsi="Calibri" w:cs="Calibri"/>
          <w:b/>
          <w:bCs/>
          <w:color w:val="FF0000"/>
          <w:sz w:val="28"/>
          <w:szCs w:val="20"/>
          <w:lang w:val="en-AU"/>
        </w:rPr>
      </w:pPr>
      <w:r>
        <w:rPr>
          <w:rFonts w:ascii="Calibri" w:eastAsia="Calibri" w:hAnsi="Calibri" w:cs="Calibri"/>
          <w:b/>
          <w:bCs/>
          <w:color w:val="FF0000"/>
          <w:sz w:val="28"/>
          <w:szCs w:val="20"/>
          <w:lang w:val="en-AU"/>
        </w:rPr>
        <w:t xml:space="preserve"> </w:t>
      </w:r>
    </w:p>
    <w:p w14:paraId="188EF572" w14:textId="3EDCE63B" w:rsidR="00C515A0" w:rsidRPr="000068C1" w:rsidRDefault="00C515A0" w:rsidP="00FF17C7">
      <w:pPr>
        <w:pStyle w:val="ListParagraph"/>
        <w:pageBreakBefore/>
        <w:numPr>
          <w:ilvl w:val="0"/>
          <w:numId w:val="4"/>
        </w:numPr>
        <w:pBdr>
          <w:bottom w:val="single" w:sz="12" w:space="1" w:color="ED1B24"/>
        </w:pBdr>
        <w:spacing w:before="200" w:after="600" w:line="240" w:lineRule="auto"/>
        <w:outlineLvl w:val="0"/>
        <w:rPr>
          <w:rFonts w:eastAsia="Times New Roman" w:cs="Calibri"/>
          <w:b/>
          <w:bCs/>
          <w:color w:val="ED1B24"/>
          <w:sz w:val="50"/>
          <w:szCs w:val="28"/>
        </w:rPr>
      </w:pPr>
      <w:bookmarkStart w:id="123" w:name="_Toc22485217"/>
      <w:r w:rsidRPr="000068C1">
        <w:rPr>
          <w:rFonts w:eastAsia="Times New Roman" w:cs="Calibri"/>
          <w:b/>
          <w:bCs/>
          <w:color w:val="ED1B24"/>
          <w:sz w:val="50"/>
          <w:szCs w:val="28"/>
        </w:rPr>
        <w:lastRenderedPageBreak/>
        <w:t>Consultations and Submissions</w:t>
      </w:r>
      <w:bookmarkEnd w:id="123"/>
    </w:p>
    <w:p w14:paraId="2374FA52" w14:textId="60FBD5A2" w:rsidR="00732407" w:rsidRPr="00ED0812" w:rsidRDefault="00732407" w:rsidP="00732407">
      <w:pPr>
        <w:spacing w:before="240" w:after="240" w:line="276" w:lineRule="auto"/>
        <w:rPr>
          <w:rFonts w:ascii="Calibri" w:eastAsia="Calibri" w:hAnsi="Calibri" w:cs="Calibri"/>
          <w:b/>
          <w:bCs/>
          <w:color w:val="FF0000"/>
          <w:sz w:val="36"/>
          <w:szCs w:val="36"/>
          <w:lang w:val="en-AU"/>
        </w:rPr>
      </w:pPr>
      <w:r w:rsidRPr="00ED0812">
        <w:rPr>
          <w:rFonts w:ascii="Calibri" w:eastAsia="Calibri" w:hAnsi="Calibri" w:cs="Calibri"/>
          <w:b/>
          <w:bCs/>
          <w:color w:val="FF0000"/>
          <w:sz w:val="36"/>
          <w:szCs w:val="36"/>
          <w:lang w:val="en-AU"/>
        </w:rPr>
        <w:t>Stakeholder Engagement</w:t>
      </w:r>
    </w:p>
    <w:p w14:paraId="75AB6292" w14:textId="1C5D1EC9" w:rsidR="00E0625E" w:rsidRDefault="00AE0273"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The industry stakeholders mo</w:t>
      </w:r>
      <w:r w:rsidR="00CE5330">
        <w:rPr>
          <w:rFonts w:ascii="Calibri" w:eastAsia="Calibri" w:hAnsi="Calibri" w:cs="Calibri"/>
          <w:szCs w:val="20"/>
          <w:lang w:val="en-AU"/>
        </w:rPr>
        <w:t>s</w:t>
      </w:r>
      <w:r>
        <w:rPr>
          <w:rFonts w:ascii="Calibri" w:eastAsia="Calibri" w:hAnsi="Calibri" w:cs="Calibri"/>
          <w:szCs w:val="20"/>
          <w:lang w:val="en-AU"/>
        </w:rPr>
        <w:t>t affected by th</w:t>
      </w:r>
      <w:r w:rsidR="00CE5330">
        <w:rPr>
          <w:rFonts w:ascii="Calibri" w:eastAsia="Calibri" w:hAnsi="Calibri" w:cs="Calibri"/>
          <w:szCs w:val="20"/>
          <w:lang w:val="en-AU"/>
        </w:rPr>
        <w:t xml:space="preserve">is </w:t>
      </w:r>
      <w:r>
        <w:rPr>
          <w:rFonts w:ascii="Calibri" w:eastAsia="Calibri" w:hAnsi="Calibri" w:cs="Calibri"/>
          <w:szCs w:val="20"/>
          <w:lang w:val="en-AU"/>
        </w:rPr>
        <w:t xml:space="preserve">proposal </w:t>
      </w:r>
      <w:r w:rsidR="00CE5330">
        <w:rPr>
          <w:rFonts w:ascii="Calibri" w:eastAsia="Calibri" w:hAnsi="Calibri" w:cs="Calibri"/>
          <w:szCs w:val="20"/>
          <w:lang w:val="en-AU"/>
        </w:rPr>
        <w:t xml:space="preserve">have had many years of prior involvement in the issue of demand response. Electricity </w:t>
      </w:r>
      <w:r w:rsidR="001C62AE">
        <w:rPr>
          <w:rFonts w:ascii="Calibri" w:eastAsia="Calibri" w:hAnsi="Calibri" w:cs="Calibri"/>
          <w:szCs w:val="20"/>
          <w:lang w:val="en-AU"/>
        </w:rPr>
        <w:t xml:space="preserve">utilities </w:t>
      </w:r>
      <w:r w:rsidR="00CE5330">
        <w:rPr>
          <w:rFonts w:ascii="Calibri" w:eastAsia="Calibri" w:hAnsi="Calibri" w:cs="Calibri"/>
          <w:szCs w:val="20"/>
          <w:lang w:val="en-AU"/>
        </w:rPr>
        <w:t xml:space="preserve">and the </w:t>
      </w:r>
      <w:r w:rsidR="00B915B7">
        <w:rPr>
          <w:rFonts w:ascii="Calibri" w:eastAsia="Calibri" w:hAnsi="Calibri" w:cs="Calibri"/>
          <w:szCs w:val="20"/>
          <w:lang w:val="en-AU"/>
        </w:rPr>
        <w:t xml:space="preserve">AC </w:t>
      </w:r>
      <w:r w:rsidR="00CE5330">
        <w:rPr>
          <w:rFonts w:ascii="Calibri" w:eastAsia="Calibri" w:hAnsi="Calibri" w:cs="Calibri"/>
          <w:szCs w:val="20"/>
          <w:lang w:val="en-AU"/>
        </w:rPr>
        <w:t xml:space="preserve">industry have </w:t>
      </w:r>
      <w:r w:rsidR="001C62AE">
        <w:rPr>
          <w:rFonts w:ascii="Calibri" w:eastAsia="Calibri" w:hAnsi="Calibri" w:cs="Calibri"/>
          <w:szCs w:val="20"/>
          <w:lang w:val="en-AU"/>
        </w:rPr>
        <w:t xml:space="preserve">actively participated in the drafting of AS/NZS 4755, for which mandatory compliance is proposed, since 2005. </w:t>
      </w:r>
      <w:r w:rsidR="001C62AE" w:rsidRPr="001C62AE">
        <w:rPr>
          <w:rFonts w:ascii="Calibri" w:eastAsia="Calibri" w:hAnsi="Calibri" w:cs="Calibri"/>
          <w:szCs w:val="20"/>
          <w:lang w:val="en-AU"/>
        </w:rPr>
        <w:t>The water heater industr</w:t>
      </w:r>
      <w:r w:rsidR="001C62AE">
        <w:rPr>
          <w:rFonts w:ascii="Calibri" w:eastAsia="Calibri" w:hAnsi="Calibri" w:cs="Calibri"/>
          <w:szCs w:val="20"/>
          <w:lang w:val="en-AU"/>
        </w:rPr>
        <w:t xml:space="preserve">y, the pool equipment industry and </w:t>
      </w:r>
      <w:r w:rsidR="001C62AE" w:rsidRPr="001C62AE">
        <w:rPr>
          <w:rFonts w:ascii="Calibri" w:eastAsia="Calibri" w:hAnsi="Calibri" w:cs="Calibri"/>
          <w:szCs w:val="20"/>
          <w:lang w:val="en-AU"/>
        </w:rPr>
        <w:t xml:space="preserve">some of the stakeholders in </w:t>
      </w:r>
      <w:r w:rsidR="00B915B7">
        <w:rPr>
          <w:rFonts w:ascii="Calibri" w:eastAsia="Calibri" w:hAnsi="Calibri" w:cs="Calibri"/>
          <w:szCs w:val="20"/>
          <w:lang w:val="en-AU"/>
        </w:rPr>
        <w:t xml:space="preserve">EV </w:t>
      </w:r>
      <w:r w:rsidR="001C62AE" w:rsidRPr="001C62AE">
        <w:rPr>
          <w:rFonts w:ascii="Calibri" w:eastAsia="Calibri" w:hAnsi="Calibri" w:cs="Calibri"/>
          <w:szCs w:val="20"/>
          <w:lang w:val="en-AU"/>
        </w:rPr>
        <w:t xml:space="preserve">charging became involved in the standards development process in 2010. </w:t>
      </w:r>
      <w:r w:rsidR="001C62AE">
        <w:rPr>
          <w:rFonts w:ascii="Calibri" w:eastAsia="Calibri" w:hAnsi="Calibri" w:cs="Calibri"/>
          <w:szCs w:val="20"/>
          <w:lang w:val="en-AU"/>
        </w:rPr>
        <w:t xml:space="preserve"> The current composition of the standards committee is indicated in Appendix 1.</w:t>
      </w:r>
    </w:p>
    <w:p w14:paraId="06DD92E2" w14:textId="3B72CB4E" w:rsidR="00DE5103" w:rsidRDefault="00DE5103" w:rsidP="00E0625E">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A notice regarding COAG Energy Council’s agreement of December 2018 to </w:t>
      </w:r>
      <w:r w:rsidRPr="00DE5103">
        <w:rPr>
          <w:rFonts w:ascii="Calibri" w:eastAsia="Calibri" w:hAnsi="Calibri" w:cs="Calibri"/>
          <w:szCs w:val="20"/>
          <w:lang w:val="en-AU"/>
        </w:rPr>
        <w:t>draft a Regulatory Impact Statement</w:t>
      </w:r>
      <w:r>
        <w:rPr>
          <w:rFonts w:ascii="Calibri" w:eastAsia="Calibri" w:hAnsi="Calibri" w:cs="Calibri"/>
          <w:szCs w:val="20"/>
          <w:lang w:val="en-AU"/>
        </w:rPr>
        <w:t xml:space="preserve"> </w:t>
      </w:r>
      <w:r w:rsidRPr="00DE5103">
        <w:rPr>
          <w:rFonts w:ascii="Calibri" w:eastAsia="Calibri" w:hAnsi="Calibri" w:cs="Calibri"/>
          <w:szCs w:val="20"/>
          <w:lang w:val="en-AU"/>
        </w:rPr>
        <w:t>for certain electrical appliances to be demand response capable</w:t>
      </w:r>
      <w:r>
        <w:rPr>
          <w:rFonts w:ascii="Calibri" w:eastAsia="Calibri" w:hAnsi="Calibri" w:cs="Calibri"/>
          <w:szCs w:val="20"/>
          <w:lang w:val="en-AU"/>
        </w:rPr>
        <w:t xml:space="preserve"> was posted on the </w:t>
      </w:r>
      <w:hyperlink r:id="rId27" w:history="1">
        <w:r w:rsidRPr="004E54A5">
          <w:rPr>
            <w:rStyle w:val="Hyperlink"/>
            <w:rFonts w:ascii="Calibri" w:eastAsia="Calibri" w:hAnsi="Calibri" w:cs="Calibri"/>
            <w:szCs w:val="20"/>
            <w:lang w:val="en-AU"/>
          </w:rPr>
          <w:t>www.energyrating.gov.au</w:t>
        </w:r>
      </w:hyperlink>
      <w:r>
        <w:rPr>
          <w:rFonts w:ascii="Calibri" w:eastAsia="Calibri" w:hAnsi="Calibri" w:cs="Calibri"/>
          <w:szCs w:val="20"/>
          <w:lang w:val="en-AU"/>
        </w:rPr>
        <w:t xml:space="preserve"> website in April 2019. </w:t>
      </w:r>
      <w:bookmarkStart w:id="124" w:name="_Hlk22474457"/>
      <w:r>
        <w:rPr>
          <w:rFonts w:ascii="Calibri" w:eastAsia="Calibri" w:hAnsi="Calibri" w:cs="Calibri"/>
          <w:szCs w:val="20"/>
          <w:lang w:val="en-AU"/>
        </w:rPr>
        <w:t xml:space="preserve">The </w:t>
      </w:r>
      <w:r w:rsidR="00E0625E">
        <w:rPr>
          <w:rFonts w:ascii="Calibri" w:eastAsia="Calibri" w:hAnsi="Calibri" w:cs="Calibri"/>
          <w:szCs w:val="20"/>
          <w:lang w:val="en-AU"/>
        </w:rPr>
        <w:t>C</w:t>
      </w:r>
      <w:r w:rsidR="00E0625E" w:rsidRPr="00E0625E">
        <w:rPr>
          <w:rFonts w:ascii="Calibri" w:eastAsia="Calibri" w:hAnsi="Calibri" w:cs="Calibri"/>
          <w:szCs w:val="20"/>
          <w:lang w:val="en-AU"/>
        </w:rPr>
        <w:t xml:space="preserve">onsultation </w:t>
      </w:r>
      <w:r w:rsidR="00E0625E">
        <w:rPr>
          <w:rFonts w:ascii="Calibri" w:eastAsia="Calibri" w:hAnsi="Calibri" w:cs="Calibri"/>
          <w:szCs w:val="20"/>
          <w:lang w:val="en-AU"/>
        </w:rPr>
        <w:t>P</w:t>
      </w:r>
      <w:r w:rsidR="00E0625E" w:rsidRPr="00E0625E">
        <w:rPr>
          <w:rFonts w:ascii="Calibri" w:eastAsia="Calibri" w:hAnsi="Calibri" w:cs="Calibri"/>
          <w:szCs w:val="20"/>
          <w:lang w:val="en-AU"/>
        </w:rPr>
        <w:t>aper</w:t>
      </w:r>
      <w:r w:rsidR="00366993">
        <w:rPr>
          <w:rStyle w:val="FootnoteReference"/>
          <w:rFonts w:ascii="Calibri" w:eastAsia="Calibri" w:hAnsi="Calibri" w:cs="Calibri"/>
          <w:szCs w:val="20"/>
          <w:lang w:val="en-AU"/>
        </w:rPr>
        <w:footnoteReference w:id="83"/>
      </w:r>
      <w:r w:rsidR="00E0625E" w:rsidRPr="00E0625E">
        <w:rPr>
          <w:rFonts w:ascii="Calibri" w:eastAsia="Calibri" w:hAnsi="Calibri" w:cs="Calibri"/>
          <w:szCs w:val="20"/>
          <w:lang w:val="en-AU"/>
        </w:rPr>
        <w:t xml:space="preserve"> released </w:t>
      </w:r>
      <w:r>
        <w:rPr>
          <w:rFonts w:ascii="Calibri" w:eastAsia="Calibri" w:hAnsi="Calibri" w:cs="Calibri"/>
          <w:szCs w:val="20"/>
          <w:lang w:val="en-AU"/>
        </w:rPr>
        <w:t xml:space="preserve">on </w:t>
      </w:r>
      <w:r w:rsidR="00B915B7">
        <w:rPr>
          <w:rFonts w:ascii="Calibri" w:eastAsia="Calibri" w:hAnsi="Calibri" w:cs="Calibri"/>
          <w:szCs w:val="20"/>
          <w:lang w:val="en-AU"/>
        </w:rPr>
        <w:t>14</w:t>
      </w:r>
      <w:r>
        <w:rPr>
          <w:rFonts w:ascii="Calibri" w:eastAsia="Calibri" w:hAnsi="Calibri" w:cs="Calibri"/>
          <w:szCs w:val="20"/>
          <w:lang w:val="en-AU"/>
        </w:rPr>
        <w:t xml:space="preserve"> August 2019 was emailed to all the companies and industry associations on the E3 mail list, to those who had registered their interest via the website and to members of the standards committee. Submissions were invited up to 16 September </w:t>
      </w:r>
      <w:r w:rsidR="00704FDD">
        <w:rPr>
          <w:rFonts w:ascii="Calibri" w:eastAsia="Calibri" w:hAnsi="Calibri" w:cs="Calibri"/>
          <w:szCs w:val="20"/>
          <w:lang w:val="en-AU"/>
        </w:rPr>
        <w:t xml:space="preserve">2019 </w:t>
      </w:r>
      <w:r>
        <w:rPr>
          <w:rFonts w:ascii="Calibri" w:eastAsia="Calibri" w:hAnsi="Calibri" w:cs="Calibri"/>
          <w:szCs w:val="20"/>
          <w:lang w:val="en-AU"/>
        </w:rPr>
        <w:t>(later extende</w:t>
      </w:r>
      <w:r w:rsidR="00704FDD">
        <w:rPr>
          <w:rFonts w:ascii="Calibri" w:eastAsia="Calibri" w:hAnsi="Calibri" w:cs="Calibri"/>
          <w:szCs w:val="20"/>
          <w:lang w:val="en-AU"/>
        </w:rPr>
        <w:t>d</w:t>
      </w:r>
      <w:r>
        <w:rPr>
          <w:rFonts w:ascii="Calibri" w:eastAsia="Calibri" w:hAnsi="Calibri" w:cs="Calibri"/>
          <w:szCs w:val="20"/>
          <w:lang w:val="en-AU"/>
        </w:rPr>
        <w:t xml:space="preserve"> to 23 September).  </w:t>
      </w:r>
    </w:p>
    <w:p w14:paraId="0A0FE54A" w14:textId="77777777" w:rsidR="00DE5103" w:rsidRDefault="00E0625E" w:rsidP="00E0625E">
      <w:pPr>
        <w:spacing w:before="120" w:after="120" w:line="276" w:lineRule="auto"/>
        <w:rPr>
          <w:rFonts w:ascii="Calibri" w:eastAsia="Calibri" w:hAnsi="Calibri" w:cs="Calibri"/>
          <w:szCs w:val="20"/>
          <w:lang w:val="en-AU"/>
        </w:rPr>
      </w:pPr>
      <w:r w:rsidRPr="00E0625E">
        <w:rPr>
          <w:rFonts w:ascii="Calibri" w:eastAsia="Calibri" w:hAnsi="Calibri" w:cs="Calibri"/>
          <w:szCs w:val="20"/>
          <w:lang w:val="en-AU"/>
        </w:rPr>
        <w:t xml:space="preserve">The following public consultation sessions </w:t>
      </w:r>
      <w:r w:rsidR="00DE5103">
        <w:rPr>
          <w:rFonts w:ascii="Calibri" w:eastAsia="Calibri" w:hAnsi="Calibri" w:cs="Calibri"/>
          <w:szCs w:val="20"/>
          <w:lang w:val="en-AU"/>
        </w:rPr>
        <w:t xml:space="preserve">were </w:t>
      </w:r>
      <w:r w:rsidRPr="00E0625E">
        <w:rPr>
          <w:rFonts w:ascii="Calibri" w:eastAsia="Calibri" w:hAnsi="Calibri" w:cs="Calibri"/>
          <w:szCs w:val="20"/>
          <w:lang w:val="en-AU"/>
        </w:rPr>
        <w:t>held:</w:t>
      </w:r>
    </w:p>
    <w:p w14:paraId="4CD5E765" w14:textId="7D49286E" w:rsidR="00E0625E" w:rsidRPr="00DE5103" w:rsidRDefault="00E0625E" w:rsidP="00DE5103">
      <w:pPr>
        <w:pStyle w:val="ListParagraph"/>
        <w:numPr>
          <w:ilvl w:val="0"/>
          <w:numId w:val="21"/>
        </w:numPr>
        <w:spacing w:before="120"/>
        <w:rPr>
          <w:rFonts w:eastAsia="Calibri" w:cs="Calibri"/>
        </w:rPr>
      </w:pPr>
      <w:r w:rsidRPr="00DE5103">
        <w:rPr>
          <w:rFonts w:eastAsia="Calibri" w:cs="Calibri"/>
        </w:rPr>
        <w:t>Sydney – 26 August 2019</w:t>
      </w:r>
      <w:r w:rsidR="00B915B7">
        <w:rPr>
          <w:rFonts w:eastAsia="Calibri" w:cs="Calibri"/>
        </w:rPr>
        <w:t>;</w:t>
      </w:r>
    </w:p>
    <w:p w14:paraId="451AE43C" w14:textId="38A1723D" w:rsidR="00E0625E" w:rsidRPr="00DE5103" w:rsidRDefault="00E0625E" w:rsidP="00DE5103">
      <w:pPr>
        <w:pStyle w:val="ListParagraph"/>
        <w:numPr>
          <w:ilvl w:val="0"/>
          <w:numId w:val="21"/>
        </w:numPr>
        <w:spacing w:before="120"/>
        <w:rPr>
          <w:rFonts w:eastAsia="Calibri" w:cs="Calibri"/>
        </w:rPr>
      </w:pPr>
      <w:r w:rsidRPr="00DE5103">
        <w:rPr>
          <w:rFonts w:eastAsia="Calibri" w:cs="Calibri"/>
        </w:rPr>
        <w:t>Melbourne – 27 August 2019</w:t>
      </w:r>
      <w:r w:rsidR="00B915B7">
        <w:rPr>
          <w:rFonts w:eastAsia="Calibri" w:cs="Calibri"/>
        </w:rPr>
        <w:t>; and</w:t>
      </w:r>
    </w:p>
    <w:p w14:paraId="33B2A3C5" w14:textId="24A8606F" w:rsidR="00E0625E" w:rsidRPr="00DE5103" w:rsidRDefault="00E0625E" w:rsidP="00DE5103">
      <w:pPr>
        <w:pStyle w:val="ListParagraph"/>
        <w:numPr>
          <w:ilvl w:val="0"/>
          <w:numId w:val="21"/>
        </w:numPr>
        <w:spacing w:before="120"/>
        <w:rPr>
          <w:rFonts w:eastAsia="Calibri" w:cs="Calibri"/>
        </w:rPr>
      </w:pPr>
      <w:r w:rsidRPr="00DE5103">
        <w:rPr>
          <w:rFonts w:eastAsia="Calibri" w:cs="Calibri"/>
        </w:rPr>
        <w:t>Wellington – 29 August 2019</w:t>
      </w:r>
      <w:r w:rsidR="00B915B7">
        <w:rPr>
          <w:rFonts w:eastAsia="Calibri" w:cs="Calibri"/>
        </w:rPr>
        <w:t>.</w:t>
      </w:r>
    </w:p>
    <w:p w14:paraId="68E1E609" w14:textId="35EA22A3" w:rsidR="00704FDD" w:rsidRDefault="00704FDD" w:rsidP="00E0625E">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Additional consultation sessions were held for invited consumer and public interest advocacy groups, in Sydney on 26 August </w:t>
      </w:r>
      <w:r w:rsidR="00B915B7">
        <w:rPr>
          <w:rFonts w:ascii="Calibri" w:eastAsia="Calibri" w:hAnsi="Calibri" w:cs="Calibri"/>
          <w:szCs w:val="20"/>
          <w:lang w:val="en-AU"/>
        </w:rPr>
        <w:t xml:space="preserve">2019 </w:t>
      </w:r>
      <w:r>
        <w:rPr>
          <w:rFonts w:ascii="Calibri" w:eastAsia="Calibri" w:hAnsi="Calibri" w:cs="Calibri"/>
          <w:szCs w:val="20"/>
          <w:lang w:val="en-AU"/>
        </w:rPr>
        <w:t>and in Melbourne on 29 August</w:t>
      </w:r>
      <w:r w:rsidR="00B915B7">
        <w:rPr>
          <w:rFonts w:ascii="Calibri" w:eastAsia="Calibri" w:hAnsi="Calibri" w:cs="Calibri"/>
          <w:szCs w:val="20"/>
          <w:lang w:val="en-AU"/>
        </w:rPr>
        <w:t xml:space="preserve"> 2019</w:t>
      </w:r>
      <w:r>
        <w:rPr>
          <w:rFonts w:ascii="Calibri" w:eastAsia="Calibri" w:hAnsi="Calibri" w:cs="Calibri"/>
          <w:szCs w:val="20"/>
          <w:lang w:val="en-AU"/>
        </w:rPr>
        <w:t>.</w:t>
      </w:r>
      <w:r w:rsidR="00A729F3">
        <w:rPr>
          <w:rFonts w:ascii="Calibri" w:eastAsia="Calibri" w:hAnsi="Calibri" w:cs="Calibri"/>
          <w:szCs w:val="20"/>
          <w:lang w:val="en-AU"/>
        </w:rPr>
        <w:t xml:space="preserve"> More than 80 individuals in all attended the sessions.  </w:t>
      </w:r>
    </w:p>
    <w:p w14:paraId="67418B77" w14:textId="2D734C03" w:rsidR="00E0625E" w:rsidRPr="00E0625E" w:rsidRDefault="00E0625E" w:rsidP="00E0625E">
      <w:pPr>
        <w:spacing w:before="120" w:after="120" w:line="276" w:lineRule="auto"/>
        <w:rPr>
          <w:rFonts w:ascii="Calibri" w:eastAsia="Calibri" w:hAnsi="Calibri" w:cs="Calibri"/>
          <w:szCs w:val="20"/>
          <w:lang w:val="en-AU"/>
        </w:rPr>
      </w:pPr>
      <w:r w:rsidRPr="00E0625E">
        <w:rPr>
          <w:rFonts w:ascii="Calibri" w:eastAsia="Calibri" w:hAnsi="Calibri" w:cs="Calibri"/>
          <w:szCs w:val="20"/>
          <w:lang w:val="en-AU"/>
        </w:rPr>
        <w:t>Submissions on the consultation paper closed on 23 September 2019. Over 40 submissions were received from electricity networks and retailers, air conditioner suppliers, water heater suppliers, demand response product suppliers, the electric vehicle industry, individuals and public interest groups in Australia, and a further 10 from New Zealand.</w:t>
      </w:r>
      <w:r w:rsidR="000A6A2C">
        <w:rPr>
          <w:rFonts w:ascii="Calibri" w:eastAsia="Calibri" w:hAnsi="Calibri" w:cs="Calibri"/>
          <w:szCs w:val="20"/>
          <w:lang w:val="en-AU"/>
        </w:rPr>
        <w:t xml:space="preserve"> These are listed in Appendix 1. </w:t>
      </w:r>
    </w:p>
    <w:p w14:paraId="35358E3A" w14:textId="3DEE3159" w:rsidR="00E0625E" w:rsidRDefault="00E0625E"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Many of the stakeholders who attended information sessions and made submissions on the Consultation Paper had also participated in consultations on the previous proposal</w:t>
      </w:r>
      <w:r w:rsidR="009C7758">
        <w:rPr>
          <w:rFonts w:ascii="Calibri" w:eastAsia="Calibri" w:hAnsi="Calibri" w:cs="Calibri"/>
          <w:szCs w:val="20"/>
          <w:lang w:val="en-AU"/>
        </w:rPr>
        <w:t>s</w:t>
      </w:r>
      <w:r>
        <w:rPr>
          <w:rFonts w:ascii="Calibri" w:eastAsia="Calibri" w:hAnsi="Calibri" w:cs="Calibri"/>
          <w:szCs w:val="20"/>
          <w:lang w:val="en-AU"/>
        </w:rPr>
        <w:t xml:space="preserve"> to mandate </w:t>
      </w:r>
      <w:r w:rsidR="00B915B7">
        <w:rPr>
          <w:rFonts w:ascii="Calibri" w:eastAsia="Calibri" w:hAnsi="Calibri" w:cs="Calibri"/>
          <w:szCs w:val="20"/>
          <w:lang w:val="en-AU"/>
        </w:rPr>
        <w:t xml:space="preserve">DR </w:t>
      </w:r>
      <w:r>
        <w:rPr>
          <w:rFonts w:ascii="Calibri" w:eastAsia="Calibri" w:hAnsi="Calibri" w:cs="Calibri"/>
          <w:szCs w:val="20"/>
          <w:lang w:val="en-AU"/>
        </w:rPr>
        <w:t>capability in 201</w:t>
      </w:r>
      <w:r w:rsidR="00366993">
        <w:rPr>
          <w:rFonts w:ascii="Calibri" w:eastAsia="Calibri" w:hAnsi="Calibri" w:cs="Calibri"/>
          <w:szCs w:val="20"/>
          <w:lang w:val="en-AU"/>
        </w:rPr>
        <w:t>3/14</w:t>
      </w:r>
      <w:r>
        <w:rPr>
          <w:rFonts w:ascii="Calibri" w:eastAsia="Calibri" w:hAnsi="Calibri" w:cs="Calibri"/>
          <w:szCs w:val="20"/>
          <w:lang w:val="en-AU"/>
        </w:rPr>
        <w:t xml:space="preserve">. </w:t>
      </w:r>
    </w:p>
    <w:p w14:paraId="385017BE" w14:textId="738ABB2F" w:rsidR="00732407" w:rsidRPr="00ED0812" w:rsidRDefault="00A729F3" w:rsidP="00ED0812">
      <w:pPr>
        <w:spacing w:before="240" w:after="240" w:line="276" w:lineRule="auto"/>
        <w:rPr>
          <w:rFonts w:ascii="Calibri" w:eastAsia="Calibri" w:hAnsi="Calibri" w:cs="Calibri"/>
          <w:b/>
          <w:bCs/>
          <w:color w:val="FF0000"/>
          <w:sz w:val="36"/>
          <w:szCs w:val="36"/>
          <w:lang w:val="en-AU"/>
        </w:rPr>
      </w:pPr>
      <w:r w:rsidRPr="00ED0812">
        <w:rPr>
          <w:rFonts w:ascii="Calibri" w:eastAsia="Calibri" w:hAnsi="Calibri" w:cs="Calibri"/>
          <w:b/>
          <w:bCs/>
          <w:color w:val="FF0000"/>
          <w:sz w:val="36"/>
          <w:szCs w:val="36"/>
          <w:lang w:val="en-AU"/>
        </w:rPr>
        <w:t>Overview of Submissions</w:t>
      </w:r>
      <w:r w:rsidR="002C51D2" w:rsidRPr="00ED0812">
        <w:rPr>
          <w:rFonts w:ascii="Calibri" w:eastAsia="Calibri" w:hAnsi="Calibri" w:cs="Calibri"/>
          <w:b/>
          <w:bCs/>
          <w:color w:val="FF0000"/>
          <w:sz w:val="36"/>
          <w:szCs w:val="36"/>
          <w:lang w:val="en-AU"/>
        </w:rPr>
        <w:t xml:space="preserve"> </w:t>
      </w:r>
    </w:p>
    <w:p w14:paraId="532C07D6" w14:textId="2BD0F19C" w:rsidR="002C51D2" w:rsidRDefault="002C51D2" w:rsidP="002C51D2">
      <w:pPr>
        <w:spacing w:before="120" w:after="120" w:line="276" w:lineRule="auto"/>
        <w:rPr>
          <w:rFonts w:ascii="Calibri" w:eastAsia="Calibri" w:hAnsi="Calibri" w:cs="Calibri"/>
          <w:szCs w:val="20"/>
          <w:lang w:val="en-AU"/>
        </w:rPr>
      </w:pPr>
      <w:r w:rsidRPr="002C51D2">
        <w:rPr>
          <w:rFonts w:ascii="Calibri" w:eastAsia="Calibri" w:hAnsi="Calibri" w:cs="Calibri"/>
          <w:szCs w:val="20"/>
          <w:lang w:val="en-AU"/>
        </w:rPr>
        <w:t>Most submissions (even those opposed to mandating</w:t>
      </w:r>
      <w:r>
        <w:rPr>
          <w:rFonts w:ascii="Calibri" w:eastAsia="Calibri" w:hAnsi="Calibri" w:cs="Calibri"/>
          <w:szCs w:val="20"/>
          <w:lang w:val="en-AU"/>
        </w:rPr>
        <w:t xml:space="preserve"> AS/NZS 4755 compliance</w:t>
      </w:r>
      <w:r w:rsidRPr="002C51D2">
        <w:rPr>
          <w:rFonts w:ascii="Calibri" w:eastAsia="Calibri" w:hAnsi="Calibri" w:cs="Calibri"/>
          <w:szCs w:val="20"/>
          <w:lang w:val="en-AU"/>
        </w:rPr>
        <w:t>) support the premise that a common, open technical standards framework for DR capability would enable the continued development of DR in Australia’s energy markets, particularly with respect to residential and small business consumers.</w:t>
      </w:r>
      <w:r>
        <w:rPr>
          <w:rFonts w:ascii="Calibri" w:eastAsia="Calibri" w:hAnsi="Calibri" w:cs="Calibri"/>
          <w:szCs w:val="20"/>
          <w:lang w:val="en-AU"/>
        </w:rPr>
        <w:t xml:space="preserve"> </w:t>
      </w:r>
    </w:p>
    <w:p w14:paraId="398C1C23" w14:textId="757419F9" w:rsidR="003C3F7B" w:rsidRDefault="005A09E2" w:rsidP="002C51D2">
      <w:pPr>
        <w:spacing w:before="120" w:after="120" w:line="276" w:lineRule="auto"/>
        <w:rPr>
          <w:rFonts w:ascii="Calibri" w:eastAsia="Calibri" w:hAnsi="Calibri" w:cs="Calibri"/>
          <w:szCs w:val="20"/>
          <w:lang w:val="en-AU"/>
        </w:rPr>
      </w:pPr>
      <w:r>
        <w:rPr>
          <w:rFonts w:ascii="Calibri" w:eastAsia="Calibri" w:hAnsi="Calibri" w:cs="Calibri"/>
          <w:szCs w:val="20"/>
          <w:lang w:val="en-AU"/>
        </w:rPr>
        <w:lastRenderedPageBreak/>
        <w:t xml:space="preserve">In general, electricity industry stakeholders supported the proposal, more product manufacturers opposed it than supported it, and other respondents, including public interest groups, were strongly in favour. </w:t>
      </w:r>
      <w:r w:rsidR="003C3F7B">
        <w:rPr>
          <w:rFonts w:ascii="Calibri" w:eastAsia="Calibri" w:hAnsi="Calibri" w:cs="Calibri"/>
          <w:szCs w:val="20"/>
          <w:lang w:val="en-AU"/>
        </w:rPr>
        <w:t xml:space="preserve">The balance of </w:t>
      </w:r>
      <w:r>
        <w:rPr>
          <w:rFonts w:ascii="Calibri" w:eastAsia="Calibri" w:hAnsi="Calibri" w:cs="Calibri"/>
          <w:szCs w:val="20"/>
          <w:lang w:val="en-AU"/>
        </w:rPr>
        <w:t xml:space="preserve">New Zealand submissions </w:t>
      </w:r>
      <w:r w:rsidR="003C3F7B">
        <w:rPr>
          <w:rFonts w:ascii="Calibri" w:eastAsia="Calibri" w:hAnsi="Calibri" w:cs="Calibri"/>
          <w:szCs w:val="20"/>
          <w:lang w:val="en-AU"/>
        </w:rPr>
        <w:t>was also in favour, although</w:t>
      </w:r>
      <w:r>
        <w:rPr>
          <w:rFonts w:ascii="Calibri" w:eastAsia="Calibri" w:hAnsi="Calibri" w:cs="Calibri"/>
          <w:szCs w:val="20"/>
          <w:lang w:val="en-AU"/>
        </w:rPr>
        <w:t xml:space="preserve"> New Ze</w:t>
      </w:r>
      <w:r w:rsidR="003C3F7B">
        <w:rPr>
          <w:rFonts w:ascii="Calibri" w:eastAsia="Calibri" w:hAnsi="Calibri" w:cs="Calibri"/>
          <w:szCs w:val="20"/>
          <w:lang w:val="en-AU"/>
        </w:rPr>
        <w:t>a</w:t>
      </w:r>
      <w:r>
        <w:rPr>
          <w:rFonts w:ascii="Calibri" w:eastAsia="Calibri" w:hAnsi="Calibri" w:cs="Calibri"/>
          <w:szCs w:val="20"/>
          <w:lang w:val="en-AU"/>
        </w:rPr>
        <w:t xml:space="preserve">land </w:t>
      </w:r>
      <w:r w:rsidR="003C3F7B">
        <w:rPr>
          <w:rFonts w:ascii="Calibri" w:eastAsia="Calibri" w:hAnsi="Calibri" w:cs="Calibri"/>
          <w:szCs w:val="20"/>
          <w:lang w:val="en-AU"/>
        </w:rPr>
        <w:t xml:space="preserve">companies reiterated the view of their Australian counterparts. </w:t>
      </w:r>
    </w:p>
    <w:p w14:paraId="6281FCD5" w14:textId="63205896" w:rsidR="00732407" w:rsidRPr="00BA4D56" w:rsidRDefault="00BA4D56" w:rsidP="00BA4D56">
      <w:pPr>
        <w:spacing w:before="240" w:after="120" w:line="240" w:lineRule="auto"/>
        <w:jc w:val="center"/>
        <w:rPr>
          <w:rFonts w:ascii="Calibri" w:eastAsia="Cambria" w:hAnsi="Calibri" w:cs="Calibri"/>
          <w:b/>
          <w:bCs/>
          <w:sz w:val="20"/>
          <w:szCs w:val="16"/>
          <w:lang w:val="en-AU"/>
        </w:rPr>
      </w:pPr>
      <w:bookmarkStart w:id="125" w:name="_Ref22296363"/>
      <w:bookmarkStart w:id="126" w:name="_Toc22486963"/>
      <w:r w:rsidRPr="00BA4D56">
        <w:rPr>
          <w:rFonts w:ascii="Calibri" w:eastAsia="Cambria" w:hAnsi="Calibri" w:cs="Calibri"/>
          <w:b/>
          <w:bCs/>
          <w:sz w:val="20"/>
          <w:szCs w:val="16"/>
          <w:lang w:val="en-AU"/>
        </w:rPr>
        <w:t xml:space="preserve">Table </w:t>
      </w:r>
      <w:r w:rsidRPr="00BA4D56">
        <w:rPr>
          <w:rFonts w:ascii="Calibri" w:eastAsia="Cambria" w:hAnsi="Calibri" w:cs="Calibri"/>
          <w:b/>
          <w:bCs/>
          <w:sz w:val="20"/>
          <w:szCs w:val="16"/>
          <w:lang w:val="en-AU"/>
        </w:rPr>
        <w:fldChar w:fldCharType="begin"/>
      </w:r>
      <w:r w:rsidRPr="00BA4D56">
        <w:rPr>
          <w:rFonts w:ascii="Calibri" w:eastAsia="Cambria" w:hAnsi="Calibri" w:cs="Calibri"/>
          <w:b/>
          <w:bCs/>
          <w:sz w:val="20"/>
          <w:szCs w:val="16"/>
          <w:lang w:val="en-AU"/>
        </w:rPr>
        <w:instrText xml:space="preserve"> SEQ Table \* ARABIC </w:instrText>
      </w:r>
      <w:r w:rsidRPr="00BA4D56">
        <w:rPr>
          <w:rFonts w:ascii="Calibri" w:eastAsia="Cambria" w:hAnsi="Calibri" w:cs="Calibri"/>
          <w:b/>
          <w:bCs/>
          <w:sz w:val="20"/>
          <w:szCs w:val="16"/>
          <w:lang w:val="en-AU"/>
        </w:rPr>
        <w:fldChar w:fldCharType="separate"/>
      </w:r>
      <w:r w:rsidR="00541269">
        <w:rPr>
          <w:rFonts w:ascii="Calibri" w:eastAsia="Cambria" w:hAnsi="Calibri" w:cs="Calibri"/>
          <w:b/>
          <w:bCs/>
          <w:noProof/>
          <w:sz w:val="20"/>
          <w:szCs w:val="16"/>
          <w:lang w:val="en-AU"/>
        </w:rPr>
        <w:t>19</w:t>
      </w:r>
      <w:r w:rsidRPr="00BA4D56">
        <w:rPr>
          <w:rFonts w:ascii="Calibri" w:eastAsia="Cambria" w:hAnsi="Calibri" w:cs="Calibri"/>
          <w:b/>
          <w:bCs/>
          <w:sz w:val="20"/>
          <w:szCs w:val="16"/>
          <w:lang w:val="en-AU"/>
        </w:rPr>
        <w:fldChar w:fldCharType="end"/>
      </w:r>
      <w:bookmarkEnd w:id="125"/>
      <w:r w:rsidRPr="00BA4D56">
        <w:rPr>
          <w:rFonts w:ascii="Calibri" w:eastAsia="Cambria" w:hAnsi="Calibri" w:cs="Calibri"/>
          <w:b/>
          <w:bCs/>
          <w:sz w:val="20"/>
          <w:szCs w:val="16"/>
          <w:lang w:val="en-AU"/>
        </w:rPr>
        <w:t xml:space="preserve"> Number of Australian respondents supporting and opposing mandating AS/NZS 4755 compliance</w:t>
      </w:r>
      <w:bookmarkEnd w:id="126"/>
      <w:r w:rsidRPr="00BA4D56">
        <w:rPr>
          <w:rFonts w:ascii="Calibri" w:eastAsia="Cambria" w:hAnsi="Calibri" w:cs="Calibri"/>
          <w:b/>
          <w:bCs/>
          <w:sz w:val="20"/>
          <w:szCs w:val="16"/>
          <w:lang w:val="en-AU"/>
        </w:rPr>
        <w:t xml:space="preserve">  </w:t>
      </w:r>
    </w:p>
    <w:tbl>
      <w:tblPr>
        <w:tblStyle w:val="TableGrid"/>
        <w:tblW w:w="0" w:type="auto"/>
        <w:tblLayout w:type="fixed"/>
        <w:tblLook w:val="04A0" w:firstRow="1" w:lastRow="0" w:firstColumn="1" w:lastColumn="0" w:noHBand="0" w:noVBand="1"/>
      </w:tblPr>
      <w:tblGrid>
        <w:gridCol w:w="1413"/>
        <w:gridCol w:w="820"/>
        <w:gridCol w:w="821"/>
        <w:gridCol w:w="821"/>
        <w:gridCol w:w="820"/>
        <w:gridCol w:w="821"/>
        <w:gridCol w:w="821"/>
        <w:gridCol w:w="820"/>
        <w:gridCol w:w="821"/>
        <w:gridCol w:w="821"/>
        <w:gridCol w:w="821"/>
      </w:tblGrid>
      <w:tr w:rsidR="00BA4D56" w:rsidRPr="00BA4D56" w14:paraId="678F7489" w14:textId="77777777" w:rsidTr="006239C6">
        <w:trPr>
          <w:trHeight w:val="300"/>
        </w:trPr>
        <w:tc>
          <w:tcPr>
            <w:tcW w:w="1413" w:type="dxa"/>
            <w:noWrap/>
            <w:hideMark/>
          </w:tcPr>
          <w:p w14:paraId="0EB24C1F" w14:textId="77777777" w:rsidR="00BA4D56" w:rsidRPr="00BA4D56" w:rsidRDefault="00BA4D56" w:rsidP="00BA4D56">
            <w:pPr>
              <w:spacing w:before="120" w:after="120" w:line="276" w:lineRule="auto"/>
              <w:rPr>
                <w:rFonts w:ascii="Calibri" w:eastAsia="Calibri" w:hAnsi="Calibri" w:cs="Calibri"/>
                <w:lang w:val="en-AU"/>
              </w:rPr>
            </w:pPr>
            <w:r w:rsidRPr="00BA4D56">
              <w:rPr>
                <w:rFonts w:ascii="Calibri" w:eastAsia="Calibri" w:hAnsi="Calibri" w:cs="Calibri"/>
              </w:rPr>
              <w:t> </w:t>
            </w:r>
          </w:p>
        </w:tc>
        <w:tc>
          <w:tcPr>
            <w:tcW w:w="1641" w:type="dxa"/>
            <w:gridSpan w:val="2"/>
            <w:noWrap/>
            <w:hideMark/>
          </w:tcPr>
          <w:p w14:paraId="691F094E" w14:textId="524847B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4755 for ACs</w:t>
            </w:r>
          </w:p>
        </w:tc>
        <w:tc>
          <w:tcPr>
            <w:tcW w:w="1641" w:type="dxa"/>
            <w:gridSpan w:val="2"/>
            <w:noWrap/>
            <w:hideMark/>
          </w:tcPr>
          <w:p w14:paraId="66B4D4D4" w14:textId="58E390CD"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4755 for PPs</w:t>
            </w:r>
          </w:p>
        </w:tc>
        <w:tc>
          <w:tcPr>
            <w:tcW w:w="1642" w:type="dxa"/>
            <w:gridSpan w:val="2"/>
            <w:noWrap/>
            <w:hideMark/>
          </w:tcPr>
          <w:p w14:paraId="4255C94B" w14:textId="6B2F636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4755 for WHs</w:t>
            </w:r>
          </w:p>
        </w:tc>
        <w:tc>
          <w:tcPr>
            <w:tcW w:w="1641" w:type="dxa"/>
            <w:gridSpan w:val="2"/>
            <w:noWrap/>
            <w:hideMark/>
          </w:tcPr>
          <w:p w14:paraId="67CC4BBB" w14:textId="04873A6C" w:rsidR="00BA4D56" w:rsidRPr="00BA4D56" w:rsidRDefault="00BA4D56" w:rsidP="00BA4D56">
            <w:pPr>
              <w:spacing w:before="120" w:after="120" w:line="276" w:lineRule="auto"/>
              <w:jc w:val="center"/>
              <w:rPr>
                <w:rFonts w:ascii="Calibri" w:eastAsia="Calibri" w:hAnsi="Calibri" w:cs="Calibri"/>
              </w:rPr>
            </w:pPr>
            <w:r>
              <w:rPr>
                <w:rFonts w:ascii="Calibri" w:eastAsia="Calibri" w:hAnsi="Calibri" w:cs="Calibri"/>
              </w:rPr>
              <w:t xml:space="preserve">4755 for </w:t>
            </w:r>
            <w:r w:rsidRPr="00BA4D56">
              <w:rPr>
                <w:rFonts w:ascii="Calibri" w:eastAsia="Calibri" w:hAnsi="Calibri" w:cs="Calibri"/>
              </w:rPr>
              <w:t>EVSE</w:t>
            </w:r>
            <w:r>
              <w:rPr>
                <w:rFonts w:ascii="Calibri" w:eastAsia="Calibri" w:hAnsi="Calibri" w:cs="Calibri"/>
              </w:rPr>
              <w:t>s</w:t>
            </w:r>
          </w:p>
        </w:tc>
        <w:tc>
          <w:tcPr>
            <w:tcW w:w="1642" w:type="dxa"/>
            <w:gridSpan w:val="2"/>
            <w:noWrap/>
            <w:hideMark/>
          </w:tcPr>
          <w:p w14:paraId="55F9B487" w14:textId="24D925B3"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DR standards</w:t>
            </w:r>
          </w:p>
        </w:tc>
      </w:tr>
      <w:tr w:rsidR="00BA4D56" w:rsidRPr="00BA4D56" w14:paraId="5466BE29" w14:textId="77777777" w:rsidTr="00BA4D56">
        <w:trPr>
          <w:trHeight w:val="300"/>
        </w:trPr>
        <w:tc>
          <w:tcPr>
            <w:tcW w:w="1413" w:type="dxa"/>
            <w:noWrap/>
            <w:hideMark/>
          </w:tcPr>
          <w:p w14:paraId="05768F47" w14:textId="77777777" w:rsidR="00BA4D56" w:rsidRPr="00BA4D56" w:rsidRDefault="00BA4D56" w:rsidP="00BA4D56">
            <w:pPr>
              <w:spacing w:before="120" w:after="120" w:line="276" w:lineRule="auto"/>
              <w:rPr>
                <w:rFonts w:ascii="Calibri" w:eastAsia="Calibri" w:hAnsi="Calibri" w:cs="Calibri"/>
              </w:rPr>
            </w:pPr>
            <w:r w:rsidRPr="00BA4D56">
              <w:rPr>
                <w:rFonts w:ascii="Calibri" w:eastAsia="Calibri" w:hAnsi="Calibri" w:cs="Calibri"/>
              </w:rPr>
              <w:t> </w:t>
            </w:r>
          </w:p>
        </w:tc>
        <w:tc>
          <w:tcPr>
            <w:tcW w:w="820" w:type="dxa"/>
            <w:noWrap/>
            <w:hideMark/>
          </w:tcPr>
          <w:p w14:paraId="306352A9"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1" w:type="dxa"/>
            <w:noWrap/>
            <w:hideMark/>
          </w:tcPr>
          <w:p w14:paraId="6D66FC40"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No</w:t>
            </w:r>
          </w:p>
        </w:tc>
        <w:tc>
          <w:tcPr>
            <w:tcW w:w="821" w:type="dxa"/>
            <w:noWrap/>
            <w:hideMark/>
          </w:tcPr>
          <w:p w14:paraId="22E821CE"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0" w:type="dxa"/>
            <w:noWrap/>
            <w:hideMark/>
          </w:tcPr>
          <w:p w14:paraId="3E65ADBC"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No</w:t>
            </w:r>
          </w:p>
        </w:tc>
        <w:tc>
          <w:tcPr>
            <w:tcW w:w="821" w:type="dxa"/>
            <w:noWrap/>
            <w:hideMark/>
          </w:tcPr>
          <w:p w14:paraId="5DC6CD3A"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1" w:type="dxa"/>
            <w:noWrap/>
            <w:hideMark/>
          </w:tcPr>
          <w:p w14:paraId="2EBC124C"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No</w:t>
            </w:r>
          </w:p>
        </w:tc>
        <w:tc>
          <w:tcPr>
            <w:tcW w:w="820" w:type="dxa"/>
            <w:noWrap/>
            <w:hideMark/>
          </w:tcPr>
          <w:p w14:paraId="0016BA7D" w14:textId="1907FDC0"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1" w:type="dxa"/>
            <w:noWrap/>
            <w:hideMark/>
          </w:tcPr>
          <w:p w14:paraId="02FD0ED4" w14:textId="629E6EE3"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No</w:t>
            </w:r>
          </w:p>
        </w:tc>
        <w:tc>
          <w:tcPr>
            <w:tcW w:w="821" w:type="dxa"/>
            <w:noWrap/>
            <w:hideMark/>
          </w:tcPr>
          <w:p w14:paraId="412E7E15"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1" w:type="dxa"/>
            <w:noWrap/>
            <w:hideMark/>
          </w:tcPr>
          <w:p w14:paraId="2FA7D36D"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No</w:t>
            </w:r>
          </w:p>
        </w:tc>
      </w:tr>
      <w:tr w:rsidR="00BA4D56" w:rsidRPr="00BA4D56" w14:paraId="31F3FB0E" w14:textId="77777777" w:rsidTr="00BA4D56">
        <w:trPr>
          <w:trHeight w:val="300"/>
        </w:trPr>
        <w:tc>
          <w:tcPr>
            <w:tcW w:w="1413" w:type="dxa"/>
            <w:noWrap/>
            <w:hideMark/>
          </w:tcPr>
          <w:p w14:paraId="049A0244" w14:textId="22487C40" w:rsidR="00BA4D56" w:rsidRPr="00BA4D56" w:rsidRDefault="00BA4D56" w:rsidP="00BA4D56">
            <w:pPr>
              <w:spacing w:before="120" w:after="120" w:line="276" w:lineRule="auto"/>
              <w:rPr>
                <w:rFonts w:ascii="Calibri" w:eastAsia="Calibri" w:hAnsi="Calibri" w:cs="Calibri"/>
              </w:rPr>
            </w:pPr>
            <w:r w:rsidRPr="00BA4D56">
              <w:rPr>
                <w:rFonts w:ascii="Calibri" w:eastAsia="Calibri" w:hAnsi="Calibri" w:cs="Calibri"/>
              </w:rPr>
              <w:t>Unqual</w:t>
            </w:r>
            <w:r>
              <w:rPr>
                <w:rFonts w:ascii="Calibri" w:eastAsia="Calibri" w:hAnsi="Calibri" w:cs="Calibri"/>
              </w:rPr>
              <w:t>i</w:t>
            </w:r>
            <w:r w:rsidRPr="00BA4D56">
              <w:rPr>
                <w:rFonts w:ascii="Calibri" w:eastAsia="Calibri" w:hAnsi="Calibri" w:cs="Calibri"/>
              </w:rPr>
              <w:t>fied</w:t>
            </w:r>
          </w:p>
        </w:tc>
        <w:tc>
          <w:tcPr>
            <w:tcW w:w="820" w:type="dxa"/>
            <w:noWrap/>
            <w:hideMark/>
          </w:tcPr>
          <w:p w14:paraId="2355963D"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18</w:t>
            </w:r>
          </w:p>
        </w:tc>
        <w:tc>
          <w:tcPr>
            <w:tcW w:w="821" w:type="dxa"/>
            <w:noWrap/>
            <w:hideMark/>
          </w:tcPr>
          <w:p w14:paraId="25716A18"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11</w:t>
            </w:r>
          </w:p>
        </w:tc>
        <w:tc>
          <w:tcPr>
            <w:tcW w:w="821" w:type="dxa"/>
            <w:noWrap/>
            <w:hideMark/>
          </w:tcPr>
          <w:p w14:paraId="0AFFDC96"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13</w:t>
            </w:r>
          </w:p>
        </w:tc>
        <w:tc>
          <w:tcPr>
            <w:tcW w:w="820" w:type="dxa"/>
            <w:noWrap/>
            <w:hideMark/>
          </w:tcPr>
          <w:p w14:paraId="14BE0D02"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7</w:t>
            </w:r>
          </w:p>
        </w:tc>
        <w:tc>
          <w:tcPr>
            <w:tcW w:w="821" w:type="dxa"/>
            <w:noWrap/>
            <w:hideMark/>
          </w:tcPr>
          <w:p w14:paraId="5A05C723"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15</w:t>
            </w:r>
          </w:p>
        </w:tc>
        <w:tc>
          <w:tcPr>
            <w:tcW w:w="821" w:type="dxa"/>
            <w:noWrap/>
            <w:hideMark/>
          </w:tcPr>
          <w:p w14:paraId="2AB57982"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10</w:t>
            </w:r>
          </w:p>
        </w:tc>
        <w:tc>
          <w:tcPr>
            <w:tcW w:w="820" w:type="dxa"/>
            <w:noWrap/>
            <w:hideMark/>
          </w:tcPr>
          <w:p w14:paraId="0F034A5E"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12</w:t>
            </w:r>
          </w:p>
        </w:tc>
        <w:tc>
          <w:tcPr>
            <w:tcW w:w="821" w:type="dxa"/>
            <w:noWrap/>
            <w:hideMark/>
          </w:tcPr>
          <w:p w14:paraId="0C48BF55"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7</w:t>
            </w:r>
          </w:p>
        </w:tc>
        <w:tc>
          <w:tcPr>
            <w:tcW w:w="821" w:type="dxa"/>
            <w:noWrap/>
            <w:hideMark/>
          </w:tcPr>
          <w:p w14:paraId="5DE0E8C8"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17</w:t>
            </w:r>
          </w:p>
        </w:tc>
        <w:tc>
          <w:tcPr>
            <w:tcW w:w="821" w:type="dxa"/>
            <w:noWrap/>
            <w:hideMark/>
          </w:tcPr>
          <w:p w14:paraId="184F36BF"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2</w:t>
            </w:r>
          </w:p>
        </w:tc>
      </w:tr>
      <w:tr w:rsidR="00BA4D56" w:rsidRPr="00BA4D56" w14:paraId="412A637C" w14:textId="77777777" w:rsidTr="00BA4D56">
        <w:trPr>
          <w:trHeight w:val="300"/>
        </w:trPr>
        <w:tc>
          <w:tcPr>
            <w:tcW w:w="1413" w:type="dxa"/>
            <w:noWrap/>
            <w:hideMark/>
          </w:tcPr>
          <w:p w14:paraId="77F30E5E" w14:textId="77777777" w:rsidR="00BA4D56" w:rsidRPr="00BA4D56" w:rsidRDefault="00BA4D56" w:rsidP="00BA4D56">
            <w:pPr>
              <w:spacing w:before="120" w:after="120" w:line="276" w:lineRule="auto"/>
              <w:rPr>
                <w:rFonts w:ascii="Calibri" w:eastAsia="Calibri" w:hAnsi="Calibri" w:cs="Calibri"/>
              </w:rPr>
            </w:pPr>
            <w:r w:rsidRPr="00BA4D56">
              <w:rPr>
                <w:rFonts w:ascii="Calibri" w:eastAsia="Calibri" w:hAnsi="Calibri" w:cs="Calibri"/>
              </w:rPr>
              <w:t>Conditional</w:t>
            </w:r>
          </w:p>
        </w:tc>
        <w:tc>
          <w:tcPr>
            <w:tcW w:w="820" w:type="dxa"/>
            <w:noWrap/>
            <w:hideMark/>
          </w:tcPr>
          <w:p w14:paraId="427B1486"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2</w:t>
            </w:r>
          </w:p>
        </w:tc>
        <w:tc>
          <w:tcPr>
            <w:tcW w:w="821" w:type="dxa"/>
            <w:noWrap/>
            <w:hideMark/>
          </w:tcPr>
          <w:p w14:paraId="06CF3392" w14:textId="7310E6E2" w:rsidR="00BA4D56" w:rsidRPr="00BA4D56" w:rsidRDefault="00BA4D56" w:rsidP="00BA4D56">
            <w:pPr>
              <w:spacing w:before="120" w:after="120" w:line="276" w:lineRule="auto"/>
              <w:jc w:val="center"/>
              <w:rPr>
                <w:rFonts w:ascii="Calibri" w:eastAsia="Calibri" w:hAnsi="Calibri" w:cs="Calibri"/>
              </w:rPr>
            </w:pPr>
          </w:p>
        </w:tc>
        <w:tc>
          <w:tcPr>
            <w:tcW w:w="821" w:type="dxa"/>
            <w:noWrap/>
            <w:hideMark/>
          </w:tcPr>
          <w:p w14:paraId="55FA282D"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2</w:t>
            </w:r>
          </w:p>
        </w:tc>
        <w:tc>
          <w:tcPr>
            <w:tcW w:w="820" w:type="dxa"/>
            <w:noWrap/>
            <w:hideMark/>
          </w:tcPr>
          <w:p w14:paraId="78E432C4" w14:textId="6A7665EF" w:rsidR="00BA4D56" w:rsidRPr="00BA4D56" w:rsidRDefault="00BA4D56" w:rsidP="00BA4D56">
            <w:pPr>
              <w:spacing w:before="120" w:after="120" w:line="276" w:lineRule="auto"/>
              <w:jc w:val="center"/>
              <w:rPr>
                <w:rFonts w:ascii="Calibri" w:eastAsia="Calibri" w:hAnsi="Calibri" w:cs="Calibri"/>
              </w:rPr>
            </w:pPr>
          </w:p>
        </w:tc>
        <w:tc>
          <w:tcPr>
            <w:tcW w:w="821" w:type="dxa"/>
            <w:noWrap/>
            <w:hideMark/>
          </w:tcPr>
          <w:p w14:paraId="657C8309"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2</w:t>
            </w:r>
          </w:p>
        </w:tc>
        <w:tc>
          <w:tcPr>
            <w:tcW w:w="821" w:type="dxa"/>
            <w:noWrap/>
            <w:hideMark/>
          </w:tcPr>
          <w:p w14:paraId="74BBD798"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3</w:t>
            </w:r>
          </w:p>
        </w:tc>
        <w:tc>
          <w:tcPr>
            <w:tcW w:w="820" w:type="dxa"/>
            <w:noWrap/>
            <w:hideMark/>
          </w:tcPr>
          <w:p w14:paraId="654ACE90" w14:textId="77777777" w:rsidR="00BA4D56" w:rsidRPr="00BA4D56" w:rsidRDefault="00BA4D56" w:rsidP="00BA4D56">
            <w:pPr>
              <w:spacing w:before="120" w:after="120" w:line="276" w:lineRule="auto"/>
              <w:jc w:val="center"/>
              <w:rPr>
                <w:rFonts w:ascii="Calibri" w:eastAsia="Calibri" w:hAnsi="Calibri" w:cs="Calibri"/>
              </w:rPr>
            </w:pPr>
            <w:r w:rsidRPr="00BA4D56">
              <w:rPr>
                <w:rFonts w:ascii="Calibri" w:eastAsia="Calibri" w:hAnsi="Calibri" w:cs="Calibri"/>
              </w:rPr>
              <w:t>7</w:t>
            </w:r>
          </w:p>
        </w:tc>
        <w:tc>
          <w:tcPr>
            <w:tcW w:w="821" w:type="dxa"/>
            <w:noWrap/>
            <w:hideMark/>
          </w:tcPr>
          <w:p w14:paraId="01E35D55" w14:textId="5B316926" w:rsidR="00BA4D56" w:rsidRPr="00BA4D56" w:rsidRDefault="00BA4D56" w:rsidP="00BA4D56">
            <w:pPr>
              <w:spacing w:before="120" w:after="120" w:line="276" w:lineRule="auto"/>
              <w:jc w:val="center"/>
              <w:rPr>
                <w:rFonts w:ascii="Calibri" w:eastAsia="Calibri" w:hAnsi="Calibri" w:cs="Calibri"/>
              </w:rPr>
            </w:pPr>
          </w:p>
        </w:tc>
        <w:tc>
          <w:tcPr>
            <w:tcW w:w="821" w:type="dxa"/>
            <w:noWrap/>
            <w:hideMark/>
          </w:tcPr>
          <w:p w14:paraId="0A803264" w14:textId="119BC327" w:rsidR="00BA4D56" w:rsidRPr="00BA4D56" w:rsidRDefault="00BA4D56" w:rsidP="00BA4D56">
            <w:pPr>
              <w:spacing w:before="120" w:after="120" w:line="276" w:lineRule="auto"/>
              <w:jc w:val="center"/>
              <w:rPr>
                <w:rFonts w:ascii="Calibri" w:eastAsia="Calibri" w:hAnsi="Calibri" w:cs="Calibri"/>
              </w:rPr>
            </w:pPr>
          </w:p>
        </w:tc>
        <w:tc>
          <w:tcPr>
            <w:tcW w:w="821" w:type="dxa"/>
            <w:noWrap/>
            <w:hideMark/>
          </w:tcPr>
          <w:p w14:paraId="7319D5C2" w14:textId="1F9A7BAC" w:rsidR="00BA4D56" w:rsidRPr="00BA4D56" w:rsidRDefault="00BA4D56" w:rsidP="00BA4D56">
            <w:pPr>
              <w:spacing w:before="120" w:after="120" w:line="276" w:lineRule="auto"/>
              <w:jc w:val="center"/>
              <w:rPr>
                <w:rFonts w:ascii="Calibri" w:eastAsia="Calibri" w:hAnsi="Calibri" w:cs="Calibri"/>
              </w:rPr>
            </w:pPr>
          </w:p>
        </w:tc>
      </w:tr>
    </w:tbl>
    <w:p w14:paraId="73C59699" w14:textId="01963506" w:rsidR="00732407" w:rsidRPr="00BA4D56" w:rsidRDefault="00BA4D56" w:rsidP="00BA4D56">
      <w:pPr>
        <w:spacing w:before="120" w:after="120" w:line="276" w:lineRule="auto"/>
        <w:jc w:val="center"/>
        <w:rPr>
          <w:rFonts w:ascii="Calibri" w:eastAsia="Calibri" w:hAnsi="Calibri" w:cs="Calibri"/>
          <w:sz w:val="18"/>
          <w:szCs w:val="18"/>
          <w:lang w:val="en-AU"/>
        </w:rPr>
      </w:pPr>
      <w:r w:rsidRPr="00BA4D56">
        <w:rPr>
          <w:rFonts w:ascii="Calibri" w:eastAsia="Calibri" w:hAnsi="Calibri" w:cs="Calibri"/>
          <w:sz w:val="18"/>
          <w:szCs w:val="18"/>
          <w:lang w:val="en-AU"/>
        </w:rPr>
        <w:t>Source: See Appendix 1</w:t>
      </w:r>
      <w:r w:rsidR="00CC7250">
        <w:rPr>
          <w:rFonts w:ascii="Calibri" w:eastAsia="Calibri" w:hAnsi="Calibri" w:cs="Calibri"/>
          <w:sz w:val="18"/>
          <w:szCs w:val="18"/>
          <w:lang w:val="en-AU"/>
        </w:rPr>
        <w:t xml:space="preserve"> for expanded summary. </w:t>
      </w:r>
      <w:r w:rsidR="005A09E2">
        <w:rPr>
          <w:rFonts w:ascii="Calibri" w:eastAsia="Calibri" w:hAnsi="Calibri" w:cs="Calibri"/>
          <w:sz w:val="18"/>
          <w:szCs w:val="18"/>
          <w:lang w:val="en-AU"/>
        </w:rPr>
        <w:t xml:space="preserve">Excludes submissions which not express a view </w:t>
      </w:r>
    </w:p>
    <w:p w14:paraId="3D05B62E" w14:textId="0A93020A" w:rsidR="00BA4D56" w:rsidRPr="00BA4D56" w:rsidRDefault="00BA4D56" w:rsidP="00BA4D56">
      <w:pPr>
        <w:spacing w:before="240" w:after="120" w:line="240" w:lineRule="auto"/>
        <w:jc w:val="center"/>
        <w:rPr>
          <w:rFonts w:ascii="Calibri" w:eastAsia="Cambria" w:hAnsi="Calibri" w:cs="Calibri"/>
          <w:b/>
          <w:bCs/>
          <w:sz w:val="20"/>
          <w:szCs w:val="16"/>
          <w:lang w:val="en-AU"/>
        </w:rPr>
      </w:pPr>
      <w:bookmarkStart w:id="127" w:name="_Ref22296365"/>
      <w:bookmarkStart w:id="128" w:name="_Toc22486964"/>
      <w:r w:rsidRPr="00BA4D56">
        <w:rPr>
          <w:rFonts w:ascii="Calibri" w:eastAsia="Cambria" w:hAnsi="Calibri" w:cs="Calibri"/>
          <w:b/>
          <w:bCs/>
          <w:sz w:val="20"/>
          <w:szCs w:val="16"/>
          <w:lang w:val="en-AU"/>
        </w:rPr>
        <w:t xml:space="preserve">Table </w:t>
      </w:r>
      <w:r w:rsidRPr="00BA4D56">
        <w:rPr>
          <w:rFonts w:ascii="Calibri" w:eastAsia="Cambria" w:hAnsi="Calibri" w:cs="Calibri"/>
          <w:b/>
          <w:bCs/>
          <w:sz w:val="20"/>
          <w:szCs w:val="16"/>
          <w:lang w:val="en-AU"/>
        </w:rPr>
        <w:fldChar w:fldCharType="begin"/>
      </w:r>
      <w:r w:rsidRPr="00BA4D56">
        <w:rPr>
          <w:rFonts w:ascii="Calibri" w:eastAsia="Cambria" w:hAnsi="Calibri" w:cs="Calibri"/>
          <w:b/>
          <w:bCs/>
          <w:sz w:val="20"/>
          <w:szCs w:val="16"/>
          <w:lang w:val="en-AU"/>
        </w:rPr>
        <w:instrText xml:space="preserve"> SEQ Table \* ARABIC </w:instrText>
      </w:r>
      <w:r w:rsidRPr="00BA4D56">
        <w:rPr>
          <w:rFonts w:ascii="Calibri" w:eastAsia="Cambria" w:hAnsi="Calibri" w:cs="Calibri"/>
          <w:b/>
          <w:bCs/>
          <w:sz w:val="20"/>
          <w:szCs w:val="16"/>
          <w:lang w:val="en-AU"/>
        </w:rPr>
        <w:fldChar w:fldCharType="separate"/>
      </w:r>
      <w:r w:rsidR="00541269">
        <w:rPr>
          <w:rFonts w:ascii="Calibri" w:eastAsia="Cambria" w:hAnsi="Calibri" w:cs="Calibri"/>
          <w:b/>
          <w:bCs/>
          <w:noProof/>
          <w:sz w:val="20"/>
          <w:szCs w:val="16"/>
          <w:lang w:val="en-AU"/>
        </w:rPr>
        <w:t>20</w:t>
      </w:r>
      <w:r w:rsidRPr="00BA4D56">
        <w:rPr>
          <w:rFonts w:ascii="Calibri" w:eastAsia="Cambria" w:hAnsi="Calibri" w:cs="Calibri"/>
          <w:b/>
          <w:bCs/>
          <w:sz w:val="20"/>
          <w:szCs w:val="16"/>
          <w:lang w:val="en-AU"/>
        </w:rPr>
        <w:fldChar w:fldCharType="end"/>
      </w:r>
      <w:bookmarkEnd w:id="127"/>
      <w:r w:rsidRPr="00BA4D56">
        <w:rPr>
          <w:rFonts w:ascii="Calibri" w:eastAsia="Cambria" w:hAnsi="Calibri" w:cs="Calibri"/>
          <w:b/>
          <w:bCs/>
          <w:sz w:val="20"/>
          <w:szCs w:val="16"/>
          <w:lang w:val="en-AU"/>
        </w:rPr>
        <w:t xml:space="preserve"> Number of </w:t>
      </w:r>
      <w:r>
        <w:rPr>
          <w:rFonts w:ascii="Calibri" w:eastAsia="Cambria" w:hAnsi="Calibri" w:cs="Calibri"/>
          <w:b/>
          <w:bCs/>
          <w:sz w:val="20"/>
          <w:szCs w:val="16"/>
          <w:lang w:val="en-AU"/>
        </w:rPr>
        <w:t xml:space="preserve">New Zealand </w:t>
      </w:r>
      <w:r w:rsidRPr="00BA4D56">
        <w:rPr>
          <w:rFonts w:ascii="Calibri" w:eastAsia="Cambria" w:hAnsi="Calibri" w:cs="Calibri"/>
          <w:b/>
          <w:bCs/>
          <w:sz w:val="20"/>
          <w:szCs w:val="16"/>
          <w:lang w:val="en-AU"/>
        </w:rPr>
        <w:t>respondents supporting and opposing mandating AS/NZS 4755 compliance</w:t>
      </w:r>
      <w:bookmarkEnd w:id="128"/>
      <w:r w:rsidRPr="00BA4D56">
        <w:rPr>
          <w:rFonts w:ascii="Calibri" w:eastAsia="Cambria" w:hAnsi="Calibri" w:cs="Calibri"/>
          <w:b/>
          <w:bCs/>
          <w:sz w:val="20"/>
          <w:szCs w:val="16"/>
          <w:lang w:val="en-AU"/>
        </w:rPr>
        <w:t xml:space="preserve">  </w:t>
      </w:r>
    </w:p>
    <w:tbl>
      <w:tblPr>
        <w:tblStyle w:val="TableGrid"/>
        <w:tblW w:w="0" w:type="auto"/>
        <w:tblLayout w:type="fixed"/>
        <w:tblLook w:val="04A0" w:firstRow="1" w:lastRow="0" w:firstColumn="1" w:lastColumn="0" w:noHBand="0" w:noVBand="1"/>
      </w:tblPr>
      <w:tblGrid>
        <w:gridCol w:w="1413"/>
        <w:gridCol w:w="820"/>
        <w:gridCol w:w="821"/>
        <w:gridCol w:w="821"/>
        <w:gridCol w:w="820"/>
        <w:gridCol w:w="821"/>
        <w:gridCol w:w="821"/>
        <w:gridCol w:w="820"/>
        <w:gridCol w:w="821"/>
        <w:gridCol w:w="821"/>
        <w:gridCol w:w="821"/>
      </w:tblGrid>
      <w:tr w:rsidR="00BA4D56" w:rsidRPr="00BA4D56" w14:paraId="62C25EC5" w14:textId="77777777" w:rsidTr="006239C6">
        <w:trPr>
          <w:trHeight w:val="300"/>
        </w:trPr>
        <w:tc>
          <w:tcPr>
            <w:tcW w:w="1413" w:type="dxa"/>
            <w:noWrap/>
            <w:hideMark/>
          </w:tcPr>
          <w:p w14:paraId="1F2ADAFB" w14:textId="77777777" w:rsidR="00BA4D56" w:rsidRPr="00BA4D56" w:rsidRDefault="00BA4D56" w:rsidP="006239C6">
            <w:pPr>
              <w:spacing w:before="120" w:after="120" w:line="276" w:lineRule="auto"/>
              <w:rPr>
                <w:rFonts w:ascii="Calibri" w:eastAsia="Calibri" w:hAnsi="Calibri" w:cs="Calibri"/>
                <w:lang w:val="en-AU"/>
              </w:rPr>
            </w:pPr>
            <w:r w:rsidRPr="00BA4D56">
              <w:rPr>
                <w:rFonts w:ascii="Calibri" w:eastAsia="Calibri" w:hAnsi="Calibri" w:cs="Calibri"/>
              </w:rPr>
              <w:t> </w:t>
            </w:r>
          </w:p>
        </w:tc>
        <w:tc>
          <w:tcPr>
            <w:tcW w:w="1641" w:type="dxa"/>
            <w:gridSpan w:val="2"/>
            <w:noWrap/>
            <w:hideMark/>
          </w:tcPr>
          <w:p w14:paraId="4A1F819C"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4755 for ACs</w:t>
            </w:r>
          </w:p>
        </w:tc>
        <w:tc>
          <w:tcPr>
            <w:tcW w:w="1641" w:type="dxa"/>
            <w:gridSpan w:val="2"/>
            <w:noWrap/>
            <w:hideMark/>
          </w:tcPr>
          <w:p w14:paraId="35BC20E1"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4755 for PPs</w:t>
            </w:r>
          </w:p>
        </w:tc>
        <w:tc>
          <w:tcPr>
            <w:tcW w:w="1642" w:type="dxa"/>
            <w:gridSpan w:val="2"/>
            <w:noWrap/>
            <w:hideMark/>
          </w:tcPr>
          <w:p w14:paraId="0D461E19"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4755 for WHs</w:t>
            </w:r>
          </w:p>
        </w:tc>
        <w:tc>
          <w:tcPr>
            <w:tcW w:w="1641" w:type="dxa"/>
            <w:gridSpan w:val="2"/>
            <w:noWrap/>
            <w:hideMark/>
          </w:tcPr>
          <w:p w14:paraId="55FD6E10" w14:textId="77777777" w:rsidR="00BA4D56" w:rsidRPr="00BA4D56" w:rsidRDefault="00BA4D56" w:rsidP="006239C6">
            <w:pPr>
              <w:spacing w:before="120" w:after="120" w:line="276" w:lineRule="auto"/>
              <w:jc w:val="center"/>
              <w:rPr>
                <w:rFonts w:ascii="Calibri" w:eastAsia="Calibri" w:hAnsi="Calibri" w:cs="Calibri"/>
              </w:rPr>
            </w:pPr>
            <w:r>
              <w:rPr>
                <w:rFonts w:ascii="Calibri" w:eastAsia="Calibri" w:hAnsi="Calibri" w:cs="Calibri"/>
              </w:rPr>
              <w:t xml:space="preserve">4755 for </w:t>
            </w:r>
            <w:r w:rsidRPr="00BA4D56">
              <w:rPr>
                <w:rFonts w:ascii="Calibri" w:eastAsia="Calibri" w:hAnsi="Calibri" w:cs="Calibri"/>
              </w:rPr>
              <w:t>EVSE</w:t>
            </w:r>
            <w:r>
              <w:rPr>
                <w:rFonts w:ascii="Calibri" w:eastAsia="Calibri" w:hAnsi="Calibri" w:cs="Calibri"/>
              </w:rPr>
              <w:t>s</w:t>
            </w:r>
          </w:p>
        </w:tc>
        <w:tc>
          <w:tcPr>
            <w:tcW w:w="1642" w:type="dxa"/>
            <w:gridSpan w:val="2"/>
            <w:noWrap/>
            <w:hideMark/>
          </w:tcPr>
          <w:p w14:paraId="76743280"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DR standards</w:t>
            </w:r>
          </w:p>
        </w:tc>
      </w:tr>
      <w:tr w:rsidR="00BA4D56" w:rsidRPr="00BA4D56" w14:paraId="03A4CD50" w14:textId="77777777" w:rsidTr="002C51D2">
        <w:trPr>
          <w:trHeight w:val="300"/>
        </w:trPr>
        <w:tc>
          <w:tcPr>
            <w:tcW w:w="1413" w:type="dxa"/>
            <w:tcBorders>
              <w:bottom w:val="single" w:sz="4" w:space="0" w:color="auto"/>
            </w:tcBorders>
            <w:noWrap/>
            <w:hideMark/>
          </w:tcPr>
          <w:p w14:paraId="55BA9896" w14:textId="77777777" w:rsidR="00BA4D56" w:rsidRPr="00BA4D56" w:rsidRDefault="00BA4D56" w:rsidP="006239C6">
            <w:pPr>
              <w:spacing w:before="120" w:after="120" w:line="276" w:lineRule="auto"/>
              <w:rPr>
                <w:rFonts w:ascii="Calibri" w:eastAsia="Calibri" w:hAnsi="Calibri" w:cs="Calibri"/>
              </w:rPr>
            </w:pPr>
            <w:r w:rsidRPr="00BA4D56">
              <w:rPr>
                <w:rFonts w:ascii="Calibri" w:eastAsia="Calibri" w:hAnsi="Calibri" w:cs="Calibri"/>
              </w:rPr>
              <w:t> </w:t>
            </w:r>
          </w:p>
        </w:tc>
        <w:tc>
          <w:tcPr>
            <w:tcW w:w="820" w:type="dxa"/>
            <w:tcBorders>
              <w:bottom w:val="single" w:sz="4" w:space="0" w:color="auto"/>
            </w:tcBorders>
            <w:noWrap/>
            <w:hideMark/>
          </w:tcPr>
          <w:p w14:paraId="727C9758"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1" w:type="dxa"/>
            <w:tcBorders>
              <w:bottom w:val="single" w:sz="4" w:space="0" w:color="auto"/>
            </w:tcBorders>
            <w:noWrap/>
            <w:hideMark/>
          </w:tcPr>
          <w:p w14:paraId="30C6F78B"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No</w:t>
            </w:r>
          </w:p>
        </w:tc>
        <w:tc>
          <w:tcPr>
            <w:tcW w:w="821" w:type="dxa"/>
            <w:tcBorders>
              <w:bottom w:val="single" w:sz="4" w:space="0" w:color="auto"/>
            </w:tcBorders>
            <w:noWrap/>
            <w:hideMark/>
          </w:tcPr>
          <w:p w14:paraId="5C134A9D"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0" w:type="dxa"/>
            <w:tcBorders>
              <w:bottom w:val="single" w:sz="4" w:space="0" w:color="auto"/>
            </w:tcBorders>
            <w:noWrap/>
            <w:hideMark/>
          </w:tcPr>
          <w:p w14:paraId="6B224EEF"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No</w:t>
            </w:r>
          </w:p>
        </w:tc>
        <w:tc>
          <w:tcPr>
            <w:tcW w:w="821" w:type="dxa"/>
            <w:tcBorders>
              <w:bottom w:val="single" w:sz="4" w:space="0" w:color="auto"/>
            </w:tcBorders>
            <w:noWrap/>
            <w:hideMark/>
          </w:tcPr>
          <w:p w14:paraId="1E3B283A"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1" w:type="dxa"/>
            <w:tcBorders>
              <w:bottom w:val="single" w:sz="4" w:space="0" w:color="auto"/>
            </w:tcBorders>
            <w:noWrap/>
            <w:hideMark/>
          </w:tcPr>
          <w:p w14:paraId="5E830738"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No</w:t>
            </w:r>
          </w:p>
        </w:tc>
        <w:tc>
          <w:tcPr>
            <w:tcW w:w="820" w:type="dxa"/>
            <w:tcBorders>
              <w:bottom w:val="single" w:sz="4" w:space="0" w:color="auto"/>
            </w:tcBorders>
            <w:noWrap/>
            <w:hideMark/>
          </w:tcPr>
          <w:p w14:paraId="63B8DA7D"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1" w:type="dxa"/>
            <w:tcBorders>
              <w:bottom w:val="single" w:sz="4" w:space="0" w:color="auto"/>
            </w:tcBorders>
            <w:noWrap/>
            <w:hideMark/>
          </w:tcPr>
          <w:p w14:paraId="45A2E3DF"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No</w:t>
            </w:r>
          </w:p>
        </w:tc>
        <w:tc>
          <w:tcPr>
            <w:tcW w:w="821" w:type="dxa"/>
            <w:tcBorders>
              <w:bottom w:val="single" w:sz="4" w:space="0" w:color="auto"/>
            </w:tcBorders>
            <w:noWrap/>
            <w:hideMark/>
          </w:tcPr>
          <w:p w14:paraId="150CC286"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Yes</w:t>
            </w:r>
          </w:p>
        </w:tc>
        <w:tc>
          <w:tcPr>
            <w:tcW w:w="821" w:type="dxa"/>
            <w:tcBorders>
              <w:bottom w:val="single" w:sz="4" w:space="0" w:color="auto"/>
            </w:tcBorders>
            <w:noWrap/>
            <w:hideMark/>
          </w:tcPr>
          <w:p w14:paraId="258F405C" w14:textId="77777777" w:rsidR="00BA4D56" w:rsidRPr="00BA4D56" w:rsidRDefault="00BA4D56" w:rsidP="006239C6">
            <w:pPr>
              <w:spacing w:before="120" w:after="120" w:line="276" w:lineRule="auto"/>
              <w:jc w:val="center"/>
              <w:rPr>
                <w:rFonts w:ascii="Calibri" w:eastAsia="Calibri" w:hAnsi="Calibri" w:cs="Calibri"/>
              </w:rPr>
            </w:pPr>
            <w:r w:rsidRPr="00BA4D56">
              <w:rPr>
                <w:rFonts w:ascii="Calibri" w:eastAsia="Calibri" w:hAnsi="Calibri" w:cs="Calibri"/>
              </w:rPr>
              <w:t>No</w:t>
            </w:r>
          </w:p>
        </w:tc>
      </w:tr>
      <w:tr w:rsidR="002C51D2" w:rsidRPr="00BA4D56" w14:paraId="0E04CE03" w14:textId="77777777" w:rsidTr="002C51D2">
        <w:trPr>
          <w:trHeight w:val="300"/>
        </w:trPr>
        <w:tc>
          <w:tcPr>
            <w:tcW w:w="1413" w:type="dxa"/>
            <w:tcBorders>
              <w:bottom w:val="single" w:sz="4" w:space="0" w:color="auto"/>
            </w:tcBorders>
            <w:noWrap/>
            <w:hideMark/>
          </w:tcPr>
          <w:p w14:paraId="646518E7" w14:textId="77777777" w:rsidR="002C51D2" w:rsidRPr="00BA4D56" w:rsidRDefault="002C51D2" w:rsidP="002C51D2">
            <w:pPr>
              <w:spacing w:before="120" w:after="120" w:line="276" w:lineRule="auto"/>
              <w:rPr>
                <w:rFonts w:ascii="Calibri" w:eastAsia="Calibri" w:hAnsi="Calibri" w:cs="Calibri"/>
              </w:rPr>
            </w:pPr>
            <w:r w:rsidRPr="00BA4D56">
              <w:rPr>
                <w:rFonts w:ascii="Calibri" w:eastAsia="Calibri" w:hAnsi="Calibri" w:cs="Calibri"/>
              </w:rPr>
              <w:t>Unqual</w:t>
            </w:r>
            <w:r>
              <w:rPr>
                <w:rFonts w:ascii="Calibri" w:eastAsia="Calibri" w:hAnsi="Calibri" w:cs="Calibri"/>
              </w:rPr>
              <w:t>i</w:t>
            </w:r>
            <w:r w:rsidRPr="00BA4D56">
              <w:rPr>
                <w:rFonts w:ascii="Calibri" w:eastAsia="Calibri" w:hAnsi="Calibri" w:cs="Calibri"/>
              </w:rPr>
              <w:t>fied</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94185" w14:textId="5661FC68" w:rsidR="002C51D2" w:rsidRPr="00BA4D56" w:rsidRDefault="00DA13A6" w:rsidP="002C51D2">
            <w:pPr>
              <w:spacing w:before="120" w:after="120" w:line="276" w:lineRule="auto"/>
              <w:jc w:val="center"/>
              <w:rPr>
                <w:rFonts w:ascii="Calibri" w:eastAsia="Calibri" w:hAnsi="Calibri" w:cs="Calibri"/>
              </w:rPr>
            </w:pPr>
            <w:r>
              <w:rPr>
                <w:rFonts w:ascii="Calibri" w:hAnsi="Calibri" w:cs="Calibri"/>
                <w:color w:val="000000"/>
                <w:sz w:val="22"/>
                <w:szCs w:val="22"/>
              </w:rPr>
              <w:t>6</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3387F" w14:textId="13D26B0D"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1</w:t>
            </w:r>
          </w:p>
        </w:tc>
        <w:tc>
          <w:tcPr>
            <w:tcW w:w="821" w:type="dxa"/>
            <w:tcBorders>
              <w:top w:val="single" w:sz="4" w:space="0" w:color="auto"/>
              <w:left w:val="nil"/>
              <w:bottom w:val="single" w:sz="4" w:space="0" w:color="auto"/>
              <w:right w:val="nil"/>
            </w:tcBorders>
            <w:shd w:val="clear" w:color="auto" w:fill="auto"/>
            <w:noWrap/>
            <w:vAlign w:val="bottom"/>
            <w:hideMark/>
          </w:tcPr>
          <w:p w14:paraId="2D2B4E48" w14:textId="5E253A52"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1</w:t>
            </w:r>
          </w:p>
        </w:tc>
        <w:tc>
          <w:tcPr>
            <w:tcW w:w="820" w:type="dxa"/>
            <w:tcBorders>
              <w:top w:val="single" w:sz="4" w:space="0" w:color="auto"/>
              <w:left w:val="single" w:sz="4" w:space="0" w:color="auto"/>
              <w:bottom w:val="single" w:sz="4" w:space="0" w:color="auto"/>
              <w:right w:val="nil"/>
            </w:tcBorders>
            <w:shd w:val="clear" w:color="auto" w:fill="auto"/>
            <w:noWrap/>
            <w:vAlign w:val="bottom"/>
            <w:hideMark/>
          </w:tcPr>
          <w:p w14:paraId="7166FA71" w14:textId="4DF3DD55" w:rsidR="002C51D2" w:rsidRPr="00BA4D56" w:rsidRDefault="002C51D2" w:rsidP="002C51D2">
            <w:pPr>
              <w:spacing w:before="120" w:after="120" w:line="276" w:lineRule="auto"/>
              <w:jc w:val="center"/>
              <w:rPr>
                <w:rFonts w:ascii="Calibri" w:eastAsia="Calibri" w:hAnsi="Calibri" w:cs="Calibri"/>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2BC89" w14:textId="35BC69C1"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5</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7946E" w14:textId="4ECA3BE8"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57636CD" w14:textId="3C31CF8C"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5</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73210D3E" w14:textId="73ECA5D0"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0</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605FB42" w14:textId="5A84A792"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6</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3E84F702" w14:textId="7A7CCFA3" w:rsidR="002C51D2" w:rsidRPr="00BA4D56" w:rsidRDefault="002C51D2" w:rsidP="002C51D2">
            <w:pPr>
              <w:spacing w:before="120" w:after="120" w:line="276" w:lineRule="auto"/>
              <w:jc w:val="center"/>
              <w:rPr>
                <w:rFonts w:ascii="Calibri" w:eastAsia="Calibri" w:hAnsi="Calibri" w:cs="Calibri"/>
              </w:rPr>
            </w:pPr>
          </w:p>
        </w:tc>
      </w:tr>
      <w:tr w:rsidR="002C51D2" w:rsidRPr="00BA4D56" w14:paraId="255BD572" w14:textId="77777777" w:rsidTr="002C51D2">
        <w:trPr>
          <w:trHeight w:val="300"/>
        </w:trPr>
        <w:tc>
          <w:tcPr>
            <w:tcW w:w="1413" w:type="dxa"/>
            <w:tcBorders>
              <w:top w:val="single" w:sz="4" w:space="0" w:color="auto"/>
            </w:tcBorders>
            <w:noWrap/>
            <w:hideMark/>
          </w:tcPr>
          <w:p w14:paraId="69600B19" w14:textId="77777777" w:rsidR="002C51D2" w:rsidRPr="00BA4D56" w:rsidRDefault="002C51D2" w:rsidP="002C51D2">
            <w:pPr>
              <w:spacing w:before="120" w:after="120" w:line="276" w:lineRule="auto"/>
              <w:rPr>
                <w:rFonts w:ascii="Calibri" w:eastAsia="Calibri" w:hAnsi="Calibri" w:cs="Calibri"/>
              </w:rPr>
            </w:pPr>
            <w:r w:rsidRPr="00BA4D56">
              <w:rPr>
                <w:rFonts w:ascii="Calibri" w:eastAsia="Calibri" w:hAnsi="Calibri" w:cs="Calibri"/>
              </w:rPr>
              <w:t>Conditional</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6BF43" w14:textId="4B9E38FA"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 </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42683" w14:textId="0FFCAA63"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1</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9B639C5" w14:textId="7724420C"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30DAA" w14:textId="4506C391"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41BFF718" w14:textId="4331182E"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 </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7205E" w14:textId="48EB03B4"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121AF63" w14:textId="60C9A909"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0452188C" w14:textId="3366A299"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C847373" w14:textId="0378A9BE"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 </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604DD7C7" w14:textId="47148F8D" w:rsidR="002C51D2" w:rsidRPr="00BA4D56" w:rsidRDefault="002C51D2" w:rsidP="002C51D2">
            <w:pPr>
              <w:spacing w:before="120" w:after="120" w:line="276" w:lineRule="auto"/>
              <w:jc w:val="center"/>
              <w:rPr>
                <w:rFonts w:ascii="Calibri" w:eastAsia="Calibri" w:hAnsi="Calibri" w:cs="Calibri"/>
              </w:rPr>
            </w:pPr>
            <w:r>
              <w:rPr>
                <w:rFonts w:ascii="Calibri" w:hAnsi="Calibri" w:cs="Calibri"/>
                <w:color w:val="000000"/>
                <w:sz w:val="22"/>
                <w:szCs w:val="22"/>
              </w:rPr>
              <w:t> </w:t>
            </w:r>
          </w:p>
        </w:tc>
      </w:tr>
    </w:tbl>
    <w:p w14:paraId="4F183C52" w14:textId="76F206FD" w:rsidR="00BA4D56" w:rsidRPr="00BA4D56" w:rsidRDefault="00BA4D56" w:rsidP="00BA4D56">
      <w:pPr>
        <w:spacing w:before="120" w:after="120" w:line="276" w:lineRule="auto"/>
        <w:jc w:val="center"/>
        <w:rPr>
          <w:rFonts w:ascii="Calibri" w:eastAsia="Calibri" w:hAnsi="Calibri" w:cs="Calibri"/>
          <w:sz w:val="18"/>
          <w:szCs w:val="18"/>
          <w:lang w:val="en-AU"/>
        </w:rPr>
      </w:pPr>
      <w:r w:rsidRPr="00BA4D56">
        <w:rPr>
          <w:rFonts w:ascii="Calibri" w:eastAsia="Calibri" w:hAnsi="Calibri" w:cs="Calibri"/>
          <w:sz w:val="18"/>
          <w:szCs w:val="18"/>
          <w:lang w:val="en-AU"/>
        </w:rPr>
        <w:t>Source: See Appendix 1</w:t>
      </w:r>
      <w:r w:rsidR="00CC7250">
        <w:rPr>
          <w:rFonts w:ascii="Calibri" w:eastAsia="Calibri" w:hAnsi="Calibri" w:cs="Calibri"/>
          <w:sz w:val="18"/>
          <w:szCs w:val="18"/>
          <w:lang w:val="en-AU"/>
        </w:rPr>
        <w:t xml:space="preserve"> for expanded summary.</w:t>
      </w:r>
    </w:p>
    <w:bookmarkEnd w:id="124"/>
    <w:p w14:paraId="4B4C9D54" w14:textId="77777777" w:rsidR="00D62CD5" w:rsidRPr="00D62CD5" w:rsidRDefault="00D62CD5" w:rsidP="00D62CD5">
      <w:pPr>
        <w:spacing w:before="240" w:after="240" w:line="276" w:lineRule="auto"/>
        <w:rPr>
          <w:rFonts w:ascii="Calibri" w:eastAsia="Calibri" w:hAnsi="Calibri" w:cs="Calibri"/>
          <w:b/>
          <w:bCs/>
          <w:color w:val="FF0000"/>
          <w:sz w:val="28"/>
          <w:szCs w:val="20"/>
          <w:lang w:val="en-AU"/>
        </w:rPr>
      </w:pPr>
      <w:r w:rsidRPr="00D62CD5">
        <w:rPr>
          <w:rFonts w:ascii="Calibri" w:eastAsia="Calibri" w:hAnsi="Calibri" w:cs="Calibri"/>
          <w:b/>
          <w:bCs/>
          <w:color w:val="FF0000"/>
          <w:sz w:val="28"/>
          <w:szCs w:val="20"/>
          <w:lang w:val="en-AU"/>
        </w:rPr>
        <w:t xml:space="preserve">Electricity </w:t>
      </w:r>
      <w:r>
        <w:rPr>
          <w:rFonts w:ascii="Calibri" w:eastAsia="Calibri" w:hAnsi="Calibri" w:cs="Calibri"/>
          <w:b/>
          <w:bCs/>
          <w:color w:val="FF0000"/>
          <w:sz w:val="28"/>
          <w:szCs w:val="20"/>
          <w:lang w:val="en-AU"/>
        </w:rPr>
        <w:t xml:space="preserve">Supply </w:t>
      </w:r>
      <w:r w:rsidRPr="00D62CD5">
        <w:rPr>
          <w:rFonts w:ascii="Calibri" w:eastAsia="Calibri" w:hAnsi="Calibri" w:cs="Calibri"/>
          <w:b/>
          <w:bCs/>
          <w:color w:val="FF0000"/>
          <w:sz w:val="28"/>
          <w:szCs w:val="20"/>
          <w:lang w:val="en-AU"/>
        </w:rPr>
        <w:t xml:space="preserve">Industry </w:t>
      </w:r>
    </w:p>
    <w:p w14:paraId="553C85F1" w14:textId="3AF6A705" w:rsidR="00D62CD5" w:rsidRDefault="00D62CD5" w:rsidP="00D62CD5">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Seven of the nine Australian electricity network operator submissions, including AEMO’s, support the proposal to mandate compliance with AS/NZS 4755 for all four products (i.e. Option 3). The other two supported mandating compliance with an open standard, but would prefer other standards to be adopted for some products, specifically OCPP for EV chargers. This is noted as “conditional” support for the proposal </w:t>
      </w:r>
      <w:r w:rsidRPr="006239C6">
        <w:rPr>
          <w:rStyle w:val="FigreferenceChar"/>
        </w:rPr>
        <w:t xml:space="preserve">in </w:t>
      </w:r>
      <w:r w:rsidRPr="006239C6">
        <w:rPr>
          <w:rStyle w:val="FigreferenceChar"/>
        </w:rPr>
        <w:fldChar w:fldCharType="begin"/>
      </w:r>
      <w:r w:rsidRPr="006239C6">
        <w:rPr>
          <w:rStyle w:val="FigreferenceChar"/>
        </w:rPr>
        <w:instrText xml:space="preserve"> REF _Ref22296363 \h </w:instrText>
      </w:r>
      <w:r>
        <w:rPr>
          <w:rStyle w:val="FigreferenceChar"/>
        </w:rPr>
        <w:instrText xml:space="preserve"> \* MERGEFORMAT </w:instrText>
      </w:r>
      <w:r w:rsidRPr="006239C6">
        <w:rPr>
          <w:rStyle w:val="FigreferenceChar"/>
        </w:rPr>
      </w:r>
      <w:r w:rsidRPr="006239C6">
        <w:rPr>
          <w:rStyle w:val="FigreferenceChar"/>
        </w:rPr>
        <w:fldChar w:fldCharType="separate"/>
      </w:r>
      <w:r w:rsidR="006B22A7" w:rsidRPr="006B22A7">
        <w:rPr>
          <w:rStyle w:val="FigreferenceChar"/>
        </w:rPr>
        <w:t>Table 21</w:t>
      </w:r>
      <w:r w:rsidRPr="006239C6">
        <w:rPr>
          <w:rStyle w:val="FigreferenceChar"/>
        </w:rPr>
        <w:fldChar w:fldCharType="end"/>
      </w:r>
      <w:r>
        <w:rPr>
          <w:rFonts w:ascii="Calibri" w:eastAsia="Calibri" w:hAnsi="Calibri" w:cs="Calibri"/>
          <w:szCs w:val="20"/>
          <w:lang w:val="en-AU"/>
        </w:rPr>
        <w:t xml:space="preserve"> and </w:t>
      </w:r>
      <w:r w:rsidRPr="006239C6">
        <w:rPr>
          <w:rStyle w:val="FigreferenceChar"/>
        </w:rPr>
        <w:fldChar w:fldCharType="begin"/>
      </w:r>
      <w:r w:rsidRPr="006239C6">
        <w:rPr>
          <w:rStyle w:val="FigreferenceChar"/>
        </w:rPr>
        <w:instrText xml:space="preserve"> REF _Ref22296365 \h </w:instrText>
      </w:r>
      <w:r>
        <w:rPr>
          <w:rStyle w:val="FigreferenceChar"/>
        </w:rPr>
        <w:instrText xml:space="preserve"> \* MERGEFORMAT </w:instrText>
      </w:r>
      <w:r w:rsidRPr="006239C6">
        <w:rPr>
          <w:rStyle w:val="FigreferenceChar"/>
        </w:rPr>
      </w:r>
      <w:r w:rsidRPr="006239C6">
        <w:rPr>
          <w:rStyle w:val="FigreferenceChar"/>
        </w:rPr>
        <w:fldChar w:fldCharType="separate"/>
      </w:r>
      <w:r w:rsidR="006B22A7" w:rsidRPr="006B22A7">
        <w:rPr>
          <w:rStyle w:val="FigreferenceChar"/>
        </w:rPr>
        <w:t>Table 22</w:t>
      </w:r>
      <w:r w:rsidRPr="006239C6">
        <w:rPr>
          <w:rStyle w:val="FigreferenceChar"/>
        </w:rPr>
        <w:fldChar w:fldCharType="end"/>
      </w:r>
      <w:r>
        <w:rPr>
          <w:rFonts w:ascii="Calibri" w:eastAsia="Calibri" w:hAnsi="Calibri" w:cs="Calibri"/>
          <w:szCs w:val="20"/>
          <w:lang w:val="en-AU"/>
        </w:rPr>
        <w:t xml:space="preserve">. DNSPs proposed that home battery controllers, PV inverters and home energy management systems (HEMS) should be added to the scope of the proposal. Two of this group raised incentive payments as a possible supplement rather than alternative. </w:t>
      </w:r>
    </w:p>
    <w:p w14:paraId="0DEB5402" w14:textId="77777777" w:rsidR="00D62CD5" w:rsidRDefault="00D62CD5" w:rsidP="00D62CD5">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New Zealand network companies both supported Option 3. </w:t>
      </w:r>
    </w:p>
    <w:p w14:paraId="37B117CB" w14:textId="237242C9" w:rsidR="00D62CD5" w:rsidRDefault="00D62CD5" w:rsidP="00D62CD5">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Electricity retailers, as distinct from DNSPs, were not supportive of Option 3 but did not strongly advocate any other approach. Of the six submissions from this sector, two supported Option 3 but four opposed it, </w:t>
      </w:r>
      <w:proofErr w:type="gramStart"/>
      <w:r>
        <w:rPr>
          <w:rFonts w:ascii="Calibri" w:eastAsia="Calibri" w:hAnsi="Calibri" w:cs="Calibri"/>
          <w:szCs w:val="20"/>
          <w:lang w:val="en-AU"/>
        </w:rPr>
        <w:t>on the grounds that</w:t>
      </w:r>
      <w:proofErr w:type="gramEnd"/>
      <w:r>
        <w:rPr>
          <w:rFonts w:ascii="Calibri" w:eastAsia="Calibri" w:hAnsi="Calibri" w:cs="Calibri"/>
          <w:szCs w:val="20"/>
          <w:lang w:val="en-AU"/>
        </w:rPr>
        <w:t xml:space="preserve"> adoption of AS/NZS 4755 would be premature, especially for EV chargers. Among the four, three supported the need for a consistent approach to a DR standard, but without agreement on the direction – some advocated better use of existing controlled load measures (i.e. off-peak) while one advocated unspecified “smart technologies.” This group was silent on the question of whether incentive payments to consumers would be a better option.</w:t>
      </w:r>
    </w:p>
    <w:p w14:paraId="180281F5" w14:textId="795E35EF" w:rsidR="00D62CD5" w:rsidRDefault="00B527CC" w:rsidP="00D62CD5">
      <w:pPr>
        <w:spacing w:before="120" w:after="120" w:line="276" w:lineRule="auto"/>
        <w:rPr>
          <w:rFonts w:ascii="Calibri" w:eastAsia="Calibri" w:hAnsi="Calibri" w:cs="Calibri"/>
          <w:szCs w:val="20"/>
          <w:lang w:val="en-AU"/>
        </w:rPr>
      </w:pPr>
      <w:r w:rsidRPr="00B527CC">
        <w:rPr>
          <w:rFonts w:ascii="Calibri" w:eastAsia="Calibri" w:hAnsi="Calibri" w:cs="Calibri"/>
          <w:szCs w:val="20"/>
          <w:lang w:val="en-AU"/>
        </w:rPr>
        <w:lastRenderedPageBreak/>
        <w:t>Manufacturers state</w:t>
      </w:r>
      <w:r>
        <w:rPr>
          <w:rFonts w:ascii="Calibri" w:eastAsia="Calibri" w:hAnsi="Calibri" w:cs="Calibri"/>
          <w:szCs w:val="20"/>
          <w:lang w:val="en-AU"/>
        </w:rPr>
        <w:t>d</w:t>
      </w:r>
      <w:r w:rsidRPr="00B527CC">
        <w:rPr>
          <w:rFonts w:ascii="Calibri" w:eastAsia="Calibri" w:hAnsi="Calibri" w:cs="Calibri"/>
          <w:szCs w:val="20"/>
          <w:lang w:val="en-AU"/>
        </w:rPr>
        <w:t xml:space="preserve"> that if compliance </w:t>
      </w:r>
      <w:r>
        <w:rPr>
          <w:rFonts w:ascii="Calibri" w:eastAsia="Calibri" w:hAnsi="Calibri" w:cs="Calibri"/>
          <w:szCs w:val="20"/>
          <w:lang w:val="en-AU"/>
        </w:rPr>
        <w:t xml:space="preserve">is to be </w:t>
      </w:r>
      <w:r w:rsidRPr="00B527CC">
        <w:rPr>
          <w:rFonts w:ascii="Calibri" w:eastAsia="Calibri" w:hAnsi="Calibri" w:cs="Calibri"/>
          <w:szCs w:val="20"/>
          <w:lang w:val="en-AU"/>
        </w:rPr>
        <w:t xml:space="preserve">mandated, lead times should be a least </w:t>
      </w:r>
      <w:r>
        <w:rPr>
          <w:rFonts w:ascii="Calibri" w:eastAsia="Calibri" w:hAnsi="Calibri" w:cs="Calibri"/>
          <w:szCs w:val="20"/>
          <w:lang w:val="en-AU"/>
        </w:rPr>
        <w:t xml:space="preserve">two </w:t>
      </w:r>
      <w:r w:rsidRPr="00B527CC">
        <w:rPr>
          <w:rFonts w:ascii="Calibri" w:eastAsia="Calibri" w:hAnsi="Calibri" w:cs="Calibri"/>
          <w:szCs w:val="20"/>
          <w:lang w:val="en-AU"/>
        </w:rPr>
        <w:t xml:space="preserve">and preferably </w:t>
      </w:r>
      <w:r>
        <w:rPr>
          <w:rFonts w:ascii="Calibri" w:eastAsia="Calibri" w:hAnsi="Calibri" w:cs="Calibri"/>
          <w:szCs w:val="20"/>
          <w:lang w:val="en-AU"/>
        </w:rPr>
        <w:t xml:space="preserve">three </w:t>
      </w:r>
      <w:r w:rsidRPr="00B527CC">
        <w:rPr>
          <w:rFonts w:ascii="Calibri" w:eastAsia="Calibri" w:hAnsi="Calibri" w:cs="Calibri"/>
          <w:szCs w:val="20"/>
          <w:lang w:val="en-AU"/>
        </w:rPr>
        <w:t xml:space="preserve">years from publication of </w:t>
      </w:r>
      <w:r>
        <w:rPr>
          <w:rFonts w:ascii="Calibri" w:eastAsia="Calibri" w:hAnsi="Calibri" w:cs="Calibri"/>
          <w:szCs w:val="20"/>
          <w:lang w:val="en-AU"/>
        </w:rPr>
        <w:t>“</w:t>
      </w:r>
      <w:r w:rsidRPr="00B527CC">
        <w:rPr>
          <w:rFonts w:ascii="Calibri" w:eastAsia="Calibri" w:hAnsi="Calibri" w:cs="Calibri"/>
          <w:szCs w:val="20"/>
          <w:lang w:val="en-AU"/>
        </w:rPr>
        <w:t>black-letter law.</w:t>
      </w:r>
      <w:r>
        <w:rPr>
          <w:rFonts w:ascii="Calibri" w:eastAsia="Calibri" w:hAnsi="Calibri" w:cs="Calibri"/>
          <w:szCs w:val="20"/>
          <w:lang w:val="en-AU"/>
        </w:rPr>
        <w:t>”</w:t>
      </w:r>
      <w:r w:rsidRPr="00B527CC">
        <w:rPr>
          <w:rFonts w:ascii="Calibri" w:eastAsia="Calibri" w:hAnsi="Calibri" w:cs="Calibri"/>
          <w:szCs w:val="20"/>
          <w:lang w:val="en-AU"/>
        </w:rPr>
        <w:t xml:space="preserve"> If this is interpreted as the making of a determination, rather than the publication of a COAG</w:t>
      </w:r>
      <w:r w:rsidR="00B915B7">
        <w:rPr>
          <w:rFonts w:ascii="Calibri" w:eastAsia="Calibri" w:hAnsi="Calibri" w:cs="Calibri"/>
          <w:szCs w:val="20"/>
          <w:lang w:val="en-AU"/>
        </w:rPr>
        <w:t xml:space="preserve"> Energy Council</w:t>
      </w:r>
      <w:r w:rsidRPr="00B527CC">
        <w:rPr>
          <w:rFonts w:ascii="Calibri" w:eastAsia="Calibri" w:hAnsi="Calibri" w:cs="Calibri"/>
          <w:szCs w:val="20"/>
          <w:lang w:val="en-AU"/>
        </w:rPr>
        <w:t xml:space="preserve"> decision, implementation could be as late as 2024 or 2025. Such a delay would decrease the economic benefits, and increase the risk of early action by some jurisdictions.</w:t>
      </w:r>
      <w:r w:rsidR="00D62CD5">
        <w:rPr>
          <w:rFonts w:ascii="Calibri" w:eastAsia="Calibri" w:hAnsi="Calibri" w:cs="Calibri"/>
          <w:szCs w:val="20"/>
          <w:lang w:val="en-AU"/>
        </w:rPr>
        <w:t xml:space="preserve"> </w:t>
      </w:r>
    </w:p>
    <w:p w14:paraId="33405471" w14:textId="77777777" w:rsidR="00D62CD5" w:rsidRPr="00D62CD5" w:rsidRDefault="00D62CD5" w:rsidP="00D62CD5">
      <w:pPr>
        <w:spacing w:before="240" w:after="240" w:line="276" w:lineRule="auto"/>
        <w:rPr>
          <w:rFonts w:ascii="Calibri" w:eastAsia="Calibri" w:hAnsi="Calibri" w:cs="Calibri"/>
          <w:b/>
          <w:bCs/>
          <w:color w:val="FF0000"/>
          <w:sz w:val="28"/>
          <w:szCs w:val="20"/>
          <w:lang w:val="en-AU"/>
        </w:rPr>
      </w:pPr>
      <w:bookmarkStart w:id="129" w:name="_Hlk22373110"/>
      <w:r w:rsidRPr="00D62CD5">
        <w:rPr>
          <w:rFonts w:ascii="Calibri" w:eastAsia="Calibri" w:hAnsi="Calibri" w:cs="Calibri"/>
          <w:b/>
          <w:bCs/>
          <w:color w:val="FF0000"/>
          <w:sz w:val="28"/>
          <w:szCs w:val="20"/>
          <w:lang w:val="en-AU"/>
        </w:rPr>
        <w:t xml:space="preserve">Air Conditioner Industry </w:t>
      </w:r>
    </w:p>
    <w:bookmarkEnd w:id="129"/>
    <w:p w14:paraId="45F454FB" w14:textId="7178D5EF" w:rsidR="00D62CD5" w:rsidRDefault="00D62CD5" w:rsidP="00D62CD5">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Of the </w:t>
      </w:r>
      <w:r w:rsidR="00513E1F">
        <w:rPr>
          <w:rFonts w:ascii="Calibri" w:eastAsia="Calibri" w:hAnsi="Calibri" w:cs="Calibri"/>
          <w:szCs w:val="20"/>
          <w:lang w:val="en-AU"/>
        </w:rPr>
        <w:t xml:space="preserve">nine </w:t>
      </w:r>
      <w:r>
        <w:rPr>
          <w:rFonts w:ascii="Calibri" w:eastAsia="Calibri" w:hAnsi="Calibri" w:cs="Calibri"/>
          <w:szCs w:val="20"/>
          <w:lang w:val="en-AU"/>
        </w:rPr>
        <w:t xml:space="preserve">submissions from the </w:t>
      </w:r>
      <w:r w:rsidR="009B062B">
        <w:rPr>
          <w:rFonts w:ascii="Calibri" w:eastAsia="Calibri" w:hAnsi="Calibri" w:cs="Calibri"/>
          <w:szCs w:val="20"/>
          <w:lang w:val="en-AU"/>
        </w:rPr>
        <w:t xml:space="preserve">AC </w:t>
      </w:r>
      <w:r>
        <w:rPr>
          <w:rFonts w:ascii="Calibri" w:eastAsia="Calibri" w:hAnsi="Calibri" w:cs="Calibri"/>
          <w:szCs w:val="20"/>
          <w:lang w:val="en-AU"/>
        </w:rPr>
        <w:t>industry</w:t>
      </w:r>
      <w:r w:rsidR="00AF6A50">
        <w:rPr>
          <w:rFonts w:ascii="Calibri" w:eastAsia="Calibri" w:hAnsi="Calibri" w:cs="Calibri"/>
          <w:szCs w:val="20"/>
          <w:lang w:val="en-AU"/>
        </w:rPr>
        <w:t xml:space="preserve"> (in both countries)</w:t>
      </w:r>
      <w:r>
        <w:rPr>
          <w:rFonts w:ascii="Calibri" w:eastAsia="Calibri" w:hAnsi="Calibri" w:cs="Calibri"/>
          <w:szCs w:val="20"/>
          <w:lang w:val="en-AU"/>
        </w:rPr>
        <w:t xml:space="preserve">, </w:t>
      </w:r>
      <w:r w:rsidR="00AF6A50">
        <w:rPr>
          <w:rFonts w:ascii="Calibri" w:eastAsia="Calibri" w:hAnsi="Calibri" w:cs="Calibri"/>
          <w:szCs w:val="20"/>
          <w:lang w:val="en-AU"/>
        </w:rPr>
        <w:t xml:space="preserve">three </w:t>
      </w:r>
      <w:r>
        <w:rPr>
          <w:rFonts w:ascii="Calibri" w:eastAsia="Calibri" w:hAnsi="Calibri" w:cs="Calibri"/>
          <w:szCs w:val="20"/>
          <w:lang w:val="en-AU"/>
        </w:rPr>
        <w:t>companies supported mandatory compliance with AS/NZS 4755</w:t>
      </w:r>
      <w:r w:rsidR="00AF6A50">
        <w:rPr>
          <w:rFonts w:ascii="Calibri" w:eastAsia="Calibri" w:hAnsi="Calibri" w:cs="Calibri"/>
          <w:szCs w:val="20"/>
          <w:lang w:val="en-AU"/>
        </w:rPr>
        <w:t xml:space="preserve"> and three </w:t>
      </w:r>
      <w:r>
        <w:rPr>
          <w:rFonts w:ascii="Calibri" w:eastAsia="Calibri" w:hAnsi="Calibri" w:cs="Calibri"/>
          <w:szCs w:val="20"/>
          <w:lang w:val="en-AU"/>
        </w:rPr>
        <w:t>opposed it</w:t>
      </w:r>
      <w:r w:rsidR="00AF6A50">
        <w:rPr>
          <w:rFonts w:ascii="Calibri" w:eastAsia="Calibri" w:hAnsi="Calibri" w:cs="Calibri"/>
          <w:szCs w:val="20"/>
          <w:lang w:val="en-AU"/>
        </w:rPr>
        <w:t>,</w:t>
      </w:r>
      <w:r>
        <w:rPr>
          <w:rFonts w:ascii="Calibri" w:eastAsia="Calibri" w:hAnsi="Calibri" w:cs="Calibri"/>
          <w:szCs w:val="20"/>
          <w:lang w:val="en-AU"/>
        </w:rPr>
        <w:t xml:space="preserve"> as did the three industry association submissions. Of those who opposed the proposal, most wanted to retain Option 1 (voluntary compliance) backed by incentives. </w:t>
      </w:r>
      <w:r w:rsidR="00AF6A50">
        <w:rPr>
          <w:rFonts w:ascii="Calibri" w:eastAsia="Calibri" w:hAnsi="Calibri" w:cs="Calibri"/>
          <w:szCs w:val="20"/>
          <w:lang w:val="en-AU"/>
        </w:rPr>
        <w:t xml:space="preserve">Most </w:t>
      </w:r>
      <w:r>
        <w:rPr>
          <w:rFonts w:ascii="Calibri" w:eastAsia="Calibri" w:hAnsi="Calibri" w:cs="Calibri"/>
          <w:szCs w:val="20"/>
          <w:lang w:val="en-AU"/>
        </w:rPr>
        <w:t>submissions made the point that if compliance was to be mandated</w:t>
      </w:r>
      <w:r w:rsidR="009B062B">
        <w:rPr>
          <w:rFonts w:ascii="Calibri" w:eastAsia="Calibri" w:hAnsi="Calibri" w:cs="Calibri"/>
          <w:szCs w:val="20"/>
          <w:lang w:val="en-AU"/>
        </w:rPr>
        <w:t>,</w:t>
      </w:r>
      <w:r>
        <w:rPr>
          <w:rFonts w:ascii="Calibri" w:eastAsia="Calibri" w:hAnsi="Calibri" w:cs="Calibri"/>
          <w:szCs w:val="20"/>
          <w:lang w:val="en-AU"/>
        </w:rPr>
        <w:t xml:space="preserve"> the option should be the 2012 version of AS/NZS 4755.3.1, not the 2014 version as proposed in the Consultation Paper. It was submitted that none of the more than 1,000 models on the market that claim compliance with AS/NZS 4755.3.1 meet the 2014 standard, and that being required to do so at short notice would drive up product costs.</w:t>
      </w:r>
      <w:r>
        <w:rPr>
          <w:rStyle w:val="FootnoteReference"/>
          <w:rFonts w:ascii="Calibri" w:eastAsia="Calibri" w:hAnsi="Calibri" w:cs="Calibri"/>
          <w:szCs w:val="20"/>
          <w:lang w:val="en-AU"/>
        </w:rPr>
        <w:footnoteReference w:id="84"/>
      </w:r>
    </w:p>
    <w:p w14:paraId="496D0A88" w14:textId="43B42583" w:rsidR="00D62CD5" w:rsidRDefault="00D62CD5" w:rsidP="00D62CD5">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other main points in </w:t>
      </w:r>
      <w:r w:rsidR="009B062B">
        <w:rPr>
          <w:rFonts w:ascii="Calibri" w:eastAsia="Calibri" w:hAnsi="Calibri" w:cs="Calibri"/>
          <w:szCs w:val="20"/>
          <w:lang w:val="en-AU"/>
        </w:rPr>
        <w:t>AC</w:t>
      </w:r>
      <w:r>
        <w:rPr>
          <w:rFonts w:ascii="Calibri" w:eastAsia="Calibri" w:hAnsi="Calibri" w:cs="Calibri"/>
          <w:szCs w:val="20"/>
          <w:lang w:val="en-AU"/>
        </w:rPr>
        <w:t xml:space="preserve"> industry submissions were: </w:t>
      </w:r>
    </w:p>
    <w:p w14:paraId="3867C24D" w14:textId="77777777" w:rsidR="008E1674" w:rsidRDefault="00D62CD5" w:rsidP="00D62CD5">
      <w:pPr>
        <w:numPr>
          <w:ilvl w:val="0"/>
          <w:numId w:val="24"/>
        </w:numPr>
        <w:contextualSpacing/>
        <w:rPr>
          <w:lang w:val="en-AU"/>
        </w:rPr>
      </w:pPr>
      <w:r>
        <w:rPr>
          <w:lang w:val="en-AU"/>
        </w:rPr>
        <w:t>Product e</w:t>
      </w:r>
      <w:r w:rsidRPr="003720FA">
        <w:rPr>
          <w:lang w:val="en-AU"/>
        </w:rPr>
        <w:t xml:space="preserve">nergy efficiency improvements have made DR </w:t>
      </w:r>
      <w:r>
        <w:rPr>
          <w:lang w:val="en-AU"/>
        </w:rPr>
        <w:t>less urgent</w:t>
      </w:r>
      <w:r w:rsidRPr="003720FA">
        <w:rPr>
          <w:lang w:val="en-AU"/>
        </w:rPr>
        <w:t>;</w:t>
      </w:r>
    </w:p>
    <w:p w14:paraId="7739EC14" w14:textId="710FFDCF" w:rsidR="00D62CD5" w:rsidRPr="003720FA" w:rsidRDefault="008E1674" w:rsidP="00D62CD5">
      <w:pPr>
        <w:numPr>
          <w:ilvl w:val="0"/>
          <w:numId w:val="24"/>
        </w:numPr>
        <w:contextualSpacing/>
        <w:rPr>
          <w:lang w:val="en-AU"/>
        </w:rPr>
      </w:pPr>
      <w:r>
        <w:rPr>
          <w:lang w:val="en-AU"/>
        </w:rPr>
        <w:t xml:space="preserve">The voluntary </w:t>
      </w:r>
      <w:r w:rsidR="009B062B">
        <w:rPr>
          <w:lang w:val="en-AU"/>
        </w:rPr>
        <w:t>take up</w:t>
      </w:r>
      <w:r>
        <w:rPr>
          <w:lang w:val="en-AU"/>
        </w:rPr>
        <w:t xml:space="preserve"> of AS/NZS 4755 to date</w:t>
      </w:r>
      <w:r w:rsidR="00D62CD5" w:rsidRPr="003720FA">
        <w:rPr>
          <w:lang w:val="en-AU"/>
        </w:rPr>
        <w:t xml:space="preserve"> </w:t>
      </w:r>
      <w:r>
        <w:rPr>
          <w:lang w:val="en-AU"/>
        </w:rPr>
        <w:t xml:space="preserve">indicates that Option 1 has been successful (although there is now uncertainty about the validity of some compliance statements);  </w:t>
      </w:r>
    </w:p>
    <w:p w14:paraId="0422B1F5" w14:textId="77777777" w:rsidR="00D62CD5" w:rsidRPr="003720FA" w:rsidRDefault="00D62CD5" w:rsidP="00D62CD5">
      <w:pPr>
        <w:numPr>
          <w:ilvl w:val="0"/>
          <w:numId w:val="24"/>
        </w:numPr>
        <w:contextualSpacing/>
        <w:rPr>
          <w:lang w:val="en-AU"/>
        </w:rPr>
      </w:pPr>
      <w:r>
        <w:rPr>
          <w:lang w:val="en-AU"/>
        </w:rPr>
        <w:t>Suppliers w</w:t>
      </w:r>
      <w:r w:rsidRPr="003720FA">
        <w:rPr>
          <w:lang w:val="en-AU"/>
        </w:rPr>
        <w:t xml:space="preserve">ant to </w:t>
      </w:r>
      <w:r>
        <w:rPr>
          <w:lang w:val="en-AU"/>
        </w:rPr>
        <w:t xml:space="preserve">retain the </w:t>
      </w:r>
      <w:r w:rsidRPr="003720FA">
        <w:rPr>
          <w:lang w:val="en-AU"/>
        </w:rPr>
        <w:t>option of complying through installation of an additional component</w:t>
      </w:r>
      <w:r>
        <w:rPr>
          <w:lang w:val="en-AU"/>
        </w:rPr>
        <w:t>, rather than building the capability into every product shipped (as required in the 2014 version of AS/NZS 4755.3.1);</w:t>
      </w:r>
      <w:r w:rsidRPr="003720FA">
        <w:rPr>
          <w:lang w:val="en-AU"/>
        </w:rPr>
        <w:t xml:space="preserve"> </w:t>
      </w:r>
    </w:p>
    <w:p w14:paraId="4211ACB1" w14:textId="77777777" w:rsidR="00D62CD5" w:rsidRPr="003720FA" w:rsidRDefault="00D62CD5" w:rsidP="00D62CD5">
      <w:pPr>
        <w:numPr>
          <w:ilvl w:val="0"/>
          <w:numId w:val="24"/>
        </w:numPr>
        <w:contextualSpacing/>
        <w:rPr>
          <w:lang w:val="en-AU"/>
        </w:rPr>
      </w:pPr>
      <w:r w:rsidRPr="003720FA">
        <w:rPr>
          <w:lang w:val="en-AU"/>
        </w:rPr>
        <w:t>DRSPs will not use the capability, and will retain benefits if they do;</w:t>
      </w:r>
    </w:p>
    <w:p w14:paraId="29DB4CBD" w14:textId="190DCDD4" w:rsidR="00F67217" w:rsidRDefault="00D62CD5" w:rsidP="00D62CD5">
      <w:pPr>
        <w:numPr>
          <w:ilvl w:val="0"/>
          <w:numId w:val="24"/>
        </w:numPr>
        <w:contextualSpacing/>
        <w:rPr>
          <w:lang w:val="en-AU"/>
        </w:rPr>
      </w:pPr>
      <w:r w:rsidRPr="003720FA">
        <w:rPr>
          <w:lang w:val="en-AU"/>
        </w:rPr>
        <w:t xml:space="preserve">Comfort </w:t>
      </w:r>
      <w:r>
        <w:rPr>
          <w:lang w:val="en-AU"/>
        </w:rPr>
        <w:t xml:space="preserve">could be </w:t>
      </w:r>
      <w:r w:rsidRPr="003720FA">
        <w:rPr>
          <w:lang w:val="en-AU"/>
        </w:rPr>
        <w:t xml:space="preserve">compromised at higher </w:t>
      </w:r>
      <w:r>
        <w:rPr>
          <w:lang w:val="en-AU"/>
        </w:rPr>
        <w:t xml:space="preserve">temperature and </w:t>
      </w:r>
      <w:r w:rsidRPr="003720FA">
        <w:rPr>
          <w:lang w:val="en-AU"/>
        </w:rPr>
        <w:t>humidity</w:t>
      </w:r>
      <w:r>
        <w:rPr>
          <w:lang w:val="en-AU"/>
        </w:rPr>
        <w:t xml:space="preserve"> conditions</w:t>
      </w:r>
      <w:r w:rsidR="00F67217">
        <w:rPr>
          <w:lang w:val="en-AU"/>
        </w:rPr>
        <w:t xml:space="preserve">; </w:t>
      </w:r>
      <w:r w:rsidR="009B062B">
        <w:rPr>
          <w:lang w:val="en-AU"/>
        </w:rPr>
        <w:t>and</w:t>
      </w:r>
    </w:p>
    <w:p w14:paraId="3B1ACDFB" w14:textId="464A5C68" w:rsidR="00D62CD5" w:rsidRPr="003720FA" w:rsidRDefault="00F67217" w:rsidP="00D62CD5">
      <w:pPr>
        <w:numPr>
          <w:ilvl w:val="0"/>
          <w:numId w:val="24"/>
        </w:numPr>
        <w:contextualSpacing/>
        <w:rPr>
          <w:lang w:val="en-AU"/>
        </w:rPr>
      </w:pPr>
      <w:r>
        <w:rPr>
          <w:lang w:val="en-AU"/>
        </w:rPr>
        <w:t xml:space="preserve">Some suppliers requested exemption for Variable Refrigerant Flow (VRF) models. </w:t>
      </w:r>
      <w:r w:rsidR="00D62CD5" w:rsidRPr="003720FA">
        <w:rPr>
          <w:lang w:val="en-AU"/>
        </w:rPr>
        <w:t xml:space="preserve">    </w:t>
      </w:r>
    </w:p>
    <w:p w14:paraId="1B51CBCF" w14:textId="2EB3DD62" w:rsidR="00D62CD5" w:rsidRDefault="00D62CD5" w:rsidP="008E7146">
      <w:pPr>
        <w:spacing w:before="240" w:after="120" w:line="276" w:lineRule="auto"/>
        <w:rPr>
          <w:rFonts w:ascii="Calibri" w:eastAsia="Calibri" w:hAnsi="Calibri" w:cs="Calibri"/>
          <w:szCs w:val="20"/>
          <w:lang w:val="en-AU"/>
        </w:rPr>
      </w:pPr>
      <w:r>
        <w:rPr>
          <w:rFonts w:ascii="Calibri" w:eastAsia="Calibri" w:hAnsi="Calibri" w:cs="Calibri"/>
          <w:szCs w:val="20"/>
          <w:lang w:val="en-AU"/>
        </w:rPr>
        <w:t xml:space="preserve">Following consideration of these submissions, the recommendations regarding </w:t>
      </w:r>
      <w:r w:rsidR="009B062B">
        <w:rPr>
          <w:rFonts w:ascii="Calibri" w:eastAsia="Calibri" w:hAnsi="Calibri" w:cs="Calibri"/>
          <w:szCs w:val="20"/>
          <w:lang w:val="en-AU"/>
        </w:rPr>
        <w:t xml:space="preserve">ACs </w:t>
      </w:r>
      <w:r>
        <w:rPr>
          <w:rFonts w:ascii="Calibri" w:eastAsia="Calibri" w:hAnsi="Calibri" w:cs="Calibri"/>
          <w:szCs w:val="20"/>
          <w:lang w:val="en-AU"/>
        </w:rPr>
        <w:t xml:space="preserve">have been changed </w:t>
      </w:r>
      <w:r w:rsidR="0078009C">
        <w:rPr>
          <w:rFonts w:ascii="Calibri" w:eastAsia="Calibri" w:hAnsi="Calibri" w:cs="Calibri"/>
          <w:szCs w:val="20"/>
          <w:lang w:val="en-AU"/>
        </w:rPr>
        <w:t xml:space="preserve">in </w:t>
      </w:r>
      <w:r>
        <w:rPr>
          <w:rFonts w:ascii="Calibri" w:eastAsia="Calibri" w:hAnsi="Calibri" w:cs="Calibri"/>
          <w:szCs w:val="20"/>
          <w:lang w:val="en-AU"/>
        </w:rPr>
        <w:t>this Decision RIS. For further flexibility, it is proposed that</w:t>
      </w:r>
      <w:r w:rsidR="00F67217">
        <w:rPr>
          <w:rFonts w:ascii="Calibri" w:eastAsia="Calibri" w:hAnsi="Calibri" w:cs="Calibri"/>
          <w:szCs w:val="20"/>
          <w:lang w:val="en-AU"/>
        </w:rPr>
        <w:t>,</w:t>
      </w:r>
      <w:r>
        <w:rPr>
          <w:rFonts w:ascii="Calibri" w:eastAsia="Calibri" w:hAnsi="Calibri" w:cs="Calibri"/>
          <w:szCs w:val="20"/>
          <w:lang w:val="en-AU"/>
        </w:rPr>
        <w:t xml:space="preserve"> for a limited</w:t>
      </w:r>
      <w:r w:rsidR="00F67217">
        <w:rPr>
          <w:rFonts w:ascii="Calibri" w:eastAsia="Calibri" w:hAnsi="Calibri" w:cs="Calibri"/>
          <w:szCs w:val="20"/>
          <w:lang w:val="en-AU"/>
        </w:rPr>
        <w:t>,</w:t>
      </w:r>
      <w:r>
        <w:rPr>
          <w:rFonts w:ascii="Calibri" w:eastAsia="Calibri" w:hAnsi="Calibri" w:cs="Calibri"/>
          <w:szCs w:val="20"/>
          <w:lang w:val="en-AU"/>
        </w:rPr>
        <w:t xml:space="preserve"> period air conditioners should </w:t>
      </w:r>
      <w:r w:rsidR="0078009C">
        <w:rPr>
          <w:rFonts w:ascii="Calibri" w:eastAsia="Calibri" w:hAnsi="Calibri" w:cs="Calibri"/>
          <w:szCs w:val="20"/>
          <w:lang w:val="en-AU"/>
        </w:rPr>
        <w:t xml:space="preserve">have the option of </w:t>
      </w:r>
      <w:r>
        <w:rPr>
          <w:rFonts w:ascii="Calibri" w:eastAsia="Calibri" w:hAnsi="Calibri" w:cs="Calibri"/>
          <w:szCs w:val="20"/>
          <w:lang w:val="en-AU"/>
        </w:rPr>
        <w:t>comply</w:t>
      </w:r>
      <w:r w:rsidR="0078009C">
        <w:rPr>
          <w:rFonts w:ascii="Calibri" w:eastAsia="Calibri" w:hAnsi="Calibri" w:cs="Calibri"/>
          <w:szCs w:val="20"/>
          <w:lang w:val="en-AU"/>
        </w:rPr>
        <w:t>ing</w:t>
      </w:r>
      <w:r>
        <w:rPr>
          <w:rFonts w:ascii="Calibri" w:eastAsia="Calibri" w:hAnsi="Calibri" w:cs="Calibri"/>
          <w:szCs w:val="20"/>
          <w:lang w:val="en-AU"/>
        </w:rPr>
        <w:t xml:space="preserve"> with </w:t>
      </w:r>
      <w:r w:rsidR="0078009C">
        <w:rPr>
          <w:rFonts w:ascii="Calibri" w:eastAsia="Calibri" w:hAnsi="Calibri" w:cs="Calibri"/>
          <w:szCs w:val="20"/>
          <w:lang w:val="en-AU"/>
        </w:rPr>
        <w:t xml:space="preserve">the </w:t>
      </w:r>
      <w:r>
        <w:rPr>
          <w:rFonts w:ascii="Calibri" w:eastAsia="Calibri" w:hAnsi="Calibri" w:cs="Calibri"/>
          <w:szCs w:val="20"/>
          <w:lang w:val="en-AU"/>
        </w:rPr>
        <w:t>previous (now withdrawn) version, AS/NZS 4755.3.1:2012</w:t>
      </w:r>
      <w:r w:rsidR="0078009C">
        <w:rPr>
          <w:rFonts w:ascii="Calibri" w:eastAsia="Calibri" w:hAnsi="Calibri" w:cs="Calibri"/>
          <w:szCs w:val="20"/>
          <w:lang w:val="en-AU"/>
        </w:rPr>
        <w:t>, the</w:t>
      </w:r>
      <w:r>
        <w:rPr>
          <w:rFonts w:ascii="Calibri" w:eastAsia="Calibri" w:hAnsi="Calibri" w:cs="Calibri"/>
          <w:szCs w:val="20"/>
          <w:lang w:val="en-AU"/>
        </w:rPr>
        <w:t xml:space="preserve"> </w:t>
      </w:r>
      <w:r w:rsidR="0078009C">
        <w:rPr>
          <w:rFonts w:ascii="Calibri" w:eastAsia="Calibri" w:hAnsi="Calibri" w:cs="Calibri"/>
          <w:szCs w:val="20"/>
          <w:lang w:val="en-AU"/>
        </w:rPr>
        <w:t xml:space="preserve">technical requirements of which are to be included in the GEMS </w:t>
      </w:r>
      <w:r w:rsidR="00821206">
        <w:rPr>
          <w:rFonts w:ascii="Calibri" w:eastAsia="Calibri" w:hAnsi="Calibri" w:cs="Calibri"/>
          <w:szCs w:val="20"/>
          <w:lang w:val="en-AU"/>
        </w:rPr>
        <w:t>D</w:t>
      </w:r>
      <w:r w:rsidR="0078009C">
        <w:rPr>
          <w:rFonts w:ascii="Calibri" w:eastAsia="Calibri" w:hAnsi="Calibri" w:cs="Calibri"/>
          <w:szCs w:val="20"/>
          <w:lang w:val="en-AU"/>
        </w:rPr>
        <w:t>etermination.</w:t>
      </w:r>
    </w:p>
    <w:p w14:paraId="73637EC9" w14:textId="12764FC7" w:rsidR="00F67217" w:rsidRPr="00D62CD5" w:rsidRDefault="00F67217" w:rsidP="00F67217">
      <w:pPr>
        <w:spacing w:before="240" w:after="240" w:line="276" w:lineRule="auto"/>
        <w:rPr>
          <w:rFonts w:ascii="Calibri" w:eastAsia="Calibri" w:hAnsi="Calibri" w:cs="Calibri"/>
          <w:b/>
          <w:bCs/>
          <w:color w:val="FF0000"/>
          <w:sz w:val="28"/>
          <w:szCs w:val="20"/>
          <w:lang w:val="en-AU"/>
        </w:rPr>
      </w:pPr>
      <w:r>
        <w:rPr>
          <w:rFonts w:ascii="Calibri" w:eastAsia="Calibri" w:hAnsi="Calibri" w:cs="Calibri"/>
          <w:b/>
          <w:bCs/>
          <w:color w:val="FF0000"/>
          <w:sz w:val="28"/>
          <w:szCs w:val="20"/>
          <w:lang w:val="en-AU"/>
        </w:rPr>
        <w:t xml:space="preserve">Water Heater </w:t>
      </w:r>
      <w:r w:rsidRPr="00D62CD5">
        <w:rPr>
          <w:rFonts w:ascii="Calibri" w:eastAsia="Calibri" w:hAnsi="Calibri" w:cs="Calibri"/>
          <w:b/>
          <w:bCs/>
          <w:color w:val="FF0000"/>
          <w:sz w:val="28"/>
          <w:szCs w:val="20"/>
          <w:lang w:val="en-AU"/>
        </w:rPr>
        <w:t xml:space="preserve">Industry </w:t>
      </w:r>
    </w:p>
    <w:p w14:paraId="7A2524E9" w14:textId="7005C69E" w:rsidR="00F67217" w:rsidRDefault="00F67217" w:rsidP="00F67217">
      <w:proofErr w:type="gramStart"/>
      <w:r>
        <w:t>All of</w:t>
      </w:r>
      <w:proofErr w:type="gramEnd"/>
      <w:r>
        <w:t xml:space="preserve"> the electric storage water heaters (ESWH) manufacturers in Australia made submissions, together with their New Zealand subsidiaries and the industry association. Some in the industry are </w:t>
      </w:r>
      <w:r w:rsidR="00215138">
        <w:t xml:space="preserve">conscious of and </w:t>
      </w:r>
      <w:r>
        <w:t>keen to promote rapid-storage capability of large ESWHs, but differ on how to do it – whether through more flexible use of the existing off-peak load</w:t>
      </w:r>
      <w:r w:rsidR="00215138">
        <w:t xml:space="preserve"> </w:t>
      </w:r>
      <w:r>
        <w:t xml:space="preserve">framework (which is controlled differently in every state: ripple, timeclock or smart meter) or by use of something like AS/NZS 4755. </w:t>
      </w:r>
    </w:p>
    <w:p w14:paraId="1D9AF2FB" w14:textId="4ABA9D48" w:rsidR="00DE7E20" w:rsidRDefault="00DE7E20" w:rsidP="00D62CD5">
      <w:r>
        <w:t xml:space="preserve">Most water heater industry submissions favoured Option 2 (incentives). They submitted that Option 1 (BAU) will not be effective in achieving objectives and the labelling part of Option 2 is ineffective without incentives. </w:t>
      </w:r>
      <w:r w:rsidR="00215138">
        <w:t xml:space="preserve">All industry </w:t>
      </w:r>
      <w:r>
        <w:t>o</w:t>
      </w:r>
      <w:r w:rsidR="00215138">
        <w:t xml:space="preserve">pposed the </w:t>
      </w:r>
      <w:r w:rsidR="0078009C">
        <w:t xml:space="preserve">Consultation </w:t>
      </w:r>
      <w:r w:rsidR="00215138">
        <w:t xml:space="preserve">Paper proposal to mandate compliance with every water </w:t>
      </w:r>
      <w:r w:rsidR="00215138">
        <w:lastRenderedPageBreak/>
        <w:t>heater DRM specified in AS/NZS 4755.3.3 or AS 4755.2</w:t>
      </w:r>
      <w:r>
        <w:t>, but in several cases the opposition was conditional, based their understanding of the content of AS 4755.2.</w:t>
      </w:r>
      <w:r w:rsidR="00215138">
        <w:t xml:space="preserve"> </w:t>
      </w:r>
    </w:p>
    <w:p w14:paraId="3EA63BD3" w14:textId="316F8054" w:rsidR="00F67217" w:rsidRDefault="00215138" w:rsidP="00D62CD5">
      <w:r>
        <w:t xml:space="preserve">The objections were: </w:t>
      </w:r>
    </w:p>
    <w:p w14:paraId="6EB0215C" w14:textId="2677F433" w:rsidR="00215138" w:rsidRDefault="00215138" w:rsidP="00215138">
      <w:pPr>
        <w:pStyle w:val="ListParagraph"/>
        <w:numPr>
          <w:ilvl w:val="0"/>
          <w:numId w:val="25"/>
        </w:numPr>
      </w:pPr>
      <w:r>
        <w:t>DRM 4 (high-temperature storage mode) would require vitreous enamel</w:t>
      </w:r>
      <w:r w:rsidR="00AE3719">
        <w:t xml:space="preserve"> linings,</w:t>
      </w:r>
      <w:r>
        <w:t xml:space="preserve"> increasing manufacturing cost and presenting warranty issues, since it would be difficult to monitor the time each unit spends in DRM4 operation; </w:t>
      </w:r>
      <w:r w:rsidR="009B062B">
        <w:t>and</w:t>
      </w:r>
    </w:p>
    <w:p w14:paraId="27DDFB97" w14:textId="650354F6" w:rsidR="00215138" w:rsidRDefault="00AE3719" w:rsidP="00215138">
      <w:pPr>
        <w:pStyle w:val="ListParagraph"/>
        <w:numPr>
          <w:ilvl w:val="0"/>
          <w:numId w:val="25"/>
        </w:numPr>
      </w:pPr>
      <w:r>
        <w:t xml:space="preserve">The proposed standards would prevent compliant water heaters from participating in </w:t>
      </w:r>
      <w:r w:rsidR="002003BD">
        <w:t>w</w:t>
      </w:r>
      <w:r>
        <w:t xml:space="preserve">holesale </w:t>
      </w:r>
      <w:r w:rsidR="002003BD">
        <w:t>d</w:t>
      </w:r>
      <w:r>
        <w:t xml:space="preserve">emand </w:t>
      </w:r>
      <w:r w:rsidR="002003BD">
        <w:t>r</w:t>
      </w:r>
      <w:r>
        <w:t xml:space="preserve">esponse </w:t>
      </w:r>
      <w:r w:rsidR="002003BD">
        <w:t xml:space="preserve">mechanism </w:t>
      </w:r>
      <w:r>
        <w:t xml:space="preserve">under the proposed AEMC rule change, because the standards prevent </w:t>
      </w:r>
      <w:r w:rsidR="009B062B">
        <w:t>two</w:t>
      </w:r>
      <w:r>
        <w:t xml:space="preserve">-way communications and the AEMC rules will require each unit to verify response.  </w:t>
      </w:r>
    </w:p>
    <w:p w14:paraId="056EABBE" w14:textId="3DD42F5D" w:rsidR="00215138" w:rsidRDefault="00AE3719" w:rsidP="00D62CD5">
      <w:r>
        <w:t>The second point is based on a misunderstanding of both the standard and the AEMC draft rules. AS 4755</w:t>
      </w:r>
      <w:r w:rsidR="00DE7E20">
        <w:t>.2</w:t>
      </w:r>
      <w:r>
        <w:t xml:space="preserve"> </w:t>
      </w:r>
      <w:r w:rsidR="00DE7E20">
        <w:t xml:space="preserve">includes </w:t>
      </w:r>
      <w:r>
        <w:t xml:space="preserve">the option of </w:t>
      </w:r>
      <w:r w:rsidR="009B062B">
        <w:t>two</w:t>
      </w:r>
      <w:r>
        <w:t>-way communication but do</w:t>
      </w:r>
      <w:r w:rsidR="00DE7E20">
        <w:t>es</w:t>
      </w:r>
      <w:r>
        <w:t xml:space="preserve"> not prescribe it. The AEMC draft rule change provides for the AEMO to set the baseline and verification methods for quantifying </w:t>
      </w:r>
      <w:r w:rsidR="002C7E4D">
        <w:t>wholesale demand response</w:t>
      </w:r>
      <w:r>
        <w:t xml:space="preserve">. The AEMO is likely to permit methods based on the number of </w:t>
      </w:r>
      <w:r w:rsidR="00DE7E20">
        <w:t>products enrolled, together with statistical evidence of the response obtained in sample groups, without requiring feedback from every product.</w:t>
      </w:r>
      <w:r w:rsidR="00DE7E20">
        <w:rPr>
          <w:rStyle w:val="FootnoteReference"/>
        </w:rPr>
        <w:footnoteReference w:id="85"/>
      </w:r>
      <w:r w:rsidR="00DE7E20">
        <w:t xml:space="preserve"> </w:t>
      </w:r>
      <w:r>
        <w:t xml:space="preserve"> </w:t>
      </w:r>
    </w:p>
    <w:p w14:paraId="0B66A497" w14:textId="1792F6DC" w:rsidR="00BD3F8E" w:rsidRDefault="00DE7E20" w:rsidP="00DE7E20">
      <w:r>
        <w:t xml:space="preserve">With respect to the DRM4, issue, the </w:t>
      </w:r>
      <w:r w:rsidR="009C34FA">
        <w:t xml:space="preserve">proposal has been modified </w:t>
      </w:r>
      <w:r>
        <w:t xml:space="preserve">to recommend compliance with DRM1 only. Rapid energy storage capability </w:t>
      </w:r>
      <w:bookmarkStart w:id="130" w:name="_Hlk22378613"/>
      <w:r>
        <w:t xml:space="preserve">can </w:t>
      </w:r>
      <w:r w:rsidR="009C34FA">
        <w:t xml:space="preserve">still </w:t>
      </w:r>
      <w:r>
        <w:t xml:space="preserve">be </w:t>
      </w:r>
      <w:r w:rsidR="009C34FA">
        <w:t xml:space="preserve">achieved </w:t>
      </w:r>
      <w:r>
        <w:t>if a DRSP appl</w:t>
      </w:r>
      <w:r w:rsidR="006263D5">
        <w:t xml:space="preserve">ies </w:t>
      </w:r>
      <w:r>
        <w:t xml:space="preserve">DRM1 </w:t>
      </w:r>
      <w:r w:rsidR="006263D5">
        <w:t xml:space="preserve">in advance of peak </w:t>
      </w:r>
      <w:r>
        <w:t xml:space="preserve">PV </w:t>
      </w:r>
      <w:r w:rsidR="006263D5">
        <w:t>output periods, then</w:t>
      </w:r>
      <w:r>
        <w:t xml:space="preserve"> </w:t>
      </w:r>
      <w:r w:rsidR="006263D5">
        <w:t xml:space="preserve">releases </w:t>
      </w:r>
      <w:r>
        <w:t xml:space="preserve">DRM1 </w:t>
      </w:r>
      <w:r w:rsidR="006263D5">
        <w:t xml:space="preserve">so that the thermostat takes over </w:t>
      </w:r>
      <w:r>
        <w:t xml:space="preserve">during high-PV periods. </w:t>
      </w:r>
      <w:bookmarkEnd w:id="130"/>
      <w:r>
        <w:t xml:space="preserve">This gives appliance-level control of heating times, which is more flexible than the circuit-level control that is available (in most areas) from manipulating OP heating periods. </w:t>
      </w:r>
      <w:r w:rsidR="006263D5">
        <w:t xml:space="preserve">It </w:t>
      </w:r>
      <w:r>
        <w:t xml:space="preserve">means </w:t>
      </w:r>
      <w:r w:rsidR="006263D5">
        <w:t xml:space="preserve">that a wider range of </w:t>
      </w:r>
      <w:r>
        <w:t xml:space="preserve">consumers can benefit from </w:t>
      </w:r>
      <w:r w:rsidR="006263D5">
        <w:t xml:space="preserve">water heater </w:t>
      </w:r>
      <w:r>
        <w:t>DR arrangements</w:t>
      </w:r>
      <w:r w:rsidR="006263D5">
        <w:t xml:space="preserve">, </w:t>
      </w:r>
      <w:proofErr w:type="gramStart"/>
      <w:r w:rsidR="006263D5">
        <w:t>whether or not</w:t>
      </w:r>
      <w:proofErr w:type="gramEnd"/>
      <w:r w:rsidR="006263D5">
        <w:t xml:space="preserve"> they are on </w:t>
      </w:r>
      <w:r>
        <w:t>controlled circuit</w:t>
      </w:r>
      <w:r w:rsidR="006263D5">
        <w:t xml:space="preserve"> tariffs</w:t>
      </w:r>
      <w:r>
        <w:t>.</w:t>
      </w:r>
    </w:p>
    <w:p w14:paraId="1CFECEF3" w14:textId="08FEBC78" w:rsidR="00DE7E20" w:rsidRDefault="00BD3F8E" w:rsidP="00DE7E20">
      <w:r>
        <w:t>The water heater industry agreed with the limitation of scope to electric resistance storage water heaters (some other submissions advocated the inclusion of heat pumps and solar-electric types).</w:t>
      </w:r>
      <w:r w:rsidR="00DE7E20">
        <w:t xml:space="preserve"> </w:t>
      </w:r>
    </w:p>
    <w:p w14:paraId="203CE964" w14:textId="2C1AC99A" w:rsidR="00215138" w:rsidRPr="006263D5" w:rsidRDefault="006263D5" w:rsidP="006263D5">
      <w:pPr>
        <w:spacing w:before="240" w:after="240" w:line="276" w:lineRule="auto"/>
        <w:rPr>
          <w:rFonts w:ascii="Calibri" w:eastAsia="Calibri" w:hAnsi="Calibri" w:cs="Calibri"/>
          <w:b/>
          <w:bCs/>
          <w:color w:val="FF0000"/>
          <w:sz w:val="28"/>
          <w:szCs w:val="20"/>
          <w:lang w:val="en-AU"/>
        </w:rPr>
      </w:pPr>
      <w:r w:rsidRPr="006263D5">
        <w:rPr>
          <w:rFonts w:ascii="Calibri" w:eastAsia="Calibri" w:hAnsi="Calibri" w:cs="Calibri"/>
          <w:b/>
          <w:bCs/>
          <w:color w:val="FF0000"/>
          <w:sz w:val="28"/>
          <w:szCs w:val="20"/>
          <w:lang w:val="en-AU"/>
        </w:rPr>
        <w:t xml:space="preserve">Pool </w:t>
      </w:r>
      <w:r>
        <w:rPr>
          <w:rFonts w:ascii="Calibri" w:eastAsia="Calibri" w:hAnsi="Calibri" w:cs="Calibri"/>
          <w:b/>
          <w:bCs/>
          <w:color w:val="FF0000"/>
          <w:sz w:val="28"/>
          <w:szCs w:val="20"/>
          <w:lang w:val="en-AU"/>
        </w:rPr>
        <w:t xml:space="preserve">Equipment Industry </w:t>
      </w:r>
    </w:p>
    <w:p w14:paraId="496DF767" w14:textId="7C1511C9" w:rsidR="00547041" w:rsidRDefault="00547041" w:rsidP="00D62CD5">
      <w:r>
        <w:t xml:space="preserve">There was only one submission from a manufacturer of pool pump controllers. It opposed mandating compliance for pool pump controllers, but supported mandating compliance for </w:t>
      </w:r>
      <w:r w:rsidR="009B062B">
        <w:t>ACs</w:t>
      </w:r>
      <w:r>
        <w:t xml:space="preserve">, water heaters and EV chargers, so that its own proprietary demand response system could control those products. The objection to compliance for pool pump controllers was that restriction of pumping by a DRSP without monitoring of </w:t>
      </w:r>
      <w:r w:rsidR="009E162F">
        <w:t>sanitiser levels would present a health risk.</w:t>
      </w:r>
      <w:r w:rsidR="009E162F">
        <w:rPr>
          <w:rStyle w:val="FootnoteReference"/>
        </w:rPr>
        <w:footnoteReference w:id="86"/>
      </w:r>
      <w:r w:rsidR="009E162F">
        <w:t xml:space="preserve"> </w:t>
      </w:r>
    </w:p>
    <w:p w14:paraId="670211DD" w14:textId="2A68F10C" w:rsidR="00064FDB" w:rsidRDefault="009E162F" w:rsidP="00D62CD5">
      <w:r>
        <w:t xml:space="preserve">Given the high support among other stakeholders for inclusion of pool pump controllers as a means of bringing on load during excess PV periods, as well as reducing </w:t>
      </w:r>
      <w:r w:rsidR="00064FDB">
        <w:t xml:space="preserve">load </w:t>
      </w:r>
      <w:r>
        <w:t xml:space="preserve">at peak times, this Decision RIS recommends </w:t>
      </w:r>
      <w:r w:rsidR="00064FDB">
        <w:t xml:space="preserve">mandating compliance with </w:t>
      </w:r>
      <w:r>
        <w:t xml:space="preserve">DRM1, but delaying the requirement to comply with DRM2 and DRM4 by </w:t>
      </w:r>
      <w:r w:rsidR="00A51FE6">
        <w:t>two</w:t>
      </w:r>
      <w:r>
        <w:t xml:space="preserve"> years.</w:t>
      </w:r>
    </w:p>
    <w:p w14:paraId="0A80B126" w14:textId="16F41215" w:rsidR="00CA44A3" w:rsidRDefault="00064FDB" w:rsidP="00D62CD5">
      <w:r>
        <w:t xml:space="preserve">As with water heaters, a load-on capability can be exercised if a DRSP applies DRM1 in advance of peak PV output periods, then releases DRM1 so that the pumping commences during high-PV periods (provided the pump controller timer settings call for pumping during that period). With DRM 4, the load-on capability would become available to a DRSP irrespective of the timer settings. </w:t>
      </w:r>
    </w:p>
    <w:p w14:paraId="2D782E07" w14:textId="4FF0E5D7" w:rsidR="006263D5" w:rsidRPr="006263D5" w:rsidRDefault="006263D5" w:rsidP="008E1674">
      <w:pPr>
        <w:rPr>
          <w:rFonts w:ascii="Calibri" w:eastAsia="Calibri" w:hAnsi="Calibri" w:cs="Calibri"/>
          <w:b/>
          <w:bCs/>
          <w:color w:val="FF0000"/>
          <w:sz w:val="28"/>
          <w:szCs w:val="20"/>
          <w:lang w:val="en-AU"/>
        </w:rPr>
      </w:pPr>
      <w:r w:rsidRPr="006263D5">
        <w:rPr>
          <w:rFonts w:ascii="Calibri" w:eastAsia="Calibri" w:hAnsi="Calibri" w:cs="Calibri"/>
          <w:b/>
          <w:bCs/>
          <w:color w:val="FF0000"/>
          <w:sz w:val="28"/>
          <w:szCs w:val="20"/>
          <w:lang w:val="en-AU"/>
        </w:rPr>
        <w:lastRenderedPageBreak/>
        <w:t>E</w:t>
      </w:r>
      <w:r>
        <w:rPr>
          <w:rFonts w:ascii="Calibri" w:eastAsia="Calibri" w:hAnsi="Calibri" w:cs="Calibri"/>
          <w:b/>
          <w:bCs/>
          <w:color w:val="FF0000"/>
          <w:sz w:val="28"/>
          <w:szCs w:val="20"/>
          <w:lang w:val="en-AU"/>
        </w:rPr>
        <w:t xml:space="preserve">lectric Vehicle Industry </w:t>
      </w:r>
    </w:p>
    <w:p w14:paraId="4DDF9049" w14:textId="7DC9E8FB" w:rsidR="00F25210" w:rsidRDefault="00F25210" w:rsidP="00D62CD5">
      <w:pPr>
        <w:spacing w:before="120" w:after="120" w:line="276" w:lineRule="auto"/>
      </w:pPr>
      <w:r>
        <w:t xml:space="preserve">There were submissions from four EV and motor vehicle industry associations (including one from New Zealand) and one charger supplier. There was general agreement on the value of demand response in EV charging, but disagreement with the Consultation Paper on the means to provide it. </w:t>
      </w:r>
    </w:p>
    <w:p w14:paraId="2EFEA941" w14:textId="6CCAEEAE" w:rsidR="00513E1F" w:rsidRDefault="00F25210" w:rsidP="00D62CD5">
      <w:pPr>
        <w:spacing w:before="120" w:after="120" w:line="276" w:lineRule="auto"/>
      </w:pPr>
      <w:r>
        <w:t xml:space="preserve">Unlike the other products, stakeholders pointed to potentially substitutable international alternatives to mandating AS/NZS4755.3.4, such as </w:t>
      </w:r>
      <w:r w:rsidRPr="00513E1F">
        <w:rPr>
          <w:i/>
          <w:iCs/>
        </w:rPr>
        <w:t>Open Charge Point Protocol</w:t>
      </w:r>
      <w:r>
        <w:t xml:space="preserve"> (OCPP), IEC 15118 </w:t>
      </w:r>
      <w:r w:rsidR="00513E1F" w:rsidRPr="00513E1F">
        <w:rPr>
          <w:i/>
          <w:iCs/>
        </w:rPr>
        <w:t>Information technology - High-Performance Parallel Interface</w:t>
      </w:r>
      <w:r w:rsidR="00513E1F">
        <w:t xml:space="preserve">, and IEC 61850-90-8 </w:t>
      </w:r>
      <w:r w:rsidR="00513E1F" w:rsidRPr="00513E1F">
        <w:rPr>
          <w:i/>
          <w:iCs/>
        </w:rPr>
        <w:t>Communication networks and systems for power utility automation - Part 90-8: Object model for E-mobility</w:t>
      </w:r>
      <w:r>
        <w:t xml:space="preserve">. </w:t>
      </w:r>
    </w:p>
    <w:p w14:paraId="1FDCCD05" w14:textId="47FF751A" w:rsidR="00D62CD5" w:rsidRDefault="00F25210" w:rsidP="00D62CD5">
      <w:pPr>
        <w:spacing w:before="120" w:after="120" w:line="276" w:lineRule="auto"/>
        <w:rPr>
          <w:rFonts w:ascii="Calibri" w:eastAsia="Calibri" w:hAnsi="Calibri" w:cs="Calibri"/>
          <w:szCs w:val="20"/>
          <w:lang w:val="en-AU"/>
        </w:rPr>
      </w:pPr>
      <w:r>
        <w:t xml:space="preserve">Given this, the fact that AS/NZS4755.3.4 is still in draft form and </w:t>
      </w:r>
      <w:r w:rsidR="00513E1F">
        <w:t>an appendix covering EV chargers has yet to be prepared for AS</w:t>
      </w:r>
      <w:r>
        <w:t xml:space="preserve"> 4755.2</w:t>
      </w:r>
      <w:r w:rsidR="00513E1F">
        <w:t xml:space="preserve">, this Decision RIS recommends an international standard as an additional compliance option, </w:t>
      </w:r>
      <w:proofErr w:type="gramStart"/>
      <w:r w:rsidR="00513E1F">
        <w:t>provided that</w:t>
      </w:r>
      <w:proofErr w:type="gramEnd"/>
      <w:r w:rsidR="00513E1F">
        <w:t xml:space="preserve"> </w:t>
      </w:r>
      <w:r>
        <w:t>an E3 technical working group determines</w:t>
      </w:r>
      <w:r w:rsidR="00513E1F">
        <w:t>,</w:t>
      </w:r>
      <w:r>
        <w:t xml:space="preserve"> by mid</w:t>
      </w:r>
      <w:r w:rsidR="00A51FE6">
        <w:t>-</w:t>
      </w:r>
      <w:r>
        <w:t>2022</w:t>
      </w:r>
      <w:r w:rsidR="00513E1F">
        <w:t>,</w:t>
      </w:r>
      <w:r>
        <w:t xml:space="preserve"> that there is one that provides equivalent capabilities to AS/NZS 4755.3.</w:t>
      </w:r>
    </w:p>
    <w:p w14:paraId="74B1EA91" w14:textId="1615801E" w:rsidR="00D62CD5" w:rsidRPr="00AF6A50" w:rsidRDefault="00AF6A50" w:rsidP="00AF6A50">
      <w:pPr>
        <w:spacing w:before="240" w:after="240" w:line="276" w:lineRule="auto"/>
        <w:rPr>
          <w:rFonts w:ascii="Calibri" w:eastAsia="Calibri" w:hAnsi="Calibri" w:cs="Calibri"/>
          <w:b/>
          <w:bCs/>
          <w:color w:val="FF0000"/>
          <w:sz w:val="28"/>
          <w:szCs w:val="20"/>
          <w:lang w:val="en-AU"/>
        </w:rPr>
      </w:pPr>
      <w:r w:rsidRPr="00AF6A50">
        <w:rPr>
          <w:rFonts w:ascii="Calibri" w:eastAsia="Calibri" w:hAnsi="Calibri" w:cs="Calibri"/>
          <w:b/>
          <w:bCs/>
          <w:color w:val="FF0000"/>
          <w:sz w:val="28"/>
          <w:szCs w:val="20"/>
          <w:lang w:val="en-AU"/>
        </w:rPr>
        <w:t>Other Submissions</w:t>
      </w:r>
      <w:r w:rsidR="00D62CD5" w:rsidRPr="00AF6A50">
        <w:rPr>
          <w:rFonts w:ascii="Calibri" w:eastAsia="Calibri" w:hAnsi="Calibri" w:cs="Calibri"/>
          <w:b/>
          <w:bCs/>
          <w:color w:val="FF0000"/>
          <w:sz w:val="28"/>
          <w:szCs w:val="20"/>
          <w:lang w:val="en-AU"/>
        </w:rPr>
        <w:t xml:space="preserve"> </w:t>
      </w:r>
    </w:p>
    <w:p w14:paraId="6E092A02" w14:textId="0BDE0E35" w:rsidR="00732407" w:rsidRDefault="00AF6A50"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There were submissions from </w:t>
      </w:r>
      <w:r w:rsidR="00A51FE6">
        <w:rPr>
          <w:rFonts w:ascii="Calibri" w:eastAsia="Calibri" w:hAnsi="Calibri" w:cs="Calibri"/>
          <w:szCs w:val="20"/>
          <w:lang w:val="en-AU"/>
        </w:rPr>
        <w:t>three</w:t>
      </w:r>
      <w:r>
        <w:rPr>
          <w:rFonts w:ascii="Calibri" w:eastAsia="Calibri" w:hAnsi="Calibri" w:cs="Calibri"/>
          <w:szCs w:val="20"/>
          <w:lang w:val="en-AU"/>
        </w:rPr>
        <w:t xml:space="preserve"> public interest advocacy group, </w:t>
      </w:r>
      <w:r w:rsidR="00A51FE6">
        <w:rPr>
          <w:rFonts w:ascii="Calibri" w:eastAsia="Calibri" w:hAnsi="Calibri" w:cs="Calibri"/>
          <w:szCs w:val="20"/>
          <w:lang w:val="en-AU"/>
        </w:rPr>
        <w:t xml:space="preserve">two </w:t>
      </w:r>
      <w:r>
        <w:rPr>
          <w:rFonts w:ascii="Calibri" w:eastAsia="Calibri" w:hAnsi="Calibri" w:cs="Calibri"/>
          <w:szCs w:val="20"/>
          <w:lang w:val="en-AU"/>
        </w:rPr>
        <w:t xml:space="preserve">DRSP companies, a university, a test and certification company, a battery manufacturer and </w:t>
      </w:r>
      <w:r w:rsidR="00A51FE6">
        <w:rPr>
          <w:rFonts w:ascii="Calibri" w:eastAsia="Calibri" w:hAnsi="Calibri" w:cs="Calibri"/>
          <w:szCs w:val="20"/>
          <w:lang w:val="en-AU"/>
        </w:rPr>
        <w:t xml:space="preserve">three </w:t>
      </w:r>
      <w:r>
        <w:rPr>
          <w:rFonts w:ascii="Calibri" w:eastAsia="Calibri" w:hAnsi="Calibri" w:cs="Calibri"/>
          <w:szCs w:val="20"/>
          <w:lang w:val="en-AU"/>
        </w:rPr>
        <w:t>private individuals</w:t>
      </w:r>
      <w:r w:rsidR="00EE43B4">
        <w:rPr>
          <w:rFonts w:ascii="Calibri" w:eastAsia="Calibri" w:hAnsi="Calibri" w:cs="Calibri"/>
          <w:szCs w:val="20"/>
          <w:lang w:val="en-AU"/>
        </w:rPr>
        <w:t xml:space="preserve">. </w:t>
      </w:r>
      <w:proofErr w:type="gramStart"/>
      <w:r w:rsidR="00EE43B4">
        <w:rPr>
          <w:rFonts w:ascii="Calibri" w:eastAsia="Calibri" w:hAnsi="Calibri" w:cs="Calibri"/>
          <w:szCs w:val="20"/>
          <w:lang w:val="en-AU"/>
        </w:rPr>
        <w:t>All of these</w:t>
      </w:r>
      <w:proofErr w:type="gramEnd"/>
      <w:r w:rsidR="00EE43B4">
        <w:rPr>
          <w:rFonts w:ascii="Calibri" w:eastAsia="Calibri" w:hAnsi="Calibri" w:cs="Calibri"/>
          <w:szCs w:val="20"/>
          <w:lang w:val="en-AU"/>
        </w:rPr>
        <w:t xml:space="preserve"> supported the proposal (Option 3) except for the battery manufacturer, which advocated incentives not tied to any standard, and one individual who advocated that other standards should adopted in place of AS/NZS 4755. </w:t>
      </w:r>
    </w:p>
    <w:p w14:paraId="57BC7FBD" w14:textId="77777777" w:rsidR="00732407" w:rsidRPr="00ED0812" w:rsidRDefault="00732407" w:rsidP="00ED0812">
      <w:pPr>
        <w:spacing w:before="240" w:after="240" w:line="276" w:lineRule="auto"/>
        <w:rPr>
          <w:rFonts w:ascii="Calibri" w:eastAsia="Calibri" w:hAnsi="Calibri" w:cs="Calibri"/>
          <w:b/>
          <w:bCs/>
          <w:color w:val="FF0000"/>
          <w:sz w:val="36"/>
          <w:szCs w:val="36"/>
          <w:lang w:val="en-AU"/>
        </w:rPr>
      </w:pPr>
      <w:r w:rsidRPr="00ED0812">
        <w:rPr>
          <w:rFonts w:ascii="Calibri" w:eastAsia="Calibri" w:hAnsi="Calibri" w:cs="Calibri"/>
          <w:b/>
          <w:bCs/>
          <w:color w:val="FF0000"/>
          <w:sz w:val="36"/>
          <w:szCs w:val="36"/>
          <w:lang w:val="en-AU"/>
        </w:rPr>
        <w:t>Main Points Raised</w:t>
      </w:r>
    </w:p>
    <w:p w14:paraId="644B6891" w14:textId="44AA6478" w:rsidR="00732407" w:rsidRDefault="009C7758"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The Consultation Paper put 28 questions to stakeholders. The following section presents the response</w:t>
      </w:r>
      <w:r w:rsidR="00EE43B4">
        <w:rPr>
          <w:rFonts w:ascii="Calibri" w:eastAsia="Calibri" w:hAnsi="Calibri" w:cs="Calibri"/>
          <w:szCs w:val="20"/>
          <w:lang w:val="en-AU"/>
        </w:rPr>
        <w:t>s</w:t>
      </w:r>
      <w:r>
        <w:rPr>
          <w:rFonts w:ascii="Calibri" w:eastAsia="Calibri" w:hAnsi="Calibri" w:cs="Calibri"/>
          <w:szCs w:val="20"/>
          <w:lang w:val="en-AU"/>
        </w:rPr>
        <w:t xml:space="preserve"> grouped by the main themes, rather than question by question, as several question</w:t>
      </w:r>
      <w:r w:rsidR="00A729F3">
        <w:rPr>
          <w:rFonts w:ascii="Calibri" w:eastAsia="Calibri" w:hAnsi="Calibri" w:cs="Calibri"/>
          <w:szCs w:val="20"/>
          <w:lang w:val="en-AU"/>
        </w:rPr>
        <w:t>s</w:t>
      </w:r>
      <w:r>
        <w:rPr>
          <w:rFonts w:ascii="Calibri" w:eastAsia="Calibri" w:hAnsi="Calibri" w:cs="Calibri"/>
          <w:szCs w:val="20"/>
          <w:lang w:val="en-AU"/>
        </w:rPr>
        <w:t xml:space="preserve"> covered the same issues from different perspectives. </w:t>
      </w:r>
    </w:p>
    <w:p w14:paraId="744B8511" w14:textId="7149D36C" w:rsidR="00D62CD5" w:rsidRPr="00F25210" w:rsidRDefault="006263D5" w:rsidP="00F25210">
      <w:pPr>
        <w:spacing w:before="240" w:after="240" w:line="276" w:lineRule="auto"/>
        <w:rPr>
          <w:rFonts w:ascii="Calibri" w:eastAsia="Calibri" w:hAnsi="Calibri" w:cs="Calibri"/>
          <w:b/>
          <w:bCs/>
          <w:color w:val="FF0000"/>
          <w:sz w:val="28"/>
          <w:szCs w:val="20"/>
          <w:lang w:val="en-AU"/>
        </w:rPr>
      </w:pPr>
      <w:r w:rsidRPr="00F25210">
        <w:rPr>
          <w:rFonts w:ascii="Calibri" w:eastAsia="Calibri" w:hAnsi="Calibri" w:cs="Calibri"/>
          <w:b/>
          <w:bCs/>
          <w:color w:val="FF0000"/>
          <w:sz w:val="28"/>
          <w:szCs w:val="20"/>
          <w:lang w:val="en-AU"/>
        </w:rPr>
        <w:t>Alternatives to Option 3</w:t>
      </w:r>
    </w:p>
    <w:p w14:paraId="726581BC" w14:textId="71D7933E" w:rsidR="00CA44A3" w:rsidRDefault="00116642"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Option 3 (mandatory DR standards) was the most widely supported option. </w:t>
      </w:r>
      <w:r w:rsidR="00895EC7">
        <w:rPr>
          <w:rFonts w:ascii="Calibri" w:eastAsia="Calibri" w:hAnsi="Calibri" w:cs="Calibri"/>
          <w:szCs w:val="20"/>
          <w:lang w:val="en-AU"/>
        </w:rPr>
        <w:t xml:space="preserve">The only group showing some support for Option 1 (BAU – no new regulations, voluntary compliance backed by </w:t>
      </w:r>
      <w:r>
        <w:rPr>
          <w:rFonts w:ascii="Calibri" w:eastAsia="Calibri" w:hAnsi="Calibri" w:cs="Calibri"/>
          <w:szCs w:val="20"/>
          <w:lang w:val="en-AU"/>
        </w:rPr>
        <w:t>ad</w:t>
      </w:r>
      <w:r w:rsidR="009B062B">
        <w:rPr>
          <w:rFonts w:ascii="Calibri" w:eastAsia="Calibri" w:hAnsi="Calibri" w:cs="Calibri"/>
          <w:szCs w:val="20"/>
          <w:lang w:val="en-AU"/>
        </w:rPr>
        <w:t>-</w:t>
      </w:r>
      <w:r>
        <w:rPr>
          <w:rFonts w:ascii="Calibri" w:eastAsia="Calibri" w:hAnsi="Calibri" w:cs="Calibri"/>
          <w:szCs w:val="20"/>
          <w:lang w:val="en-AU"/>
        </w:rPr>
        <w:t xml:space="preserve">hoc </w:t>
      </w:r>
      <w:r w:rsidR="00895EC7">
        <w:rPr>
          <w:rFonts w:ascii="Calibri" w:eastAsia="Calibri" w:hAnsi="Calibri" w:cs="Calibri"/>
          <w:szCs w:val="20"/>
          <w:lang w:val="en-AU"/>
        </w:rPr>
        <w:t>incentives</w:t>
      </w:r>
      <w:r>
        <w:rPr>
          <w:rFonts w:ascii="Calibri" w:eastAsia="Calibri" w:hAnsi="Calibri" w:cs="Calibri"/>
          <w:szCs w:val="20"/>
          <w:lang w:val="en-AU"/>
        </w:rPr>
        <w:t>)</w:t>
      </w:r>
      <w:r w:rsidR="00895EC7">
        <w:rPr>
          <w:rFonts w:ascii="Calibri" w:eastAsia="Calibri" w:hAnsi="Calibri" w:cs="Calibri"/>
          <w:szCs w:val="20"/>
          <w:lang w:val="en-AU"/>
        </w:rPr>
        <w:t xml:space="preserve"> </w:t>
      </w:r>
      <w:r>
        <w:rPr>
          <w:rFonts w:ascii="Calibri" w:eastAsia="Calibri" w:hAnsi="Calibri" w:cs="Calibri"/>
          <w:szCs w:val="20"/>
          <w:lang w:val="en-AU"/>
        </w:rPr>
        <w:t xml:space="preserve">were some </w:t>
      </w:r>
      <w:r w:rsidR="009B062B">
        <w:rPr>
          <w:rFonts w:ascii="Calibri" w:eastAsia="Calibri" w:hAnsi="Calibri" w:cs="Calibri"/>
          <w:szCs w:val="20"/>
          <w:lang w:val="en-AU"/>
        </w:rPr>
        <w:t xml:space="preserve">AC </w:t>
      </w:r>
      <w:r>
        <w:rPr>
          <w:rFonts w:ascii="Calibri" w:eastAsia="Calibri" w:hAnsi="Calibri" w:cs="Calibri"/>
          <w:szCs w:val="20"/>
          <w:lang w:val="en-AU"/>
        </w:rPr>
        <w:t>manufacturers.</w:t>
      </w:r>
      <w:r w:rsidR="00895EC7">
        <w:rPr>
          <w:rFonts w:ascii="Calibri" w:eastAsia="Calibri" w:hAnsi="Calibri" w:cs="Calibri"/>
          <w:szCs w:val="20"/>
          <w:lang w:val="en-AU"/>
        </w:rPr>
        <w:t xml:space="preserve"> </w:t>
      </w:r>
      <w:r w:rsidR="00CA44A3">
        <w:rPr>
          <w:rFonts w:ascii="Calibri" w:eastAsia="Calibri" w:hAnsi="Calibri" w:cs="Calibri"/>
          <w:szCs w:val="20"/>
          <w:lang w:val="en-AU"/>
        </w:rPr>
        <w:t xml:space="preserve">A few submissions advocated greater emphasis on behavioural DR programs (which are also part of Option 1). </w:t>
      </w:r>
    </w:p>
    <w:p w14:paraId="5F2F4643" w14:textId="53941138" w:rsidR="009C34FA" w:rsidRDefault="009C34FA"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water heater industry did not think that Option 1 would bring AS/NZS 4755-compliant water heaters into the market.  </w:t>
      </w:r>
    </w:p>
    <w:p w14:paraId="0DC7530B" w14:textId="64AF747A" w:rsidR="00116642" w:rsidRDefault="00895EC7"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Regarding Option 2</w:t>
      </w:r>
      <w:r w:rsidR="00116642">
        <w:rPr>
          <w:rFonts w:ascii="Calibri" w:eastAsia="Calibri" w:hAnsi="Calibri" w:cs="Calibri"/>
          <w:szCs w:val="20"/>
          <w:lang w:val="en-AU"/>
        </w:rPr>
        <w:t xml:space="preserve"> (</w:t>
      </w:r>
      <w:r>
        <w:rPr>
          <w:rFonts w:ascii="Calibri" w:eastAsia="Calibri" w:hAnsi="Calibri" w:cs="Calibri"/>
          <w:szCs w:val="20"/>
          <w:lang w:val="en-AU"/>
        </w:rPr>
        <w:t>e</w:t>
      </w:r>
      <w:r w:rsidRPr="00895EC7">
        <w:rPr>
          <w:rFonts w:ascii="Calibri" w:eastAsia="Calibri" w:hAnsi="Calibri" w:cs="Calibri"/>
          <w:szCs w:val="20"/>
          <w:lang w:val="en-AU"/>
        </w:rPr>
        <w:t>ncourag</w:t>
      </w:r>
      <w:r>
        <w:rPr>
          <w:rFonts w:ascii="Calibri" w:eastAsia="Calibri" w:hAnsi="Calibri" w:cs="Calibri"/>
          <w:szCs w:val="20"/>
          <w:lang w:val="en-AU"/>
        </w:rPr>
        <w:t xml:space="preserve">ing </w:t>
      </w:r>
      <w:r w:rsidRPr="00895EC7">
        <w:rPr>
          <w:rFonts w:ascii="Calibri" w:eastAsia="Calibri" w:hAnsi="Calibri" w:cs="Calibri"/>
          <w:szCs w:val="20"/>
          <w:lang w:val="en-AU"/>
        </w:rPr>
        <w:t xml:space="preserve">the voluntary adoption of </w:t>
      </w:r>
      <w:r>
        <w:rPr>
          <w:rFonts w:ascii="Calibri" w:eastAsia="Calibri" w:hAnsi="Calibri" w:cs="Calibri"/>
          <w:szCs w:val="20"/>
          <w:lang w:val="en-AU"/>
        </w:rPr>
        <w:t xml:space="preserve">DR </w:t>
      </w:r>
      <w:r w:rsidRPr="00895EC7">
        <w:rPr>
          <w:rFonts w:ascii="Calibri" w:eastAsia="Calibri" w:hAnsi="Calibri" w:cs="Calibri"/>
          <w:szCs w:val="20"/>
          <w:lang w:val="en-AU"/>
        </w:rPr>
        <w:t>appliances</w:t>
      </w:r>
      <w:r w:rsidR="00116642">
        <w:rPr>
          <w:rFonts w:ascii="Calibri" w:eastAsia="Calibri" w:hAnsi="Calibri" w:cs="Calibri"/>
          <w:szCs w:val="20"/>
          <w:lang w:val="en-AU"/>
        </w:rPr>
        <w:t>)</w:t>
      </w:r>
      <w:r w:rsidR="009B062B">
        <w:rPr>
          <w:rFonts w:ascii="Calibri" w:eastAsia="Calibri" w:hAnsi="Calibri" w:cs="Calibri"/>
          <w:szCs w:val="20"/>
          <w:lang w:val="en-AU"/>
        </w:rPr>
        <w:t>,</w:t>
      </w:r>
      <w:r w:rsidR="00116642">
        <w:rPr>
          <w:rFonts w:ascii="Calibri" w:eastAsia="Calibri" w:hAnsi="Calibri" w:cs="Calibri"/>
          <w:szCs w:val="20"/>
          <w:lang w:val="en-AU"/>
        </w:rPr>
        <w:t xml:space="preserve"> r</w:t>
      </w:r>
      <w:r>
        <w:rPr>
          <w:rFonts w:ascii="Calibri" w:eastAsia="Calibri" w:hAnsi="Calibri" w:cs="Calibri"/>
          <w:szCs w:val="20"/>
          <w:lang w:val="en-AU"/>
        </w:rPr>
        <w:t xml:space="preserve">espondents </w:t>
      </w:r>
      <w:r w:rsidR="00116642">
        <w:rPr>
          <w:rFonts w:ascii="Calibri" w:eastAsia="Calibri" w:hAnsi="Calibri" w:cs="Calibri"/>
          <w:szCs w:val="20"/>
          <w:lang w:val="en-AU"/>
        </w:rPr>
        <w:t>thought that labelling DR capability without incentives would be ineffective.</w:t>
      </w:r>
      <w:r w:rsidR="009C34FA">
        <w:rPr>
          <w:rFonts w:ascii="Calibri" w:eastAsia="Calibri" w:hAnsi="Calibri" w:cs="Calibri"/>
          <w:szCs w:val="20"/>
          <w:lang w:val="en-AU"/>
        </w:rPr>
        <w:t xml:space="preserve"> </w:t>
      </w:r>
      <w:r w:rsidR="00116642">
        <w:rPr>
          <w:rFonts w:ascii="Calibri" w:eastAsia="Calibri" w:hAnsi="Calibri" w:cs="Calibri"/>
          <w:szCs w:val="20"/>
          <w:lang w:val="en-AU"/>
        </w:rPr>
        <w:t>Those who supported</w:t>
      </w:r>
      <w:r>
        <w:rPr>
          <w:rFonts w:ascii="Calibri" w:eastAsia="Calibri" w:hAnsi="Calibri" w:cs="Calibri"/>
          <w:szCs w:val="20"/>
          <w:lang w:val="en-AU"/>
        </w:rPr>
        <w:t xml:space="preserve"> Option 2 envisaged a universal incentive scheme </w:t>
      </w:r>
      <w:r w:rsidR="00116642">
        <w:rPr>
          <w:rFonts w:ascii="Calibri" w:eastAsia="Calibri" w:hAnsi="Calibri" w:cs="Calibri"/>
          <w:szCs w:val="20"/>
          <w:lang w:val="en-AU"/>
        </w:rPr>
        <w:t xml:space="preserve">to be financed in some way by the electricity </w:t>
      </w:r>
      <w:r w:rsidR="009C34FA">
        <w:rPr>
          <w:rFonts w:ascii="Calibri" w:eastAsia="Calibri" w:hAnsi="Calibri" w:cs="Calibri"/>
          <w:szCs w:val="20"/>
          <w:lang w:val="en-AU"/>
        </w:rPr>
        <w:t xml:space="preserve">industry </w:t>
      </w:r>
      <w:r w:rsidR="00116642">
        <w:rPr>
          <w:rFonts w:ascii="Calibri" w:eastAsia="Calibri" w:hAnsi="Calibri" w:cs="Calibri"/>
          <w:szCs w:val="20"/>
          <w:lang w:val="en-AU"/>
        </w:rPr>
        <w:t xml:space="preserve">or by government. </w:t>
      </w:r>
      <w:r w:rsidR="009C34FA">
        <w:rPr>
          <w:rFonts w:ascii="Calibri" w:eastAsia="Calibri" w:hAnsi="Calibri" w:cs="Calibri"/>
          <w:szCs w:val="20"/>
          <w:lang w:val="en-AU"/>
        </w:rPr>
        <w:t xml:space="preserve"> </w:t>
      </w:r>
    </w:p>
    <w:p w14:paraId="74747956" w14:textId="310A33DA" w:rsidR="006263D5" w:rsidRPr="00F25210" w:rsidRDefault="006263D5" w:rsidP="00F25210">
      <w:pPr>
        <w:spacing w:before="240" w:after="240" w:line="276" w:lineRule="auto"/>
        <w:rPr>
          <w:rFonts w:ascii="Calibri" w:eastAsia="Calibri" w:hAnsi="Calibri" w:cs="Calibri"/>
          <w:b/>
          <w:bCs/>
          <w:color w:val="FF0000"/>
          <w:sz w:val="28"/>
          <w:szCs w:val="20"/>
          <w:lang w:val="en-AU"/>
        </w:rPr>
      </w:pPr>
      <w:r w:rsidRPr="00F25210">
        <w:rPr>
          <w:rFonts w:ascii="Calibri" w:eastAsia="Calibri" w:hAnsi="Calibri" w:cs="Calibri"/>
          <w:b/>
          <w:bCs/>
          <w:color w:val="FF0000"/>
          <w:sz w:val="28"/>
          <w:szCs w:val="20"/>
          <w:lang w:val="en-AU"/>
        </w:rPr>
        <w:t>International Standards</w:t>
      </w:r>
    </w:p>
    <w:p w14:paraId="4C33BAEE" w14:textId="763899F8" w:rsidR="0096257A" w:rsidRDefault="00116642"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only product for which the relevant industry advocated the consideration of DR standards </w:t>
      </w:r>
      <w:r w:rsidR="0096257A">
        <w:rPr>
          <w:rFonts w:ascii="Calibri" w:eastAsia="Calibri" w:hAnsi="Calibri" w:cs="Calibri"/>
          <w:szCs w:val="20"/>
          <w:lang w:val="en-AU"/>
        </w:rPr>
        <w:t>other than AS/NZS 4755 was EV chargers. That said, other industry groups expressed reservations with aspects of AS/NZS 4755, including:</w:t>
      </w:r>
    </w:p>
    <w:p w14:paraId="534D807C" w14:textId="77777777" w:rsidR="0096257A" w:rsidRPr="0096257A" w:rsidRDefault="0096257A" w:rsidP="0096257A">
      <w:pPr>
        <w:pStyle w:val="ListParagraph"/>
        <w:numPr>
          <w:ilvl w:val="0"/>
          <w:numId w:val="26"/>
        </w:numPr>
        <w:spacing w:before="120"/>
        <w:rPr>
          <w:rFonts w:eastAsia="Calibri" w:cs="Calibri"/>
        </w:rPr>
      </w:pPr>
      <w:r w:rsidRPr="0096257A">
        <w:rPr>
          <w:rFonts w:eastAsia="Calibri" w:cs="Calibri"/>
        </w:rPr>
        <w:lastRenderedPageBreak/>
        <w:t>The uncertainty regarding the final content of AS 4755.2 (which is still in draft);</w:t>
      </w:r>
    </w:p>
    <w:p w14:paraId="6CF79034" w14:textId="5E5D6188" w:rsidR="0096257A" w:rsidRPr="0096257A" w:rsidRDefault="0096257A" w:rsidP="0096257A">
      <w:pPr>
        <w:pStyle w:val="ListParagraph"/>
        <w:numPr>
          <w:ilvl w:val="0"/>
          <w:numId w:val="26"/>
        </w:numPr>
        <w:spacing w:before="120"/>
        <w:rPr>
          <w:rFonts w:eastAsia="Calibri" w:cs="Calibri"/>
        </w:rPr>
      </w:pPr>
      <w:r w:rsidRPr="0096257A">
        <w:rPr>
          <w:rFonts w:eastAsia="Calibri" w:cs="Calibri"/>
        </w:rPr>
        <w:t xml:space="preserve">The proposal to mandate </w:t>
      </w:r>
      <w:r w:rsidR="00A51FE6">
        <w:rPr>
          <w:rFonts w:eastAsia="Calibri" w:cs="Calibri"/>
        </w:rPr>
        <w:t xml:space="preserve">DRMs </w:t>
      </w:r>
      <w:r w:rsidRPr="0096257A">
        <w:rPr>
          <w:rFonts w:eastAsia="Calibri" w:cs="Calibri"/>
        </w:rPr>
        <w:t xml:space="preserve">which are optional in the standard; and </w:t>
      </w:r>
    </w:p>
    <w:p w14:paraId="7C561DE2" w14:textId="3942BDEE" w:rsidR="006263D5" w:rsidRPr="0096257A" w:rsidRDefault="0096257A" w:rsidP="0096257A">
      <w:pPr>
        <w:pStyle w:val="ListParagraph"/>
        <w:numPr>
          <w:ilvl w:val="0"/>
          <w:numId w:val="26"/>
        </w:numPr>
        <w:spacing w:before="120"/>
        <w:rPr>
          <w:rFonts w:eastAsia="Calibri" w:cs="Calibri"/>
        </w:rPr>
      </w:pPr>
      <w:r w:rsidRPr="0096257A">
        <w:rPr>
          <w:rFonts w:eastAsia="Calibri" w:cs="Calibri"/>
        </w:rPr>
        <w:t xml:space="preserve">The desire to use </w:t>
      </w:r>
      <w:r w:rsidR="00A51FE6">
        <w:rPr>
          <w:rFonts w:eastAsia="Calibri" w:cs="Calibri"/>
        </w:rPr>
        <w:t xml:space="preserve">an </w:t>
      </w:r>
      <w:r w:rsidRPr="0096257A">
        <w:rPr>
          <w:rFonts w:eastAsia="Calibri" w:cs="Calibri"/>
        </w:rPr>
        <w:t xml:space="preserve">earlier version of the standard.       </w:t>
      </w:r>
    </w:p>
    <w:p w14:paraId="2E1BC235" w14:textId="79F64923" w:rsidR="0096257A" w:rsidRDefault="0096257A"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These matters have been addressed in the recommendations. </w:t>
      </w:r>
    </w:p>
    <w:p w14:paraId="450219B4" w14:textId="06DE4244" w:rsidR="006263D5" w:rsidRDefault="0096257A"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International and other national DR standards are further discussed in Appendix 3.</w:t>
      </w:r>
    </w:p>
    <w:p w14:paraId="71ECCFCC" w14:textId="2B1BA023" w:rsidR="006263D5" w:rsidRPr="00F25210" w:rsidRDefault="006263D5" w:rsidP="00F25210">
      <w:pPr>
        <w:spacing w:before="240" w:after="240" w:line="276" w:lineRule="auto"/>
        <w:rPr>
          <w:rFonts w:ascii="Calibri" w:eastAsia="Calibri" w:hAnsi="Calibri" w:cs="Calibri"/>
          <w:b/>
          <w:bCs/>
          <w:color w:val="FF0000"/>
          <w:sz w:val="28"/>
          <w:szCs w:val="20"/>
          <w:lang w:val="en-AU"/>
        </w:rPr>
      </w:pPr>
      <w:r w:rsidRPr="00F25210">
        <w:rPr>
          <w:rFonts w:ascii="Calibri" w:eastAsia="Calibri" w:hAnsi="Calibri" w:cs="Calibri"/>
          <w:b/>
          <w:bCs/>
          <w:color w:val="FF0000"/>
          <w:sz w:val="28"/>
          <w:szCs w:val="20"/>
          <w:lang w:val="en-AU"/>
        </w:rPr>
        <w:t xml:space="preserve">Smart Home Devices </w:t>
      </w:r>
    </w:p>
    <w:p w14:paraId="0EBAFBF1" w14:textId="1CF4C9DE" w:rsidR="0096257A" w:rsidRDefault="00F13AFD"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Several submissions mentioned “smart home devices” but </w:t>
      </w:r>
      <w:r w:rsidR="0010529D">
        <w:rPr>
          <w:rFonts w:ascii="Calibri" w:eastAsia="Calibri" w:hAnsi="Calibri" w:cs="Calibri"/>
          <w:szCs w:val="20"/>
          <w:lang w:val="en-AU"/>
        </w:rPr>
        <w:t>each one had a different interpretation of what this meant, and there were different views about whether these represent a realistic alternative or a complement to the proposal. Some suppliers defined their own proprietary standards or products as “smart.” The EV industry stated that “smartn</w:t>
      </w:r>
      <w:r w:rsidR="008202F0">
        <w:rPr>
          <w:rFonts w:ascii="Calibri" w:eastAsia="Calibri" w:hAnsi="Calibri" w:cs="Calibri"/>
          <w:szCs w:val="20"/>
          <w:lang w:val="en-AU"/>
        </w:rPr>
        <w:t>ess</w:t>
      </w:r>
      <w:r w:rsidR="0010529D">
        <w:rPr>
          <w:rFonts w:ascii="Calibri" w:eastAsia="Calibri" w:hAnsi="Calibri" w:cs="Calibri"/>
          <w:szCs w:val="20"/>
          <w:lang w:val="en-AU"/>
        </w:rPr>
        <w:t>” was already being built into EV chargers</w:t>
      </w:r>
      <w:r w:rsidR="008202F0">
        <w:rPr>
          <w:rFonts w:ascii="Calibri" w:eastAsia="Calibri" w:hAnsi="Calibri" w:cs="Calibri"/>
          <w:szCs w:val="20"/>
          <w:lang w:val="en-AU"/>
        </w:rPr>
        <w:t xml:space="preserve"> that complied with existing standards such as OCPP. </w:t>
      </w:r>
    </w:p>
    <w:p w14:paraId="405A7CE5" w14:textId="7477C763" w:rsidR="0010529D" w:rsidRDefault="0010529D"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There was some agreement on the promise of Home Energy Management Systems (HEMS) to deliver </w:t>
      </w:r>
      <w:r w:rsidR="009B062B">
        <w:rPr>
          <w:rFonts w:ascii="Calibri" w:eastAsia="Calibri" w:hAnsi="Calibri" w:cs="Calibri"/>
          <w:szCs w:val="20"/>
          <w:lang w:val="en-AU"/>
        </w:rPr>
        <w:t>DR</w:t>
      </w:r>
      <w:r>
        <w:rPr>
          <w:rFonts w:ascii="Calibri" w:eastAsia="Calibri" w:hAnsi="Calibri" w:cs="Calibri"/>
          <w:szCs w:val="20"/>
          <w:lang w:val="en-AU"/>
        </w:rPr>
        <w:t xml:space="preserve">, but in most cases </w:t>
      </w:r>
      <w:r w:rsidR="008202F0">
        <w:rPr>
          <w:rFonts w:ascii="Calibri" w:eastAsia="Calibri" w:hAnsi="Calibri" w:cs="Calibri"/>
          <w:szCs w:val="20"/>
          <w:lang w:val="en-AU"/>
        </w:rPr>
        <w:t>through the control of AS</w:t>
      </w:r>
      <w:r>
        <w:rPr>
          <w:rFonts w:ascii="Calibri" w:eastAsia="Calibri" w:hAnsi="Calibri" w:cs="Calibri"/>
          <w:szCs w:val="20"/>
          <w:lang w:val="en-AU"/>
        </w:rPr>
        <w:t>/NZS 4755-compl</w:t>
      </w:r>
      <w:r w:rsidR="008202F0">
        <w:rPr>
          <w:rFonts w:ascii="Calibri" w:eastAsia="Calibri" w:hAnsi="Calibri" w:cs="Calibri"/>
          <w:szCs w:val="20"/>
          <w:lang w:val="en-AU"/>
        </w:rPr>
        <w:t>i</w:t>
      </w:r>
      <w:r>
        <w:rPr>
          <w:rFonts w:ascii="Calibri" w:eastAsia="Calibri" w:hAnsi="Calibri" w:cs="Calibri"/>
          <w:szCs w:val="20"/>
          <w:lang w:val="en-AU"/>
        </w:rPr>
        <w:t>ant products</w:t>
      </w:r>
      <w:r w:rsidR="008202F0">
        <w:rPr>
          <w:rFonts w:ascii="Calibri" w:eastAsia="Calibri" w:hAnsi="Calibri" w:cs="Calibri"/>
          <w:szCs w:val="20"/>
          <w:lang w:val="en-AU"/>
        </w:rPr>
        <w:t>.</w:t>
      </w:r>
      <w:r>
        <w:rPr>
          <w:rFonts w:ascii="Calibri" w:eastAsia="Calibri" w:hAnsi="Calibri" w:cs="Calibri"/>
          <w:szCs w:val="20"/>
          <w:lang w:val="en-AU"/>
        </w:rPr>
        <w:t xml:space="preserve"> </w:t>
      </w:r>
      <w:proofErr w:type="gramStart"/>
      <w:r>
        <w:rPr>
          <w:rFonts w:ascii="Calibri" w:eastAsia="Calibri" w:hAnsi="Calibri" w:cs="Calibri"/>
          <w:szCs w:val="20"/>
          <w:lang w:val="en-AU"/>
        </w:rPr>
        <w:t>A number of</w:t>
      </w:r>
      <w:proofErr w:type="gramEnd"/>
      <w:r>
        <w:rPr>
          <w:rFonts w:ascii="Calibri" w:eastAsia="Calibri" w:hAnsi="Calibri" w:cs="Calibri"/>
          <w:szCs w:val="20"/>
          <w:lang w:val="en-AU"/>
        </w:rPr>
        <w:t xml:space="preserve"> respondents advocated the development of DR standards for HEMS so they could be brought within the scope of the proposal. </w:t>
      </w:r>
    </w:p>
    <w:p w14:paraId="559FAEC4" w14:textId="2699DBA3" w:rsidR="0010529D" w:rsidRDefault="008202F0"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Several submissions stated that the incompatibility and diversity of existing “smart” products and systems risked fragmenting the DR market and could not provide DR capability that was reliable enough.    </w:t>
      </w:r>
    </w:p>
    <w:p w14:paraId="168A754F" w14:textId="594EA3EA" w:rsidR="006263D5" w:rsidRPr="00F25210" w:rsidRDefault="006263D5" w:rsidP="00F25210">
      <w:pPr>
        <w:spacing w:before="240" w:after="240" w:line="276" w:lineRule="auto"/>
        <w:rPr>
          <w:rFonts w:ascii="Calibri" w:eastAsia="Calibri" w:hAnsi="Calibri" w:cs="Calibri"/>
          <w:b/>
          <w:bCs/>
          <w:color w:val="FF0000"/>
          <w:sz w:val="28"/>
          <w:szCs w:val="20"/>
          <w:lang w:val="en-AU"/>
        </w:rPr>
      </w:pPr>
      <w:r w:rsidRPr="00F25210">
        <w:rPr>
          <w:rFonts w:ascii="Calibri" w:eastAsia="Calibri" w:hAnsi="Calibri" w:cs="Calibri"/>
          <w:b/>
          <w:bCs/>
          <w:color w:val="FF0000"/>
          <w:sz w:val="28"/>
          <w:szCs w:val="20"/>
          <w:lang w:val="en-AU"/>
        </w:rPr>
        <w:t>Cost and Benefit Assumptions</w:t>
      </w:r>
    </w:p>
    <w:p w14:paraId="38F31C14" w14:textId="32290A64" w:rsidR="006263D5" w:rsidRDefault="008202F0"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Most manufacturers </w:t>
      </w:r>
      <w:r w:rsidR="009C34FA">
        <w:rPr>
          <w:rFonts w:ascii="Calibri" w:eastAsia="Calibri" w:hAnsi="Calibri" w:cs="Calibri"/>
          <w:szCs w:val="20"/>
          <w:lang w:val="en-AU"/>
        </w:rPr>
        <w:t xml:space="preserve">submitted that </w:t>
      </w:r>
      <w:r>
        <w:rPr>
          <w:rFonts w:ascii="Calibri" w:eastAsia="Calibri" w:hAnsi="Calibri" w:cs="Calibri"/>
          <w:szCs w:val="20"/>
          <w:lang w:val="en-AU"/>
        </w:rPr>
        <w:t>the product cost impact assumptions in the Consul</w:t>
      </w:r>
      <w:r w:rsidR="009C34FA">
        <w:rPr>
          <w:rFonts w:ascii="Calibri" w:eastAsia="Calibri" w:hAnsi="Calibri" w:cs="Calibri"/>
          <w:szCs w:val="20"/>
          <w:lang w:val="en-AU"/>
        </w:rPr>
        <w:t>t</w:t>
      </w:r>
      <w:r>
        <w:rPr>
          <w:rFonts w:ascii="Calibri" w:eastAsia="Calibri" w:hAnsi="Calibri" w:cs="Calibri"/>
          <w:szCs w:val="20"/>
          <w:lang w:val="en-AU"/>
        </w:rPr>
        <w:t>ati</w:t>
      </w:r>
      <w:r w:rsidR="009C34FA">
        <w:rPr>
          <w:rFonts w:ascii="Calibri" w:eastAsia="Calibri" w:hAnsi="Calibri" w:cs="Calibri"/>
          <w:szCs w:val="20"/>
          <w:lang w:val="en-AU"/>
        </w:rPr>
        <w:t>o</w:t>
      </w:r>
      <w:r>
        <w:rPr>
          <w:rFonts w:ascii="Calibri" w:eastAsia="Calibri" w:hAnsi="Calibri" w:cs="Calibri"/>
          <w:szCs w:val="20"/>
          <w:lang w:val="en-AU"/>
        </w:rPr>
        <w:t xml:space="preserve">n Paper </w:t>
      </w:r>
      <w:r w:rsidR="009C34FA">
        <w:rPr>
          <w:rFonts w:ascii="Calibri" w:eastAsia="Calibri" w:hAnsi="Calibri" w:cs="Calibri"/>
          <w:szCs w:val="20"/>
          <w:lang w:val="en-AU"/>
        </w:rPr>
        <w:t xml:space="preserve">were too low. Accordingly, the cost assumptions have either been increased, or retained but </w:t>
      </w:r>
      <w:r w:rsidR="00A51FE6">
        <w:rPr>
          <w:rFonts w:ascii="Calibri" w:eastAsia="Calibri" w:hAnsi="Calibri" w:cs="Calibri"/>
          <w:szCs w:val="20"/>
          <w:lang w:val="en-AU"/>
        </w:rPr>
        <w:t xml:space="preserve">with less stringent </w:t>
      </w:r>
      <w:r w:rsidR="009C34FA">
        <w:rPr>
          <w:rFonts w:ascii="Calibri" w:eastAsia="Calibri" w:hAnsi="Calibri" w:cs="Calibri"/>
          <w:szCs w:val="20"/>
          <w:lang w:val="en-AU"/>
        </w:rPr>
        <w:t xml:space="preserve">compliance obligations </w:t>
      </w:r>
      <w:r w:rsidR="00A51FE6">
        <w:rPr>
          <w:rFonts w:ascii="Calibri" w:eastAsia="Calibri" w:hAnsi="Calibri" w:cs="Calibri"/>
          <w:szCs w:val="20"/>
          <w:lang w:val="en-AU"/>
        </w:rPr>
        <w:t>– f</w:t>
      </w:r>
      <w:r w:rsidR="009C34FA">
        <w:rPr>
          <w:rFonts w:ascii="Calibri" w:eastAsia="Calibri" w:hAnsi="Calibri" w:cs="Calibri"/>
          <w:szCs w:val="20"/>
          <w:lang w:val="en-AU"/>
        </w:rPr>
        <w:t>ewer DRMs, more compliance option</w:t>
      </w:r>
      <w:r w:rsidR="00A51FE6">
        <w:rPr>
          <w:rFonts w:ascii="Calibri" w:eastAsia="Calibri" w:hAnsi="Calibri" w:cs="Calibri"/>
          <w:szCs w:val="20"/>
          <w:lang w:val="en-AU"/>
        </w:rPr>
        <w:t>s or phasing in of requirements.</w:t>
      </w:r>
      <w:r w:rsidR="009C34FA">
        <w:rPr>
          <w:rFonts w:ascii="Calibri" w:eastAsia="Calibri" w:hAnsi="Calibri" w:cs="Calibri"/>
          <w:szCs w:val="20"/>
          <w:lang w:val="en-AU"/>
        </w:rPr>
        <w:t xml:space="preserve"> </w:t>
      </w:r>
    </w:p>
    <w:p w14:paraId="0406FCF5" w14:textId="74ABC186" w:rsidR="00BD3F8E" w:rsidRDefault="009C34FA" w:rsidP="00BD3F8E">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activation cost assumptions were largely validated by the submissions of electricity utilities and DRSPs with actual experience </w:t>
      </w:r>
      <w:r w:rsidR="006C0371">
        <w:rPr>
          <w:rFonts w:ascii="Calibri" w:eastAsia="Calibri" w:hAnsi="Calibri" w:cs="Calibri"/>
          <w:szCs w:val="20"/>
          <w:lang w:val="en-AU"/>
        </w:rPr>
        <w:t xml:space="preserve">of </w:t>
      </w:r>
      <w:r>
        <w:rPr>
          <w:rFonts w:ascii="Calibri" w:eastAsia="Calibri" w:hAnsi="Calibri" w:cs="Calibri"/>
          <w:szCs w:val="20"/>
          <w:lang w:val="en-AU"/>
        </w:rPr>
        <w:t>AS/NZS 4755-based programs.</w:t>
      </w:r>
      <w:r w:rsidR="00AC7274">
        <w:rPr>
          <w:rFonts w:ascii="Calibri" w:eastAsia="Calibri" w:hAnsi="Calibri" w:cs="Calibri"/>
          <w:szCs w:val="20"/>
          <w:lang w:val="en-AU"/>
        </w:rPr>
        <w:t xml:space="preserve"> Some submissions pointed out that some </w:t>
      </w:r>
      <w:r w:rsidR="006C0371">
        <w:rPr>
          <w:rFonts w:ascii="Calibri" w:eastAsia="Calibri" w:hAnsi="Calibri" w:cs="Calibri"/>
          <w:szCs w:val="20"/>
          <w:lang w:val="en-AU"/>
        </w:rPr>
        <w:t xml:space="preserve">methods </w:t>
      </w:r>
      <w:r w:rsidR="00AC7274">
        <w:rPr>
          <w:rFonts w:ascii="Calibri" w:eastAsia="Calibri" w:hAnsi="Calibri" w:cs="Calibri"/>
          <w:szCs w:val="20"/>
          <w:lang w:val="en-AU"/>
        </w:rPr>
        <w:t>for communicating with controlled appliances were cost</w:t>
      </w:r>
      <w:r w:rsidR="006C0371">
        <w:rPr>
          <w:rFonts w:ascii="Calibri" w:eastAsia="Calibri" w:hAnsi="Calibri" w:cs="Calibri"/>
          <w:szCs w:val="20"/>
          <w:lang w:val="en-AU"/>
        </w:rPr>
        <w:t>ly</w:t>
      </w:r>
      <w:r w:rsidR="00AC7274">
        <w:rPr>
          <w:rFonts w:ascii="Calibri" w:eastAsia="Calibri" w:hAnsi="Calibri" w:cs="Calibri"/>
          <w:szCs w:val="20"/>
          <w:lang w:val="en-AU"/>
        </w:rPr>
        <w:t xml:space="preserve"> (e.g. 3G/4G connections), so the average </w:t>
      </w:r>
      <w:r w:rsidR="006C0371">
        <w:rPr>
          <w:rFonts w:ascii="Calibri" w:eastAsia="Calibri" w:hAnsi="Calibri" w:cs="Calibri"/>
          <w:szCs w:val="20"/>
          <w:lang w:val="en-AU"/>
        </w:rPr>
        <w:t xml:space="preserve">annual </w:t>
      </w:r>
      <w:r w:rsidR="00AC7274">
        <w:rPr>
          <w:rFonts w:ascii="Calibri" w:eastAsia="Calibri" w:hAnsi="Calibri" w:cs="Calibri"/>
          <w:szCs w:val="20"/>
          <w:lang w:val="en-AU"/>
        </w:rPr>
        <w:t xml:space="preserve">cost to service participants has been increased. </w:t>
      </w:r>
      <w:r w:rsidR="00BD3F8E">
        <w:rPr>
          <w:rFonts w:ascii="Calibri" w:eastAsia="Calibri" w:hAnsi="Calibri" w:cs="Calibri"/>
          <w:szCs w:val="20"/>
          <w:lang w:val="en-AU"/>
        </w:rPr>
        <w:t>There was very little comment on the activation rate assumptions. One respondent thought they were on the high side but offered no alternatives.</w:t>
      </w:r>
    </w:p>
    <w:p w14:paraId="52A222F0" w14:textId="5D3B4FC2" w:rsidR="00AC7274" w:rsidRDefault="00AC7274"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On the value of network-related benefits, one utility respondent questioned the $/kVA assumption in the Consultation Paper, and the value for that State was revised downward accordingly. A recheck of the input assumptions resulted in a downward revision for one other State as well. No submissions questioned the methodology or assumption related to wholesale price and reliability-related benefits. </w:t>
      </w:r>
    </w:p>
    <w:p w14:paraId="2F8A493C" w14:textId="27DBCEF0" w:rsidR="00CA44A3" w:rsidRDefault="008E1674"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Several water heater manufacturers agreed that the proposal would create economic benefits, but that DNSPs and DRSPs would retain them and not pass them on to consumers. </w:t>
      </w:r>
      <w:r w:rsidR="006C0371">
        <w:rPr>
          <w:rFonts w:ascii="Calibri" w:eastAsia="Calibri" w:hAnsi="Calibri" w:cs="Calibri"/>
          <w:szCs w:val="20"/>
          <w:lang w:val="en-AU"/>
        </w:rPr>
        <w:t xml:space="preserve">However, several </w:t>
      </w:r>
      <w:r>
        <w:rPr>
          <w:rFonts w:ascii="Calibri" w:eastAsia="Calibri" w:hAnsi="Calibri" w:cs="Calibri"/>
          <w:szCs w:val="20"/>
          <w:lang w:val="en-AU"/>
        </w:rPr>
        <w:t xml:space="preserve">DNSPs </w:t>
      </w:r>
      <w:r w:rsidR="006C0371">
        <w:rPr>
          <w:rFonts w:ascii="Calibri" w:eastAsia="Calibri" w:hAnsi="Calibri" w:cs="Calibri"/>
          <w:szCs w:val="20"/>
          <w:lang w:val="en-AU"/>
        </w:rPr>
        <w:t xml:space="preserve">stated </w:t>
      </w:r>
      <w:r>
        <w:rPr>
          <w:rFonts w:ascii="Calibri" w:eastAsia="Calibri" w:hAnsi="Calibri" w:cs="Calibri"/>
          <w:szCs w:val="20"/>
          <w:lang w:val="en-AU"/>
        </w:rPr>
        <w:t>that they would pass on the benefits.</w:t>
      </w:r>
      <w:r w:rsidR="00B527CC">
        <w:rPr>
          <w:rFonts w:ascii="Calibri" w:eastAsia="Calibri" w:hAnsi="Calibri" w:cs="Calibri"/>
          <w:szCs w:val="20"/>
          <w:lang w:val="en-AU"/>
        </w:rPr>
        <w:t xml:space="preserve"> </w:t>
      </w:r>
      <w:r w:rsidR="00BD3F8E">
        <w:rPr>
          <w:rFonts w:ascii="Calibri" w:eastAsia="Calibri" w:hAnsi="Calibri" w:cs="Calibri"/>
          <w:szCs w:val="20"/>
          <w:lang w:val="en-AU"/>
        </w:rPr>
        <w:t xml:space="preserve">The </w:t>
      </w:r>
      <w:r w:rsidR="006C0371">
        <w:rPr>
          <w:rFonts w:ascii="Calibri" w:eastAsia="Calibri" w:hAnsi="Calibri" w:cs="Calibri"/>
          <w:szCs w:val="20"/>
          <w:lang w:val="en-AU"/>
        </w:rPr>
        <w:t xml:space="preserve">water heater </w:t>
      </w:r>
      <w:r w:rsidR="00BD3F8E">
        <w:rPr>
          <w:rFonts w:ascii="Calibri" w:eastAsia="Calibri" w:hAnsi="Calibri" w:cs="Calibri"/>
          <w:szCs w:val="20"/>
          <w:lang w:val="en-AU"/>
        </w:rPr>
        <w:t>industry also questioned the market size assumptions, and these have been reduced</w:t>
      </w:r>
      <w:r w:rsidR="00C854E7">
        <w:rPr>
          <w:rFonts w:ascii="Calibri" w:eastAsia="Calibri" w:hAnsi="Calibri" w:cs="Calibri"/>
          <w:szCs w:val="20"/>
          <w:lang w:val="en-AU"/>
        </w:rPr>
        <w:t>.</w:t>
      </w:r>
      <w:r w:rsidR="00BD3F8E">
        <w:rPr>
          <w:rFonts w:ascii="Calibri" w:eastAsia="Calibri" w:hAnsi="Calibri" w:cs="Calibri"/>
          <w:szCs w:val="20"/>
          <w:lang w:val="en-AU"/>
        </w:rPr>
        <w:t xml:space="preserve"> </w:t>
      </w:r>
    </w:p>
    <w:p w14:paraId="1134B960" w14:textId="474BF331" w:rsidR="00CA44A3" w:rsidRPr="00CA44A3" w:rsidRDefault="00CA44A3" w:rsidP="00CA44A3">
      <w:pPr>
        <w:spacing w:before="240" w:after="240" w:line="276" w:lineRule="auto"/>
        <w:rPr>
          <w:rFonts w:ascii="Calibri" w:eastAsia="Calibri" w:hAnsi="Calibri" w:cs="Calibri"/>
          <w:b/>
          <w:bCs/>
          <w:color w:val="FF0000"/>
          <w:sz w:val="28"/>
          <w:szCs w:val="20"/>
          <w:lang w:val="en-AU"/>
        </w:rPr>
      </w:pPr>
      <w:r w:rsidRPr="00CA44A3">
        <w:rPr>
          <w:rFonts w:ascii="Calibri" w:eastAsia="Calibri" w:hAnsi="Calibri" w:cs="Calibri"/>
          <w:b/>
          <w:bCs/>
          <w:color w:val="FF0000"/>
          <w:sz w:val="28"/>
          <w:szCs w:val="20"/>
          <w:lang w:val="en-AU"/>
        </w:rPr>
        <w:t>Time of Use Pricing</w:t>
      </w:r>
    </w:p>
    <w:p w14:paraId="476FBAF0" w14:textId="381677BF" w:rsidR="00B527CC" w:rsidRDefault="00CA44A3"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lastRenderedPageBreak/>
        <w:t xml:space="preserve">None of the electricity suppliers submitted that TOU electricity pricing was necessary for the effectiveness of the proposal. Several commented that the measures would be complementary, and the availability of DR programs could assist consumer acceptance of TOU prices, which </w:t>
      </w:r>
      <w:r w:rsidR="006C0371">
        <w:rPr>
          <w:rFonts w:ascii="Calibri" w:eastAsia="Calibri" w:hAnsi="Calibri" w:cs="Calibri"/>
          <w:szCs w:val="20"/>
          <w:lang w:val="en-AU"/>
        </w:rPr>
        <w:t xml:space="preserve">as </w:t>
      </w:r>
      <w:r>
        <w:rPr>
          <w:rFonts w:ascii="Calibri" w:eastAsia="Calibri" w:hAnsi="Calibri" w:cs="Calibri"/>
          <w:szCs w:val="20"/>
          <w:lang w:val="en-AU"/>
        </w:rPr>
        <w:t xml:space="preserve">some utilities </w:t>
      </w:r>
      <w:r w:rsidR="006C0371">
        <w:rPr>
          <w:rFonts w:ascii="Calibri" w:eastAsia="Calibri" w:hAnsi="Calibri" w:cs="Calibri"/>
          <w:szCs w:val="20"/>
          <w:lang w:val="en-AU"/>
        </w:rPr>
        <w:t xml:space="preserve">commented have been </w:t>
      </w:r>
      <w:r>
        <w:rPr>
          <w:rFonts w:ascii="Calibri" w:eastAsia="Calibri" w:hAnsi="Calibri" w:cs="Calibri"/>
          <w:szCs w:val="20"/>
          <w:lang w:val="en-AU"/>
        </w:rPr>
        <w:t xml:space="preserve">low. A few submissions maintained that </w:t>
      </w:r>
      <w:r w:rsidR="008E1674">
        <w:rPr>
          <w:rFonts w:ascii="Calibri" w:eastAsia="Calibri" w:hAnsi="Calibri" w:cs="Calibri"/>
          <w:szCs w:val="20"/>
          <w:lang w:val="en-AU"/>
        </w:rPr>
        <w:t xml:space="preserve">more widespread TOU pricing would make behavioural DR programs more successful, and increase the impact of Option 1.  </w:t>
      </w:r>
    </w:p>
    <w:p w14:paraId="52A25F92" w14:textId="5812D6B7" w:rsidR="006263D5" w:rsidRPr="00F25210" w:rsidRDefault="006263D5" w:rsidP="00F25210">
      <w:pPr>
        <w:spacing w:before="240" w:after="240" w:line="276" w:lineRule="auto"/>
        <w:rPr>
          <w:rFonts w:ascii="Calibri" w:eastAsia="Calibri" w:hAnsi="Calibri" w:cs="Calibri"/>
          <w:b/>
          <w:bCs/>
          <w:color w:val="FF0000"/>
          <w:sz w:val="28"/>
          <w:szCs w:val="20"/>
          <w:lang w:val="en-AU"/>
        </w:rPr>
      </w:pPr>
      <w:r w:rsidRPr="00F25210">
        <w:rPr>
          <w:rFonts w:ascii="Calibri" w:eastAsia="Calibri" w:hAnsi="Calibri" w:cs="Calibri"/>
          <w:b/>
          <w:bCs/>
          <w:color w:val="FF0000"/>
          <w:sz w:val="28"/>
          <w:szCs w:val="20"/>
          <w:lang w:val="en-AU"/>
        </w:rPr>
        <w:t>Consumer Safeguards</w:t>
      </w:r>
    </w:p>
    <w:p w14:paraId="70467816" w14:textId="77777777" w:rsidR="008B315E" w:rsidRDefault="008B315E"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There was widespread agreement that consumers should not be enrolled in AS/NZS 4755-based DR programs without a range of safeguards:</w:t>
      </w:r>
    </w:p>
    <w:p w14:paraId="4567928F" w14:textId="56D37FD5" w:rsidR="00677A82" w:rsidRDefault="00677A82" w:rsidP="008B315E">
      <w:pPr>
        <w:pStyle w:val="ListParagraph"/>
        <w:numPr>
          <w:ilvl w:val="0"/>
          <w:numId w:val="27"/>
        </w:numPr>
        <w:spacing w:before="120"/>
        <w:rPr>
          <w:rFonts w:eastAsia="Calibri" w:cs="Calibri"/>
        </w:rPr>
      </w:pPr>
      <w:r>
        <w:rPr>
          <w:rFonts w:eastAsia="Calibri" w:cs="Calibri"/>
        </w:rPr>
        <w:t xml:space="preserve">Clear information at all stages that the decision to participate in a DR program (and to withdraw) is the choice of the consumer;  </w:t>
      </w:r>
    </w:p>
    <w:p w14:paraId="0F77BA58" w14:textId="42836286" w:rsidR="00677A82" w:rsidRDefault="008B315E" w:rsidP="008B315E">
      <w:pPr>
        <w:pStyle w:val="ListParagraph"/>
        <w:numPr>
          <w:ilvl w:val="0"/>
          <w:numId w:val="27"/>
        </w:numPr>
        <w:spacing w:before="120"/>
        <w:rPr>
          <w:rFonts w:eastAsia="Calibri" w:cs="Calibri"/>
        </w:rPr>
      </w:pPr>
      <w:r>
        <w:rPr>
          <w:rFonts w:eastAsia="Calibri" w:cs="Calibri"/>
        </w:rPr>
        <w:t>C</w:t>
      </w:r>
      <w:r w:rsidRPr="008B315E">
        <w:rPr>
          <w:rFonts w:eastAsia="Calibri" w:cs="Calibri"/>
        </w:rPr>
        <w:t xml:space="preserve">ontract </w:t>
      </w:r>
      <w:r>
        <w:rPr>
          <w:rFonts w:eastAsia="Calibri" w:cs="Calibri"/>
        </w:rPr>
        <w:t xml:space="preserve">offerings from prospective DRSPs to clearly </w:t>
      </w:r>
      <w:r w:rsidRPr="008B315E">
        <w:rPr>
          <w:rFonts w:eastAsia="Calibri" w:cs="Calibri"/>
        </w:rPr>
        <w:t>set out conditions, including w</w:t>
      </w:r>
      <w:r>
        <w:rPr>
          <w:rFonts w:eastAsia="Calibri" w:cs="Calibri"/>
        </w:rPr>
        <w:t>h</w:t>
      </w:r>
      <w:r w:rsidRPr="008B315E">
        <w:rPr>
          <w:rFonts w:eastAsia="Calibri" w:cs="Calibri"/>
        </w:rPr>
        <w:t>en and how often DR events can be called, and requiring informed consent</w:t>
      </w:r>
      <w:r>
        <w:rPr>
          <w:rFonts w:eastAsia="Calibri" w:cs="Calibri"/>
        </w:rPr>
        <w:t>;</w:t>
      </w:r>
    </w:p>
    <w:p w14:paraId="3338EC4C" w14:textId="22DD53C7" w:rsidR="008B315E" w:rsidRDefault="00677A82" w:rsidP="008B315E">
      <w:pPr>
        <w:pStyle w:val="ListParagraph"/>
        <w:numPr>
          <w:ilvl w:val="0"/>
          <w:numId w:val="27"/>
        </w:numPr>
        <w:spacing w:before="120"/>
        <w:rPr>
          <w:rFonts w:eastAsia="Calibri" w:cs="Calibri"/>
        </w:rPr>
      </w:pPr>
      <w:r>
        <w:rPr>
          <w:rFonts w:eastAsia="Calibri" w:cs="Calibri"/>
        </w:rPr>
        <w:t xml:space="preserve">Similar information at the point of sale of DR-capable products; </w:t>
      </w:r>
    </w:p>
    <w:p w14:paraId="65C40298" w14:textId="29CDDFAD" w:rsidR="006263D5" w:rsidRDefault="008B315E" w:rsidP="008B315E">
      <w:pPr>
        <w:pStyle w:val="ListParagraph"/>
        <w:numPr>
          <w:ilvl w:val="0"/>
          <w:numId w:val="27"/>
        </w:numPr>
        <w:spacing w:before="120"/>
        <w:rPr>
          <w:rFonts w:eastAsia="Calibri" w:cs="Calibri"/>
        </w:rPr>
      </w:pPr>
      <w:r w:rsidRPr="008B315E">
        <w:rPr>
          <w:rFonts w:eastAsia="Calibri" w:cs="Calibri"/>
        </w:rPr>
        <w:t>Some submissions drew attention to the New Energy Tech Consumer Code under consideration by the ACCC, which provides template contracts;</w:t>
      </w:r>
      <w:r>
        <w:rPr>
          <w:rStyle w:val="FootnoteReference"/>
          <w:rFonts w:eastAsia="Calibri" w:cs="Calibri"/>
        </w:rPr>
        <w:footnoteReference w:id="87"/>
      </w:r>
      <w:r w:rsidRPr="008B315E">
        <w:rPr>
          <w:rFonts w:eastAsia="Calibri" w:cs="Calibri"/>
        </w:rPr>
        <w:t xml:space="preserve"> </w:t>
      </w:r>
    </w:p>
    <w:p w14:paraId="6A6230F3" w14:textId="5A5E95BE" w:rsidR="00677A82" w:rsidRDefault="008B315E" w:rsidP="008B315E">
      <w:pPr>
        <w:pStyle w:val="ListParagraph"/>
        <w:numPr>
          <w:ilvl w:val="0"/>
          <w:numId w:val="27"/>
        </w:numPr>
        <w:spacing w:before="120"/>
        <w:rPr>
          <w:rFonts w:eastAsia="Calibri" w:cs="Calibri"/>
        </w:rPr>
      </w:pPr>
      <w:r>
        <w:rPr>
          <w:rFonts w:eastAsia="Calibri" w:cs="Calibri"/>
        </w:rPr>
        <w:t>Specific warnings to vulnerable consumers (e.g. those with health issues) regarding the risks of participation</w:t>
      </w:r>
      <w:r w:rsidR="00677A82">
        <w:rPr>
          <w:rFonts w:eastAsia="Calibri" w:cs="Calibri"/>
        </w:rPr>
        <w:t xml:space="preserve"> or excluding them from participation (not clear how)</w:t>
      </w:r>
      <w:r>
        <w:rPr>
          <w:rFonts w:eastAsia="Calibri" w:cs="Calibri"/>
        </w:rPr>
        <w:t>;</w:t>
      </w:r>
    </w:p>
    <w:p w14:paraId="229B37F8" w14:textId="542F49A0" w:rsidR="008B315E" w:rsidRPr="008B315E" w:rsidRDefault="00677A82" w:rsidP="008B315E">
      <w:pPr>
        <w:pStyle w:val="ListParagraph"/>
        <w:numPr>
          <w:ilvl w:val="0"/>
          <w:numId w:val="27"/>
        </w:numPr>
        <w:spacing w:before="120"/>
        <w:rPr>
          <w:rFonts w:eastAsia="Calibri" w:cs="Calibri"/>
        </w:rPr>
      </w:pPr>
      <w:r>
        <w:rPr>
          <w:rFonts w:eastAsia="Calibri" w:cs="Calibri"/>
        </w:rPr>
        <w:t xml:space="preserve">Protocols for DRSPs and electricity retailers to inform consumers who move into premises where products are DR-activated, and giving them the choice of de-activation (at no cost to them). </w:t>
      </w:r>
    </w:p>
    <w:p w14:paraId="5EC6F7C5" w14:textId="60F03D76" w:rsidR="006263D5" w:rsidRDefault="00677A82"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There was a range of views on whether consumers must </w:t>
      </w:r>
      <w:proofErr w:type="gramStart"/>
      <w:r>
        <w:rPr>
          <w:rFonts w:ascii="Calibri" w:eastAsia="Calibri" w:hAnsi="Calibri" w:cs="Calibri"/>
          <w:szCs w:val="20"/>
          <w:lang w:val="en-AU"/>
        </w:rPr>
        <w:t>have the ability to</w:t>
      </w:r>
      <w:proofErr w:type="gramEnd"/>
      <w:r>
        <w:rPr>
          <w:rFonts w:ascii="Calibri" w:eastAsia="Calibri" w:hAnsi="Calibri" w:cs="Calibri"/>
          <w:szCs w:val="20"/>
          <w:lang w:val="en-AU"/>
        </w:rPr>
        <w:t xml:space="preserve"> over-ride every DR event, and whether they </w:t>
      </w:r>
      <w:r w:rsidR="00F1204C">
        <w:rPr>
          <w:rFonts w:ascii="Calibri" w:eastAsia="Calibri" w:hAnsi="Calibri" w:cs="Calibri"/>
          <w:szCs w:val="20"/>
          <w:lang w:val="en-AU"/>
        </w:rPr>
        <w:t xml:space="preserve">will </w:t>
      </w:r>
      <w:r>
        <w:rPr>
          <w:rFonts w:ascii="Calibri" w:eastAsia="Calibri" w:hAnsi="Calibri" w:cs="Calibri"/>
          <w:szCs w:val="20"/>
          <w:lang w:val="en-AU"/>
        </w:rPr>
        <w:t xml:space="preserve">only participate if they </w:t>
      </w:r>
      <w:r w:rsidR="00F1204C">
        <w:rPr>
          <w:rFonts w:ascii="Calibri" w:eastAsia="Calibri" w:hAnsi="Calibri" w:cs="Calibri"/>
          <w:szCs w:val="20"/>
          <w:lang w:val="en-AU"/>
        </w:rPr>
        <w:t>have that option.</w:t>
      </w:r>
      <w:r>
        <w:rPr>
          <w:rFonts w:ascii="Calibri" w:eastAsia="Calibri" w:hAnsi="Calibri" w:cs="Calibri"/>
          <w:szCs w:val="20"/>
          <w:lang w:val="en-AU"/>
        </w:rPr>
        <w:t xml:space="preserve"> This is essentially a matter of DR program design and marketing, not a technical issue for AS/NZS 4755-compliant products. </w:t>
      </w:r>
    </w:p>
    <w:p w14:paraId="10427389" w14:textId="34379FE1" w:rsidR="00BD3F8E" w:rsidRDefault="00677A82"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AS/NZS </w:t>
      </w:r>
      <w:r w:rsidR="00BD3F8E">
        <w:rPr>
          <w:rFonts w:ascii="Calibri" w:eastAsia="Calibri" w:hAnsi="Calibri" w:cs="Calibri"/>
          <w:szCs w:val="20"/>
          <w:lang w:val="en-AU"/>
        </w:rPr>
        <w:t xml:space="preserve">4755 provides for an </w:t>
      </w:r>
      <w:r>
        <w:rPr>
          <w:rFonts w:ascii="Calibri" w:eastAsia="Calibri" w:hAnsi="Calibri" w:cs="Calibri"/>
          <w:szCs w:val="20"/>
          <w:lang w:val="en-AU"/>
        </w:rPr>
        <w:t>option</w:t>
      </w:r>
      <w:r w:rsidR="00BD3F8E">
        <w:rPr>
          <w:rFonts w:ascii="Calibri" w:eastAsia="Calibri" w:hAnsi="Calibri" w:cs="Calibri"/>
          <w:szCs w:val="20"/>
          <w:lang w:val="en-AU"/>
        </w:rPr>
        <w:t xml:space="preserve">al </w:t>
      </w:r>
      <w:r>
        <w:rPr>
          <w:rFonts w:ascii="Calibri" w:eastAsia="Calibri" w:hAnsi="Calibri" w:cs="Calibri"/>
          <w:szCs w:val="20"/>
          <w:lang w:val="en-AU"/>
        </w:rPr>
        <w:t xml:space="preserve">user override to be incorporated in pool pump controllers, water heaters and </w:t>
      </w:r>
      <w:r w:rsidR="00BD3F8E">
        <w:rPr>
          <w:rFonts w:ascii="Calibri" w:eastAsia="Calibri" w:hAnsi="Calibri" w:cs="Calibri"/>
          <w:szCs w:val="20"/>
          <w:lang w:val="en-AU"/>
        </w:rPr>
        <w:t>EV chargers, but not air conditioners.</w:t>
      </w:r>
      <w:r w:rsidR="006C0371">
        <w:rPr>
          <w:rStyle w:val="FootnoteReference"/>
          <w:rFonts w:ascii="Calibri" w:eastAsia="Calibri" w:hAnsi="Calibri" w:cs="Calibri"/>
          <w:szCs w:val="20"/>
          <w:lang w:val="en-AU"/>
        </w:rPr>
        <w:footnoteReference w:id="88"/>
      </w:r>
      <w:r w:rsidR="00BD3F8E">
        <w:rPr>
          <w:rFonts w:ascii="Calibri" w:eastAsia="Calibri" w:hAnsi="Calibri" w:cs="Calibri"/>
          <w:szCs w:val="20"/>
          <w:lang w:val="en-AU"/>
        </w:rPr>
        <w:t xml:space="preserve"> However, a user override may be incorporated in the DRED that operates an air conditioner. </w:t>
      </w:r>
    </w:p>
    <w:p w14:paraId="03A76788" w14:textId="50FCA5D7" w:rsidR="00677A82" w:rsidRDefault="00BD3F8E"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PeakSmart does not offer its 108,000 participants an </w:t>
      </w:r>
      <w:r w:rsidR="00F1204C">
        <w:rPr>
          <w:rFonts w:ascii="Calibri" w:eastAsia="Calibri" w:hAnsi="Calibri" w:cs="Calibri"/>
          <w:szCs w:val="20"/>
          <w:lang w:val="en-AU"/>
        </w:rPr>
        <w:t xml:space="preserve">event </w:t>
      </w:r>
      <w:r>
        <w:rPr>
          <w:rFonts w:ascii="Calibri" w:eastAsia="Calibri" w:hAnsi="Calibri" w:cs="Calibri"/>
          <w:szCs w:val="20"/>
          <w:lang w:val="en-AU"/>
        </w:rPr>
        <w:t xml:space="preserve">override option, </w:t>
      </w:r>
      <w:r w:rsidR="00F1204C">
        <w:rPr>
          <w:rFonts w:ascii="Calibri" w:eastAsia="Calibri" w:hAnsi="Calibri" w:cs="Calibri"/>
          <w:szCs w:val="20"/>
          <w:lang w:val="en-AU"/>
        </w:rPr>
        <w:t xml:space="preserve">but </w:t>
      </w:r>
      <w:r>
        <w:rPr>
          <w:rFonts w:ascii="Calibri" w:eastAsia="Calibri" w:hAnsi="Calibri" w:cs="Calibri"/>
          <w:szCs w:val="20"/>
          <w:lang w:val="en-AU"/>
        </w:rPr>
        <w:t xml:space="preserve">reports high user satisfaction and a </w:t>
      </w:r>
      <w:r w:rsidR="00F1204C">
        <w:rPr>
          <w:rFonts w:ascii="Calibri" w:eastAsia="Calibri" w:hAnsi="Calibri" w:cs="Calibri"/>
          <w:szCs w:val="20"/>
          <w:lang w:val="en-AU"/>
        </w:rPr>
        <w:t xml:space="preserve">program </w:t>
      </w:r>
      <w:r>
        <w:rPr>
          <w:rFonts w:ascii="Calibri" w:eastAsia="Calibri" w:hAnsi="Calibri" w:cs="Calibri"/>
          <w:szCs w:val="20"/>
          <w:lang w:val="en-AU"/>
        </w:rPr>
        <w:t xml:space="preserve">withdrawal rate of </w:t>
      </w:r>
      <w:r w:rsidR="00F1204C">
        <w:rPr>
          <w:rFonts w:ascii="Calibri" w:eastAsia="Calibri" w:hAnsi="Calibri" w:cs="Calibri"/>
          <w:szCs w:val="20"/>
          <w:lang w:val="en-AU"/>
        </w:rPr>
        <w:t xml:space="preserve">less than </w:t>
      </w:r>
      <w:r>
        <w:rPr>
          <w:rFonts w:ascii="Calibri" w:eastAsia="Calibri" w:hAnsi="Calibri" w:cs="Calibri"/>
          <w:szCs w:val="20"/>
          <w:lang w:val="en-AU"/>
        </w:rPr>
        <w:t>0.2% over 6 years.</w:t>
      </w:r>
      <w:r>
        <w:rPr>
          <w:rStyle w:val="FootnoteReference"/>
          <w:rFonts w:ascii="Calibri" w:eastAsia="Calibri" w:hAnsi="Calibri" w:cs="Calibri"/>
          <w:szCs w:val="20"/>
          <w:lang w:val="en-AU"/>
        </w:rPr>
        <w:footnoteReference w:id="89"/>
      </w:r>
      <w:r>
        <w:rPr>
          <w:rFonts w:ascii="Calibri" w:eastAsia="Calibri" w:hAnsi="Calibri" w:cs="Calibri"/>
          <w:szCs w:val="20"/>
          <w:lang w:val="en-AU"/>
        </w:rPr>
        <w:t xml:space="preserve"> Some </w:t>
      </w:r>
      <w:r w:rsidR="00896101">
        <w:rPr>
          <w:rFonts w:ascii="Calibri" w:eastAsia="Calibri" w:hAnsi="Calibri" w:cs="Calibri"/>
          <w:szCs w:val="20"/>
          <w:lang w:val="en-AU"/>
        </w:rPr>
        <w:t>retailer tri</w:t>
      </w:r>
      <w:r w:rsidR="006C0371">
        <w:rPr>
          <w:rFonts w:ascii="Calibri" w:eastAsia="Calibri" w:hAnsi="Calibri" w:cs="Calibri"/>
          <w:szCs w:val="20"/>
          <w:lang w:val="en-AU"/>
        </w:rPr>
        <w:t>a</w:t>
      </w:r>
      <w:r w:rsidR="00896101">
        <w:rPr>
          <w:rFonts w:ascii="Calibri" w:eastAsia="Calibri" w:hAnsi="Calibri" w:cs="Calibri"/>
          <w:szCs w:val="20"/>
          <w:lang w:val="en-AU"/>
        </w:rPr>
        <w:t xml:space="preserve">ls of AS/NZS 4755.3.1 compliant </w:t>
      </w:r>
      <w:r w:rsidR="009B062B">
        <w:rPr>
          <w:rFonts w:ascii="Calibri" w:eastAsia="Calibri" w:hAnsi="Calibri" w:cs="Calibri"/>
          <w:szCs w:val="20"/>
          <w:lang w:val="en-AU"/>
        </w:rPr>
        <w:t xml:space="preserve">ACs </w:t>
      </w:r>
      <w:r>
        <w:rPr>
          <w:rFonts w:ascii="Calibri" w:eastAsia="Calibri" w:hAnsi="Calibri" w:cs="Calibri"/>
          <w:szCs w:val="20"/>
          <w:lang w:val="en-AU"/>
        </w:rPr>
        <w:t xml:space="preserve">have </w:t>
      </w:r>
      <w:r w:rsidR="00896101">
        <w:rPr>
          <w:rFonts w:ascii="Calibri" w:eastAsia="Calibri" w:hAnsi="Calibri" w:cs="Calibri"/>
          <w:szCs w:val="20"/>
          <w:lang w:val="en-AU"/>
        </w:rPr>
        <w:t xml:space="preserve">sent </w:t>
      </w:r>
      <w:proofErr w:type="gramStart"/>
      <w:r w:rsidR="00896101">
        <w:rPr>
          <w:rFonts w:ascii="Calibri" w:eastAsia="Calibri" w:hAnsi="Calibri" w:cs="Calibri"/>
          <w:szCs w:val="20"/>
          <w:lang w:val="en-AU"/>
        </w:rPr>
        <w:t>advance notice</w:t>
      </w:r>
      <w:proofErr w:type="gramEnd"/>
      <w:r w:rsidR="00896101">
        <w:rPr>
          <w:rFonts w:ascii="Calibri" w:eastAsia="Calibri" w:hAnsi="Calibri" w:cs="Calibri"/>
          <w:szCs w:val="20"/>
          <w:lang w:val="en-AU"/>
        </w:rPr>
        <w:t xml:space="preserve"> of DR events by SMS, with an </w:t>
      </w:r>
      <w:r w:rsidR="00F1204C">
        <w:rPr>
          <w:rFonts w:ascii="Calibri" w:eastAsia="Calibri" w:hAnsi="Calibri" w:cs="Calibri"/>
          <w:szCs w:val="20"/>
          <w:lang w:val="en-AU"/>
        </w:rPr>
        <w:t xml:space="preserve">opt-out </w:t>
      </w:r>
      <w:r w:rsidR="00896101">
        <w:rPr>
          <w:rFonts w:ascii="Calibri" w:eastAsia="Calibri" w:hAnsi="Calibri" w:cs="Calibri"/>
          <w:szCs w:val="20"/>
          <w:lang w:val="en-AU"/>
        </w:rPr>
        <w:t xml:space="preserve">email address </w:t>
      </w:r>
      <w:r w:rsidR="00F1204C">
        <w:rPr>
          <w:rFonts w:ascii="Calibri" w:eastAsia="Calibri" w:hAnsi="Calibri" w:cs="Calibri"/>
          <w:szCs w:val="20"/>
          <w:lang w:val="en-AU"/>
        </w:rPr>
        <w:t>or phone number.</w:t>
      </w:r>
      <w:r w:rsidR="00896101">
        <w:rPr>
          <w:rFonts w:ascii="Calibri" w:eastAsia="Calibri" w:hAnsi="Calibri" w:cs="Calibri"/>
          <w:szCs w:val="20"/>
          <w:lang w:val="en-AU"/>
        </w:rPr>
        <w:t xml:space="preserve"> It was found that opt-out rates were low, but that </w:t>
      </w:r>
      <w:r w:rsidR="002D7ABD">
        <w:rPr>
          <w:rFonts w:ascii="Calibri" w:eastAsia="Calibri" w:hAnsi="Calibri" w:cs="Calibri"/>
          <w:szCs w:val="20"/>
          <w:lang w:val="en-AU"/>
        </w:rPr>
        <w:t xml:space="preserve">the </w:t>
      </w:r>
      <w:r w:rsidR="00896101">
        <w:rPr>
          <w:rFonts w:ascii="Calibri" w:eastAsia="Calibri" w:hAnsi="Calibri" w:cs="Calibri"/>
          <w:szCs w:val="20"/>
          <w:lang w:val="en-AU"/>
        </w:rPr>
        <w:t xml:space="preserve">consumers </w:t>
      </w:r>
      <w:r w:rsidR="00F1204C">
        <w:rPr>
          <w:rFonts w:ascii="Calibri" w:eastAsia="Calibri" w:hAnsi="Calibri" w:cs="Calibri"/>
          <w:szCs w:val="20"/>
          <w:lang w:val="en-AU"/>
        </w:rPr>
        <w:t xml:space="preserve">sent </w:t>
      </w:r>
      <w:proofErr w:type="gramStart"/>
      <w:r w:rsidR="00F1204C">
        <w:rPr>
          <w:rFonts w:ascii="Calibri" w:eastAsia="Calibri" w:hAnsi="Calibri" w:cs="Calibri"/>
          <w:szCs w:val="20"/>
          <w:lang w:val="en-AU"/>
        </w:rPr>
        <w:t>advance notice</w:t>
      </w:r>
      <w:proofErr w:type="gramEnd"/>
      <w:r w:rsidR="00F1204C">
        <w:rPr>
          <w:rFonts w:ascii="Calibri" w:eastAsia="Calibri" w:hAnsi="Calibri" w:cs="Calibri"/>
          <w:szCs w:val="20"/>
          <w:lang w:val="en-AU"/>
        </w:rPr>
        <w:t xml:space="preserve"> </w:t>
      </w:r>
      <w:r w:rsidR="00896101">
        <w:rPr>
          <w:rFonts w:ascii="Calibri" w:eastAsia="Calibri" w:hAnsi="Calibri" w:cs="Calibri"/>
          <w:szCs w:val="20"/>
          <w:lang w:val="en-AU"/>
        </w:rPr>
        <w:t xml:space="preserve">were </w:t>
      </w:r>
      <w:r w:rsidR="00F1204C">
        <w:rPr>
          <w:rFonts w:ascii="Calibri" w:eastAsia="Calibri" w:hAnsi="Calibri" w:cs="Calibri"/>
          <w:szCs w:val="20"/>
          <w:lang w:val="en-AU"/>
        </w:rPr>
        <w:t xml:space="preserve">more aware of DR events </w:t>
      </w:r>
      <w:r w:rsidR="002D7ABD">
        <w:rPr>
          <w:rFonts w:ascii="Calibri" w:eastAsia="Calibri" w:hAnsi="Calibri" w:cs="Calibri"/>
          <w:szCs w:val="20"/>
          <w:lang w:val="en-AU"/>
        </w:rPr>
        <w:t xml:space="preserve">and </w:t>
      </w:r>
      <w:r w:rsidR="00896101">
        <w:rPr>
          <w:rFonts w:ascii="Calibri" w:eastAsia="Calibri" w:hAnsi="Calibri" w:cs="Calibri"/>
          <w:szCs w:val="20"/>
          <w:lang w:val="en-AU"/>
        </w:rPr>
        <w:t>somewhat less satisfied than control groups who were not notified.</w:t>
      </w:r>
      <w:r w:rsidR="00896101">
        <w:rPr>
          <w:rStyle w:val="FootnoteReference"/>
          <w:rFonts w:ascii="Calibri" w:eastAsia="Calibri" w:hAnsi="Calibri" w:cs="Calibri"/>
          <w:szCs w:val="20"/>
          <w:lang w:val="en-AU"/>
        </w:rPr>
        <w:footnoteReference w:id="90"/>
      </w:r>
      <w:r>
        <w:rPr>
          <w:rFonts w:ascii="Calibri" w:eastAsia="Calibri" w:hAnsi="Calibri" w:cs="Calibri"/>
          <w:szCs w:val="20"/>
          <w:lang w:val="en-AU"/>
        </w:rPr>
        <w:t xml:space="preserve"> </w:t>
      </w:r>
      <w:r w:rsidR="00F1204C">
        <w:rPr>
          <w:rFonts w:ascii="Calibri" w:eastAsia="Calibri" w:hAnsi="Calibri" w:cs="Calibri"/>
          <w:szCs w:val="20"/>
          <w:lang w:val="en-AU"/>
        </w:rPr>
        <w:t xml:space="preserve"> </w:t>
      </w:r>
    </w:p>
    <w:p w14:paraId="00DF3C88" w14:textId="5C78B0BE" w:rsidR="00677A82" w:rsidRDefault="00F1204C"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Given that DR program designers have a range of options to provide consumer choice, opt-out is always a possibility at the program level and can already be (and has been) provided at the event level, the proposed standards appear to be adequate in this regard.   </w:t>
      </w:r>
    </w:p>
    <w:p w14:paraId="5DE57A28" w14:textId="7BA8ECFF" w:rsidR="006263D5" w:rsidRPr="00F25210" w:rsidRDefault="006263D5" w:rsidP="00F25210">
      <w:pPr>
        <w:spacing w:before="240" w:after="240" w:line="276" w:lineRule="auto"/>
        <w:rPr>
          <w:rFonts w:ascii="Calibri" w:eastAsia="Calibri" w:hAnsi="Calibri" w:cs="Calibri"/>
          <w:b/>
          <w:bCs/>
          <w:color w:val="FF0000"/>
          <w:sz w:val="28"/>
          <w:szCs w:val="20"/>
          <w:lang w:val="en-AU"/>
        </w:rPr>
      </w:pPr>
      <w:r w:rsidRPr="00F25210">
        <w:rPr>
          <w:rFonts w:ascii="Calibri" w:eastAsia="Calibri" w:hAnsi="Calibri" w:cs="Calibri"/>
          <w:b/>
          <w:bCs/>
          <w:color w:val="FF0000"/>
          <w:sz w:val="28"/>
          <w:szCs w:val="20"/>
          <w:lang w:val="en-AU"/>
        </w:rPr>
        <w:lastRenderedPageBreak/>
        <w:t>Competition</w:t>
      </w:r>
    </w:p>
    <w:p w14:paraId="31F75BA9" w14:textId="726287DE" w:rsidR="0052637C" w:rsidRDefault="0052637C"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This was interpreted differently </w:t>
      </w:r>
      <w:proofErr w:type="gramStart"/>
      <w:r>
        <w:rPr>
          <w:rFonts w:ascii="Calibri" w:eastAsia="Calibri" w:hAnsi="Calibri" w:cs="Calibri"/>
          <w:szCs w:val="20"/>
          <w:lang w:val="en-AU"/>
        </w:rPr>
        <w:t>with regard to</w:t>
      </w:r>
      <w:proofErr w:type="gramEnd"/>
      <w:r>
        <w:rPr>
          <w:rFonts w:ascii="Calibri" w:eastAsia="Calibri" w:hAnsi="Calibri" w:cs="Calibri"/>
          <w:szCs w:val="20"/>
          <w:lang w:val="en-AU"/>
        </w:rPr>
        <w:t xml:space="preserve"> the range and type of products on the market, and the range and type of DR programs available to consumers. The EV industry felt strongly that product choice would be restricted if AS/NZS 4755 was mandated, since nearly all home EV chargers are imported, and suppliers will withdraw from the Australian and New Zealand markets rather than make special products. This would presumably be addressed if other DR standards were also adopted, as is now recommended. </w:t>
      </w:r>
    </w:p>
    <w:p w14:paraId="3E39B6CA" w14:textId="23712404" w:rsidR="00226FCC" w:rsidRDefault="0052637C"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Almost all electric storage water heaters sold in Australia and New Zealand are locally manufactured (</w:t>
      </w:r>
      <w:r w:rsidR="00226FCC">
        <w:rPr>
          <w:rFonts w:ascii="Calibri" w:eastAsia="Calibri" w:hAnsi="Calibri" w:cs="Calibri"/>
          <w:szCs w:val="20"/>
          <w:lang w:val="en-AU"/>
        </w:rPr>
        <w:t xml:space="preserve">to mandatory </w:t>
      </w:r>
      <w:r>
        <w:rPr>
          <w:rFonts w:ascii="Calibri" w:eastAsia="Calibri" w:hAnsi="Calibri" w:cs="Calibri"/>
          <w:szCs w:val="20"/>
          <w:lang w:val="en-AU"/>
        </w:rPr>
        <w:t xml:space="preserve">AS/NZS heat loss standards) </w:t>
      </w:r>
      <w:r w:rsidR="00226FCC">
        <w:rPr>
          <w:rFonts w:ascii="Calibri" w:eastAsia="Calibri" w:hAnsi="Calibri" w:cs="Calibri"/>
          <w:szCs w:val="20"/>
          <w:lang w:val="en-AU"/>
        </w:rPr>
        <w:t xml:space="preserve">so adoption of another AS/NZS standard should have negligible impact on product choice. The water heater industry did however suggest that imported products might be able to comply at lower cost (if </w:t>
      </w:r>
      <w:r w:rsidR="002D7ABD">
        <w:rPr>
          <w:rFonts w:ascii="Calibri" w:eastAsia="Calibri" w:hAnsi="Calibri" w:cs="Calibri"/>
          <w:szCs w:val="20"/>
          <w:lang w:val="en-AU"/>
        </w:rPr>
        <w:t xml:space="preserve">so this </w:t>
      </w:r>
      <w:r w:rsidR="00226FCC">
        <w:rPr>
          <w:rFonts w:ascii="Calibri" w:eastAsia="Calibri" w:hAnsi="Calibri" w:cs="Calibri"/>
          <w:szCs w:val="20"/>
          <w:lang w:val="en-AU"/>
        </w:rPr>
        <w:t>would increase competition).</w:t>
      </w:r>
    </w:p>
    <w:p w14:paraId="26D4B8EF" w14:textId="61C37567" w:rsidR="00226FCC" w:rsidRDefault="00226FCC"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effect of voluntary AS/NZS 4755 compliance on </w:t>
      </w:r>
      <w:r w:rsidR="002D7ABD">
        <w:rPr>
          <w:rFonts w:ascii="Calibri" w:eastAsia="Calibri" w:hAnsi="Calibri" w:cs="Calibri"/>
          <w:szCs w:val="20"/>
          <w:lang w:val="en-AU"/>
        </w:rPr>
        <w:t xml:space="preserve">competition in </w:t>
      </w:r>
      <w:r>
        <w:rPr>
          <w:rFonts w:ascii="Calibri" w:eastAsia="Calibri" w:hAnsi="Calibri" w:cs="Calibri"/>
          <w:szCs w:val="20"/>
          <w:lang w:val="en-AU"/>
        </w:rPr>
        <w:t xml:space="preserve">the </w:t>
      </w:r>
      <w:r w:rsidR="009B062B">
        <w:rPr>
          <w:rFonts w:ascii="Calibri" w:eastAsia="Calibri" w:hAnsi="Calibri" w:cs="Calibri"/>
          <w:szCs w:val="20"/>
          <w:lang w:val="en-AU"/>
        </w:rPr>
        <w:t xml:space="preserve">AC </w:t>
      </w:r>
      <w:r>
        <w:rPr>
          <w:rFonts w:ascii="Calibri" w:eastAsia="Calibri" w:hAnsi="Calibri" w:cs="Calibri"/>
          <w:szCs w:val="20"/>
          <w:lang w:val="en-AU"/>
        </w:rPr>
        <w:t xml:space="preserve">market has been minimal – brand and model choice appear to be just as wide as before, and the impact on retail prices has been negligible. However, it is possible that mandatory compliance would drive some models from the market. </w:t>
      </w:r>
      <w:r w:rsidR="002D7ABD">
        <w:rPr>
          <w:rFonts w:ascii="Calibri" w:eastAsia="Calibri" w:hAnsi="Calibri" w:cs="Calibri"/>
          <w:szCs w:val="20"/>
          <w:lang w:val="en-AU"/>
        </w:rPr>
        <w:t xml:space="preserve">These are no necessarily the low-cost brands, since some of those already offer AS/NZS 4755-compliant models. </w:t>
      </w:r>
    </w:p>
    <w:p w14:paraId="2A765744" w14:textId="51B92605" w:rsidR="006263D5" w:rsidRDefault="00226FCC" w:rsidP="00A37634">
      <w:pPr>
        <w:spacing w:before="120" w:after="120" w:line="276" w:lineRule="auto"/>
        <w:rPr>
          <w:rFonts w:ascii="Calibri" w:eastAsia="Calibri" w:hAnsi="Calibri" w:cs="Calibri"/>
          <w:szCs w:val="20"/>
          <w:lang w:val="en-AU"/>
        </w:rPr>
      </w:pPr>
      <w:proofErr w:type="gramStart"/>
      <w:r>
        <w:rPr>
          <w:rFonts w:ascii="Calibri" w:eastAsia="Calibri" w:hAnsi="Calibri" w:cs="Calibri"/>
          <w:szCs w:val="20"/>
          <w:lang w:val="en-AU"/>
        </w:rPr>
        <w:t>With regard to</w:t>
      </w:r>
      <w:proofErr w:type="gramEnd"/>
      <w:r>
        <w:rPr>
          <w:rFonts w:ascii="Calibri" w:eastAsia="Calibri" w:hAnsi="Calibri" w:cs="Calibri"/>
          <w:szCs w:val="20"/>
          <w:lang w:val="en-AU"/>
        </w:rPr>
        <w:t xml:space="preserve"> competition in the DR market, there was general agreement that it would increase. Once a uniform DR platform is established the cost barriers to the entry of new DRSPs should fall, and consumers will be able to pursue their interests by moving between DRSPs and energy retailers more easily. </w:t>
      </w:r>
    </w:p>
    <w:p w14:paraId="78954008" w14:textId="3677A892" w:rsidR="006263D5" w:rsidRPr="00F25210" w:rsidRDefault="006263D5" w:rsidP="00F25210">
      <w:pPr>
        <w:spacing w:before="240" w:after="240" w:line="276" w:lineRule="auto"/>
        <w:rPr>
          <w:rFonts w:ascii="Calibri" w:eastAsia="Calibri" w:hAnsi="Calibri" w:cs="Calibri"/>
          <w:b/>
          <w:bCs/>
          <w:color w:val="FF0000"/>
          <w:sz w:val="28"/>
          <w:szCs w:val="20"/>
          <w:lang w:val="en-AU"/>
        </w:rPr>
      </w:pPr>
      <w:r w:rsidRPr="00F25210">
        <w:rPr>
          <w:rFonts w:ascii="Calibri" w:eastAsia="Calibri" w:hAnsi="Calibri" w:cs="Calibri"/>
          <w:b/>
          <w:bCs/>
          <w:color w:val="FF0000"/>
          <w:sz w:val="28"/>
          <w:szCs w:val="20"/>
          <w:lang w:val="en-AU"/>
        </w:rPr>
        <w:t xml:space="preserve">Electricity Market Rule Changes </w:t>
      </w:r>
    </w:p>
    <w:p w14:paraId="70E40FE6" w14:textId="62B7C05F" w:rsidR="00CA44A3" w:rsidRDefault="00226FCC"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All submissions that addressed this issue agreed that </w:t>
      </w:r>
      <w:r w:rsidR="00C854E7">
        <w:rPr>
          <w:rFonts w:ascii="Calibri" w:eastAsia="Calibri" w:hAnsi="Calibri" w:cs="Calibri"/>
          <w:szCs w:val="20"/>
          <w:lang w:val="en-AU"/>
        </w:rPr>
        <w:t xml:space="preserve">the proposal and the AEMC’s draft </w:t>
      </w:r>
      <w:r w:rsidR="00365AF2">
        <w:rPr>
          <w:rFonts w:ascii="Calibri" w:eastAsia="Calibri" w:hAnsi="Calibri" w:cs="Calibri"/>
          <w:szCs w:val="20"/>
          <w:lang w:val="en-AU"/>
        </w:rPr>
        <w:t>w</w:t>
      </w:r>
      <w:r w:rsidR="00C854E7">
        <w:rPr>
          <w:rFonts w:ascii="Calibri" w:eastAsia="Calibri" w:hAnsi="Calibri" w:cs="Calibri"/>
          <w:szCs w:val="20"/>
          <w:lang w:val="en-AU"/>
        </w:rPr>
        <w:t xml:space="preserve">holesale </w:t>
      </w:r>
      <w:r w:rsidR="00365AF2">
        <w:rPr>
          <w:rFonts w:ascii="Calibri" w:eastAsia="Calibri" w:hAnsi="Calibri" w:cs="Calibri"/>
          <w:szCs w:val="20"/>
          <w:lang w:val="en-AU"/>
        </w:rPr>
        <w:t>d</w:t>
      </w:r>
      <w:r w:rsidR="00705B87">
        <w:rPr>
          <w:rFonts w:ascii="Calibri" w:eastAsia="Calibri" w:hAnsi="Calibri" w:cs="Calibri"/>
          <w:szCs w:val="20"/>
          <w:lang w:val="en-AU"/>
        </w:rPr>
        <w:t xml:space="preserve">emand </w:t>
      </w:r>
      <w:r w:rsidR="00365AF2">
        <w:rPr>
          <w:rFonts w:ascii="Calibri" w:eastAsia="Calibri" w:hAnsi="Calibri" w:cs="Calibri"/>
          <w:szCs w:val="20"/>
          <w:lang w:val="en-AU"/>
        </w:rPr>
        <w:t>r</w:t>
      </w:r>
      <w:r w:rsidR="00705B87">
        <w:rPr>
          <w:rFonts w:ascii="Calibri" w:eastAsia="Calibri" w:hAnsi="Calibri" w:cs="Calibri"/>
          <w:szCs w:val="20"/>
          <w:lang w:val="en-AU"/>
        </w:rPr>
        <w:t>esponse</w:t>
      </w:r>
      <w:r w:rsidR="00C854E7">
        <w:rPr>
          <w:rFonts w:ascii="Calibri" w:eastAsia="Calibri" w:hAnsi="Calibri" w:cs="Calibri"/>
          <w:szCs w:val="20"/>
          <w:lang w:val="en-AU"/>
        </w:rPr>
        <w:t xml:space="preserve"> rule changes are complementary and mutually reinforcing. Two of the public interest groups that had made the original rule change request to the AEMC made submission on the Consultation Paper. Both were strongly supportive of the proposal and suggested that the automated DR was essential to the inclusion of small consumers in the </w:t>
      </w:r>
      <w:r w:rsidR="002C7E4D">
        <w:rPr>
          <w:rFonts w:ascii="Calibri" w:eastAsia="Calibri" w:hAnsi="Calibri" w:cs="Calibri"/>
          <w:szCs w:val="20"/>
          <w:lang w:val="en-AU"/>
        </w:rPr>
        <w:t xml:space="preserve">wholesale demand response mechanism, </w:t>
      </w:r>
      <w:r w:rsidR="00C854E7">
        <w:rPr>
          <w:rFonts w:ascii="Calibri" w:eastAsia="Calibri" w:hAnsi="Calibri" w:cs="Calibri"/>
          <w:szCs w:val="20"/>
          <w:lang w:val="en-AU"/>
        </w:rPr>
        <w:t xml:space="preserve">which the AEMC is now considering. </w:t>
      </w:r>
    </w:p>
    <w:p w14:paraId="3FA663F3" w14:textId="77777777" w:rsidR="00064FDB" w:rsidRPr="00F25210" w:rsidRDefault="00064FDB" w:rsidP="00F25210">
      <w:pPr>
        <w:spacing w:before="240" w:after="240" w:line="276" w:lineRule="auto"/>
        <w:rPr>
          <w:rFonts w:ascii="Calibri" w:eastAsia="Calibri" w:hAnsi="Calibri" w:cs="Calibri"/>
          <w:b/>
          <w:bCs/>
          <w:color w:val="FF0000"/>
          <w:sz w:val="28"/>
          <w:szCs w:val="20"/>
          <w:lang w:val="en-AU"/>
        </w:rPr>
      </w:pPr>
      <w:r w:rsidRPr="00F25210">
        <w:rPr>
          <w:rFonts w:ascii="Calibri" w:eastAsia="Calibri" w:hAnsi="Calibri" w:cs="Calibri"/>
          <w:b/>
          <w:bCs/>
          <w:color w:val="FF0000"/>
          <w:sz w:val="28"/>
          <w:szCs w:val="20"/>
          <w:lang w:val="en-AU"/>
        </w:rPr>
        <w:t>Additional Products</w:t>
      </w:r>
    </w:p>
    <w:p w14:paraId="6D5541DC" w14:textId="15872AEE" w:rsidR="00064FDB" w:rsidRDefault="00064FDB" w:rsidP="00F25210">
      <w:r>
        <w:t xml:space="preserve">Several stakeholders recommended that there should also be </w:t>
      </w:r>
      <w:r w:rsidR="00705B87">
        <w:t>DR</w:t>
      </w:r>
      <w:r>
        <w:t xml:space="preserve"> requirements for PV Inverters within the scope of AS/NZS 4777.2</w:t>
      </w:r>
      <w:r w:rsidR="008202F0">
        <w:t xml:space="preserve">, </w:t>
      </w:r>
      <w:r>
        <w:t>grid connected</w:t>
      </w:r>
      <w:r w:rsidR="008202F0">
        <w:t xml:space="preserve"> electric</w:t>
      </w:r>
      <w:r>
        <w:t xml:space="preserve"> energy storage systems (including residential scale batteries) within the scope of AS/NZS 4755.3.5</w:t>
      </w:r>
      <w:r w:rsidR="008202F0">
        <w:t xml:space="preserve"> and for </w:t>
      </w:r>
      <w:r w:rsidR="00705B87">
        <w:t>HEMS</w:t>
      </w:r>
      <w:r w:rsidR="008202F0">
        <w:t xml:space="preserve">. </w:t>
      </w:r>
    </w:p>
    <w:p w14:paraId="438E2BAA" w14:textId="77777777" w:rsidR="006263D5" w:rsidRPr="00A37634" w:rsidRDefault="006263D5" w:rsidP="00A37634">
      <w:pPr>
        <w:spacing w:before="120" w:after="120" w:line="276" w:lineRule="auto"/>
        <w:rPr>
          <w:rFonts w:ascii="Calibri" w:eastAsia="Calibri" w:hAnsi="Calibri" w:cs="Calibri"/>
          <w:szCs w:val="20"/>
          <w:lang w:val="en-AU"/>
        </w:rPr>
      </w:pPr>
    </w:p>
    <w:p w14:paraId="6E2E9FA7" w14:textId="44BAC1E2" w:rsidR="00A37634" w:rsidRPr="000068C1" w:rsidRDefault="00A37634" w:rsidP="00FF17C7">
      <w:pPr>
        <w:pStyle w:val="ListParagraph"/>
        <w:pageBreakBefore/>
        <w:numPr>
          <w:ilvl w:val="0"/>
          <w:numId w:val="4"/>
        </w:numPr>
        <w:pBdr>
          <w:bottom w:val="single" w:sz="12" w:space="1" w:color="ED1B24"/>
        </w:pBdr>
        <w:spacing w:before="200" w:after="600" w:line="240" w:lineRule="auto"/>
        <w:outlineLvl w:val="0"/>
        <w:rPr>
          <w:rFonts w:eastAsia="Times New Roman" w:cs="Calibri"/>
          <w:b/>
          <w:bCs/>
          <w:color w:val="ED1B24"/>
          <w:sz w:val="50"/>
          <w:szCs w:val="28"/>
        </w:rPr>
      </w:pPr>
      <w:bookmarkStart w:id="131" w:name="_Toc22485218"/>
      <w:r w:rsidRPr="000068C1">
        <w:rPr>
          <w:rFonts w:eastAsia="Times New Roman" w:cs="Calibri"/>
          <w:b/>
          <w:bCs/>
          <w:color w:val="ED1B24"/>
          <w:sz w:val="50"/>
          <w:szCs w:val="28"/>
        </w:rPr>
        <w:lastRenderedPageBreak/>
        <w:t>Implementation and Timing</w:t>
      </w:r>
      <w:bookmarkEnd w:id="131"/>
    </w:p>
    <w:p w14:paraId="1518F22F" w14:textId="33A969B8" w:rsidR="00F06F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It is proposed that all </w:t>
      </w:r>
      <w:r w:rsidR="00705B87">
        <w:rPr>
          <w:rFonts w:ascii="Calibri" w:eastAsia="Calibri" w:hAnsi="Calibri" w:cs="Calibri"/>
          <w:szCs w:val="20"/>
          <w:lang w:val="en-AU"/>
        </w:rPr>
        <w:t>ACs</w:t>
      </w:r>
      <w:r w:rsidR="00F06F34">
        <w:rPr>
          <w:rFonts w:ascii="Calibri" w:eastAsia="Calibri" w:hAnsi="Calibri" w:cs="Calibri"/>
          <w:szCs w:val="20"/>
          <w:lang w:val="en-AU"/>
        </w:rPr>
        <w:t xml:space="preserve">, </w:t>
      </w:r>
      <w:r w:rsidRPr="00A37634">
        <w:rPr>
          <w:rFonts w:ascii="Calibri" w:eastAsia="Calibri" w:hAnsi="Calibri" w:cs="Calibri"/>
          <w:szCs w:val="20"/>
          <w:lang w:val="en-AU"/>
        </w:rPr>
        <w:t>electric storage water heaters</w:t>
      </w:r>
      <w:r w:rsidR="00F06F34">
        <w:rPr>
          <w:rFonts w:ascii="Calibri" w:eastAsia="Calibri" w:hAnsi="Calibri" w:cs="Calibri"/>
          <w:szCs w:val="20"/>
          <w:lang w:val="en-AU"/>
        </w:rPr>
        <w:t xml:space="preserve"> and </w:t>
      </w:r>
      <w:r w:rsidRPr="00A37634">
        <w:rPr>
          <w:rFonts w:ascii="Calibri" w:eastAsia="Calibri" w:hAnsi="Calibri" w:cs="Calibri"/>
          <w:szCs w:val="20"/>
          <w:lang w:val="en-AU"/>
        </w:rPr>
        <w:t xml:space="preserve">pool pump controllers supplied or offered for supply </w:t>
      </w:r>
      <w:r w:rsidR="00F06F34">
        <w:rPr>
          <w:rFonts w:ascii="Calibri" w:eastAsia="Calibri" w:hAnsi="Calibri" w:cs="Calibri"/>
          <w:szCs w:val="20"/>
          <w:lang w:val="en-AU"/>
        </w:rPr>
        <w:t xml:space="preserve">by a target date </w:t>
      </w:r>
      <w:r w:rsidRPr="00A37634">
        <w:rPr>
          <w:rFonts w:ascii="Calibri" w:eastAsia="Calibri" w:hAnsi="Calibri" w:cs="Calibri"/>
          <w:szCs w:val="20"/>
          <w:lang w:val="en-AU"/>
        </w:rPr>
        <w:t xml:space="preserve">would have to comply with either the relevant part </w:t>
      </w:r>
      <w:r w:rsidR="00F06F34">
        <w:rPr>
          <w:rFonts w:ascii="Calibri" w:eastAsia="Calibri" w:hAnsi="Calibri" w:cs="Calibri"/>
          <w:szCs w:val="20"/>
          <w:lang w:val="en-AU"/>
        </w:rPr>
        <w:t xml:space="preserve">or parts </w:t>
      </w:r>
      <w:r w:rsidRPr="00A37634">
        <w:rPr>
          <w:rFonts w:ascii="Calibri" w:eastAsia="Calibri" w:hAnsi="Calibri" w:cs="Calibri"/>
          <w:szCs w:val="20"/>
          <w:lang w:val="en-AU"/>
        </w:rPr>
        <w:t>of AS/NZS 4755</w:t>
      </w:r>
      <w:r w:rsidR="00F06F34">
        <w:rPr>
          <w:rFonts w:ascii="Calibri" w:eastAsia="Calibri" w:hAnsi="Calibri" w:cs="Calibri"/>
          <w:szCs w:val="20"/>
          <w:lang w:val="en-AU"/>
        </w:rPr>
        <w:t>. For</w:t>
      </w:r>
      <w:r w:rsidR="00F06F34" w:rsidRPr="00A37634">
        <w:rPr>
          <w:rFonts w:ascii="Calibri" w:eastAsia="Calibri" w:hAnsi="Calibri" w:cs="Calibri"/>
          <w:szCs w:val="20"/>
          <w:lang w:val="en-AU"/>
        </w:rPr>
        <w:t xml:space="preserve"> EV chargers</w:t>
      </w:r>
      <w:r w:rsidR="00F06F34">
        <w:rPr>
          <w:rFonts w:ascii="Calibri" w:eastAsia="Calibri" w:hAnsi="Calibri" w:cs="Calibri"/>
          <w:szCs w:val="20"/>
          <w:lang w:val="en-AU"/>
        </w:rPr>
        <w:t xml:space="preserve">, it is proposed that units offered for sale after a target date would </w:t>
      </w:r>
      <w:r w:rsidR="00F06F34" w:rsidRPr="00A37634">
        <w:rPr>
          <w:rFonts w:ascii="Calibri" w:eastAsia="Calibri" w:hAnsi="Calibri" w:cs="Calibri"/>
          <w:szCs w:val="20"/>
          <w:lang w:val="en-AU"/>
        </w:rPr>
        <w:t xml:space="preserve">have to comply with either the relevant part </w:t>
      </w:r>
      <w:r w:rsidR="00F06F34">
        <w:rPr>
          <w:rFonts w:ascii="Calibri" w:eastAsia="Calibri" w:hAnsi="Calibri" w:cs="Calibri"/>
          <w:szCs w:val="20"/>
          <w:lang w:val="en-AU"/>
        </w:rPr>
        <w:t xml:space="preserve">or parts </w:t>
      </w:r>
      <w:r w:rsidR="00F06F34" w:rsidRPr="00A37634">
        <w:rPr>
          <w:rFonts w:ascii="Calibri" w:eastAsia="Calibri" w:hAnsi="Calibri" w:cs="Calibri"/>
          <w:szCs w:val="20"/>
          <w:lang w:val="en-AU"/>
        </w:rPr>
        <w:t>of AS/NZS 4755</w:t>
      </w:r>
      <w:r w:rsidR="00F06F34">
        <w:rPr>
          <w:rFonts w:ascii="Calibri" w:eastAsia="Calibri" w:hAnsi="Calibri" w:cs="Calibri"/>
          <w:szCs w:val="20"/>
          <w:lang w:val="en-AU"/>
        </w:rPr>
        <w:t>, or an equivalent standard.</w:t>
      </w:r>
    </w:p>
    <w:p w14:paraId="41FCF931" w14:textId="449A2B15" w:rsidR="00F06F34" w:rsidRDefault="00F06F34"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The target implementation date</w:t>
      </w:r>
      <w:r w:rsidR="008F045D">
        <w:rPr>
          <w:rFonts w:ascii="Calibri" w:eastAsia="Calibri" w:hAnsi="Calibri" w:cs="Calibri"/>
          <w:szCs w:val="20"/>
          <w:lang w:val="en-AU"/>
        </w:rPr>
        <w:t>s</w:t>
      </w:r>
      <w:r>
        <w:rPr>
          <w:rFonts w:ascii="Calibri" w:eastAsia="Calibri" w:hAnsi="Calibri" w:cs="Calibri"/>
          <w:szCs w:val="20"/>
          <w:lang w:val="en-AU"/>
        </w:rPr>
        <w:t xml:space="preserve"> </w:t>
      </w:r>
      <w:r w:rsidR="002D7ABD">
        <w:rPr>
          <w:rFonts w:ascii="Calibri" w:eastAsia="Calibri" w:hAnsi="Calibri" w:cs="Calibri"/>
          <w:szCs w:val="20"/>
          <w:lang w:val="en-AU"/>
        </w:rPr>
        <w:t>o</w:t>
      </w:r>
      <w:r w:rsidR="009503CD">
        <w:rPr>
          <w:rFonts w:ascii="Calibri" w:eastAsia="Calibri" w:hAnsi="Calibri" w:cs="Calibri"/>
          <w:szCs w:val="20"/>
          <w:lang w:val="en-AU"/>
        </w:rPr>
        <w:t>n</w:t>
      </w:r>
      <w:r w:rsidR="002D7ABD">
        <w:rPr>
          <w:rFonts w:ascii="Calibri" w:eastAsia="Calibri" w:hAnsi="Calibri" w:cs="Calibri"/>
          <w:szCs w:val="20"/>
          <w:lang w:val="en-AU"/>
        </w:rPr>
        <w:t xml:space="preserve"> the preferred option have been developed in the context of </w:t>
      </w:r>
      <w:r>
        <w:rPr>
          <w:rFonts w:ascii="Calibri" w:eastAsia="Calibri" w:hAnsi="Calibri" w:cs="Calibri"/>
          <w:szCs w:val="20"/>
          <w:lang w:val="en-AU"/>
        </w:rPr>
        <w:t>a range of factors:</w:t>
      </w:r>
    </w:p>
    <w:p w14:paraId="1820568D" w14:textId="0549839A" w:rsidR="00F06F34" w:rsidRPr="008F045D" w:rsidRDefault="00F06F34" w:rsidP="008F045D">
      <w:pPr>
        <w:pStyle w:val="ListParagraph"/>
        <w:numPr>
          <w:ilvl w:val="0"/>
          <w:numId w:val="28"/>
        </w:numPr>
        <w:spacing w:before="120"/>
        <w:rPr>
          <w:rFonts w:eastAsia="Calibri" w:cs="Calibri"/>
        </w:rPr>
      </w:pPr>
      <w:r w:rsidRPr="008F045D">
        <w:rPr>
          <w:rFonts w:eastAsia="Calibri" w:cs="Calibri"/>
        </w:rPr>
        <w:t xml:space="preserve">The </w:t>
      </w:r>
      <w:r w:rsidR="002D7ABD">
        <w:rPr>
          <w:rFonts w:eastAsia="Calibri" w:cs="Calibri"/>
        </w:rPr>
        <w:t xml:space="preserve">most likely </w:t>
      </w:r>
      <w:r w:rsidRPr="008F045D">
        <w:rPr>
          <w:rFonts w:eastAsia="Calibri" w:cs="Calibri"/>
        </w:rPr>
        <w:t xml:space="preserve">timing of </w:t>
      </w:r>
      <w:r w:rsidR="002D7ABD">
        <w:rPr>
          <w:rFonts w:eastAsia="Calibri" w:cs="Calibri"/>
        </w:rPr>
        <w:t xml:space="preserve">a decision by </w:t>
      </w:r>
      <w:r w:rsidRPr="008F045D">
        <w:rPr>
          <w:rFonts w:eastAsia="Calibri" w:cs="Calibri"/>
        </w:rPr>
        <w:t xml:space="preserve">COAG Energy </w:t>
      </w:r>
      <w:r w:rsidR="00705B87">
        <w:rPr>
          <w:rFonts w:eastAsia="Calibri" w:cs="Calibri"/>
        </w:rPr>
        <w:t>Council</w:t>
      </w:r>
      <w:r w:rsidRPr="008F045D">
        <w:rPr>
          <w:rFonts w:eastAsia="Calibri" w:cs="Calibri"/>
        </w:rPr>
        <w:t>;</w:t>
      </w:r>
    </w:p>
    <w:p w14:paraId="0DAFC5AD" w14:textId="0B6FB336" w:rsidR="00A37634" w:rsidRPr="008F045D" w:rsidRDefault="00F06F34" w:rsidP="008F045D">
      <w:pPr>
        <w:pStyle w:val="ListParagraph"/>
        <w:numPr>
          <w:ilvl w:val="0"/>
          <w:numId w:val="28"/>
        </w:numPr>
        <w:spacing w:before="120"/>
        <w:rPr>
          <w:rFonts w:eastAsia="Calibri" w:cs="Calibri"/>
        </w:rPr>
      </w:pPr>
      <w:r w:rsidRPr="008F045D">
        <w:rPr>
          <w:rFonts w:eastAsia="Calibri" w:cs="Calibri"/>
        </w:rPr>
        <w:t xml:space="preserve">The timing of the necessary </w:t>
      </w:r>
      <w:r w:rsidR="009A63D0">
        <w:rPr>
          <w:rFonts w:eastAsia="Calibri" w:cs="Calibri"/>
        </w:rPr>
        <w:t>GEMS D</w:t>
      </w:r>
      <w:r w:rsidRPr="008F045D">
        <w:rPr>
          <w:rFonts w:eastAsia="Calibri" w:cs="Calibri"/>
        </w:rPr>
        <w:t xml:space="preserve">eterminations; </w:t>
      </w:r>
    </w:p>
    <w:p w14:paraId="0F7764E7" w14:textId="704A508F" w:rsidR="00F06F34" w:rsidRPr="008F045D" w:rsidRDefault="00F06F34" w:rsidP="008F045D">
      <w:pPr>
        <w:pStyle w:val="ListParagraph"/>
        <w:numPr>
          <w:ilvl w:val="0"/>
          <w:numId w:val="28"/>
        </w:numPr>
        <w:spacing w:before="120"/>
        <w:rPr>
          <w:rFonts w:eastAsia="Calibri" w:cs="Calibri"/>
        </w:rPr>
      </w:pPr>
      <w:r w:rsidRPr="008F045D">
        <w:rPr>
          <w:rFonts w:eastAsia="Calibri" w:cs="Calibri"/>
        </w:rPr>
        <w:t xml:space="preserve">The time required for product suppliers to design, manufacture or import compliant models – this is less for </w:t>
      </w:r>
      <w:r w:rsidR="00705B87">
        <w:rPr>
          <w:rFonts w:eastAsia="Calibri" w:cs="Calibri"/>
        </w:rPr>
        <w:t>ACs</w:t>
      </w:r>
      <w:r w:rsidRPr="008F045D">
        <w:rPr>
          <w:rFonts w:eastAsia="Calibri" w:cs="Calibri"/>
        </w:rPr>
        <w:t xml:space="preserve">, where there are already many compliant models, than for the other products, where there are none at present; </w:t>
      </w:r>
    </w:p>
    <w:p w14:paraId="163C1E7F" w14:textId="014032AB" w:rsidR="00F06F34" w:rsidRPr="008F045D" w:rsidRDefault="00F06F34" w:rsidP="008F045D">
      <w:pPr>
        <w:pStyle w:val="ListParagraph"/>
        <w:numPr>
          <w:ilvl w:val="0"/>
          <w:numId w:val="28"/>
        </w:numPr>
        <w:spacing w:before="120"/>
        <w:rPr>
          <w:rFonts w:eastAsia="Calibri" w:cs="Calibri"/>
        </w:rPr>
      </w:pPr>
      <w:r w:rsidRPr="008F045D">
        <w:rPr>
          <w:rFonts w:eastAsia="Calibri" w:cs="Calibri"/>
        </w:rPr>
        <w:t>The time need</w:t>
      </w:r>
      <w:r w:rsidR="002D7ABD">
        <w:rPr>
          <w:rFonts w:eastAsia="Calibri" w:cs="Calibri"/>
        </w:rPr>
        <w:t>ed</w:t>
      </w:r>
      <w:r w:rsidRPr="008F045D">
        <w:rPr>
          <w:rFonts w:eastAsia="Calibri" w:cs="Calibri"/>
        </w:rPr>
        <w:t xml:space="preserve"> to finalise the necessary AS/NZS </w:t>
      </w:r>
      <w:r w:rsidR="00705B87">
        <w:rPr>
          <w:rFonts w:eastAsia="Calibri" w:cs="Calibri"/>
        </w:rPr>
        <w:t>S</w:t>
      </w:r>
      <w:r w:rsidRPr="008F045D">
        <w:rPr>
          <w:rFonts w:eastAsia="Calibri" w:cs="Calibri"/>
        </w:rPr>
        <w:t xml:space="preserve">tandards so they can be referenced in </w:t>
      </w:r>
      <w:r w:rsidR="009A63D0">
        <w:rPr>
          <w:rFonts w:eastAsia="Calibri" w:cs="Calibri"/>
        </w:rPr>
        <w:t>GEMS D</w:t>
      </w:r>
      <w:r w:rsidRPr="008F045D">
        <w:rPr>
          <w:rFonts w:eastAsia="Calibri" w:cs="Calibri"/>
        </w:rPr>
        <w:t>et</w:t>
      </w:r>
      <w:r w:rsidR="008F045D" w:rsidRPr="008F045D">
        <w:rPr>
          <w:rFonts w:eastAsia="Calibri" w:cs="Calibri"/>
        </w:rPr>
        <w:t>e</w:t>
      </w:r>
      <w:r w:rsidRPr="008F045D">
        <w:rPr>
          <w:rFonts w:eastAsia="Calibri" w:cs="Calibri"/>
        </w:rPr>
        <w:t xml:space="preserve">rminations; and </w:t>
      </w:r>
    </w:p>
    <w:p w14:paraId="29BE4C32" w14:textId="459FE5F9" w:rsidR="008F045D" w:rsidRPr="008F045D" w:rsidRDefault="00F06F34" w:rsidP="008F045D">
      <w:pPr>
        <w:pStyle w:val="ListParagraph"/>
        <w:numPr>
          <w:ilvl w:val="0"/>
          <w:numId w:val="28"/>
        </w:numPr>
        <w:spacing w:before="120"/>
        <w:rPr>
          <w:rFonts w:eastAsia="Calibri" w:cs="Calibri"/>
        </w:rPr>
      </w:pPr>
      <w:r w:rsidRPr="008F045D">
        <w:rPr>
          <w:rFonts w:eastAsia="Calibri" w:cs="Calibri"/>
        </w:rPr>
        <w:t xml:space="preserve">In the case of EV chargers, the time required to consider and, if suitable, select an existing </w:t>
      </w:r>
      <w:r w:rsidR="00705B87">
        <w:rPr>
          <w:rFonts w:eastAsia="Calibri" w:cs="Calibri"/>
        </w:rPr>
        <w:t>S</w:t>
      </w:r>
      <w:r w:rsidRPr="008F045D">
        <w:rPr>
          <w:rFonts w:eastAsia="Calibri" w:cs="Calibri"/>
        </w:rPr>
        <w:t xml:space="preserve">tandard </w:t>
      </w:r>
      <w:r w:rsidR="008F045D" w:rsidRPr="008F045D">
        <w:rPr>
          <w:rFonts w:eastAsia="Calibri" w:cs="Calibri"/>
        </w:rPr>
        <w:t xml:space="preserve">as an additional compliance option. </w:t>
      </w:r>
    </w:p>
    <w:p w14:paraId="2B3F4901" w14:textId="22465E25"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For </w:t>
      </w:r>
      <w:r w:rsidR="00705B87">
        <w:rPr>
          <w:rFonts w:ascii="Calibri" w:eastAsia="Calibri" w:hAnsi="Calibri" w:cs="Calibri"/>
          <w:szCs w:val="20"/>
          <w:lang w:val="en-AU"/>
        </w:rPr>
        <w:t xml:space="preserve">ACs </w:t>
      </w:r>
      <w:r w:rsidRPr="00A37634">
        <w:rPr>
          <w:rFonts w:ascii="Calibri" w:eastAsia="Calibri" w:hAnsi="Calibri" w:cs="Calibri"/>
          <w:szCs w:val="20"/>
          <w:lang w:val="en-AU"/>
        </w:rPr>
        <w:t xml:space="preserve">and electric storage water heaters, which are covered by existing GEMS Determinations for energy efficiency, the measure </w:t>
      </w:r>
      <w:r w:rsidR="008F045D">
        <w:rPr>
          <w:rFonts w:ascii="Calibri" w:eastAsia="Calibri" w:hAnsi="Calibri" w:cs="Calibri"/>
          <w:szCs w:val="20"/>
          <w:lang w:val="en-AU"/>
        </w:rPr>
        <w:t xml:space="preserve">can </w:t>
      </w:r>
      <w:r w:rsidRPr="00A37634">
        <w:rPr>
          <w:rFonts w:ascii="Calibri" w:eastAsia="Calibri" w:hAnsi="Calibri" w:cs="Calibri"/>
          <w:szCs w:val="20"/>
          <w:lang w:val="en-AU"/>
        </w:rPr>
        <w:t>be implemented by revised Determinations under the GEMS Act 2012</w:t>
      </w:r>
      <w:r w:rsidR="008F045D">
        <w:rPr>
          <w:rFonts w:ascii="Calibri" w:eastAsia="Calibri" w:hAnsi="Calibri" w:cs="Calibri"/>
          <w:szCs w:val="20"/>
          <w:lang w:val="en-AU"/>
        </w:rPr>
        <w:t>.</w:t>
      </w:r>
      <w:r w:rsidR="00484506">
        <w:rPr>
          <w:rFonts w:ascii="Calibri" w:eastAsia="Calibri" w:hAnsi="Calibri" w:cs="Calibri"/>
          <w:szCs w:val="20"/>
          <w:lang w:val="en-AU"/>
        </w:rPr>
        <w:t xml:space="preserve"> Product registration systems are also in place for these products. </w:t>
      </w:r>
    </w:p>
    <w:p w14:paraId="58F5E49A" w14:textId="7B7074D1" w:rsidR="008F045D"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For pool pump controllers and EV chargers, implementation is less straightforward. There are no existing GEMS Determinations for these products, and the GEMS Act would need to be amended to allow a stand-alone GEMS Determination covering this type of requirement to be made.</w:t>
      </w:r>
    </w:p>
    <w:p w14:paraId="2D1465B0" w14:textId="02A61754" w:rsidR="008F045D" w:rsidRDefault="008F045D"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The recommendations of the Final Report of the Independent Review of the GEMS Act include that: </w:t>
      </w:r>
    </w:p>
    <w:p w14:paraId="028DE5AF" w14:textId="3349656B" w:rsidR="008F045D" w:rsidRPr="008F045D" w:rsidRDefault="008F045D" w:rsidP="008F045D">
      <w:pPr>
        <w:spacing w:before="120" w:after="120" w:line="276" w:lineRule="auto"/>
        <w:ind w:left="720"/>
        <w:rPr>
          <w:rFonts w:ascii="Calibri" w:eastAsia="Calibri" w:hAnsi="Calibri" w:cs="Calibri"/>
          <w:szCs w:val="20"/>
          <w:lang w:val="en-AU"/>
        </w:rPr>
      </w:pPr>
      <w:r>
        <w:rPr>
          <w:rFonts w:ascii="Calibri" w:eastAsia="Calibri" w:hAnsi="Calibri" w:cs="Calibri"/>
          <w:szCs w:val="20"/>
          <w:lang w:val="en-AU"/>
        </w:rPr>
        <w:t xml:space="preserve">“38. </w:t>
      </w:r>
      <w:r w:rsidRPr="008F045D">
        <w:rPr>
          <w:rFonts w:ascii="Calibri" w:eastAsia="Calibri" w:hAnsi="Calibri" w:cs="Calibri"/>
          <w:szCs w:val="20"/>
          <w:lang w:val="en-AU"/>
        </w:rPr>
        <w:t>The Commonwealth Government update the GEMS Act to allow for mandatory demand response capability.</w:t>
      </w:r>
      <w:r>
        <w:rPr>
          <w:rFonts w:ascii="Calibri" w:eastAsia="Calibri" w:hAnsi="Calibri" w:cs="Calibri"/>
          <w:szCs w:val="20"/>
          <w:lang w:val="en-AU"/>
        </w:rPr>
        <w:t>”</w:t>
      </w:r>
      <w:r>
        <w:rPr>
          <w:rStyle w:val="FootnoteReference"/>
          <w:rFonts w:ascii="Calibri" w:eastAsia="Calibri" w:hAnsi="Calibri" w:cs="Calibri"/>
          <w:szCs w:val="20"/>
          <w:lang w:val="en-AU"/>
        </w:rPr>
        <w:footnoteReference w:id="91"/>
      </w:r>
    </w:p>
    <w:p w14:paraId="7CB4437D" w14:textId="118F764D" w:rsidR="00A37634" w:rsidRPr="00A37634" w:rsidRDefault="008F045D" w:rsidP="00A37634">
      <w:pPr>
        <w:spacing w:before="120" w:after="120" w:line="276" w:lineRule="auto"/>
        <w:rPr>
          <w:rFonts w:ascii="Calibri" w:eastAsia="Calibri" w:hAnsi="Calibri" w:cs="Calibri"/>
          <w:szCs w:val="20"/>
          <w:lang w:val="en-AU"/>
        </w:rPr>
      </w:pPr>
      <w:r>
        <w:rPr>
          <w:rFonts w:ascii="Calibri" w:eastAsia="Calibri" w:hAnsi="Calibri" w:cs="Calibri"/>
          <w:szCs w:val="20"/>
          <w:lang w:val="en-AU"/>
        </w:rPr>
        <w:t>T</w:t>
      </w:r>
      <w:r w:rsidR="00A37634" w:rsidRPr="00A37634">
        <w:rPr>
          <w:rFonts w:ascii="Calibri" w:eastAsia="Calibri" w:hAnsi="Calibri" w:cs="Calibri"/>
          <w:szCs w:val="20"/>
          <w:lang w:val="en-AU"/>
        </w:rPr>
        <w:t xml:space="preserve">he Commonwealth Government response to the </w:t>
      </w:r>
      <w:r w:rsidR="00484506">
        <w:rPr>
          <w:rFonts w:ascii="Calibri" w:eastAsia="Calibri" w:hAnsi="Calibri" w:cs="Calibri"/>
          <w:szCs w:val="20"/>
          <w:lang w:val="en-AU"/>
        </w:rPr>
        <w:t xml:space="preserve">GEMS Act Review </w:t>
      </w:r>
      <w:r w:rsidR="00A37634" w:rsidRPr="00A37634">
        <w:rPr>
          <w:rFonts w:ascii="Calibri" w:eastAsia="Calibri" w:hAnsi="Calibri" w:cs="Calibri"/>
          <w:szCs w:val="20"/>
          <w:lang w:val="en-AU"/>
        </w:rPr>
        <w:t xml:space="preserve">recommendations will largely determine </w:t>
      </w:r>
      <w:r>
        <w:rPr>
          <w:rFonts w:ascii="Calibri" w:eastAsia="Calibri" w:hAnsi="Calibri" w:cs="Calibri"/>
          <w:szCs w:val="20"/>
          <w:lang w:val="en-AU"/>
        </w:rPr>
        <w:t>how qui</w:t>
      </w:r>
      <w:r w:rsidR="007E7799">
        <w:rPr>
          <w:rFonts w:ascii="Calibri" w:eastAsia="Calibri" w:hAnsi="Calibri" w:cs="Calibri"/>
          <w:szCs w:val="20"/>
          <w:lang w:val="en-AU"/>
        </w:rPr>
        <w:t xml:space="preserve">ckly DR requirements for pool pump controllers and EV chargers might be implemented via the GEMS Act. </w:t>
      </w:r>
      <w:r w:rsidR="00A37634" w:rsidRPr="00A37634">
        <w:rPr>
          <w:rFonts w:ascii="Calibri" w:eastAsia="Calibri" w:hAnsi="Calibri" w:cs="Calibri"/>
          <w:szCs w:val="20"/>
          <w:lang w:val="en-AU"/>
        </w:rPr>
        <w:t>Some jurisdictions with imminent network issues requiring more controllable devices in the system may consider an earlier implementation using local regulation.</w:t>
      </w:r>
    </w:p>
    <w:p w14:paraId="262DD110"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It is envisaged that In New Zealand, any policy proposals would be approved by Cabinet before being adopted under the Energy Efficiency (Energy Using Products) Regulations 2002.</w:t>
      </w:r>
    </w:p>
    <w:p w14:paraId="46BA2948"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At present, there is no part of AS/NZS 4755 covering EV chargers. A draft (AS/NZS 4755.3.4) was released for public comment in 2013, but later withdrawn.</w:t>
      </w:r>
      <w:r w:rsidRPr="00A37634">
        <w:rPr>
          <w:rFonts w:ascii="Calibri" w:eastAsia="Calibri" w:hAnsi="Calibri" w:cs="Calibri"/>
          <w:szCs w:val="20"/>
          <w:vertAlign w:val="superscript"/>
          <w:lang w:val="en-AU"/>
        </w:rPr>
        <w:footnoteReference w:id="92"/>
      </w:r>
      <w:r w:rsidRPr="00A37634">
        <w:rPr>
          <w:rFonts w:ascii="Calibri" w:eastAsia="Calibri" w:hAnsi="Calibri" w:cs="Calibri"/>
          <w:szCs w:val="20"/>
          <w:lang w:val="en-AU"/>
        </w:rPr>
        <w:t xml:space="preserve"> It will be necessary to re-commence drafting of AS/NZS 4755 and/or add a new Appendix to (DR) AS 4755.2, if the same compliance options are to be available for </w:t>
      </w:r>
      <w:r w:rsidRPr="00A37634">
        <w:rPr>
          <w:rFonts w:ascii="Calibri" w:eastAsia="Calibri" w:hAnsi="Calibri" w:cs="Calibri"/>
          <w:szCs w:val="20"/>
          <w:lang w:val="en-AU"/>
        </w:rPr>
        <w:lastRenderedPageBreak/>
        <w:t>EV chargers as for the other products. Alternatively, implementation could be achieved by including the technical content in a GEMS Determination.</w:t>
      </w:r>
    </w:p>
    <w:p w14:paraId="6ECE7A28"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Since the 2013 Consultation RIS, two additional product categories have become significant for peak demand and for the management of an increasingly renewables-intensive network: home storage batteries and PV inverters. Some PV owners are installing batteries to absorb energy at peak solar times when their electricity demand is low and the excess energy would otherwise be sent to the grid, generally for a low buy-back rate. While battery owners usually manage </w:t>
      </w:r>
      <w:proofErr w:type="gramStart"/>
      <w:r w:rsidRPr="00A37634">
        <w:rPr>
          <w:rFonts w:ascii="Calibri" w:eastAsia="Calibri" w:hAnsi="Calibri" w:cs="Calibri"/>
          <w:szCs w:val="20"/>
          <w:lang w:val="en-AU"/>
        </w:rPr>
        <w:t>charging</w:t>
      </w:r>
      <w:proofErr w:type="gramEnd"/>
      <w:r w:rsidRPr="00A37634">
        <w:rPr>
          <w:rFonts w:ascii="Calibri" w:eastAsia="Calibri" w:hAnsi="Calibri" w:cs="Calibri"/>
          <w:szCs w:val="20"/>
          <w:lang w:val="en-AU"/>
        </w:rPr>
        <w:t xml:space="preserve"> and discharging to optimise their financial returns, this can create network peaks if all batteries charge or discharge simultaneously, as might occur at tariff step times. </w:t>
      </w:r>
    </w:p>
    <w:p w14:paraId="023149EB" w14:textId="77777777" w:rsidR="00A37634" w:rsidRPr="00A37634" w:rsidRDefault="00A37634" w:rsidP="00A37634">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w:t>
      </w:r>
      <w:proofErr w:type="spellStart"/>
      <w:r w:rsidRPr="00A37634">
        <w:rPr>
          <w:rFonts w:ascii="Calibri" w:eastAsia="Calibri" w:hAnsi="Calibri" w:cs="Calibri"/>
          <w:szCs w:val="20"/>
          <w:lang w:val="en-AU"/>
        </w:rPr>
        <w:t>ENA</w:t>
      </w:r>
      <w:proofErr w:type="spellEnd"/>
      <w:r w:rsidRPr="00A37634">
        <w:rPr>
          <w:rFonts w:ascii="Calibri" w:eastAsia="Calibri" w:hAnsi="Calibri" w:cs="Calibri"/>
          <w:szCs w:val="20"/>
          <w:lang w:val="en-AU"/>
        </w:rPr>
        <w:t xml:space="preserve"> sponsored the development of AS/NZS 4755.3.5:2016 </w:t>
      </w:r>
      <w:r w:rsidRPr="00A37634">
        <w:rPr>
          <w:rFonts w:ascii="Calibri" w:eastAsia="Calibri" w:hAnsi="Calibri" w:cs="Calibri"/>
          <w:i/>
          <w:iCs/>
          <w:szCs w:val="20"/>
          <w:lang w:val="en-AU"/>
        </w:rPr>
        <w:t>Operational instructions and connections for grid-connected electrical energy storage systems</w:t>
      </w:r>
      <w:r w:rsidRPr="00A37634">
        <w:rPr>
          <w:rFonts w:ascii="Calibri" w:eastAsia="Calibri" w:hAnsi="Calibri" w:cs="Calibri"/>
          <w:szCs w:val="20"/>
          <w:lang w:val="en-AU"/>
        </w:rPr>
        <w:t xml:space="preserve"> (including battery charge controllers) </w:t>
      </w:r>
      <w:proofErr w:type="gramStart"/>
      <w:r w:rsidRPr="00A37634">
        <w:rPr>
          <w:rFonts w:ascii="Calibri" w:eastAsia="Calibri" w:hAnsi="Calibri" w:cs="Calibri"/>
          <w:szCs w:val="20"/>
          <w:lang w:val="en-AU"/>
        </w:rPr>
        <w:t>in order to</w:t>
      </w:r>
      <w:proofErr w:type="gramEnd"/>
      <w:r w:rsidRPr="00A37634">
        <w:rPr>
          <w:rFonts w:ascii="Calibri" w:eastAsia="Calibri" w:hAnsi="Calibri" w:cs="Calibri"/>
          <w:szCs w:val="20"/>
          <w:lang w:val="en-AU"/>
        </w:rPr>
        <w:t xml:space="preserve"> have a means of reducing this risk through DR. While compliance for battery charge controllers or PV inverters is not part of this proposal, there would be a longer-term opportunity to incorporate all major elements of distributed energy (generation, load and storage) into a unified, open-standard demand response platform.  </w:t>
      </w:r>
    </w:p>
    <w:p w14:paraId="37ED79BD" w14:textId="77777777" w:rsidR="00A37634" w:rsidRPr="00A37634" w:rsidRDefault="00A37634" w:rsidP="00A37634">
      <w:pPr>
        <w:spacing w:after="120" w:line="276" w:lineRule="auto"/>
        <w:rPr>
          <w:rFonts w:ascii="Calibri" w:eastAsia="Calibri" w:hAnsi="Calibri" w:cs="Calibri"/>
          <w:szCs w:val="20"/>
          <w:lang w:val="en-AU"/>
        </w:rPr>
      </w:pPr>
    </w:p>
    <w:p w14:paraId="2C641870" w14:textId="77777777" w:rsidR="00A37634" w:rsidRPr="00A37634" w:rsidRDefault="00A37634" w:rsidP="00A37634">
      <w:pPr>
        <w:spacing w:after="120" w:line="276" w:lineRule="auto"/>
        <w:rPr>
          <w:rFonts w:ascii="Calibri" w:eastAsia="Calibri" w:hAnsi="Calibri" w:cs="Calibri"/>
          <w:szCs w:val="20"/>
          <w:lang w:val="en-AU"/>
        </w:rPr>
      </w:pPr>
    </w:p>
    <w:p w14:paraId="170A43D3" w14:textId="77777777" w:rsidR="00A37634" w:rsidRPr="00A37634" w:rsidRDefault="00A37634" w:rsidP="00A37634">
      <w:pPr>
        <w:spacing w:after="120" w:line="276" w:lineRule="auto"/>
        <w:rPr>
          <w:rFonts w:ascii="Calibri" w:eastAsia="Calibri" w:hAnsi="Calibri" w:cs="Calibri"/>
          <w:szCs w:val="20"/>
          <w:lang w:val="en-AU"/>
        </w:rPr>
      </w:pPr>
    </w:p>
    <w:p w14:paraId="7FD8C5E6" w14:textId="77777777" w:rsidR="00A37634" w:rsidRPr="00A37634" w:rsidRDefault="00A37634" w:rsidP="00A37634">
      <w:pPr>
        <w:spacing w:after="120" w:line="276" w:lineRule="auto"/>
        <w:rPr>
          <w:rFonts w:ascii="Calibri" w:eastAsia="Calibri" w:hAnsi="Calibri" w:cs="Calibri"/>
          <w:szCs w:val="20"/>
          <w:lang w:val="en-AU"/>
        </w:rPr>
      </w:pPr>
    </w:p>
    <w:p w14:paraId="3A2CF700" w14:textId="77777777" w:rsidR="00A37634" w:rsidRPr="00A37634" w:rsidRDefault="00A37634" w:rsidP="00A37634">
      <w:pPr>
        <w:spacing w:after="120" w:line="276" w:lineRule="auto"/>
        <w:rPr>
          <w:rFonts w:ascii="Calibri" w:eastAsia="Calibri" w:hAnsi="Calibri" w:cs="Calibri"/>
          <w:szCs w:val="20"/>
          <w:lang w:val="en-AU"/>
        </w:rPr>
      </w:pPr>
    </w:p>
    <w:p w14:paraId="6A0C8AF2" w14:textId="78240AD5" w:rsidR="00A37634" w:rsidRPr="00BD3902" w:rsidRDefault="00C515A0" w:rsidP="00FF17C7">
      <w:pPr>
        <w:pStyle w:val="ListParagraph"/>
        <w:pageBreakBefore/>
        <w:numPr>
          <w:ilvl w:val="0"/>
          <w:numId w:val="4"/>
        </w:numPr>
        <w:pBdr>
          <w:bottom w:val="single" w:sz="12" w:space="1" w:color="ED1B24"/>
        </w:pBdr>
        <w:spacing w:before="200" w:after="600" w:line="240" w:lineRule="auto"/>
        <w:outlineLvl w:val="0"/>
        <w:rPr>
          <w:rFonts w:eastAsia="Times New Roman" w:cs="Calibri"/>
          <w:b/>
          <w:bCs/>
          <w:color w:val="ED1B24"/>
          <w:sz w:val="50"/>
          <w:szCs w:val="28"/>
        </w:rPr>
      </w:pPr>
      <w:bookmarkStart w:id="132" w:name="_Toc22485219"/>
      <w:r w:rsidRPr="00BD3902">
        <w:rPr>
          <w:rFonts w:eastAsia="Times New Roman" w:cs="Calibri"/>
          <w:b/>
          <w:bCs/>
          <w:color w:val="ED1B24"/>
          <w:sz w:val="50"/>
          <w:szCs w:val="28"/>
        </w:rPr>
        <w:lastRenderedPageBreak/>
        <w:t>Conclusions and Recommendations</w:t>
      </w:r>
      <w:bookmarkEnd w:id="132"/>
      <w:r w:rsidR="00A37634" w:rsidRPr="00BD3902">
        <w:rPr>
          <w:rFonts w:eastAsia="Times New Roman" w:cs="Calibri"/>
          <w:b/>
          <w:bCs/>
          <w:color w:val="ED1B24"/>
          <w:sz w:val="50"/>
          <w:szCs w:val="28"/>
        </w:rPr>
        <w:t xml:space="preserve"> </w:t>
      </w:r>
    </w:p>
    <w:p w14:paraId="41D5AF37" w14:textId="7CEA70D1" w:rsidR="007E7799" w:rsidRDefault="007E7799" w:rsidP="00E81815">
      <w:pPr>
        <w:spacing w:after="120" w:line="276" w:lineRule="auto"/>
        <w:rPr>
          <w:rFonts w:ascii="Calibri" w:eastAsia="Calibri" w:hAnsi="Calibri" w:cs="Calibri"/>
          <w:szCs w:val="20"/>
          <w:lang w:val="en-AU"/>
        </w:rPr>
      </w:pPr>
      <w:r>
        <w:rPr>
          <w:rFonts w:ascii="Calibri" w:eastAsia="Calibri" w:hAnsi="Calibri" w:cs="Calibri"/>
          <w:szCs w:val="20"/>
          <w:lang w:val="en-AU"/>
        </w:rPr>
        <w:t xml:space="preserve">In December 2018, </w:t>
      </w:r>
      <w:r w:rsidR="00705B87">
        <w:rPr>
          <w:rFonts w:ascii="Calibri" w:eastAsia="Calibri" w:hAnsi="Calibri" w:cs="Calibri"/>
          <w:szCs w:val="20"/>
          <w:lang w:val="en-AU"/>
        </w:rPr>
        <w:t xml:space="preserve">the </w:t>
      </w:r>
      <w:r w:rsidRPr="007E7799">
        <w:rPr>
          <w:rFonts w:ascii="Calibri" w:eastAsia="Calibri" w:hAnsi="Calibri" w:cs="Calibri"/>
          <w:szCs w:val="20"/>
          <w:lang w:val="en-AU"/>
        </w:rPr>
        <w:t xml:space="preserve">COAG Energy Council </w:t>
      </w:r>
      <w:r>
        <w:rPr>
          <w:rFonts w:ascii="Calibri" w:eastAsia="Calibri" w:hAnsi="Calibri" w:cs="Calibri"/>
          <w:szCs w:val="20"/>
          <w:lang w:val="en-AU"/>
        </w:rPr>
        <w:t>agreed to</w:t>
      </w:r>
      <w:r w:rsidRPr="007E7799">
        <w:rPr>
          <w:rFonts w:ascii="Calibri" w:eastAsia="Calibri" w:hAnsi="Calibri" w:cs="Calibri"/>
          <w:szCs w:val="20"/>
          <w:lang w:val="en-AU"/>
        </w:rPr>
        <w:t xml:space="preserve"> re-examine and update modelling that was previously undertaken in 2013/14 quantifying energy network peak cost savings, as well as consider additional benefits </w:t>
      </w:r>
      <w:r w:rsidR="00484506">
        <w:rPr>
          <w:rFonts w:ascii="Calibri" w:eastAsia="Calibri" w:hAnsi="Calibri" w:cs="Calibri"/>
          <w:szCs w:val="20"/>
          <w:lang w:val="en-AU"/>
        </w:rPr>
        <w:t xml:space="preserve">outside </w:t>
      </w:r>
      <w:r w:rsidRPr="007E7799">
        <w:rPr>
          <w:rFonts w:ascii="Calibri" w:eastAsia="Calibri" w:hAnsi="Calibri" w:cs="Calibri"/>
          <w:szCs w:val="20"/>
          <w:lang w:val="en-AU"/>
        </w:rPr>
        <w:t>the scope of the previous work, including reduced wholesale prices to all consumers, emergency management (Reliability and Emergency Reserve Trader) benefits, and benefits from shifting energy load to periods of minimum demand and excess export of rooftop solar PV.</w:t>
      </w:r>
    </w:p>
    <w:p w14:paraId="643FC68D" w14:textId="77777777" w:rsidR="007E7799" w:rsidRDefault="007E7799" w:rsidP="00E81815">
      <w:pPr>
        <w:spacing w:after="120" w:line="276" w:lineRule="auto"/>
        <w:rPr>
          <w:rFonts w:ascii="Calibri" w:eastAsia="Calibri" w:hAnsi="Calibri" w:cs="Calibri"/>
          <w:szCs w:val="20"/>
          <w:lang w:val="en-AU"/>
        </w:rPr>
      </w:pPr>
      <w:r>
        <w:rPr>
          <w:rFonts w:ascii="Calibri" w:eastAsia="Calibri" w:hAnsi="Calibri" w:cs="Calibri"/>
          <w:szCs w:val="20"/>
          <w:lang w:val="en-AU"/>
        </w:rPr>
        <w:t xml:space="preserve">The </w:t>
      </w:r>
      <w:r w:rsidRPr="007E7799">
        <w:rPr>
          <w:rFonts w:ascii="Calibri" w:eastAsia="Calibri" w:hAnsi="Calibri" w:cs="Calibri"/>
          <w:szCs w:val="20"/>
          <w:lang w:val="en-AU"/>
        </w:rPr>
        <w:t>objective</w:t>
      </w:r>
      <w:r>
        <w:rPr>
          <w:rFonts w:ascii="Calibri" w:eastAsia="Calibri" w:hAnsi="Calibri" w:cs="Calibri"/>
          <w:szCs w:val="20"/>
          <w:lang w:val="en-AU"/>
        </w:rPr>
        <w:t>s of government action in this matter are “</w:t>
      </w:r>
      <w:r w:rsidRPr="007E7799">
        <w:rPr>
          <w:rFonts w:ascii="Calibri" w:eastAsia="Calibri" w:hAnsi="Calibri" w:cs="Calibri"/>
          <w:szCs w:val="20"/>
          <w:lang w:val="en-AU"/>
        </w:rPr>
        <w:t>to contribute to reducing the future investment requirements for electricity network, generation and transmission infrastructure due to growth in peak electricity demand, and to address network costs arising from the rapid growth in customer-side renewable generation, by facilitating development of the demand response market.</w:t>
      </w:r>
      <w:r>
        <w:rPr>
          <w:rFonts w:ascii="Calibri" w:eastAsia="Calibri" w:hAnsi="Calibri" w:cs="Calibri"/>
          <w:szCs w:val="20"/>
          <w:lang w:val="en-AU"/>
        </w:rPr>
        <w:t>”</w:t>
      </w:r>
    </w:p>
    <w:p w14:paraId="3B3B6280" w14:textId="1A8BBBAE" w:rsidR="00A37634" w:rsidRDefault="007E7799" w:rsidP="00E81815">
      <w:pPr>
        <w:spacing w:after="120" w:line="276" w:lineRule="auto"/>
        <w:rPr>
          <w:rFonts w:ascii="Calibri" w:eastAsia="Calibri" w:hAnsi="Calibri" w:cs="Calibri"/>
          <w:szCs w:val="20"/>
          <w:lang w:val="en-AU"/>
        </w:rPr>
      </w:pPr>
      <w:r>
        <w:rPr>
          <w:rFonts w:ascii="Calibri" w:eastAsia="Calibri" w:hAnsi="Calibri" w:cs="Calibri"/>
          <w:szCs w:val="20"/>
          <w:lang w:val="en-AU"/>
        </w:rPr>
        <w:t>A Consultation Paper released in August 2019 considered three options</w:t>
      </w:r>
      <w:r w:rsidR="00C11AFB">
        <w:rPr>
          <w:rFonts w:ascii="Calibri" w:eastAsia="Calibri" w:hAnsi="Calibri" w:cs="Calibri"/>
          <w:szCs w:val="20"/>
          <w:lang w:val="en-AU"/>
        </w:rPr>
        <w:t>, and assessed the degree to which they could achieve</w:t>
      </w:r>
      <w:r>
        <w:rPr>
          <w:rFonts w:ascii="Calibri" w:eastAsia="Calibri" w:hAnsi="Calibri" w:cs="Calibri"/>
          <w:szCs w:val="20"/>
          <w:lang w:val="en-AU"/>
        </w:rPr>
        <w:t xml:space="preserve"> </w:t>
      </w:r>
      <w:r w:rsidR="00C11AFB">
        <w:rPr>
          <w:rFonts w:ascii="Calibri" w:eastAsia="Calibri" w:hAnsi="Calibri" w:cs="Calibri"/>
          <w:szCs w:val="20"/>
          <w:lang w:val="en-AU"/>
        </w:rPr>
        <w:t xml:space="preserve">the above objectives: </w:t>
      </w:r>
      <w:r>
        <w:rPr>
          <w:rFonts w:ascii="Calibri" w:eastAsia="Calibri" w:hAnsi="Calibri" w:cs="Calibri"/>
          <w:szCs w:val="20"/>
          <w:lang w:val="en-AU"/>
        </w:rPr>
        <w:t xml:space="preserve"> </w:t>
      </w:r>
    </w:p>
    <w:p w14:paraId="1EC621DC" w14:textId="57CD5E8A" w:rsidR="007E7799" w:rsidRPr="00C11AFB" w:rsidRDefault="007E7799" w:rsidP="00C11AFB">
      <w:pPr>
        <w:pStyle w:val="ListParagraph"/>
        <w:numPr>
          <w:ilvl w:val="0"/>
          <w:numId w:val="29"/>
        </w:numPr>
        <w:rPr>
          <w:rFonts w:eastAsia="Calibri" w:cs="Calibri"/>
        </w:rPr>
      </w:pPr>
      <w:r w:rsidRPr="00C11AFB">
        <w:rPr>
          <w:rFonts w:eastAsia="Calibri" w:cs="Calibri"/>
        </w:rPr>
        <w:t>Business as Usual (BAU) – no new regulations;</w:t>
      </w:r>
    </w:p>
    <w:p w14:paraId="320DC984" w14:textId="4F75C9E8" w:rsidR="007E7799" w:rsidRPr="00C11AFB" w:rsidRDefault="007E7799" w:rsidP="00C11AFB">
      <w:pPr>
        <w:pStyle w:val="ListParagraph"/>
        <w:numPr>
          <w:ilvl w:val="0"/>
          <w:numId w:val="29"/>
        </w:numPr>
        <w:rPr>
          <w:rFonts w:eastAsia="Calibri" w:cs="Calibri"/>
        </w:rPr>
      </w:pPr>
      <w:r w:rsidRPr="00C11AFB">
        <w:rPr>
          <w:rFonts w:eastAsia="Calibri" w:cs="Calibri"/>
        </w:rPr>
        <w:t xml:space="preserve">Encourage the voluntary adoption of demand responsive appliances; or </w:t>
      </w:r>
    </w:p>
    <w:p w14:paraId="0C51540F" w14:textId="62E9C629" w:rsidR="00E81815" w:rsidRDefault="007E7799" w:rsidP="00C11AFB">
      <w:pPr>
        <w:pStyle w:val="ListParagraph"/>
        <w:numPr>
          <w:ilvl w:val="0"/>
          <w:numId w:val="29"/>
        </w:numPr>
        <w:rPr>
          <w:rFonts w:eastAsia="Calibri" w:cs="Calibri"/>
        </w:rPr>
      </w:pPr>
      <w:r w:rsidRPr="00C11AFB">
        <w:rPr>
          <w:rFonts w:eastAsia="Calibri" w:cs="Calibri"/>
        </w:rPr>
        <w:t>Mandate the presence of DR capabilities in the products which contribute (or are likely to contribute) most to peak demand, and for the products where DR could help alleviate network and power quality problems.</w:t>
      </w:r>
    </w:p>
    <w:p w14:paraId="3D640CF4" w14:textId="28A10F65" w:rsidR="00C11AFB" w:rsidRPr="00C11AFB" w:rsidRDefault="00C11AFB" w:rsidP="00C11AFB">
      <w:pPr>
        <w:rPr>
          <w:rFonts w:eastAsia="Calibri" w:cs="Calibri"/>
        </w:rPr>
      </w:pPr>
      <w:r>
        <w:rPr>
          <w:rFonts w:eastAsia="Calibri" w:cs="Calibri"/>
        </w:rPr>
        <w:t xml:space="preserve">The Consultation Paper proposed that the DR capability of </w:t>
      </w:r>
      <w:r w:rsidR="00484506">
        <w:rPr>
          <w:rFonts w:eastAsia="Calibri" w:cs="Calibri"/>
        </w:rPr>
        <w:t xml:space="preserve">residential </w:t>
      </w:r>
      <w:r w:rsidR="005B199A">
        <w:rPr>
          <w:rFonts w:eastAsia="Calibri" w:cs="Calibri"/>
        </w:rPr>
        <w:t>ACs</w:t>
      </w:r>
      <w:r w:rsidR="00484506">
        <w:rPr>
          <w:rFonts w:eastAsia="Calibri" w:cs="Calibri"/>
        </w:rPr>
        <w:t xml:space="preserve">, electric storage water heaters, pool pump controllers and </w:t>
      </w:r>
      <w:r w:rsidR="005B199A">
        <w:rPr>
          <w:rFonts w:eastAsia="Calibri" w:cs="Calibri"/>
        </w:rPr>
        <w:t xml:space="preserve">EV </w:t>
      </w:r>
      <w:r w:rsidR="00484506">
        <w:rPr>
          <w:rFonts w:eastAsia="Calibri" w:cs="Calibri"/>
        </w:rPr>
        <w:t xml:space="preserve">chargers </w:t>
      </w:r>
      <w:r>
        <w:rPr>
          <w:rFonts w:eastAsia="Calibri" w:cs="Calibri"/>
        </w:rPr>
        <w:t>should be mandated under the GEMS Act 2012, as requirement</w:t>
      </w:r>
      <w:r w:rsidR="001B2690">
        <w:rPr>
          <w:rFonts w:eastAsia="Calibri" w:cs="Calibri"/>
        </w:rPr>
        <w:t>s</w:t>
      </w:r>
      <w:r>
        <w:rPr>
          <w:rFonts w:eastAsia="Calibri" w:cs="Calibri"/>
        </w:rPr>
        <w:t xml:space="preserve"> to comply with the relevant parts of AS/NZS 4755, </w:t>
      </w:r>
      <w:r w:rsidRPr="00C11AFB">
        <w:rPr>
          <w:rFonts w:eastAsia="Calibri" w:cs="Calibri"/>
          <w:i/>
          <w:iCs/>
        </w:rPr>
        <w:t>Demand response capabilities and supporting technologies for electrical products</w:t>
      </w:r>
      <w:r w:rsidRPr="00C11AFB">
        <w:rPr>
          <w:rFonts w:eastAsia="Calibri" w:cs="Calibri"/>
        </w:rPr>
        <w:t>.</w:t>
      </w:r>
      <w:r>
        <w:rPr>
          <w:rFonts w:eastAsia="Calibri" w:cs="Calibri"/>
        </w:rPr>
        <w:t xml:space="preserve"> Compliance with this standard is verifiable by testing randomly selected </w:t>
      </w:r>
      <w:r w:rsidR="00484506">
        <w:rPr>
          <w:rFonts w:eastAsia="Calibri" w:cs="Calibri"/>
        </w:rPr>
        <w:t>products</w:t>
      </w:r>
      <w:r>
        <w:rPr>
          <w:rFonts w:eastAsia="Calibri" w:cs="Calibri"/>
        </w:rPr>
        <w:t xml:space="preserve">, </w:t>
      </w:r>
      <w:proofErr w:type="gramStart"/>
      <w:r>
        <w:rPr>
          <w:rFonts w:eastAsia="Calibri" w:cs="Calibri"/>
        </w:rPr>
        <w:t>similar to</w:t>
      </w:r>
      <w:proofErr w:type="gramEnd"/>
      <w:r>
        <w:rPr>
          <w:rFonts w:eastAsia="Calibri" w:cs="Calibri"/>
        </w:rPr>
        <w:t xml:space="preserve"> the testing of compliance with minimum energy performance standards. </w:t>
      </w:r>
    </w:p>
    <w:p w14:paraId="703EA5B5" w14:textId="4AD2DD5A" w:rsidR="00A37634" w:rsidRDefault="00C11AFB" w:rsidP="00A37634">
      <w:pPr>
        <w:spacing w:after="120" w:line="276" w:lineRule="auto"/>
        <w:rPr>
          <w:rFonts w:ascii="Calibri" w:eastAsia="Calibri" w:hAnsi="Calibri" w:cs="Calibri"/>
          <w:szCs w:val="20"/>
          <w:lang w:val="en-AU"/>
        </w:rPr>
      </w:pPr>
      <w:r>
        <w:rPr>
          <w:rFonts w:ascii="Calibri" w:eastAsia="Calibri" w:hAnsi="Calibri" w:cs="Calibri"/>
          <w:szCs w:val="20"/>
          <w:lang w:val="en-AU"/>
        </w:rPr>
        <w:t>Public Submissions were invited on the Consultation Paper (as response</w:t>
      </w:r>
      <w:r w:rsidR="001B2690">
        <w:rPr>
          <w:rFonts w:ascii="Calibri" w:eastAsia="Calibri" w:hAnsi="Calibri" w:cs="Calibri"/>
          <w:szCs w:val="20"/>
          <w:lang w:val="en-AU"/>
        </w:rPr>
        <w:t>s</w:t>
      </w:r>
      <w:r>
        <w:rPr>
          <w:rFonts w:ascii="Calibri" w:eastAsia="Calibri" w:hAnsi="Calibri" w:cs="Calibri"/>
          <w:szCs w:val="20"/>
          <w:lang w:val="en-AU"/>
        </w:rPr>
        <w:t xml:space="preserve"> to 28 questions). The submissions are summarised in Chapter 6. Following consideration of the submissions</w:t>
      </w:r>
      <w:r w:rsidR="005B199A">
        <w:rPr>
          <w:rFonts w:ascii="Calibri" w:eastAsia="Calibri" w:hAnsi="Calibri" w:cs="Calibri"/>
          <w:szCs w:val="20"/>
          <w:lang w:val="en-AU"/>
        </w:rPr>
        <w:t>,</w:t>
      </w:r>
      <w:r>
        <w:rPr>
          <w:rFonts w:ascii="Calibri" w:eastAsia="Calibri" w:hAnsi="Calibri" w:cs="Calibri"/>
          <w:szCs w:val="20"/>
          <w:lang w:val="en-AU"/>
        </w:rPr>
        <w:t xml:space="preserve"> it is concluded that Option 3 remains the preferred option, subject to some modification to accommodate the responses and interests of stakeholders. </w:t>
      </w:r>
    </w:p>
    <w:p w14:paraId="51D37461" w14:textId="06777DA6" w:rsidR="00C11AFB" w:rsidRDefault="00C11AFB" w:rsidP="00A37634">
      <w:pPr>
        <w:spacing w:after="120" w:line="276" w:lineRule="auto"/>
        <w:rPr>
          <w:rFonts w:ascii="Calibri" w:eastAsia="Calibri" w:hAnsi="Calibri" w:cs="Calibri"/>
          <w:szCs w:val="20"/>
          <w:lang w:val="en-AU"/>
        </w:rPr>
      </w:pPr>
      <w:r>
        <w:rPr>
          <w:rFonts w:ascii="Calibri" w:eastAsia="Calibri" w:hAnsi="Calibri" w:cs="Calibri"/>
          <w:szCs w:val="20"/>
          <w:lang w:val="en-AU"/>
        </w:rPr>
        <w:t xml:space="preserve">Therefore, it is recommended that </w:t>
      </w:r>
      <w:r w:rsidR="005B199A">
        <w:rPr>
          <w:rFonts w:ascii="Calibri" w:eastAsia="Calibri" w:hAnsi="Calibri" w:cs="Calibri"/>
          <w:szCs w:val="20"/>
          <w:lang w:val="en-AU"/>
        </w:rPr>
        <w:t xml:space="preserve">the </w:t>
      </w:r>
      <w:r w:rsidR="00E046B3">
        <w:rPr>
          <w:rFonts w:ascii="Calibri" w:eastAsia="Calibri" w:hAnsi="Calibri" w:cs="Calibri"/>
          <w:szCs w:val="20"/>
          <w:lang w:val="en-AU"/>
        </w:rPr>
        <w:t xml:space="preserve">COAG Energy Council approve the following compliance requirements and target dates: </w:t>
      </w:r>
    </w:p>
    <w:p w14:paraId="0E6FB34C" w14:textId="75D660D4" w:rsidR="00E046B3" w:rsidRPr="00E046B3" w:rsidRDefault="00E046B3" w:rsidP="00E046B3">
      <w:pPr>
        <w:rPr>
          <w:lang w:val="en-AU"/>
        </w:rPr>
      </w:pPr>
      <w:r w:rsidRPr="00E046B3">
        <w:rPr>
          <w:lang w:val="en-AU"/>
        </w:rPr>
        <w:t>1.</w:t>
      </w:r>
      <w:r w:rsidR="00494A11">
        <w:rPr>
          <w:lang w:val="en-AU"/>
        </w:rPr>
        <w:t xml:space="preserve">COAG Energy Council </w:t>
      </w:r>
      <w:r w:rsidRPr="00E046B3">
        <w:rPr>
          <w:lang w:val="en-AU"/>
        </w:rPr>
        <w:t>endorse</w:t>
      </w:r>
      <w:r w:rsidR="00494A11">
        <w:rPr>
          <w:lang w:val="en-AU"/>
        </w:rPr>
        <w:t>s</w:t>
      </w:r>
      <w:r w:rsidRPr="00E046B3">
        <w:rPr>
          <w:lang w:val="en-AU"/>
        </w:rPr>
        <w:t xml:space="preserve"> the adoption of nationally applicable, public, non-proprietary standards for demand response for air conditioners</w:t>
      </w:r>
      <w:r w:rsidR="005B199A">
        <w:rPr>
          <w:lang w:val="en-AU"/>
        </w:rPr>
        <w:t xml:space="preserve"> (ACs)</w:t>
      </w:r>
      <w:r w:rsidRPr="00E046B3">
        <w:rPr>
          <w:lang w:val="en-AU"/>
        </w:rPr>
        <w:t xml:space="preserve">, electric storage water heaters, pool pump controllers and electric vehicle (EV) chargers intended </w:t>
      </w:r>
      <w:r>
        <w:rPr>
          <w:lang w:val="en-AU"/>
        </w:rPr>
        <w:t xml:space="preserve">for </w:t>
      </w:r>
      <w:r w:rsidRPr="00E046B3">
        <w:rPr>
          <w:lang w:val="en-AU"/>
        </w:rPr>
        <w:t xml:space="preserve">residential use. </w:t>
      </w:r>
    </w:p>
    <w:p w14:paraId="6E3E360F" w14:textId="77777777" w:rsidR="00E046B3" w:rsidRPr="00E046B3" w:rsidRDefault="00E046B3" w:rsidP="00E046B3">
      <w:pPr>
        <w:rPr>
          <w:b/>
          <w:bCs/>
          <w:lang w:val="en-AU"/>
        </w:rPr>
      </w:pPr>
      <w:r w:rsidRPr="00E046B3">
        <w:rPr>
          <w:b/>
          <w:bCs/>
          <w:lang w:val="en-AU"/>
        </w:rPr>
        <w:t xml:space="preserve">Air conditioners </w:t>
      </w:r>
    </w:p>
    <w:p w14:paraId="63ACDA47" w14:textId="19C3D435" w:rsidR="00E046B3" w:rsidRPr="00E046B3" w:rsidRDefault="00E046B3" w:rsidP="00E046B3">
      <w:pPr>
        <w:rPr>
          <w:lang w:val="en-AU"/>
        </w:rPr>
      </w:pPr>
      <w:r w:rsidRPr="00E046B3">
        <w:rPr>
          <w:lang w:val="en-AU"/>
        </w:rPr>
        <w:t xml:space="preserve">2. </w:t>
      </w:r>
      <w:r w:rsidR="001F3E44">
        <w:rPr>
          <w:lang w:val="en-AU"/>
        </w:rPr>
        <w:t xml:space="preserve">Air conditioners to comply with </w:t>
      </w:r>
      <w:r w:rsidRPr="00E046B3">
        <w:rPr>
          <w:u w:val="single"/>
          <w:lang w:val="en-AU"/>
        </w:rPr>
        <w:t xml:space="preserve">any </w:t>
      </w:r>
      <w:r w:rsidRPr="00E046B3">
        <w:rPr>
          <w:lang w:val="en-AU"/>
        </w:rPr>
        <w:t xml:space="preserve">of the following </w:t>
      </w:r>
      <w:r w:rsidR="001F3E44">
        <w:rPr>
          <w:lang w:val="en-AU"/>
        </w:rPr>
        <w:t>standards:</w:t>
      </w:r>
    </w:p>
    <w:p w14:paraId="793EC74E" w14:textId="77777777" w:rsidR="00E046B3" w:rsidRPr="00E046B3" w:rsidRDefault="00E046B3" w:rsidP="00DB27CB">
      <w:pPr>
        <w:pStyle w:val="ListParagraph"/>
        <w:numPr>
          <w:ilvl w:val="0"/>
          <w:numId w:val="32"/>
        </w:numPr>
      </w:pPr>
      <w:r w:rsidRPr="00E046B3">
        <w:t>AS/NZS 4755.3.1:2014; or</w:t>
      </w:r>
    </w:p>
    <w:p w14:paraId="424DBDEC" w14:textId="08B0C5CE" w:rsidR="00E046B3" w:rsidRDefault="00E046B3" w:rsidP="00DB27CB">
      <w:pPr>
        <w:pStyle w:val="ListParagraph"/>
        <w:numPr>
          <w:ilvl w:val="0"/>
          <w:numId w:val="32"/>
        </w:numPr>
      </w:pPr>
      <w:r w:rsidRPr="00E046B3">
        <w:t>AS/NZS 4755.2</w:t>
      </w:r>
      <w:r>
        <w:t xml:space="preserve"> (when published); or </w:t>
      </w:r>
    </w:p>
    <w:p w14:paraId="227FC2AC" w14:textId="7585E785" w:rsidR="00E046B3" w:rsidRPr="00E046B3" w:rsidRDefault="00E046B3" w:rsidP="00DB27CB">
      <w:pPr>
        <w:pStyle w:val="ListParagraph"/>
        <w:numPr>
          <w:ilvl w:val="0"/>
          <w:numId w:val="32"/>
        </w:numPr>
      </w:pPr>
      <w:r w:rsidRPr="00E046B3">
        <w:t>The equivalent of the superseded AS/NZS 4755.3.1:2012 (for a limited period of 2 years</w:t>
      </w:r>
      <w:r w:rsidR="001B2690">
        <w:t xml:space="preserve"> from the Determination</w:t>
      </w:r>
      <w:r w:rsidRPr="00E046B3">
        <w:t>).</w:t>
      </w:r>
    </w:p>
    <w:p w14:paraId="33F6D951" w14:textId="6825C6E9" w:rsidR="00E046B3" w:rsidRDefault="00E046B3" w:rsidP="00E046B3">
      <w:pPr>
        <w:rPr>
          <w:lang w:val="en-AU"/>
        </w:rPr>
      </w:pPr>
      <w:r w:rsidRPr="00E046B3">
        <w:rPr>
          <w:lang w:val="en-AU"/>
        </w:rPr>
        <w:lastRenderedPageBreak/>
        <w:t>3. Compliance with three demand response modes (DRM1, DRM2, DRM3) to be required, for all air conditioner types subject to MEPS (excluding portable</w:t>
      </w:r>
      <w:r w:rsidR="001B2690">
        <w:rPr>
          <w:lang w:val="en-AU"/>
        </w:rPr>
        <w:t xml:space="preserve"> air conditioners</w:t>
      </w:r>
      <w:r w:rsidRPr="00E046B3">
        <w:rPr>
          <w:lang w:val="en-AU"/>
        </w:rPr>
        <w:t>)</w:t>
      </w:r>
      <w:r>
        <w:rPr>
          <w:lang w:val="en-AU"/>
        </w:rPr>
        <w:t>,</w:t>
      </w:r>
      <w:r w:rsidRPr="00E046B3">
        <w:rPr>
          <w:lang w:val="en-AU"/>
        </w:rPr>
        <w:t xml:space="preserve"> up to a cooling capacity of 19kW inclusive</w:t>
      </w:r>
      <w:r>
        <w:rPr>
          <w:lang w:val="en-AU"/>
        </w:rPr>
        <w:t xml:space="preserve">, </w:t>
      </w:r>
      <w:r w:rsidRPr="00E046B3">
        <w:rPr>
          <w:lang w:val="en-AU"/>
        </w:rPr>
        <w:t xml:space="preserve">registered after </w:t>
      </w:r>
      <w:r w:rsidR="001B2690">
        <w:rPr>
          <w:lang w:val="en-AU"/>
        </w:rPr>
        <w:t xml:space="preserve">30 June </w:t>
      </w:r>
      <w:r w:rsidRPr="00E046B3">
        <w:rPr>
          <w:lang w:val="en-AU"/>
        </w:rPr>
        <w:t>2023</w:t>
      </w:r>
      <w:r>
        <w:rPr>
          <w:lang w:val="en-AU"/>
        </w:rPr>
        <w:t>.</w:t>
      </w:r>
    </w:p>
    <w:p w14:paraId="1E44FF70" w14:textId="50F0D97A" w:rsidR="00E046B3" w:rsidRDefault="00E046B3" w:rsidP="00E046B3">
      <w:pPr>
        <w:rPr>
          <w:lang w:val="en-AU"/>
        </w:rPr>
      </w:pPr>
      <w:r>
        <w:rPr>
          <w:lang w:val="en-AU"/>
        </w:rPr>
        <w:t xml:space="preserve">5. </w:t>
      </w:r>
      <w:r w:rsidR="001F3E44">
        <w:rPr>
          <w:lang w:val="en-AU"/>
        </w:rPr>
        <w:t>This option of complying with t</w:t>
      </w:r>
      <w:r w:rsidR="001F3E44" w:rsidRPr="00E046B3">
        <w:rPr>
          <w:lang w:val="en-AU"/>
        </w:rPr>
        <w:t>he equivalent of the superseded AS/NZS 4755.3.1:2012</w:t>
      </w:r>
      <w:r w:rsidR="001F3E44">
        <w:rPr>
          <w:lang w:val="en-AU"/>
        </w:rPr>
        <w:t xml:space="preserve"> to be no longe</w:t>
      </w:r>
      <w:r w:rsidR="001B2690">
        <w:rPr>
          <w:lang w:val="en-AU"/>
        </w:rPr>
        <w:t>r</w:t>
      </w:r>
      <w:r w:rsidR="001F3E44">
        <w:rPr>
          <w:lang w:val="en-AU"/>
        </w:rPr>
        <w:t xml:space="preserve"> available for products registered after 30 June 2025; </w:t>
      </w:r>
      <w:r w:rsidR="001F3E44" w:rsidRPr="00E046B3">
        <w:rPr>
          <w:lang w:val="en-AU"/>
        </w:rPr>
        <w:t xml:space="preserve"> </w:t>
      </w:r>
      <w:r w:rsidR="001F3E44">
        <w:rPr>
          <w:lang w:val="en-AU"/>
        </w:rPr>
        <w:t xml:space="preserve"> </w:t>
      </w:r>
    </w:p>
    <w:p w14:paraId="55856C36" w14:textId="2B38C20D" w:rsidR="00E046B3" w:rsidRPr="00E046B3" w:rsidRDefault="00E046B3" w:rsidP="00E046B3">
      <w:pPr>
        <w:rPr>
          <w:lang w:val="en-AU"/>
        </w:rPr>
      </w:pPr>
      <w:r>
        <w:rPr>
          <w:lang w:val="en-AU"/>
        </w:rPr>
        <w:t xml:space="preserve">6. A </w:t>
      </w:r>
      <w:r w:rsidRPr="00E046B3">
        <w:rPr>
          <w:lang w:val="en-AU"/>
        </w:rPr>
        <w:t xml:space="preserve">determination </w:t>
      </w:r>
      <w:r w:rsidR="001F3E44">
        <w:rPr>
          <w:lang w:val="en-AU"/>
        </w:rPr>
        <w:t xml:space="preserve">to give effect to the above to be made by </w:t>
      </w:r>
      <w:r w:rsidRPr="00E046B3">
        <w:rPr>
          <w:lang w:val="en-AU"/>
        </w:rPr>
        <w:t xml:space="preserve">1 July 2021. </w:t>
      </w:r>
    </w:p>
    <w:p w14:paraId="7A9526B6" w14:textId="77777777" w:rsidR="00E046B3" w:rsidRPr="00E046B3" w:rsidRDefault="00E046B3" w:rsidP="00E046B3">
      <w:pPr>
        <w:rPr>
          <w:b/>
          <w:bCs/>
          <w:lang w:val="en-AU"/>
        </w:rPr>
      </w:pPr>
      <w:r w:rsidRPr="00E046B3">
        <w:rPr>
          <w:b/>
          <w:bCs/>
          <w:lang w:val="en-AU"/>
        </w:rPr>
        <w:t>Electric Storage Water Heaters (Resistive Heating)</w:t>
      </w:r>
    </w:p>
    <w:p w14:paraId="46FAFED1" w14:textId="0CBFED6D" w:rsidR="00E046B3" w:rsidRPr="00E046B3" w:rsidRDefault="001F3E44" w:rsidP="00E046B3">
      <w:pPr>
        <w:rPr>
          <w:lang w:val="en-AU"/>
        </w:rPr>
      </w:pPr>
      <w:r>
        <w:rPr>
          <w:lang w:val="en-AU"/>
        </w:rPr>
        <w:t>7. Electric Storage Water Heaters</w:t>
      </w:r>
      <w:r w:rsidR="00E046B3" w:rsidRPr="00E046B3">
        <w:rPr>
          <w:lang w:val="en-AU"/>
        </w:rPr>
        <w:t xml:space="preserve"> </w:t>
      </w:r>
      <w:r>
        <w:rPr>
          <w:lang w:val="en-AU"/>
        </w:rPr>
        <w:t>to comply with either of the following standards</w:t>
      </w:r>
      <w:r w:rsidR="00E046B3" w:rsidRPr="00E046B3">
        <w:rPr>
          <w:lang w:val="en-AU"/>
        </w:rPr>
        <w:t>:</w:t>
      </w:r>
    </w:p>
    <w:p w14:paraId="260E6494" w14:textId="77777777" w:rsidR="00E046B3" w:rsidRPr="00E046B3" w:rsidRDefault="00E046B3" w:rsidP="00DB27CB">
      <w:pPr>
        <w:pStyle w:val="ListParagraph"/>
        <w:numPr>
          <w:ilvl w:val="0"/>
          <w:numId w:val="32"/>
        </w:numPr>
      </w:pPr>
      <w:r w:rsidRPr="00E046B3">
        <w:t>AS/NZS 4755.3.3:2014; or</w:t>
      </w:r>
    </w:p>
    <w:p w14:paraId="113554A4" w14:textId="26EDBCBF" w:rsidR="00E046B3" w:rsidRPr="00E046B3" w:rsidRDefault="00E046B3" w:rsidP="00DB27CB">
      <w:pPr>
        <w:pStyle w:val="ListParagraph"/>
        <w:numPr>
          <w:ilvl w:val="0"/>
          <w:numId w:val="32"/>
        </w:numPr>
      </w:pPr>
      <w:r w:rsidRPr="00E046B3">
        <w:t>AS/NZS 4755.2</w:t>
      </w:r>
      <w:r w:rsidR="001F3E44">
        <w:t xml:space="preserve"> (when published)</w:t>
      </w:r>
      <w:r w:rsidRPr="00E046B3">
        <w:t xml:space="preserve">.  </w:t>
      </w:r>
    </w:p>
    <w:p w14:paraId="45FCC702" w14:textId="4C64307A" w:rsidR="00E046B3" w:rsidRPr="00E046B3" w:rsidRDefault="001F3E44" w:rsidP="00E046B3">
      <w:pPr>
        <w:rPr>
          <w:lang w:val="en-AU"/>
        </w:rPr>
      </w:pPr>
      <w:r>
        <w:rPr>
          <w:lang w:val="en-AU"/>
        </w:rPr>
        <w:t>8</w:t>
      </w:r>
      <w:r w:rsidR="00E046B3" w:rsidRPr="00E046B3">
        <w:rPr>
          <w:lang w:val="en-AU"/>
        </w:rPr>
        <w:t xml:space="preserve">. Compliance with demand response mode </w:t>
      </w:r>
      <w:r w:rsidR="001B2690">
        <w:rPr>
          <w:lang w:val="en-AU"/>
        </w:rPr>
        <w:t xml:space="preserve">1 </w:t>
      </w:r>
      <w:r w:rsidR="00E046B3" w:rsidRPr="00E046B3">
        <w:rPr>
          <w:lang w:val="en-AU"/>
        </w:rPr>
        <w:t>(DRM1) to be required, for electric storage water heaters of 50 to 710 litres (inclusive) nominal capacity</w:t>
      </w:r>
      <w:r>
        <w:rPr>
          <w:lang w:val="en-AU"/>
        </w:rPr>
        <w:t xml:space="preserve"> subject to MEPS</w:t>
      </w:r>
      <w:r w:rsidR="00E046B3" w:rsidRPr="00E046B3">
        <w:rPr>
          <w:lang w:val="en-AU"/>
        </w:rPr>
        <w:t xml:space="preserve"> (excluding heat exchange water heaters)</w:t>
      </w:r>
      <w:r>
        <w:rPr>
          <w:lang w:val="en-AU"/>
        </w:rPr>
        <w:t>, registered after 1 July 2023.</w:t>
      </w:r>
      <w:r w:rsidR="00E046B3" w:rsidRPr="00E046B3">
        <w:rPr>
          <w:lang w:val="en-AU"/>
        </w:rPr>
        <w:t xml:space="preserve"> </w:t>
      </w:r>
      <w:r w:rsidR="001B2690">
        <w:rPr>
          <w:lang w:val="en-AU"/>
        </w:rPr>
        <w:t>(Other DRMs are optional).</w:t>
      </w:r>
      <w:r w:rsidR="00E046B3" w:rsidRPr="00E046B3">
        <w:rPr>
          <w:lang w:val="en-AU"/>
        </w:rPr>
        <w:t xml:space="preserve"> </w:t>
      </w:r>
    </w:p>
    <w:p w14:paraId="0D6B70BF" w14:textId="0EA6AC9D" w:rsidR="00E046B3" w:rsidRPr="00E046B3" w:rsidRDefault="001F3E44" w:rsidP="00E046B3">
      <w:pPr>
        <w:rPr>
          <w:lang w:val="en-AU"/>
        </w:rPr>
      </w:pPr>
      <w:r>
        <w:rPr>
          <w:lang w:val="en-AU"/>
        </w:rPr>
        <w:t>9</w:t>
      </w:r>
      <w:r w:rsidR="00E046B3" w:rsidRPr="00E046B3">
        <w:rPr>
          <w:lang w:val="en-AU"/>
        </w:rPr>
        <w:t xml:space="preserve">. </w:t>
      </w:r>
      <w:r w:rsidRPr="001F3E44">
        <w:rPr>
          <w:lang w:val="en-AU"/>
        </w:rPr>
        <w:t>A determination to give effect to the above to be made by 1 July 2021</w:t>
      </w:r>
      <w:r>
        <w:rPr>
          <w:lang w:val="en-AU"/>
        </w:rPr>
        <w:t>.</w:t>
      </w:r>
    </w:p>
    <w:p w14:paraId="6DD0FAC5" w14:textId="77777777" w:rsidR="00E046B3" w:rsidRPr="00E046B3" w:rsidRDefault="00E046B3" w:rsidP="00E046B3">
      <w:pPr>
        <w:rPr>
          <w:b/>
          <w:bCs/>
          <w:lang w:val="en-AU"/>
        </w:rPr>
      </w:pPr>
      <w:r w:rsidRPr="00E046B3">
        <w:rPr>
          <w:b/>
          <w:bCs/>
          <w:lang w:val="en-AU"/>
        </w:rPr>
        <w:t>Devices controlling swimming pool pump-units</w:t>
      </w:r>
    </w:p>
    <w:p w14:paraId="053137EE" w14:textId="410C6DBF" w:rsidR="00E046B3" w:rsidRPr="00E046B3" w:rsidRDefault="001F3E44" w:rsidP="00E046B3">
      <w:pPr>
        <w:rPr>
          <w:lang w:val="en-AU"/>
        </w:rPr>
      </w:pPr>
      <w:r>
        <w:rPr>
          <w:lang w:val="en-AU"/>
        </w:rPr>
        <w:t>10</w:t>
      </w:r>
      <w:r w:rsidR="00E046B3" w:rsidRPr="00E046B3">
        <w:rPr>
          <w:lang w:val="en-AU"/>
        </w:rPr>
        <w:t xml:space="preserve">. </w:t>
      </w:r>
      <w:r>
        <w:rPr>
          <w:lang w:val="en-AU"/>
        </w:rPr>
        <w:t>D</w:t>
      </w:r>
      <w:r w:rsidRPr="00A41C48">
        <w:rPr>
          <w:rFonts w:ascii="Calibri" w:eastAsia="Calibri" w:hAnsi="Calibri" w:cs="Calibri"/>
          <w:szCs w:val="20"/>
          <w:lang w:val="en-AU"/>
        </w:rPr>
        <w:t>evices controlling swimming pool pump-unit</w:t>
      </w:r>
      <w:r>
        <w:rPr>
          <w:rFonts w:ascii="Calibri" w:eastAsia="Calibri" w:hAnsi="Calibri" w:cs="Calibri"/>
          <w:szCs w:val="20"/>
          <w:lang w:val="en-AU"/>
        </w:rPr>
        <w:t>s</w:t>
      </w:r>
      <w:r w:rsidRPr="001F3E44">
        <w:rPr>
          <w:lang w:val="en-AU"/>
        </w:rPr>
        <w:t xml:space="preserve"> </w:t>
      </w:r>
      <w:r>
        <w:rPr>
          <w:lang w:val="en-AU"/>
        </w:rPr>
        <w:t>(as defined in AS/NZS 4755.3.3:2014) to comply with either of the following standards</w:t>
      </w:r>
      <w:r w:rsidR="00E046B3" w:rsidRPr="00E046B3">
        <w:rPr>
          <w:lang w:val="en-AU"/>
        </w:rPr>
        <w:t>:</w:t>
      </w:r>
    </w:p>
    <w:p w14:paraId="4C3B495A" w14:textId="77777777" w:rsidR="00E046B3" w:rsidRPr="00E046B3" w:rsidRDefault="00E046B3" w:rsidP="00DB27CB">
      <w:pPr>
        <w:pStyle w:val="ListParagraph"/>
        <w:numPr>
          <w:ilvl w:val="0"/>
          <w:numId w:val="32"/>
        </w:numPr>
      </w:pPr>
      <w:bookmarkStart w:id="133" w:name="_Hlk22402290"/>
      <w:r w:rsidRPr="00E046B3">
        <w:t>AS/NZS 4755.3.2:2014; or</w:t>
      </w:r>
    </w:p>
    <w:p w14:paraId="1979DBC3" w14:textId="41B8DFA6" w:rsidR="00E046B3" w:rsidRPr="00E046B3" w:rsidRDefault="00E046B3" w:rsidP="00DB27CB">
      <w:pPr>
        <w:pStyle w:val="ListParagraph"/>
        <w:numPr>
          <w:ilvl w:val="0"/>
          <w:numId w:val="32"/>
        </w:numPr>
      </w:pPr>
      <w:r w:rsidRPr="00E046B3">
        <w:t>AS/NZS 4755.2</w:t>
      </w:r>
      <w:r w:rsidR="00F94AFB">
        <w:t xml:space="preserve"> (when published)</w:t>
      </w:r>
      <w:r w:rsidRPr="00E046B3">
        <w:t xml:space="preserve">.  </w:t>
      </w:r>
    </w:p>
    <w:p w14:paraId="75877D02" w14:textId="3AA48AD1" w:rsidR="00F94AFB" w:rsidRDefault="00F94AFB" w:rsidP="00E046B3">
      <w:pPr>
        <w:rPr>
          <w:lang w:val="en-AU"/>
        </w:rPr>
      </w:pPr>
      <w:bookmarkStart w:id="134" w:name="_Hlk22402460"/>
      <w:bookmarkEnd w:id="133"/>
      <w:r>
        <w:rPr>
          <w:lang w:val="en-AU"/>
        </w:rPr>
        <w:t>11</w:t>
      </w:r>
      <w:r w:rsidR="00E046B3" w:rsidRPr="00E046B3">
        <w:rPr>
          <w:lang w:val="en-AU"/>
        </w:rPr>
        <w:t xml:space="preserve">. </w:t>
      </w:r>
      <w:r w:rsidRPr="00E046B3">
        <w:rPr>
          <w:lang w:val="en-AU"/>
        </w:rPr>
        <w:t xml:space="preserve">Compliance with demand response mode </w:t>
      </w:r>
      <w:r w:rsidR="001B2690">
        <w:rPr>
          <w:lang w:val="en-AU"/>
        </w:rPr>
        <w:t xml:space="preserve">1 </w:t>
      </w:r>
      <w:r w:rsidRPr="00E046B3">
        <w:rPr>
          <w:lang w:val="en-AU"/>
        </w:rPr>
        <w:t>(DRM1) to be required</w:t>
      </w:r>
      <w:r>
        <w:rPr>
          <w:lang w:val="en-AU"/>
        </w:rPr>
        <w:t>,</w:t>
      </w:r>
      <w:r w:rsidR="00E046B3" w:rsidRPr="00E046B3">
        <w:rPr>
          <w:lang w:val="en-AU"/>
        </w:rPr>
        <w:t xml:space="preserve"> for pool pump controllers </w:t>
      </w:r>
      <w:r>
        <w:rPr>
          <w:lang w:val="en-AU"/>
        </w:rPr>
        <w:t>supplied or offered for supply from 1 July 2024.</w:t>
      </w:r>
      <w:r w:rsidR="001B2690">
        <w:rPr>
          <w:lang w:val="en-AU"/>
        </w:rPr>
        <w:t xml:space="preserve"> (Other DRMs are optional).</w:t>
      </w:r>
    </w:p>
    <w:bookmarkEnd w:id="134"/>
    <w:p w14:paraId="72F0880D" w14:textId="2B664D0D" w:rsidR="00E046B3" w:rsidRPr="00E046B3" w:rsidRDefault="00F94AFB" w:rsidP="00E046B3">
      <w:pPr>
        <w:rPr>
          <w:lang w:val="en-AU"/>
        </w:rPr>
      </w:pPr>
      <w:r>
        <w:rPr>
          <w:lang w:val="en-AU"/>
        </w:rPr>
        <w:t xml:space="preserve">12. Compliance with DRM1, DRM2 and DRM3 to be required for </w:t>
      </w:r>
      <w:r w:rsidRPr="00F94AFB">
        <w:rPr>
          <w:lang w:val="en-AU"/>
        </w:rPr>
        <w:t xml:space="preserve">pool pump controllers supplied or offered for supply </w:t>
      </w:r>
      <w:r>
        <w:rPr>
          <w:lang w:val="en-AU"/>
        </w:rPr>
        <w:t xml:space="preserve">from </w:t>
      </w:r>
      <w:r w:rsidRPr="00F94AFB">
        <w:rPr>
          <w:lang w:val="en-AU"/>
        </w:rPr>
        <w:t>1 July 202</w:t>
      </w:r>
      <w:r>
        <w:rPr>
          <w:lang w:val="en-AU"/>
        </w:rPr>
        <w:t>6</w:t>
      </w:r>
      <w:r w:rsidRPr="00F94AFB">
        <w:rPr>
          <w:lang w:val="en-AU"/>
        </w:rPr>
        <w:t>.</w:t>
      </w:r>
      <w:r w:rsidR="00E046B3" w:rsidRPr="00E046B3">
        <w:rPr>
          <w:lang w:val="en-AU"/>
        </w:rPr>
        <w:t xml:space="preserve">  </w:t>
      </w:r>
    </w:p>
    <w:p w14:paraId="10A04E1E" w14:textId="0DB2DBF3" w:rsidR="00E046B3" w:rsidRPr="00E046B3" w:rsidRDefault="00F94AFB" w:rsidP="00E046B3">
      <w:pPr>
        <w:rPr>
          <w:lang w:val="en-AU"/>
        </w:rPr>
      </w:pPr>
      <w:r>
        <w:rPr>
          <w:lang w:val="en-AU"/>
        </w:rPr>
        <w:t>13</w:t>
      </w:r>
      <w:r w:rsidR="00E046B3" w:rsidRPr="00E046B3">
        <w:rPr>
          <w:lang w:val="en-AU"/>
        </w:rPr>
        <w:t xml:space="preserve">. </w:t>
      </w:r>
      <w:r w:rsidRPr="00F94AFB">
        <w:rPr>
          <w:lang w:val="en-AU"/>
        </w:rPr>
        <w:t>A determination to give effect to the above to be made by 1 July 202</w:t>
      </w:r>
      <w:r>
        <w:rPr>
          <w:lang w:val="en-AU"/>
        </w:rPr>
        <w:t>2</w:t>
      </w:r>
      <w:r w:rsidRPr="00F94AFB">
        <w:rPr>
          <w:lang w:val="en-AU"/>
        </w:rPr>
        <w:t xml:space="preserve">. </w:t>
      </w:r>
      <w:r w:rsidR="00E046B3" w:rsidRPr="00E046B3">
        <w:rPr>
          <w:lang w:val="en-AU"/>
        </w:rPr>
        <w:t xml:space="preserve"> </w:t>
      </w:r>
    </w:p>
    <w:p w14:paraId="70E17DE2" w14:textId="77777777" w:rsidR="00E046B3" w:rsidRPr="00E046B3" w:rsidRDefault="00E046B3" w:rsidP="00E046B3">
      <w:pPr>
        <w:rPr>
          <w:b/>
          <w:bCs/>
          <w:lang w:val="en-AU"/>
        </w:rPr>
      </w:pPr>
      <w:r w:rsidRPr="00E046B3">
        <w:rPr>
          <w:b/>
          <w:bCs/>
          <w:lang w:val="en-AU"/>
        </w:rPr>
        <w:t>Electric Vehicle Charge/Discharge Controllers</w:t>
      </w:r>
    </w:p>
    <w:p w14:paraId="5E841DD1" w14:textId="432F4E4C" w:rsidR="00F94AFB" w:rsidRDefault="00E046B3" w:rsidP="00E046B3">
      <w:pPr>
        <w:rPr>
          <w:lang w:val="en-AU"/>
        </w:rPr>
      </w:pPr>
      <w:r w:rsidRPr="00E046B3">
        <w:rPr>
          <w:lang w:val="en-AU"/>
        </w:rPr>
        <w:t>1</w:t>
      </w:r>
      <w:r w:rsidR="00F94AFB">
        <w:rPr>
          <w:lang w:val="en-AU"/>
        </w:rPr>
        <w:t>4</w:t>
      </w:r>
      <w:r w:rsidRPr="00E046B3">
        <w:rPr>
          <w:lang w:val="en-AU"/>
        </w:rPr>
        <w:t xml:space="preserve">. </w:t>
      </w:r>
      <w:r w:rsidR="00F94AFB">
        <w:rPr>
          <w:lang w:val="en-AU"/>
        </w:rPr>
        <w:t>C</w:t>
      </w:r>
      <w:r w:rsidRPr="00E046B3">
        <w:rPr>
          <w:lang w:val="en-AU"/>
        </w:rPr>
        <w:t>ontrollers capable of managing the charging and/or discharging to the grid of electric vehicle (EVs), that are intended for residential applications and capable of charging at SAE Level 2 or IEC Mode 3</w:t>
      </w:r>
      <w:r w:rsidR="00F94AFB">
        <w:rPr>
          <w:lang w:val="en-AU"/>
        </w:rPr>
        <w:t>, to comply with any of the following standards:</w:t>
      </w:r>
    </w:p>
    <w:p w14:paraId="65B49649" w14:textId="03D1F4C8" w:rsidR="00F94AFB" w:rsidRPr="00E046B3" w:rsidRDefault="00F94AFB" w:rsidP="00DB27CB">
      <w:pPr>
        <w:pStyle w:val="ListParagraph"/>
        <w:numPr>
          <w:ilvl w:val="0"/>
          <w:numId w:val="32"/>
        </w:numPr>
      </w:pPr>
      <w:r w:rsidRPr="00E046B3">
        <w:t>AS/NZS 4755.3.</w:t>
      </w:r>
      <w:r>
        <w:t>4 (when published)</w:t>
      </w:r>
      <w:r w:rsidRPr="00E046B3">
        <w:t>; or</w:t>
      </w:r>
    </w:p>
    <w:p w14:paraId="099ECFDB" w14:textId="77777777" w:rsidR="00F94AFB" w:rsidRPr="00F94AFB" w:rsidRDefault="00F94AFB" w:rsidP="00DB27CB">
      <w:pPr>
        <w:pStyle w:val="ListParagraph"/>
        <w:numPr>
          <w:ilvl w:val="0"/>
          <w:numId w:val="32"/>
        </w:numPr>
      </w:pPr>
      <w:r w:rsidRPr="00E046B3">
        <w:t>AS/NZS 4755.2</w:t>
      </w:r>
      <w:r>
        <w:t xml:space="preserve"> (when published); or</w:t>
      </w:r>
    </w:p>
    <w:p w14:paraId="4181B702" w14:textId="03960AC9" w:rsidR="00F94AFB" w:rsidRPr="00F94AFB" w:rsidRDefault="00F94AFB" w:rsidP="00DB27CB">
      <w:pPr>
        <w:pStyle w:val="ListParagraph"/>
        <w:numPr>
          <w:ilvl w:val="0"/>
          <w:numId w:val="32"/>
        </w:numPr>
      </w:pPr>
      <w:r w:rsidRPr="00F94AFB">
        <w:t>an equivalent international standard</w:t>
      </w:r>
      <w:r>
        <w:t xml:space="preserve">, </w:t>
      </w:r>
      <w:r w:rsidRPr="00F94AFB">
        <w:t>if an E3 technical working group determines by mid</w:t>
      </w:r>
      <w:r w:rsidR="001B2690">
        <w:t>-</w:t>
      </w:r>
      <w:r w:rsidRPr="00F94AFB">
        <w:t>2022 that there is one that provides equivalent capabilities to AS/NZS 4755.</w:t>
      </w:r>
    </w:p>
    <w:p w14:paraId="49B597B5" w14:textId="7D92EEC6" w:rsidR="00E046B3" w:rsidRDefault="00E046B3" w:rsidP="00E046B3">
      <w:pPr>
        <w:rPr>
          <w:lang w:val="en-AU"/>
        </w:rPr>
      </w:pPr>
      <w:r w:rsidRPr="00E046B3">
        <w:rPr>
          <w:lang w:val="en-AU"/>
        </w:rPr>
        <w:t>1</w:t>
      </w:r>
      <w:r w:rsidR="00B80745">
        <w:rPr>
          <w:lang w:val="en-AU"/>
        </w:rPr>
        <w:t>5</w:t>
      </w:r>
      <w:r w:rsidRPr="00E046B3">
        <w:rPr>
          <w:lang w:val="en-AU"/>
        </w:rPr>
        <w:t xml:space="preserve">. </w:t>
      </w:r>
      <w:r w:rsidR="00F94AFB" w:rsidRPr="00F94AFB">
        <w:rPr>
          <w:lang w:val="en-AU"/>
        </w:rPr>
        <w:t xml:space="preserve">Compliance with </w:t>
      </w:r>
      <w:r w:rsidR="00F94AFB">
        <w:rPr>
          <w:lang w:val="en-AU"/>
        </w:rPr>
        <w:t>AS/NZS 4755 DRMs 0, 1,2,3,4,5 and 8</w:t>
      </w:r>
      <w:r w:rsidR="00F94AFB" w:rsidRPr="00F94AFB">
        <w:rPr>
          <w:lang w:val="en-AU"/>
        </w:rPr>
        <w:t xml:space="preserve"> to be required</w:t>
      </w:r>
      <w:r w:rsidR="00F94AFB">
        <w:rPr>
          <w:lang w:val="en-AU"/>
        </w:rPr>
        <w:t xml:space="preserve"> (</w:t>
      </w:r>
      <w:r w:rsidR="00B80745">
        <w:rPr>
          <w:lang w:val="en-AU"/>
        </w:rPr>
        <w:t>6</w:t>
      </w:r>
      <w:r w:rsidR="00F94AFB">
        <w:rPr>
          <w:lang w:val="en-AU"/>
        </w:rPr>
        <w:t xml:space="preserve"> and </w:t>
      </w:r>
      <w:r w:rsidR="00B80745">
        <w:rPr>
          <w:lang w:val="en-AU"/>
        </w:rPr>
        <w:t>7</w:t>
      </w:r>
      <w:r w:rsidR="00F94AFB">
        <w:rPr>
          <w:lang w:val="en-AU"/>
        </w:rPr>
        <w:t xml:space="preserve"> optional)</w:t>
      </w:r>
      <w:r w:rsidR="00B80745">
        <w:rPr>
          <w:lang w:val="en-AU"/>
        </w:rPr>
        <w:t>,</w:t>
      </w:r>
      <w:r w:rsidR="00F94AFB">
        <w:rPr>
          <w:lang w:val="en-AU"/>
        </w:rPr>
        <w:t xml:space="preserve"> or the equivalents in the other approved stand</w:t>
      </w:r>
      <w:r w:rsidR="00B80745">
        <w:rPr>
          <w:lang w:val="en-AU"/>
        </w:rPr>
        <w:t>ar</w:t>
      </w:r>
      <w:r w:rsidR="00F94AFB">
        <w:rPr>
          <w:lang w:val="en-AU"/>
        </w:rPr>
        <w:t>d,</w:t>
      </w:r>
      <w:r w:rsidR="00B80745">
        <w:rPr>
          <w:lang w:val="en-AU"/>
        </w:rPr>
        <w:t xml:space="preserve"> </w:t>
      </w:r>
      <w:r w:rsidR="00F94AFB" w:rsidRPr="00F94AFB">
        <w:rPr>
          <w:lang w:val="en-AU"/>
        </w:rPr>
        <w:t xml:space="preserve">for </w:t>
      </w:r>
      <w:r w:rsidR="00B80745">
        <w:rPr>
          <w:lang w:val="en-AU"/>
        </w:rPr>
        <w:t xml:space="preserve">EV chargers </w:t>
      </w:r>
      <w:r w:rsidR="00F94AFB" w:rsidRPr="00F94AFB">
        <w:rPr>
          <w:lang w:val="en-AU"/>
        </w:rPr>
        <w:t>supplied or offered for supply from 1 July 202</w:t>
      </w:r>
      <w:r w:rsidR="00B80745">
        <w:rPr>
          <w:lang w:val="en-AU"/>
        </w:rPr>
        <w:t>6</w:t>
      </w:r>
      <w:r w:rsidR="00F94AFB" w:rsidRPr="00F94AFB">
        <w:rPr>
          <w:lang w:val="en-AU"/>
        </w:rPr>
        <w:t>.</w:t>
      </w:r>
    </w:p>
    <w:p w14:paraId="08DF17B8" w14:textId="3A3E8E86" w:rsidR="00B80745" w:rsidRDefault="00B80745" w:rsidP="00E046B3">
      <w:pPr>
        <w:rPr>
          <w:lang w:val="en-AU"/>
        </w:rPr>
      </w:pPr>
      <w:r>
        <w:rPr>
          <w:lang w:val="en-AU"/>
        </w:rPr>
        <w:t xml:space="preserve">16. </w:t>
      </w:r>
      <w:r w:rsidRPr="00B80745">
        <w:rPr>
          <w:lang w:val="en-AU"/>
        </w:rPr>
        <w:t>A determination to give effect to the above to be made by 1 July 202</w:t>
      </w:r>
      <w:r>
        <w:rPr>
          <w:lang w:val="en-AU"/>
        </w:rPr>
        <w:t>4</w:t>
      </w:r>
      <w:r w:rsidRPr="00B80745">
        <w:rPr>
          <w:lang w:val="en-AU"/>
        </w:rPr>
        <w:t xml:space="preserve">.  </w:t>
      </w:r>
    </w:p>
    <w:p w14:paraId="0E5E4AB4" w14:textId="0CF64E44" w:rsidR="00B80745" w:rsidRPr="00E046B3" w:rsidRDefault="00B80745" w:rsidP="00E046B3">
      <w:pPr>
        <w:rPr>
          <w:b/>
          <w:bCs/>
          <w:lang w:val="en-AU"/>
        </w:rPr>
      </w:pPr>
      <w:r>
        <w:rPr>
          <w:b/>
          <w:bCs/>
          <w:lang w:val="en-AU"/>
        </w:rPr>
        <w:t xml:space="preserve">Additional </w:t>
      </w:r>
      <w:r w:rsidRPr="00B80745">
        <w:rPr>
          <w:b/>
          <w:bCs/>
          <w:lang w:val="en-AU"/>
        </w:rPr>
        <w:t>recomm</w:t>
      </w:r>
      <w:r>
        <w:rPr>
          <w:b/>
          <w:bCs/>
          <w:lang w:val="en-AU"/>
        </w:rPr>
        <w:t>e</w:t>
      </w:r>
      <w:r w:rsidRPr="00B80745">
        <w:rPr>
          <w:b/>
          <w:bCs/>
          <w:lang w:val="en-AU"/>
        </w:rPr>
        <w:t>ndations</w:t>
      </w:r>
    </w:p>
    <w:p w14:paraId="5689C8D4" w14:textId="530613FC" w:rsidR="00E046B3" w:rsidRPr="00E046B3" w:rsidRDefault="00E046B3" w:rsidP="00E046B3">
      <w:pPr>
        <w:rPr>
          <w:lang w:val="en-AU"/>
        </w:rPr>
      </w:pPr>
      <w:r w:rsidRPr="00E046B3">
        <w:rPr>
          <w:lang w:val="en-AU"/>
        </w:rPr>
        <w:lastRenderedPageBreak/>
        <w:t>1</w:t>
      </w:r>
      <w:r w:rsidR="00B80745">
        <w:rPr>
          <w:lang w:val="en-AU"/>
        </w:rPr>
        <w:t>7</w:t>
      </w:r>
      <w:r w:rsidRPr="00E046B3">
        <w:rPr>
          <w:lang w:val="en-AU"/>
        </w:rPr>
        <w:t xml:space="preserve">. </w:t>
      </w:r>
      <w:r w:rsidR="00494A11">
        <w:rPr>
          <w:lang w:val="en-AU"/>
        </w:rPr>
        <w:t xml:space="preserve">COAG Energy Council </w:t>
      </w:r>
      <w:r w:rsidR="00AE11B1">
        <w:rPr>
          <w:lang w:val="en-AU"/>
        </w:rPr>
        <w:t>agree</w:t>
      </w:r>
      <w:r w:rsidR="00494A11">
        <w:rPr>
          <w:lang w:val="en-AU"/>
        </w:rPr>
        <w:t>s</w:t>
      </w:r>
      <w:r w:rsidR="00AE11B1">
        <w:rPr>
          <w:lang w:val="en-AU"/>
        </w:rPr>
        <w:t xml:space="preserve"> to </w:t>
      </w:r>
      <w:r w:rsidRPr="00E046B3">
        <w:rPr>
          <w:lang w:val="en-AU"/>
        </w:rPr>
        <w:t>the establishment of a</w:t>
      </w:r>
      <w:r w:rsidR="00B80745">
        <w:rPr>
          <w:lang w:val="en-AU"/>
        </w:rPr>
        <w:t xml:space="preserve">n E3 </w:t>
      </w:r>
      <w:r w:rsidRPr="00E046B3">
        <w:rPr>
          <w:lang w:val="en-AU"/>
        </w:rPr>
        <w:t xml:space="preserve">Technical </w:t>
      </w:r>
      <w:r w:rsidR="00B80745">
        <w:rPr>
          <w:lang w:val="en-AU"/>
        </w:rPr>
        <w:t xml:space="preserve">Working Group, with membership to be determined by </w:t>
      </w:r>
      <w:r w:rsidR="001B2690">
        <w:rPr>
          <w:lang w:val="en-AU"/>
        </w:rPr>
        <w:t xml:space="preserve">SCO, </w:t>
      </w:r>
      <w:r w:rsidR="00B80745">
        <w:rPr>
          <w:lang w:val="en-AU"/>
        </w:rPr>
        <w:t xml:space="preserve">to consider the matter of an </w:t>
      </w:r>
      <w:r w:rsidR="00B80745" w:rsidRPr="00B80745">
        <w:rPr>
          <w:lang w:val="en-AU"/>
        </w:rPr>
        <w:t>equivalent international standard</w:t>
      </w:r>
      <w:r w:rsidR="00B80745">
        <w:rPr>
          <w:lang w:val="en-AU"/>
        </w:rPr>
        <w:t xml:space="preserve"> for EV charge/discharge controllers (in recommendation 14). </w:t>
      </w:r>
      <w:r w:rsidRPr="00E046B3">
        <w:rPr>
          <w:lang w:val="en-AU"/>
        </w:rPr>
        <w:t xml:space="preserve"> </w:t>
      </w:r>
    </w:p>
    <w:p w14:paraId="28E55F6C" w14:textId="42451059" w:rsidR="00B80745" w:rsidRDefault="00E046B3" w:rsidP="00E046B3">
      <w:pPr>
        <w:rPr>
          <w:lang w:val="en-AU"/>
        </w:rPr>
      </w:pPr>
      <w:r w:rsidRPr="00E046B3">
        <w:rPr>
          <w:lang w:val="en-AU"/>
        </w:rPr>
        <w:t>1</w:t>
      </w:r>
      <w:r w:rsidR="00B80745">
        <w:rPr>
          <w:lang w:val="en-AU"/>
        </w:rPr>
        <w:t>8</w:t>
      </w:r>
      <w:r w:rsidRPr="00E046B3">
        <w:rPr>
          <w:lang w:val="en-AU"/>
        </w:rPr>
        <w:t xml:space="preserve">. </w:t>
      </w:r>
      <w:r w:rsidR="00494A11">
        <w:rPr>
          <w:lang w:val="en-AU"/>
        </w:rPr>
        <w:t>COAG Energy Council</w:t>
      </w:r>
      <w:r w:rsidR="00494A11" w:rsidRPr="00E046B3">
        <w:rPr>
          <w:lang w:val="en-AU"/>
        </w:rPr>
        <w:t xml:space="preserve"> </w:t>
      </w:r>
      <w:r w:rsidR="00B80745" w:rsidRPr="00B80745">
        <w:rPr>
          <w:lang w:val="en-AU"/>
        </w:rPr>
        <w:t>request</w:t>
      </w:r>
      <w:r w:rsidR="00494A11">
        <w:rPr>
          <w:lang w:val="en-AU"/>
        </w:rPr>
        <w:t>s</w:t>
      </w:r>
      <w:r w:rsidR="00B80745" w:rsidRPr="00B80745">
        <w:rPr>
          <w:lang w:val="en-AU"/>
        </w:rPr>
        <w:t xml:space="preserve"> Standards Australia to</w:t>
      </w:r>
      <w:r w:rsidR="00B80745">
        <w:rPr>
          <w:lang w:val="en-AU"/>
        </w:rPr>
        <w:t>:</w:t>
      </w:r>
    </w:p>
    <w:p w14:paraId="7F146D94" w14:textId="77777777" w:rsidR="00B80745" w:rsidRDefault="00B80745" w:rsidP="00B80745">
      <w:pPr>
        <w:pStyle w:val="ListParagraph"/>
        <w:numPr>
          <w:ilvl w:val="0"/>
          <w:numId w:val="32"/>
        </w:numPr>
      </w:pPr>
      <w:r w:rsidRPr="00B80745">
        <w:t>Include an additional appendix in AS 4755.2 to cover EV chargers (based on draft AS/NZS 4755.3.4);</w:t>
      </w:r>
    </w:p>
    <w:p w14:paraId="114E77D9" w14:textId="3EDB50F0" w:rsidR="00B80745" w:rsidRDefault="00B80745" w:rsidP="00B80745">
      <w:pPr>
        <w:pStyle w:val="ListParagraph"/>
        <w:numPr>
          <w:ilvl w:val="0"/>
          <w:numId w:val="32"/>
        </w:numPr>
      </w:pPr>
      <w:r>
        <w:t xml:space="preserve">Expedite completion and publication of AS 4755.2; and </w:t>
      </w:r>
    </w:p>
    <w:p w14:paraId="51764235" w14:textId="77777777" w:rsidR="00AE11B1" w:rsidRDefault="00B80745" w:rsidP="00B80745">
      <w:pPr>
        <w:pStyle w:val="ListParagraph"/>
        <w:numPr>
          <w:ilvl w:val="0"/>
          <w:numId w:val="32"/>
        </w:numPr>
      </w:pPr>
      <w:r>
        <w:t xml:space="preserve">Expedite completion and publication of </w:t>
      </w:r>
      <w:r w:rsidRPr="00B80745">
        <w:t>AS/NZS 4755.3.4</w:t>
      </w:r>
      <w:r w:rsidR="00AE11B1">
        <w:t xml:space="preserve">; and </w:t>
      </w:r>
    </w:p>
    <w:p w14:paraId="7EEA5131" w14:textId="0CAAB16D" w:rsidR="00E046B3" w:rsidRPr="00B80745" w:rsidRDefault="00AE11B1" w:rsidP="00B80745">
      <w:pPr>
        <w:pStyle w:val="ListParagraph"/>
        <w:numPr>
          <w:ilvl w:val="0"/>
          <w:numId w:val="32"/>
        </w:numPr>
      </w:pPr>
      <w:r>
        <w:t xml:space="preserve">Prepare </w:t>
      </w:r>
      <w:r w:rsidR="00B80745" w:rsidRPr="00B80745">
        <w:t xml:space="preserve">a new part of AS/NZS 4755 covering Home Energy Management Systems (HEMS) that </w:t>
      </w:r>
      <w:proofErr w:type="gramStart"/>
      <w:r w:rsidR="00B80745" w:rsidRPr="00B80745">
        <w:t>are capable of providing</w:t>
      </w:r>
      <w:proofErr w:type="gramEnd"/>
      <w:r w:rsidR="00B80745" w:rsidRPr="00B80745">
        <w:t xml:space="preserve"> demand response.</w:t>
      </w:r>
      <w:r w:rsidR="00E046B3" w:rsidRPr="00B80745">
        <w:t xml:space="preserve">  </w:t>
      </w:r>
    </w:p>
    <w:p w14:paraId="63B13D48" w14:textId="6700B46C" w:rsidR="00E046B3" w:rsidRPr="00E046B3" w:rsidRDefault="00E046B3" w:rsidP="00E046B3">
      <w:pPr>
        <w:rPr>
          <w:lang w:val="en-AU"/>
        </w:rPr>
      </w:pPr>
      <w:r w:rsidRPr="00E046B3">
        <w:rPr>
          <w:lang w:val="en-AU"/>
        </w:rPr>
        <w:t>1</w:t>
      </w:r>
      <w:r w:rsidR="00AE11B1">
        <w:rPr>
          <w:lang w:val="en-AU"/>
        </w:rPr>
        <w:t>9</w:t>
      </w:r>
      <w:r w:rsidRPr="00E046B3">
        <w:rPr>
          <w:lang w:val="en-AU"/>
        </w:rPr>
        <w:t xml:space="preserve">. </w:t>
      </w:r>
      <w:r w:rsidR="00494A11">
        <w:rPr>
          <w:lang w:val="en-AU"/>
        </w:rPr>
        <w:t>COAG Energy Council</w:t>
      </w:r>
      <w:r w:rsidR="00494A11" w:rsidRPr="00E046B3">
        <w:rPr>
          <w:lang w:val="en-AU"/>
        </w:rPr>
        <w:t xml:space="preserve"> </w:t>
      </w:r>
      <w:r w:rsidR="00AE11B1">
        <w:rPr>
          <w:lang w:val="en-AU"/>
        </w:rPr>
        <w:t>agree</w:t>
      </w:r>
      <w:r w:rsidR="00494A11">
        <w:rPr>
          <w:lang w:val="en-AU"/>
        </w:rPr>
        <w:t>s</w:t>
      </w:r>
      <w:r w:rsidR="00AE11B1">
        <w:rPr>
          <w:lang w:val="en-AU"/>
        </w:rPr>
        <w:t xml:space="preserve"> to </w:t>
      </w:r>
      <w:r w:rsidRPr="00E046B3">
        <w:rPr>
          <w:lang w:val="en-AU"/>
        </w:rPr>
        <w:t xml:space="preserve">the investigation </w:t>
      </w:r>
      <w:r w:rsidR="00B80745">
        <w:rPr>
          <w:lang w:val="en-AU"/>
        </w:rPr>
        <w:t xml:space="preserve">by E3 </w:t>
      </w:r>
      <w:r w:rsidRPr="00E046B3">
        <w:rPr>
          <w:lang w:val="en-AU"/>
        </w:rPr>
        <w:t>of the options, cost, benefits, advantages and disadvantages of requiring demand response capabilities meeting public, non-proprietary standards for:</w:t>
      </w:r>
    </w:p>
    <w:p w14:paraId="2188DCBB" w14:textId="77777777" w:rsidR="00E046B3" w:rsidRPr="00E046B3" w:rsidRDefault="00E046B3" w:rsidP="00DB27CB">
      <w:pPr>
        <w:pStyle w:val="ListParagraph"/>
        <w:numPr>
          <w:ilvl w:val="0"/>
          <w:numId w:val="32"/>
        </w:numPr>
      </w:pPr>
      <w:r w:rsidRPr="00E046B3">
        <w:t xml:space="preserve">Photovoltaic (PV) inverters within the scope of AS/NZS 4777.2; and </w:t>
      </w:r>
    </w:p>
    <w:p w14:paraId="1A88C927" w14:textId="02D33A1D" w:rsidR="00E046B3" w:rsidRPr="00E046B3" w:rsidRDefault="00E046B3" w:rsidP="00DB27CB">
      <w:pPr>
        <w:pStyle w:val="ListParagraph"/>
        <w:numPr>
          <w:ilvl w:val="0"/>
          <w:numId w:val="32"/>
        </w:numPr>
      </w:pPr>
      <w:r w:rsidRPr="00E046B3">
        <w:t>Controllers for grid-connected electrical energy storage systems (including residential scale batteries) within the scope of AS/NZS 4755.3.5.</w:t>
      </w:r>
    </w:p>
    <w:p w14:paraId="5BF91851" w14:textId="77777777" w:rsidR="00AE11B1" w:rsidRDefault="00AE11B1" w:rsidP="00E046B3">
      <w:pPr>
        <w:rPr>
          <w:lang w:val="en-AU"/>
        </w:rPr>
      </w:pPr>
    </w:p>
    <w:p w14:paraId="56678E71" w14:textId="40962AEA" w:rsidR="00B80745" w:rsidRDefault="00AE11B1" w:rsidP="00AE11B1">
      <w:pPr>
        <w:jc w:val="center"/>
        <w:rPr>
          <w:lang w:val="en-AU"/>
        </w:rPr>
      </w:pPr>
      <w:r>
        <w:rPr>
          <w:lang w:val="en-AU"/>
        </w:rPr>
        <w:t>*****</w:t>
      </w:r>
    </w:p>
    <w:p w14:paraId="3FCF64C0" w14:textId="5221379B" w:rsidR="00C515A0" w:rsidRPr="00C515A0" w:rsidRDefault="00C515A0" w:rsidP="00C515A0">
      <w:pPr>
        <w:keepNext/>
        <w:keepLines/>
        <w:pageBreakBefore/>
        <w:spacing w:before="200" w:after="600" w:line="240" w:lineRule="auto"/>
        <w:outlineLvl w:val="1"/>
        <w:rPr>
          <w:rFonts w:ascii="Calibri" w:eastAsia="Times New Roman" w:hAnsi="Calibri" w:cs="Calibri"/>
          <w:b/>
          <w:bCs/>
          <w:color w:val="ED1B24"/>
          <w:sz w:val="50"/>
          <w:szCs w:val="50"/>
          <w:lang w:val="en-AU"/>
        </w:rPr>
      </w:pPr>
      <w:bookmarkStart w:id="135" w:name="_Toc22485220"/>
      <w:r w:rsidRPr="00C515A0">
        <w:rPr>
          <w:rFonts w:ascii="Calibri" w:eastAsia="Times New Roman" w:hAnsi="Calibri" w:cs="Calibri"/>
          <w:b/>
          <w:bCs/>
          <w:color w:val="ED1B24"/>
          <w:sz w:val="50"/>
          <w:szCs w:val="50"/>
          <w:lang w:val="en-AU"/>
        </w:rPr>
        <w:lastRenderedPageBreak/>
        <w:t>References</w:t>
      </w:r>
      <w:bookmarkEnd w:id="135"/>
    </w:p>
    <w:p w14:paraId="6E03F240" w14:textId="4E3E94BB" w:rsidR="00917221" w:rsidRDefault="00917221" w:rsidP="00A37634">
      <w:pPr>
        <w:spacing w:after="120" w:line="276" w:lineRule="auto"/>
        <w:rPr>
          <w:rFonts w:ascii="Calibri" w:eastAsia="Calibri" w:hAnsi="Calibri" w:cs="Calibri"/>
          <w:szCs w:val="20"/>
          <w:lang w:val="en-AU"/>
        </w:rPr>
      </w:pPr>
      <w:r>
        <w:rPr>
          <w:rFonts w:ascii="Calibri" w:eastAsia="Calibri" w:hAnsi="Calibri" w:cs="Calibri"/>
          <w:szCs w:val="20"/>
          <w:lang w:val="en-AU"/>
        </w:rPr>
        <w:t>ACCC (2018)</w:t>
      </w:r>
      <w:r w:rsidR="00126174" w:rsidRPr="00126174">
        <w:t xml:space="preserve"> </w:t>
      </w:r>
      <w:r w:rsidR="00126174" w:rsidRPr="00126174">
        <w:rPr>
          <w:rFonts w:ascii="Calibri" w:eastAsia="Calibri" w:hAnsi="Calibri" w:cs="Calibri"/>
          <w:szCs w:val="20"/>
          <w:lang w:val="en-AU"/>
        </w:rPr>
        <w:t>Restoring electricity affordability and Australia’s competitive advantage; Retail electricity pricing inquiry – Final Report, Australian Consumer and Competition Commission, June 2018</w:t>
      </w:r>
    </w:p>
    <w:p w14:paraId="45C824BE" w14:textId="2A0E3863" w:rsidR="00EB5B93" w:rsidRDefault="00EB5B93" w:rsidP="00A37634">
      <w:pPr>
        <w:spacing w:after="120" w:line="276" w:lineRule="auto"/>
        <w:rPr>
          <w:rFonts w:ascii="Calibri" w:eastAsia="Calibri" w:hAnsi="Calibri" w:cs="Calibri"/>
          <w:szCs w:val="20"/>
          <w:lang w:val="en-AU"/>
        </w:rPr>
      </w:pPr>
      <w:r>
        <w:rPr>
          <w:rFonts w:ascii="Calibri" w:eastAsia="Calibri" w:hAnsi="Calibri" w:cs="Calibri"/>
          <w:szCs w:val="20"/>
          <w:lang w:val="en-AU"/>
        </w:rPr>
        <w:t xml:space="preserve">AEMC (2017) </w:t>
      </w:r>
      <w:r w:rsidRPr="00EB5B93">
        <w:rPr>
          <w:rFonts w:ascii="Calibri" w:eastAsia="Calibri" w:hAnsi="Calibri" w:cs="Calibri"/>
          <w:szCs w:val="20"/>
          <w:lang w:val="en-AU"/>
        </w:rPr>
        <w:t>Distribution Market Model final report (DMM), The Australian Energy Market Commission, August 2017</w:t>
      </w:r>
    </w:p>
    <w:p w14:paraId="59A8E231" w14:textId="071BC989" w:rsidR="00F13AB4" w:rsidRDefault="00F13AB4" w:rsidP="00A37634">
      <w:pPr>
        <w:spacing w:after="120" w:line="276" w:lineRule="auto"/>
        <w:rPr>
          <w:rFonts w:ascii="Calibri" w:eastAsia="Calibri" w:hAnsi="Calibri" w:cs="Calibri"/>
          <w:szCs w:val="20"/>
          <w:lang w:val="en-AU"/>
        </w:rPr>
      </w:pPr>
      <w:r>
        <w:rPr>
          <w:rFonts w:ascii="Calibri" w:eastAsia="Calibri" w:hAnsi="Calibri" w:cs="Calibri"/>
          <w:szCs w:val="20"/>
          <w:lang w:val="en-AU"/>
        </w:rPr>
        <w:t xml:space="preserve">AEMC (2018) </w:t>
      </w:r>
      <w:r w:rsidRPr="00F13AB4">
        <w:rPr>
          <w:rFonts w:ascii="Calibri" w:eastAsia="Calibri" w:hAnsi="Calibri" w:cs="Calibri"/>
          <w:szCs w:val="20"/>
          <w:lang w:val="en-AU"/>
        </w:rPr>
        <w:t>Consultation Paper: Wholesale Demand Response Mechanisms; Proponents: Public Interest Advocacy Centre, Total Environment Centre, The Australia Institute, Australian Energy Council, South Australian Government, AEMC, 15 November 2018</w:t>
      </w:r>
    </w:p>
    <w:p w14:paraId="6B4F3F9E" w14:textId="64458269" w:rsidR="00210351" w:rsidRDefault="00210351" w:rsidP="00A37634">
      <w:pPr>
        <w:spacing w:after="120" w:line="276" w:lineRule="auto"/>
        <w:rPr>
          <w:rFonts w:ascii="Calibri" w:eastAsia="Calibri" w:hAnsi="Calibri" w:cs="Calibri"/>
          <w:szCs w:val="20"/>
          <w:lang w:val="en-AU"/>
        </w:rPr>
      </w:pPr>
      <w:r w:rsidRPr="00210351">
        <w:rPr>
          <w:rFonts w:ascii="Calibri" w:eastAsia="Calibri" w:hAnsi="Calibri" w:cs="Calibri"/>
          <w:szCs w:val="20"/>
          <w:lang w:val="en-AU"/>
        </w:rPr>
        <w:t>AEMC (2019) Draft Rule Determination: National electricity amendment (wholesale demand response mechanism) rule 2019; National energy retail amendment (wholesale demand response mechanism) rule 2019, 18 July 2019</w:t>
      </w:r>
    </w:p>
    <w:p w14:paraId="549FA16E" w14:textId="247ED019" w:rsidR="00EB5B93" w:rsidRDefault="00EB5B93" w:rsidP="00A37634">
      <w:pPr>
        <w:spacing w:after="120" w:line="276" w:lineRule="auto"/>
        <w:rPr>
          <w:rFonts w:ascii="Calibri" w:eastAsia="Calibri" w:hAnsi="Calibri" w:cs="Calibri"/>
          <w:szCs w:val="20"/>
          <w:lang w:val="en-AU"/>
        </w:rPr>
      </w:pPr>
      <w:r>
        <w:rPr>
          <w:rFonts w:ascii="Calibri" w:eastAsia="Calibri" w:hAnsi="Calibri" w:cs="Calibri"/>
          <w:szCs w:val="20"/>
          <w:lang w:val="en-AU"/>
        </w:rPr>
        <w:t xml:space="preserve">AEMO (2019) </w:t>
      </w:r>
      <w:r w:rsidRPr="00EB5B93">
        <w:rPr>
          <w:rFonts w:ascii="Calibri" w:eastAsia="Calibri" w:hAnsi="Calibri" w:cs="Calibri"/>
          <w:szCs w:val="20"/>
          <w:lang w:val="en-AU"/>
        </w:rPr>
        <w:t>Technical Integration of Distributed Energy Resources, Australian Energy Market Operator, April 2019</w:t>
      </w:r>
    </w:p>
    <w:p w14:paraId="3BFD22E1" w14:textId="1ED6E19E" w:rsidR="00126810" w:rsidRDefault="00E81815" w:rsidP="00A37634">
      <w:pPr>
        <w:spacing w:after="120" w:line="276" w:lineRule="auto"/>
        <w:rPr>
          <w:rFonts w:ascii="Calibri" w:eastAsia="Calibri" w:hAnsi="Calibri" w:cs="Calibri"/>
          <w:szCs w:val="20"/>
          <w:lang w:val="en-AU"/>
        </w:rPr>
      </w:pPr>
      <w:r>
        <w:rPr>
          <w:rFonts w:ascii="Calibri" w:eastAsia="Calibri" w:hAnsi="Calibri" w:cs="Calibri"/>
          <w:szCs w:val="20"/>
          <w:lang w:val="en-AU"/>
        </w:rPr>
        <w:t xml:space="preserve">AEMO (2019) 2019 Electricity Statement of Opportunities, Australian Electricity Market </w:t>
      </w:r>
      <w:r w:rsidR="00EB5B93">
        <w:rPr>
          <w:rFonts w:ascii="Calibri" w:eastAsia="Calibri" w:hAnsi="Calibri" w:cs="Calibri"/>
          <w:szCs w:val="20"/>
          <w:lang w:val="en-AU"/>
        </w:rPr>
        <w:t xml:space="preserve">Operator </w:t>
      </w:r>
      <w:r>
        <w:rPr>
          <w:rFonts w:ascii="Calibri" w:eastAsia="Calibri" w:hAnsi="Calibri" w:cs="Calibri"/>
          <w:szCs w:val="20"/>
          <w:lang w:val="en-AU"/>
        </w:rPr>
        <w:t>Commission, August 2019.</w:t>
      </w:r>
    </w:p>
    <w:p w14:paraId="357C4152" w14:textId="724C4A31" w:rsidR="00725B94" w:rsidRDefault="00725B94" w:rsidP="008634E6">
      <w:pPr>
        <w:spacing w:after="120" w:line="276" w:lineRule="auto"/>
        <w:rPr>
          <w:rFonts w:ascii="Calibri" w:eastAsia="Calibri" w:hAnsi="Calibri" w:cs="Calibri"/>
          <w:szCs w:val="20"/>
          <w:lang w:val="en-AU"/>
        </w:rPr>
      </w:pPr>
      <w:r>
        <w:rPr>
          <w:rFonts w:ascii="Calibri" w:eastAsia="Calibri" w:hAnsi="Calibri" w:cs="Calibri"/>
          <w:szCs w:val="20"/>
          <w:lang w:val="en-AU"/>
        </w:rPr>
        <w:t>AGL (2018) NSW Demand Response: ARENA Knowledge Sharing Report, September 2018</w:t>
      </w:r>
    </w:p>
    <w:p w14:paraId="66DF0B8E" w14:textId="4E97ED6D" w:rsidR="008634E6" w:rsidRDefault="008634E6" w:rsidP="008634E6">
      <w:pPr>
        <w:spacing w:after="120" w:line="276" w:lineRule="auto"/>
        <w:rPr>
          <w:rFonts w:ascii="Calibri" w:eastAsia="Calibri" w:hAnsi="Calibri" w:cs="Calibri"/>
          <w:szCs w:val="20"/>
          <w:lang w:val="en-AU"/>
        </w:rPr>
      </w:pPr>
      <w:r>
        <w:rPr>
          <w:rFonts w:ascii="Calibri" w:eastAsia="Calibri" w:hAnsi="Calibri" w:cs="Calibri"/>
          <w:szCs w:val="20"/>
          <w:lang w:val="en-AU"/>
        </w:rPr>
        <w:t xml:space="preserve">ARENA (2018) </w:t>
      </w:r>
      <w:r w:rsidRPr="008634E6">
        <w:rPr>
          <w:rFonts w:ascii="Calibri" w:eastAsia="Calibri" w:hAnsi="Calibri" w:cs="Calibri"/>
          <w:szCs w:val="20"/>
          <w:lang w:val="en-AU"/>
        </w:rPr>
        <w:t>Demand Response Customer Insights Report</w:t>
      </w:r>
      <w:r>
        <w:rPr>
          <w:rFonts w:ascii="Calibri" w:eastAsia="Calibri" w:hAnsi="Calibri" w:cs="Calibri"/>
          <w:szCs w:val="20"/>
          <w:lang w:val="en-AU"/>
        </w:rPr>
        <w:t xml:space="preserve">, </w:t>
      </w:r>
      <w:r w:rsidRPr="008634E6">
        <w:rPr>
          <w:rFonts w:ascii="Calibri" w:eastAsia="Calibri" w:hAnsi="Calibri" w:cs="Calibri"/>
          <w:szCs w:val="20"/>
          <w:lang w:val="en-AU"/>
        </w:rPr>
        <w:t>May 2018</w:t>
      </w:r>
    </w:p>
    <w:p w14:paraId="017817F5" w14:textId="366A9ECB" w:rsidR="00207E88" w:rsidRPr="00207E88" w:rsidRDefault="00126810" w:rsidP="00207E88">
      <w:pPr>
        <w:spacing w:after="120" w:line="276" w:lineRule="auto"/>
        <w:rPr>
          <w:rFonts w:ascii="Calibri" w:eastAsia="Calibri" w:hAnsi="Calibri" w:cs="Calibri"/>
          <w:szCs w:val="20"/>
          <w:lang w:val="en-AU"/>
        </w:rPr>
      </w:pPr>
      <w:r>
        <w:rPr>
          <w:rFonts w:ascii="Calibri" w:eastAsia="Calibri" w:hAnsi="Calibri" w:cs="Calibri"/>
          <w:szCs w:val="20"/>
          <w:lang w:val="en-AU"/>
        </w:rPr>
        <w:t>ARENA (2019)</w:t>
      </w:r>
      <w:r w:rsidR="00207E88" w:rsidRPr="00207E88">
        <w:t xml:space="preserve"> </w:t>
      </w:r>
      <w:r w:rsidR="00207E88" w:rsidRPr="00207E88">
        <w:rPr>
          <w:rFonts w:ascii="Calibri" w:eastAsia="Calibri" w:hAnsi="Calibri" w:cs="Calibri"/>
          <w:szCs w:val="20"/>
          <w:lang w:val="en-AU"/>
        </w:rPr>
        <w:t>Demand Response RERT Trial</w:t>
      </w:r>
      <w:r w:rsidR="00207E88">
        <w:rPr>
          <w:rFonts w:ascii="Calibri" w:eastAsia="Calibri" w:hAnsi="Calibri" w:cs="Calibri"/>
          <w:szCs w:val="20"/>
          <w:lang w:val="en-AU"/>
        </w:rPr>
        <w:t xml:space="preserve"> </w:t>
      </w:r>
      <w:r w:rsidR="00207E88" w:rsidRPr="00207E88">
        <w:rPr>
          <w:rFonts w:ascii="Calibri" w:eastAsia="Calibri" w:hAnsi="Calibri" w:cs="Calibri"/>
          <w:szCs w:val="20"/>
          <w:lang w:val="en-AU"/>
        </w:rPr>
        <w:t>Year 1 Report</w:t>
      </w:r>
      <w:r w:rsidR="00207E88">
        <w:rPr>
          <w:rFonts w:ascii="Calibri" w:eastAsia="Calibri" w:hAnsi="Calibri" w:cs="Calibri"/>
          <w:szCs w:val="20"/>
          <w:lang w:val="en-AU"/>
        </w:rPr>
        <w:t xml:space="preserve">, </w:t>
      </w:r>
      <w:r w:rsidR="00207E88" w:rsidRPr="00207E88">
        <w:rPr>
          <w:rFonts w:ascii="Calibri" w:eastAsia="Calibri" w:hAnsi="Calibri" w:cs="Calibri"/>
          <w:szCs w:val="20"/>
          <w:lang w:val="en-AU"/>
        </w:rPr>
        <w:t>March 2019</w:t>
      </w:r>
    </w:p>
    <w:p w14:paraId="42717F60" w14:textId="608BDBFF" w:rsidR="00A41C48" w:rsidRDefault="00A41C48" w:rsidP="008502F2">
      <w:pPr>
        <w:spacing w:after="120" w:line="276" w:lineRule="auto"/>
        <w:rPr>
          <w:rFonts w:ascii="Calibri" w:eastAsia="Calibri" w:hAnsi="Calibri" w:cs="Calibri"/>
          <w:szCs w:val="20"/>
          <w:lang w:val="en-AU"/>
        </w:rPr>
      </w:pPr>
      <w:r w:rsidRPr="00A41C48">
        <w:rPr>
          <w:rFonts w:ascii="Calibri" w:eastAsia="Calibri" w:hAnsi="Calibri" w:cs="Calibri"/>
          <w:szCs w:val="20"/>
          <w:lang w:val="en-AU"/>
        </w:rPr>
        <w:t>AS/NZS 3823.2:2</w:t>
      </w:r>
      <w:r>
        <w:rPr>
          <w:rFonts w:ascii="Calibri" w:eastAsia="Calibri" w:hAnsi="Calibri" w:cs="Calibri"/>
          <w:szCs w:val="20"/>
          <w:lang w:val="en-AU"/>
        </w:rPr>
        <w:t>013</w:t>
      </w:r>
      <w:r w:rsidRPr="00A41C48">
        <w:rPr>
          <w:rFonts w:ascii="Calibri" w:eastAsia="Calibri" w:hAnsi="Calibri" w:cs="Calibri"/>
          <w:szCs w:val="20"/>
          <w:lang w:val="en-AU"/>
        </w:rPr>
        <w:t xml:space="preserve"> Performance of electrical appliances—Air conditioners and heat pumps Part 2: Energy labelling and minimum energy performance standard (MEPS) requirements</w:t>
      </w:r>
    </w:p>
    <w:p w14:paraId="7083A2EB" w14:textId="2DCC8963" w:rsidR="00CD3B36" w:rsidRDefault="00CD3B36" w:rsidP="008502F2">
      <w:pPr>
        <w:spacing w:after="120" w:line="276" w:lineRule="auto"/>
        <w:rPr>
          <w:rFonts w:ascii="Calibri" w:eastAsia="Calibri" w:hAnsi="Calibri" w:cs="Calibri"/>
          <w:szCs w:val="20"/>
          <w:lang w:val="en-AU"/>
        </w:rPr>
      </w:pPr>
      <w:r>
        <w:rPr>
          <w:rFonts w:ascii="Calibri" w:eastAsia="Calibri" w:hAnsi="Calibri" w:cs="Calibri"/>
          <w:szCs w:val="20"/>
          <w:lang w:val="en-AU"/>
        </w:rPr>
        <w:t>AS/NZS 4755.1:2017</w:t>
      </w:r>
      <w:r w:rsidRPr="00CD3B36">
        <w:rPr>
          <w:rFonts w:ascii="Calibri" w:eastAsia="Calibri" w:hAnsi="Calibri" w:cs="Calibri"/>
          <w:szCs w:val="20"/>
          <w:lang w:val="en-AU"/>
        </w:rPr>
        <w:t xml:space="preserve"> Demand response capabilities and supporting technologies for electrical products. Part </w:t>
      </w:r>
      <w:r>
        <w:rPr>
          <w:rFonts w:ascii="Calibri" w:eastAsia="Calibri" w:hAnsi="Calibri" w:cs="Calibri"/>
          <w:szCs w:val="20"/>
          <w:lang w:val="en-AU"/>
        </w:rPr>
        <w:t xml:space="preserve">1: </w:t>
      </w:r>
      <w:r w:rsidRPr="00CD3B36">
        <w:rPr>
          <w:rFonts w:ascii="Calibri" w:eastAsia="Calibri" w:hAnsi="Calibri" w:cs="Calibri"/>
          <w:szCs w:val="20"/>
          <w:lang w:val="en-AU"/>
        </w:rPr>
        <w:t>Framework for demand response capabilities and requirements for demand response enabling devices (DREDs)</w:t>
      </w:r>
    </w:p>
    <w:p w14:paraId="0896DCA3" w14:textId="73DAC70B" w:rsidR="00CD3B36" w:rsidRDefault="00CD3B36" w:rsidP="008502F2">
      <w:pPr>
        <w:spacing w:after="120" w:line="276" w:lineRule="auto"/>
        <w:rPr>
          <w:rFonts w:ascii="Calibri" w:eastAsia="Calibri" w:hAnsi="Calibri" w:cs="Calibri"/>
          <w:szCs w:val="20"/>
          <w:lang w:val="en-AU"/>
        </w:rPr>
      </w:pPr>
      <w:r w:rsidRPr="00CD3B36">
        <w:rPr>
          <w:rFonts w:ascii="Calibri" w:eastAsia="Calibri" w:hAnsi="Calibri" w:cs="Calibri"/>
          <w:szCs w:val="20"/>
          <w:lang w:val="en-AU"/>
        </w:rPr>
        <w:t xml:space="preserve">4755.2 </w:t>
      </w:r>
      <w:r>
        <w:rPr>
          <w:rFonts w:ascii="Calibri" w:eastAsia="Calibri" w:hAnsi="Calibri" w:cs="Calibri"/>
          <w:szCs w:val="20"/>
          <w:lang w:val="en-AU"/>
        </w:rPr>
        <w:t xml:space="preserve">(Public comment draft 2018, unpublished) </w:t>
      </w:r>
      <w:r w:rsidRPr="00CD3B36">
        <w:rPr>
          <w:rFonts w:ascii="Calibri" w:eastAsia="Calibri" w:hAnsi="Calibri" w:cs="Calibri"/>
          <w:szCs w:val="20"/>
          <w:lang w:val="en-AU"/>
        </w:rPr>
        <w:t xml:space="preserve">Demand response capabilities and supporting technologies for electrical products. Part </w:t>
      </w:r>
      <w:r>
        <w:rPr>
          <w:rFonts w:ascii="Calibri" w:eastAsia="Calibri" w:hAnsi="Calibri" w:cs="Calibri"/>
          <w:szCs w:val="20"/>
          <w:lang w:val="en-AU"/>
        </w:rPr>
        <w:t xml:space="preserve">2: </w:t>
      </w:r>
      <w:r w:rsidRPr="00CD3B36">
        <w:rPr>
          <w:rFonts w:ascii="Calibri" w:eastAsia="Calibri" w:hAnsi="Calibri" w:cs="Calibri"/>
          <w:szCs w:val="20"/>
          <w:lang w:val="en-AU"/>
        </w:rPr>
        <w:t>Demand response framework and requirements for communication between remote agents and electrical products</w:t>
      </w:r>
    </w:p>
    <w:p w14:paraId="0A982A24" w14:textId="64CDB0FF" w:rsidR="00A41C48" w:rsidRDefault="00A41C48" w:rsidP="008502F2">
      <w:pPr>
        <w:spacing w:after="120" w:line="276" w:lineRule="auto"/>
        <w:rPr>
          <w:rFonts w:ascii="Calibri" w:eastAsia="Calibri" w:hAnsi="Calibri" w:cs="Calibri"/>
          <w:szCs w:val="20"/>
          <w:lang w:val="en-AU"/>
        </w:rPr>
      </w:pPr>
      <w:r w:rsidRPr="00A41C48">
        <w:rPr>
          <w:rFonts w:ascii="Calibri" w:eastAsia="Calibri" w:hAnsi="Calibri" w:cs="Calibri"/>
          <w:szCs w:val="20"/>
          <w:lang w:val="en-AU"/>
        </w:rPr>
        <w:t>AS 4755.3.1:20</w:t>
      </w:r>
      <w:r>
        <w:rPr>
          <w:rFonts w:ascii="Calibri" w:eastAsia="Calibri" w:hAnsi="Calibri" w:cs="Calibri"/>
          <w:szCs w:val="20"/>
          <w:lang w:val="en-AU"/>
        </w:rPr>
        <w:t>12</w:t>
      </w:r>
      <w:r w:rsidRPr="00A41C48">
        <w:rPr>
          <w:rFonts w:ascii="Calibri" w:eastAsia="Calibri" w:hAnsi="Calibri" w:cs="Calibri"/>
          <w:szCs w:val="20"/>
          <w:lang w:val="en-AU"/>
        </w:rPr>
        <w:t xml:space="preserve"> </w:t>
      </w:r>
      <w:r>
        <w:rPr>
          <w:rFonts w:ascii="Calibri" w:eastAsia="Calibri" w:hAnsi="Calibri" w:cs="Calibri"/>
          <w:szCs w:val="20"/>
          <w:lang w:val="en-AU"/>
        </w:rPr>
        <w:t xml:space="preserve">(withdrawn) </w:t>
      </w:r>
      <w:r w:rsidRPr="00A41C48">
        <w:rPr>
          <w:rFonts w:ascii="Calibri" w:eastAsia="Calibri" w:hAnsi="Calibri" w:cs="Calibri"/>
          <w:szCs w:val="20"/>
          <w:lang w:val="en-AU"/>
        </w:rPr>
        <w:t xml:space="preserve">Demand response capabilities and supporting technologies for electrical products. Part 3.1: Interaction of demand response enabling devices and electrical </w:t>
      </w:r>
      <w:proofErr w:type="gramStart"/>
      <w:r w:rsidRPr="00A41C48">
        <w:rPr>
          <w:rFonts w:ascii="Calibri" w:eastAsia="Calibri" w:hAnsi="Calibri" w:cs="Calibri"/>
          <w:szCs w:val="20"/>
          <w:lang w:val="en-AU"/>
        </w:rPr>
        <w:t>products</w:t>
      </w:r>
      <w:proofErr w:type="gramEnd"/>
      <w:r w:rsidRPr="00A41C48">
        <w:rPr>
          <w:rFonts w:ascii="Calibri" w:eastAsia="Calibri" w:hAnsi="Calibri" w:cs="Calibri"/>
          <w:szCs w:val="20"/>
          <w:lang w:val="en-AU"/>
        </w:rPr>
        <w:t>-Operational instructions and connections for air conditioners</w:t>
      </w:r>
    </w:p>
    <w:p w14:paraId="0851F7E2" w14:textId="20FA454F" w:rsidR="00A41C48" w:rsidRDefault="00A41C48" w:rsidP="008502F2">
      <w:pPr>
        <w:spacing w:after="120" w:line="276" w:lineRule="auto"/>
        <w:rPr>
          <w:rFonts w:ascii="Calibri" w:eastAsia="Calibri" w:hAnsi="Calibri" w:cs="Calibri"/>
          <w:szCs w:val="20"/>
          <w:lang w:val="en-AU"/>
        </w:rPr>
      </w:pPr>
      <w:r w:rsidRPr="00A41C48">
        <w:rPr>
          <w:rFonts w:ascii="Calibri" w:eastAsia="Calibri" w:hAnsi="Calibri" w:cs="Calibri"/>
          <w:szCs w:val="20"/>
          <w:lang w:val="en-AU"/>
        </w:rPr>
        <w:t>AS 4755.3.</w:t>
      </w:r>
      <w:r>
        <w:rPr>
          <w:rFonts w:ascii="Calibri" w:eastAsia="Calibri" w:hAnsi="Calibri" w:cs="Calibri"/>
          <w:szCs w:val="20"/>
          <w:lang w:val="en-AU"/>
        </w:rPr>
        <w:t>1</w:t>
      </w:r>
      <w:r w:rsidRPr="00A41C48">
        <w:rPr>
          <w:rFonts w:ascii="Calibri" w:eastAsia="Calibri" w:hAnsi="Calibri" w:cs="Calibri"/>
          <w:szCs w:val="20"/>
          <w:lang w:val="en-AU"/>
        </w:rPr>
        <w:t xml:space="preserve">:2014 Demand response capabilities and supporting technologies for electrical products. Part 3.1: Interaction of demand response enabling devices and electrical </w:t>
      </w:r>
      <w:proofErr w:type="gramStart"/>
      <w:r w:rsidRPr="00A41C48">
        <w:rPr>
          <w:rFonts w:ascii="Calibri" w:eastAsia="Calibri" w:hAnsi="Calibri" w:cs="Calibri"/>
          <w:szCs w:val="20"/>
          <w:lang w:val="en-AU"/>
        </w:rPr>
        <w:t>products</w:t>
      </w:r>
      <w:proofErr w:type="gramEnd"/>
      <w:r w:rsidRPr="00A41C48">
        <w:rPr>
          <w:rFonts w:ascii="Calibri" w:eastAsia="Calibri" w:hAnsi="Calibri" w:cs="Calibri"/>
          <w:szCs w:val="20"/>
          <w:lang w:val="en-AU"/>
        </w:rPr>
        <w:t>-Operational instructions and connections for air conditioners</w:t>
      </w:r>
    </w:p>
    <w:p w14:paraId="2EF41E0D" w14:textId="4137A1FA" w:rsidR="00A41C48" w:rsidRDefault="00A41C48" w:rsidP="008502F2">
      <w:pPr>
        <w:spacing w:after="120" w:line="276" w:lineRule="auto"/>
        <w:rPr>
          <w:rFonts w:ascii="Calibri" w:eastAsia="Calibri" w:hAnsi="Calibri" w:cs="Calibri"/>
          <w:szCs w:val="20"/>
          <w:lang w:val="en-AU"/>
        </w:rPr>
      </w:pPr>
      <w:r w:rsidRPr="00A41C48">
        <w:rPr>
          <w:rFonts w:ascii="Calibri" w:eastAsia="Calibri" w:hAnsi="Calibri" w:cs="Calibri"/>
          <w:szCs w:val="20"/>
          <w:lang w:val="en-AU"/>
        </w:rPr>
        <w:t>AS 4755.3.</w:t>
      </w:r>
      <w:r>
        <w:rPr>
          <w:rFonts w:ascii="Calibri" w:eastAsia="Calibri" w:hAnsi="Calibri" w:cs="Calibri"/>
          <w:szCs w:val="20"/>
          <w:lang w:val="en-AU"/>
        </w:rPr>
        <w:t>2</w:t>
      </w:r>
      <w:r w:rsidRPr="00A41C48">
        <w:rPr>
          <w:rFonts w:ascii="Calibri" w:eastAsia="Calibri" w:hAnsi="Calibri" w:cs="Calibri"/>
          <w:szCs w:val="20"/>
          <w:lang w:val="en-AU"/>
        </w:rPr>
        <w:t xml:space="preserve">:2014 Demand response capabilities and supporting technologies for electrical products. Part 3.1: Interaction of demand response enabling devices and electrical </w:t>
      </w:r>
      <w:proofErr w:type="gramStart"/>
      <w:r w:rsidRPr="00A41C48">
        <w:rPr>
          <w:rFonts w:ascii="Calibri" w:eastAsia="Calibri" w:hAnsi="Calibri" w:cs="Calibri"/>
          <w:szCs w:val="20"/>
          <w:lang w:val="en-AU"/>
        </w:rPr>
        <w:t>products</w:t>
      </w:r>
      <w:proofErr w:type="gramEnd"/>
      <w:r w:rsidRPr="00A41C48">
        <w:rPr>
          <w:rFonts w:ascii="Calibri" w:eastAsia="Calibri" w:hAnsi="Calibri" w:cs="Calibri"/>
          <w:szCs w:val="20"/>
          <w:lang w:val="en-AU"/>
        </w:rPr>
        <w:t>-Operational instructions and connections for devices controlling swimming pool pump-unit</w:t>
      </w:r>
      <w:r>
        <w:rPr>
          <w:rFonts w:ascii="Calibri" w:eastAsia="Calibri" w:hAnsi="Calibri" w:cs="Calibri"/>
          <w:szCs w:val="20"/>
          <w:lang w:val="en-AU"/>
        </w:rPr>
        <w:t>s</w:t>
      </w:r>
    </w:p>
    <w:p w14:paraId="2C63BD13" w14:textId="0AA6EFCB" w:rsidR="00CD3B36" w:rsidRDefault="00CD3B36" w:rsidP="008502F2">
      <w:pPr>
        <w:spacing w:after="120" w:line="276" w:lineRule="auto"/>
        <w:rPr>
          <w:rFonts w:ascii="Calibri" w:eastAsia="Calibri" w:hAnsi="Calibri" w:cs="Calibri"/>
          <w:szCs w:val="20"/>
          <w:lang w:val="en-AU"/>
        </w:rPr>
      </w:pPr>
      <w:r w:rsidRPr="00CD3B36">
        <w:rPr>
          <w:rFonts w:ascii="Calibri" w:eastAsia="Calibri" w:hAnsi="Calibri" w:cs="Calibri"/>
          <w:szCs w:val="20"/>
          <w:lang w:val="en-AU"/>
        </w:rPr>
        <w:lastRenderedPageBreak/>
        <w:t>AS 4755.3.</w:t>
      </w:r>
      <w:r>
        <w:rPr>
          <w:rFonts w:ascii="Calibri" w:eastAsia="Calibri" w:hAnsi="Calibri" w:cs="Calibri"/>
          <w:szCs w:val="20"/>
          <w:lang w:val="en-AU"/>
        </w:rPr>
        <w:t>3</w:t>
      </w:r>
      <w:r w:rsidRPr="00CD3B36">
        <w:rPr>
          <w:rFonts w:ascii="Calibri" w:eastAsia="Calibri" w:hAnsi="Calibri" w:cs="Calibri"/>
          <w:szCs w:val="20"/>
          <w:lang w:val="en-AU"/>
        </w:rPr>
        <w:t xml:space="preserve">:2014 Demand response capabilities and supporting technologies for electrical products. Part 3.1: Interaction of demand response enabling devices and electrical </w:t>
      </w:r>
      <w:proofErr w:type="gramStart"/>
      <w:r w:rsidRPr="00CD3B36">
        <w:rPr>
          <w:rFonts w:ascii="Calibri" w:eastAsia="Calibri" w:hAnsi="Calibri" w:cs="Calibri"/>
          <w:szCs w:val="20"/>
          <w:lang w:val="en-AU"/>
        </w:rPr>
        <w:t>products</w:t>
      </w:r>
      <w:proofErr w:type="gramEnd"/>
      <w:r w:rsidRPr="00CD3B36">
        <w:rPr>
          <w:rFonts w:ascii="Calibri" w:eastAsia="Calibri" w:hAnsi="Calibri" w:cs="Calibri"/>
          <w:szCs w:val="20"/>
          <w:lang w:val="en-AU"/>
        </w:rPr>
        <w:t>-Operational instructions and connections for electric storage and electric-boosted storage water heaters</w:t>
      </w:r>
    </w:p>
    <w:p w14:paraId="4149F212" w14:textId="06B87790" w:rsidR="00CD3B36" w:rsidRDefault="00CD3B36" w:rsidP="008502F2">
      <w:pPr>
        <w:spacing w:after="120" w:line="276" w:lineRule="auto"/>
        <w:rPr>
          <w:rFonts w:ascii="Calibri" w:eastAsia="Calibri" w:hAnsi="Calibri" w:cs="Calibri"/>
          <w:szCs w:val="20"/>
          <w:lang w:val="en-AU"/>
        </w:rPr>
      </w:pPr>
      <w:r w:rsidRPr="00CD3B36">
        <w:rPr>
          <w:rFonts w:ascii="Calibri" w:eastAsia="Calibri" w:hAnsi="Calibri" w:cs="Calibri"/>
          <w:szCs w:val="20"/>
          <w:lang w:val="en-AU"/>
        </w:rPr>
        <w:t>AS 4755.3.</w:t>
      </w:r>
      <w:r>
        <w:rPr>
          <w:rFonts w:ascii="Calibri" w:eastAsia="Calibri" w:hAnsi="Calibri" w:cs="Calibri"/>
          <w:szCs w:val="20"/>
          <w:lang w:val="en-AU"/>
        </w:rPr>
        <w:t>4</w:t>
      </w:r>
      <w:r w:rsidRPr="00CD3B36">
        <w:rPr>
          <w:rFonts w:ascii="Calibri" w:eastAsia="Calibri" w:hAnsi="Calibri" w:cs="Calibri"/>
          <w:szCs w:val="20"/>
          <w:lang w:val="en-AU"/>
        </w:rPr>
        <w:t xml:space="preserve"> </w:t>
      </w:r>
      <w:r>
        <w:rPr>
          <w:rFonts w:ascii="Calibri" w:eastAsia="Calibri" w:hAnsi="Calibri" w:cs="Calibri"/>
          <w:szCs w:val="20"/>
          <w:lang w:val="en-AU"/>
        </w:rPr>
        <w:t xml:space="preserve">(Public comment draft 2014, unpublished) </w:t>
      </w:r>
      <w:r w:rsidRPr="00CD3B36">
        <w:rPr>
          <w:rFonts w:ascii="Calibri" w:eastAsia="Calibri" w:hAnsi="Calibri" w:cs="Calibri"/>
          <w:szCs w:val="20"/>
          <w:lang w:val="en-AU"/>
        </w:rPr>
        <w:t xml:space="preserve">Demand response capabilities and supporting technologies for electrical products. Part 3.1: Interaction of demand response enabling devices and electrical </w:t>
      </w:r>
      <w:proofErr w:type="gramStart"/>
      <w:r w:rsidRPr="00CD3B36">
        <w:rPr>
          <w:rFonts w:ascii="Calibri" w:eastAsia="Calibri" w:hAnsi="Calibri" w:cs="Calibri"/>
          <w:szCs w:val="20"/>
          <w:lang w:val="en-AU"/>
        </w:rPr>
        <w:t>products</w:t>
      </w:r>
      <w:proofErr w:type="gramEnd"/>
      <w:r w:rsidRPr="00CD3B36">
        <w:rPr>
          <w:rFonts w:ascii="Calibri" w:eastAsia="Calibri" w:hAnsi="Calibri" w:cs="Calibri"/>
          <w:szCs w:val="20"/>
          <w:lang w:val="en-AU"/>
        </w:rPr>
        <w:t>-Operational instructions and connections for charge/discharge controllers for electric vehicles</w:t>
      </w:r>
    </w:p>
    <w:p w14:paraId="6DCF7DD7" w14:textId="3938B2DB" w:rsidR="00CD3B36" w:rsidRDefault="00CD3B36" w:rsidP="008502F2">
      <w:pPr>
        <w:spacing w:after="120" w:line="276" w:lineRule="auto"/>
        <w:rPr>
          <w:rFonts w:ascii="Calibri" w:eastAsia="Calibri" w:hAnsi="Calibri" w:cs="Calibri"/>
          <w:szCs w:val="20"/>
          <w:lang w:val="en-AU"/>
        </w:rPr>
      </w:pPr>
      <w:r w:rsidRPr="00CD3B36">
        <w:rPr>
          <w:rFonts w:ascii="Calibri" w:eastAsia="Calibri" w:hAnsi="Calibri" w:cs="Calibri"/>
          <w:szCs w:val="20"/>
          <w:lang w:val="en-AU"/>
        </w:rPr>
        <w:t>AS 4755.3.</w:t>
      </w:r>
      <w:r>
        <w:rPr>
          <w:rFonts w:ascii="Calibri" w:eastAsia="Calibri" w:hAnsi="Calibri" w:cs="Calibri"/>
          <w:szCs w:val="20"/>
          <w:lang w:val="en-AU"/>
        </w:rPr>
        <w:t>5</w:t>
      </w:r>
      <w:r w:rsidRPr="00CD3B36">
        <w:rPr>
          <w:rFonts w:ascii="Calibri" w:eastAsia="Calibri" w:hAnsi="Calibri" w:cs="Calibri"/>
          <w:szCs w:val="20"/>
          <w:lang w:val="en-AU"/>
        </w:rPr>
        <w:t>:201</w:t>
      </w:r>
      <w:r>
        <w:rPr>
          <w:rFonts w:ascii="Calibri" w:eastAsia="Calibri" w:hAnsi="Calibri" w:cs="Calibri"/>
          <w:szCs w:val="20"/>
          <w:lang w:val="en-AU"/>
        </w:rPr>
        <w:t>6</w:t>
      </w:r>
      <w:r w:rsidRPr="00CD3B36">
        <w:rPr>
          <w:rFonts w:ascii="Calibri" w:eastAsia="Calibri" w:hAnsi="Calibri" w:cs="Calibri"/>
          <w:szCs w:val="20"/>
          <w:lang w:val="en-AU"/>
        </w:rPr>
        <w:t xml:space="preserve"> Demand response capabilities and supporting technologies for electrical products. Part 3.1: Interaction of demand response enabling devices and electrical </w:t>
      </w:r>
      <w:proofErr w:type="gramStart"/>
      <w:r w:rsidRPr="00CD3B36">
        <w:rPr>
          <w:rFonts w:ascii="Calibri" w:eastAsia="Calibri" w:hAnsi="Calibri" w:cs="Calibri"/>
          <w:szCs w:val="20"/>
          <w:lang w:val="en-AU"/>
        </w:rPr>
        <w:t>products</w:t>
      </w:r>
      <w:proofErr w:type="gramEnd"/>
      <w:r w:rsidRPr="00CD3B36">
        <w:rPr>
          <w:rFonts w:ascii="Calibri" w:eastAsia="Calibri" w:hAnsi="Calibri" w:cs="Calibri"/>
          <w:szCs w:val="20"/>
          <w:lang w:val="en-AU"/>
        </w:rPr>
        <w:t xml:space="preserve">-Operational instructions and connections for </w:t>
      </w:r>
      <w:r>
        <w:rPr>
          <w:rFonts w:ascii="Calibri" w:eastAsia="Calibri" w:hAnsi="Calibri" w:cs="Calibri"/>
          <w:szCs w:val="20"/>
          <w:lang w:val="en-AU"/>
        </w:rPr>
        <w:t>grid-connected electrical energy storage systems</w:t>
      </w:r>
    </w:p>
    <w:p w14:paraId="36051F34" w14:textId="41427E4D" w:rsidR="008502F2" w:rsidRDefault="008502F2" w:rsidP="008502F2">
      <w:pPr>
        <w:spacing w:after="120" w:line="276" w:lineRule="auto"/>
        <w:rPr>
          <w:rFonts w:ascii="Calibri" w:eastAsia="Calibri" w:hAnsi="Calibri" w:cs="Calibri"/>
          <w:szCs w:val="20"/>
          <w:lang w:val="en-AU"/>
        </w:rPr>
      </w:pPr>
      <w:r>
        <w:rPr>
          <w:rFonts w:ascii="Calibri" w:eastAsia="Calibri" w:hAnsi="Calibri" w:cs="Calibri"/>
          <w:szCs w:val="20"/>
          <w:lang w:val="en-AU"/>
        </w:rPr>
        <w:t xml:space="preserve">Ausgrid (2016) </w:t>
      </w:r>
      <w:r w:rsidRPr="008502F2">
        <w:rPr>
          <w:rFonts w:ascii="Calibri" w:eastAsia="Calibri" w:hAnsi="Calibri" w:cs="Calibri"/>
          <w:szCs w:val="20"/>
          <w:lang w:val="en-AU"/>
        </w:rPr>
        <w:t>Ausgrid Demand Management</w:t>
      </w:r>
      <w:r>
        <w:rPr>
          <w:rFonts w:ascii="Calibri" w:eastAsia="Calibri" w:hAnsi="Calibri" w:cs="Calibri"/>
          <w:szCs w:val="20"/>
          <w:lang w:val="en-AU"/>
        </w:rPr>
        <w:t xml:space="preserve"> </w:t>
      </w:r>
      <w:r w:rsidRPr="008502F2">
        <w:rPr>
          <w:rFonts w:ascii="Calibri" w:eastAsia="Calibri" w:hAnsi="Calibri" w:cs="Calibri"/>
          <w:szCs w:val="20"/>
          <w:lang w:val="en-AU"/>
        </w:rPr>
        <w:t>Hot water load control trials</w:t>
      </w:r>
      <w:r>
        <w:rPr>
          <w:rFonts w:ascii="Calibri" w:eastAsia="Calibri" w:hAnsi="Calibri" w:cs="Calibri"/>
          <w:szCs w:val="20"/>
          <w:lang w:val="en-AU"/>
        </w:rPr>
        <w:t xml:space="preserve">, </w:t>
      </w:r>
      <w:r w:rsidRPr="008502F2">
        <w:rPr>
          <w:rFonts w:ascii="Calibri" w:eastAsia="Calibri" w:hAnsi="Calibri" w:cs="Calibri"/>
          <w:szCs w:val="20"/>
          <w:lang w:val="en-AU"/>
        </w:rPr>
        <w:t>August 2016</w:t>
      </w:r>
    </w:p>
    <w:p w14:paraId="0CF9443C" w14:textId="35F1A389" w:rsidR="00C74EC2" w:rsidRDefault="00C74EC2" w:rsidP="00C74EC2">
      <w:pPr>
        <w:spacing w:after="120" w:line="276" w:lineRule="auto"/>
        <w:rPr>
          <w:rFonts w:ascii="Calibri" w:eastAsia="Calibri" w:hAnsi="Calibri" w:cs="Calibri"/>
          <w:szCs w:val="20"/>
          <w:lang w:val="en-AU"/>
        </w:rPr>
      </w:pPr>
      <w:r>
        <w:rPr>
          <w:rFonts w:ascii="Calibri" w:eastAsia="Calibri" w:hAnsi="Calibri" w:cs="Calibri"/>
          <w:szCs w:val="20"/>
          <w:lang w:val="en-AU"/>
        </w:rPr>
        <w:t xml:space="preserve">Ausgrid (2017) </w:t>
      </w:r>
      <w:r w:rsidRPr="00C74EC2">
        <w:rPr>
          <w:rFonts w:ascii="Calibri" w:eastAsia="Calibri" w:hAnsi="Calibri" w:cs="Calibri"/>
          <w:szCs w:val="20"/>
          <w:lang w:val="en-AU"/>
        </w:rPr>
        <w:t>Ausgrid Demand Management CoolSaver Interim Report</w:t>
      </w:r>
      <w:r>
        <w:rPr>
          <w:rFonts w:ascii="Calibri" w:eastAsia="Calibri" w:hAnsi="Calibri" w:cs="Calibri"/>
          <w:szCs w:val="20"/>
          <w:lang w:val="en-AU"/>
        </w:rPr>
        <w:t xml:space="preserve">, </w:t>
      </w:r>
      <w:r w:rsidRPr="00C74EC2">
        <w:rPr>
          <w:rFonts w:ascii="Calibri" w:eastAsia="Calibri" w:hAnsi="Calibri" w:cs="Calibri"/>
          <w:szCs w:val="20"/>
          <w:lang w:val="en-AU"/>
        </w:rPr>
        <w:t>February 2017</w:t>
      </w:r>
    </w:p>
    <w:p w14:paraId="3F22764A" w14:textId="40C97E26" w:rsidR="00126810" w:rsidRDefault="00126810" w:rsidP="00A37634">
      <w:pPr>
        <w:spacing w:after="120" w:line="276" w:lineRule="auto"/>
        <w:rPr>
          <w:rFonts w:ascii="Calibri" w:eastAsia="Calibri" w:hAnsi="Calibri" w:cs="Calibri"/>
          <w:szCs w:val="20"/>
          <w:lang w:val="en-AU"/>
        </w:rPr>
      </w:pPr>
      <w:r>
        <w:rPr>
          <w:rFonts w:ascii="Calibri" w:eastAsia="Calibri" w:hAnsi="Calibri" w:cs="Calibri"/>
          <w:szCs w:val="20"/>
          <w:lang w:val="en-AU"/>
        </w:rPr>
        <w:t xml:space="preserve">Ausgrid (2018) </w:t>
      </w:r>
      <w:r w:rsidR="008502F2">
        <w:rPr>
          <w:rFonts w:ascii="Calibri" w:eastAsia="Calibri" w:hAnsi="Calibri" w:cs="Calibri"/>
          <w:szCs w:val="20"/>
          <w:lang w:val="en-AU"/>
        </w:rPr>
        <w:t>DMIA Annual Report 2017-18,</w:t>
      </w:r>
      <w:r w:rsidR="00207E88">
        <w:rPr>
          <w:rFonts w:ascii="Calibri" w:eastAsia="Calibri" w:hAnsi="Calibri" w:cs="Calibri"/>
          <w:szCs w:val="20"/>
          <w:lang w:val="en-AU"/>
        </w:rPr>
        <w:t xml:space="preserve"> </w:t>
      </w:r>
      <w:r w:rsidR="008502F2">
        <w:rPr>
          <w:rFonts w:ascii="Calibri" w:eastAsia="Calibri" w:hAnsi="Calibri" w:cs="Calibri"/>
          <w:szCs w:val="20"/>
          <w:lang w:val="en-AU"/>
        </w:rPr>
        <w:t>October 2018</w:t>
      </w:r>
    </w:p>
    <w:p w14:paraId="5B1737DE" w14:textId="37BCDF53" w:rsidR="00EB5B93" w:rsidRDefault="00EB5B93" w:rsidP="00A37634">
      <w:pPr>
        <w:spacing w:after="120" w:line="276" w:lineRule="auto"/>
        <w:rPr>
          <w:rFonts w:ascii="Calibri" w:eastAsia="Calibri" w:hAnsi="Calibri" w:cs="Calibri"/>
          <w:szCs w:val="20"/>
          <w:lang w:val="en-AU"/>
        </w:rPr>
      </w:pPr>
      <w:r>
        <w:rPr>
          <w:rFonts w:ascii="Calibri" w:eastAsia="Calibri" w:hAnsi="Calibri" w:cs="Calibri"/>
          <w:szCs w:val="20"/>
          <w:lang w:val="en-AU"/>
        </w:rPr>
        <w:t xml:space="preserve">CSIRO (2017) </w:t>
      </w:r>
      <w:r w:rsidRPr="00EB5B93">
        <w:rPr>
          <w:rFonts w:ascii="Calibri" w:eastAsia="Calibri" w:hAnsi="Calibri" w:cs="Calibri"/>
          <w:szCs w:val="20"/>
          <w:lang w:val="en-AU"/>
        </w:rPr>
        <w:t>Electricity Network Transformation Roadmap: Final Report, Electricity Networks Australia and CSIRO, April 2017</w:t>
      </w:r>
    </w:p>
    <w:p w14:paraId="6954C99B" w14:textId="3002161E" w:rsidR="002E52C3" w:rsidRDefault="002E52C3" w:rsidP="00A37634">
      <w:pPr>
        <w:spacing w:after="120" w:line="276" w:lineRule="auto"/>
        <w:rPr>
          <w:rFonts w:ascii="Calibri" w:eastAsia="Calibri" w:hAnsi="Calibri" w:cs="Calibri"/>
          <w:szCs w:val="20"/>
          <w:lang w:val="en-AU"/>
        </w:rPr>
      </w:pPr>
      <w:r>
        <w:rPr>
          <w:rFonts w:ascii="Calibri" w:eastAsia="Calibri" w:hAnsi="Calibri" w:cs="Calibri"/>
          <w:szCs w:val="20"/>
          <w:lang w:val="en-AU"/>
        </w:rPr>
        <w:t xml:space="preserve">E3 (2013) </w:t>
      </w:r>
      <w:r w:rsidRPr="002E52C3">
        <w:rPr>
          <w:rFonts w:ascii="Calibri" w:eastAsia="Calibri" w:hAnsi="Calibri" w:cs="Calibri"/>
          <w:szCs w:val="20"/>
          <w:lang w:val="en-AU"/>
        </w:rPr>
        <w:t xml:space="preserve">Consultation Regulation Impact Statement: Mandating ‘smart appliance’ interfaces for air conditioners, water heaters and other appliances. </w:t>
      </w:r>
      <w:bookmarkStart w:id="136" w:name="_Hlk22066691"/>
      <w:r w:rsidRPr="002E52C3">
        <w:rPr>
          <w:rFonts w:ascii="Calibri" w:eastAsia="Calibri" w:hAnsi="Calibri" w:cs="Calibri"/>
          <w:szCs w:val="20"/>
          <w:lang w:val="en-AU"/>
        </w:rPr>
        <w:t>Equipment Energy Efficiency Committee</w:t>
      </w:r>
      <w:bookmarkEnd w:id="136"/>
      <w:r w:rsidRPr="002E52C3">
        <w:rPr>
          <w:rFonts w:ascii="Calibri" w:eastAsia="Calibri" w:hAnsi="Calibri" w:cs="Calibri"/>
          <w:szCs w:val="20"/>
          <w:lang w:val="en-AU"/>
        </w:rPr>
        <w:t>, 2013.</w:t>
      </w:r>
    </w:p>
    <w:p w14:paraId="465A3293" w14:textId="43F4BCE7" w:rsidR="002E52C3" w:rsidRDefault="002E52C3" w:rsidP="002E52C3">
      <w:pPr>
        <w:spacing w:after="120" w:line="276" w:lineRule="auto"/>
        <w:rPr>
          <w:rFonts w:ascii="Calibri" w:eastAsia="Calibri" w:hAnsi="Calibri" w:cs="Calibri"/>
          <w:szCs w:val="20"/>
          <w:lang w:val="en-AU"/>
        </w:rPr>
      </w:pPr>
      <w:r>
        <w:rPr>
          <w:rFonts w:ascii="Calibri" w:eastAsia="Calibri" w:hAnsi="Calibri" w:cs="Calibri"/>
          <w:szCs w:val="20"/>
          <w:lang w:val="en-AU"/>
        </w:rPr>
        <w:t xml:space="preserve">E3 (2014) Decision RIS: Smart Appliance Interfaces (Unpublished Draft) </w:t>
      </w:r>
      <w:r w:rsidRPr="002E52C3">
        <w:rPr>
          <w:rFonts w:ascii="Calibri" w:eastAsia="Calibri" w:hAnsi="Calibri" w:cs="Calibri"/>
          <w:szCs w:val="20"/>
          <w:lang w:val="en-AU"/>
        </w:rPr>
        <w:t>Equipment Energy Efficiency Committee</w:t>
      </w:r>
      <w:r>
        <w:rPr>
          <w:rFonts w:ascii="Calibri" w:eastAsia="Calibri" w:hAnsi="Calibri" w:cs="Calibri"/>
          <w:szCs w:val="20"/>
          <w:lang w:val="en-AU"/>
        </w:rPr>
        <w:t>,</w:t>
      </w:r>
      <w:r w:rsidRPr="002E52C3">
        <w:rPr>
          <w:rFonts w:ascii="Calibri" w:eastAsia="Calibri" w:hAnsi="Calibri" w:cs="Calibri"/>
          <w:szCs w:val="20"/>
          <w:lang w:val="en-AU"/>
        </w:rPr>
        <w:t xml:space="preserve"> </w:t>
      </w:r>
      <w:r>
        <w:rPr>
          <w:rFonts w:ascii="Calibri" w:eastAsia="Calibri" w:hAnsi="Calibri" w:cs="Calibri"/>
          <w:szCs w:val="20"/>
          <w:lang w:val="en-AU"/>
        </w:rPr>
        <w:t>September 2014</w:t>
      </w:r>
    </w:p>
    <w:p w14:paraId="1EFFCD93" w14:textId="44E3360C" w:rsidR="002E52C3" w:rsidRDefault="002E52C3" w:rsidP="002E52C3">
      <w:pPr>
        <w:spacing w:after="120" w:line="276" w:lineRule="auto"/>
        <w:rPr>
          <w:rFonts w:ascii="Calibri" w:eastAsia="Calibri" w:hAnsi="Calibri" w:cs="Calibri"/>
          <w:szCs w:val="20"/>
          <w:lang w:val="en-AU"/>
        </w:rPr>
      </w:pPr>
      <w:r>
        <w:rPr>
          <w:rFonts w:ascii="Calibri" w:eastAsia="Calibri" w:hAnsi="Calibri" w:cs="Calibri"/>
          <w:szCs w:val="20"/>
          <w:lang w:val="en-AU"/>
        </w:rPr>
        <w:t>E3 (2019) Consultation Paper</w:t>
      </w:r>
      <w:r w:rsidR="00304C5F" w:rsidRPr="00304C5F">
        <w:rPr>
          <w:rFonts w:ascii="Calibri" w:eastAsia="Calibri" w:hAnsi="Calibri" w:cs="Calibri"/>
          <w:szCs w:val="20"/>
          <w:lang w:val="en-AU"/>
        </w:rPr>
        <w:t>: ‘Smart’ Demand Response Capabilities for Selected Appliances</w:t>
      </w:r>
      <w:r w:rsidR="00304C5F">
        <w:rPr>
          <w:rFonts w:ascii="Calibri" w:eastAsia="Calibri" w:hAnsi="Calibri" w:cs="Calibri"/>
          <w:szCs w:val="20"/>
          <w:lang w:val="en-AU"/>
        </w:rPr>
        <w:t>,</w:t>
      </w:r>
      <w:r w:rsidR="00304C5F" w:rsidRPr="00304C5F">
        <w:rPr>
          <w:rFonts w:ascii="Calibri" w:eastAsia="Calibri" w:hAnsi="Calibri" w:cs="Calibri"/>
          <w:szCs w:val="20"/>
          <w:lang w:val="en-AU"/>
        </w:rPr>
        <w:t xml:space="preserve"> August 2019</w:t>
      </w:r>
    </w:p>
    <w:p w14:paraId="567C2F67" w14:textId="40E0E1B3" w:rsidR="00EC153D" w:rsidRDefault="00EC153D" w:rsidP="00A37634">
      <w:pPr>
        <w:spacing w:after="120" w:line="276" w:lineRule="auto"/>
        <w:rPr>
          <w:rFonts w:ascii="Calibri" w:eastAsia="Calibri" w:hAnsi="Calibri" w:cs="Calibri"/>
          <w:szCs w:val="20"/>
          <w:lang w:val="en-AU"/>
        </w:rPr>
      </w:pPr>
      <w:proofErr w:type="spellStart"/>
      <w:r>
        <w:rPr>
          <w:rFonts w:ascii="Calibri" w:eastAsia="Calibri" w:hAnsi="Calibri" w:cs="Calibri"/>
          <w:szCs w:val="20"/>
          <w:lang w:val="en-AU"/>
        </w:rPr>
        <w:t>ENA</w:t>
      </w:r>
      <w:proofErr w:type="spellEnd"/>
      <w:r>
        <w:rPr>
          <w:rFonts w:ascii="Calibri" w:eastAsia="Calibri" w:hAnsi="Calibri" w:cs="Calibri"/>
          <w:szCs w:val="20"/>
          <w:lang w:val="en-AU"/>
        </w:rPr>
        <w:t xml:space="preserve"> (2012) </w:t>
      </w:r>
      <w:r w:rsidRPr="00EC153D">
        <w:rPr>
          <w:rFonts w:ascii="Calibri" w:eastAsia="Calibri" w:hAnsi="Calibri" w:cs="Calibri"/>
          <w:szCs w:val="20"/>
          <w:lang w:val="en-AU"/>
        </w:rPr>
        <w:t>Pilots and Trials Report on Smart Metering and Related Matters, Energy Networks Association, 30 June 2012</w:t>
      </w:r>
    </w:p>
    <w:p w14:paraId="1E8B2D5C" w14:textId="0A15304C" w:rsidR="004D704B" w:rsidRDefault="004D704B" w:rsidP="004D704B">
      <w:pPr>
        <w:spacing w:after="120" w:line="276" w:lineRule="auto"/>
        <w:rPr>
          <w:rFonts w:ascii="Calibri" w:eastAsia="Calibri" w:hAnsi="Calibri" w:cs="Calibri"/>
          <w:szCs w:val="20"/>
          <w:lang w:val="en-AU"/>
        </w:rPr>
      </w:pPr>
      <w:r>
        <w:rPr>
          <w:rFonts w:ascii="Calibri" w:eastAsia="Calibri" w:hAnsi="Calibri" w:cs="Calibri"/>
          <w:szCs w:val="20"/>
          <w:lang w:val="en-AU"/>
        </w:rPr>
        <w:t xml:space="preserve">Energeia (2018) </w:t>
      </w:r>
      <w:r w:rsidRPr="004D704B">
        <w:rPr>
          <w:rFonts w:ascii="Calibri" w:eastAsia="Calibri" w:hAnsi="Calibri" w:cs="Calibri"/>
          <w:szCs w:val="20"/>
          <w:lang w:val="en-AU"/>
        </w:rPr>
        <w:t>Australian Electric Vehicle</w:t>
      </w:r>
      <w:r>
        <w:rPr>
          <w:rFonts w:ascii="Calibri" w:eastAsia="Calibri" w:hAnsi="Calibri" w:cs="Calibri"/>
          <w:szCs w:val="20"/>
          <w:lang w:val="en-AU"/>
        </w:rPr>
        <w:t xml:space="preserve"> </w:t>
      </w:r>
      <w:r w:rsidRPr="004D704B">
        <w:rPr>
          <w:rFonts w:ascii="Calibri" w:eastAsia="Calibri" w:hAnsi="Calibri" w:cs="Calibri"/>
          <w:szCs w:val="20"/>
          <w:lang w:val="en-AU"/>
        </w:rPr>
        <w:t>Market Study</w:t>
      </w:r>
      <w:r>
        <w:rPr>
          <w:rFonts w:ascii="Calibri" w:eastAsia="Calibri" w:hAnsi="Calibri" w:cs="Calibri"/>
          <w:szCs w:val="20"/>
          <w:lang w:val="en-AU"/>
        </w:rPr>
        <w:t xml:space="preserve">, </w:t>
      </w:r>
      <w:r w:rsidRPr="004D704B">
        <w:rPr>
          <w:rFonts w:ascii="Calibri" w:eastAsia="Calibri" w:hAnsi="Calibri" w:cs="Calibri"/>
          <w:szCs w:val="20"/>
          <w:lang w:val="en-AU"/>
        </w:rPr>
        <w:t>Prepared by ENERGEIA for</w:t>
      </w:r>
      <w:r>
        <w:rPr>
          <w:rFonts w:ascii="Calibri" w:eastAsia="Calibri" w:hAnsi="Calibri" w:cs="Calibri"/>
          <w:szCs w:val="20"/>
          <w:lang w:val="en-AU"/>
        </w:rPr>
        <w:t xml:space="preserve"> </w:t>
      </w:r>
      <w:r w:rsidRPr="004D704B">
        <w:rPr>
          <w:rFonts w:ascii="Calibri" w:eastAsia="Calibri" w:hAnsi="Calibri" w:cs="Calibri"/>
          <w:szCs w:val="20"/>
          <w:lang w:val="en-AU"/>
        </w:rPr>
        <w:t>ARENA and CEFC</w:t>
      </w:r>
      <w:r>
        <w:rPr>
          <w:rFonts w:ascii="Calibri" w:eastAsia="Calibri" w:hAnsi="Calibri" w:cs="Calibri"/>
          <w:szCs w:val="20"/>
          <w:lang w:val="en-AU"/>
        </w:rPr>
        <w:t xml:space="preserve">, </w:t>
      </w:r>
      <w:r w:rsidRPr="004D704B">
        <w:rPr>
          <w:rFonts w:ascii="Calibri" w:eastAsia="Calibri" w:hAnsi="Calibri" w:cs="Calibri"/>
          <w:szCs w:val="20"/>
          <w:lang w:val="en-AU"/>
        </w:rPr>
        <w:t>FINAL</w:t>
      </w:r>
      <w:r>
        <w:rPr>
          <w:rFonts w:ascii="Calibri" w:eastAsia="Calibri" w:hAnsi="Calibri" w:cs="Calibri"/>
          <w:szCs w:val="20"/>
          <w:lang w:val="en-AU"/>
        </w:rPr>
        <w:t xml:space="preserve"> </w:t>
      </w:r>
      <w:r w:rsidRPr="004D704B">
        <w:rPr>
          <w:rFonts w:ascii="Calibri" w:eastAsia="Calibri" w:hAnsi="Calibri" w:cs="Calibri"/>
          <w:szCs w:val="20"/>
          <w:lang w:val="en-AU"/>
        </w:rPr>
        <w:t>May 2018</w:t>
      </w:r>
    </w:p>
    <w:p w14:paraId="6CEA191D" w14:textId="495D802D" w:rsidR="00C515A0" w:rsidRDefault="00C14B94" w:rsidP="00A37634">
      <w:pPr>
        <w:spacing w:after="120" w:line="276" w:lineRule="auto"/>
        <w:rPr>
          <w:rFonts w:ascii="Calibri" w:eastAsia="Calibri" w:hAnsi="Calibri" w:cs="Calibri"/>
          <w:szCs w:val="20"/>
          <w:lang w:val="en-AU"/>
        </w:rPr>
      </w:pPr>
      <w:r w:rsidRPr="00C14B94">
        <w:rPr>
          <w:rFonts w:ascii="Calibri" w:eastAsia="Calibri" w:hAnsi="Calibri" w:cs="Calibri"/>
          <w:szCs w:val="20"/>
          <w:lang w:val="en-AU"/>
        </w:rPr>
        <w:t>Energex (2014) PeakSmart Air Conditioning Demand Response Control Event Report, Energex, November 2014</w:t>
      </w:r>
    </w:p>
    <w:p w14:paraId="230B19C3" w14:textId="7E95FDC3" w:rsidR="008F045D" w:rsidRDefault="008F045D" w:rsidP="008F045D">
      <w:pPr>
        <w:spacing w:after="120" w:line="276" w:lineRule="auto"/>
        <w:rPr>
          <w:rFonts w:ascii="Calibri" w:eastAsia="Calibri" w:hAnsi="Calibri" w:cs="Calibri"/>
          <w:szCs w:val="20"/>
          <w:lang w:val="en-AU"/>
        </w:rPr>
      </w:pPr>
      <w:r>
        <w:rPr>
          <w:rFonts w:ascii="Calibri" w:eastAsia="Calibri" w:hAnsi="Calibri" w:cs="Calibri"/>
          <w:szCs w:val="20"/>
          <w:lang w:val="en-AU"/>
        </w:rPr>
        <w:t xml:space="preserve">GEMS Act Review (2019) </w:t>
      </w:r>
      <w:r w:rsidRPr="008F045D">
        <w:rPr>
          <w:rFonts w:ascii="Calibri" w:eastAsia="Calibri" w:hAnsi="Calibri" w:cs="Calibri"/>
          <w:szCs w:val="20"/>
          <w:lang w:val="en-AU"/>
        </w:rPr>
        <w:t>Independent Review of the</w:t>
      </w:r>
      <w:r>
        <w:rPr>
          <w:rFonts w:ascii="Calibri" w:eastAsia="Calibri" w:hAnsi="Calibri" w:cs="Calibri"/>
          <w:szCs w:val="20"/>
          <w:lang w:val="en-AU"/>
        </w:rPr>
        <w:t xml:space="preserve"> </w:t>
      </w:r>
      <w:r w:rsidRPr="008F045D">
        <w:rPr>
          <w:rFonts w:ascii="Calibri" w:eastAsia="Calibri" w:hAnsi="Calibri" w:cs="Calibri"/>
          <w:szCs w:val="20"/>
          <w:lang w:val="en-AU"/>
        </w:rPr>
        <w:t>Greenhouse and Energy Minimum Standards (GEMS) Act 2012</w:t>
      </w:r>
      <w:r>
        <w:rPr>
          <w:rFonts w:ascii="Calibri" w:eastAsia="Calibri" w:hAnsi="Calibri" w:cs="Calibri"/>
          <w:szCs w:val="20"/>
          <w:lang w:val="en-AU"/>
        </w:rPr>
        <w:t xml:space="preserve">, </w:t>
      </w:r>
      <w:r w:rsidRPr="008F045D">
        <w:rPr>
          <w:rFonts w:ascii="Calibri" w:eastAsia="Calibri" w:hAnsi="Calibri" w:cs="Calibri"/>
          <w:szCs w:val="20"/>
          <w:lang w:val="en-AU"/>
        </w:rPr>
        <w:t>Final Report June 2019</w:t>
      </w:r>
    </w:p>
    <w:p w14:paraId="5B350CD6" w14:textId="3608FF80" w:rsidR="00EB5B93" w:rsidRDefault="00EB5B93" w:rsidP="008F045D">
      <w:pPr>
        <w:spacing w:after="120" w:line="276" w:lineRule="auto"/>
        <w:rPr>
          <w:rFonts w:ascii="Calibri" w:eastAsia="Calibri" w:hAnsi="Calibri" w:cs="Calibri"/>
          <w:szCs w:val="20"/>
          <w:lang w:val="en-AU"/>
        </w:rPr>
      </w:pPr>
      <w:r>
        <w:rPr>
          <w:rFonts w:ascii="Calibri" w:eastAsia="Calibri" w:hAnsi="Calibri" w:cs="Calibri"/>
          <w:szCs w:val="20"/>
          <w:lang w:val="en-AU"/>
        </w:rPr>
        <w:t xml:space="preserve">Independent Review (2017) </w:t>
      </w:r>
      <w:r w:rsidRPr="00EB5B93">
        <w:rPr>
          <w:rFonts w:ascii="Calibri" w:eastAsia="Calibri" w:hAnsi="Calibri" w:cs="Calibri"/>
          <w:szCs w:val="20"/>
          <w:lang w:val="en-AU"/>
        </w:rPr>
        <w:t>Independent Review of the Future Security of the National Electricity Market (Finkel Review), June 2017</w:t>
      </w:r>
    </w:p>
    <w:p w14:paraId="123E9790" w14:textId="4F092D79" w:rsidR="00EB5B93" w:rsidRDefault="00EB5B93" w:rsidP="008F045D">
      <w:pPr>
        <w:spacing w:after="120" w:line="276" w:lineRule="auto"/>
        <w:rPr>
          <w:rFonts w:ascii="Calibri" w:eastAsia="Calibri" w:hAnsi="Calibri" w:cs="Calibri"/>
          <w:szCs w:val="20"/>
          <w:lang w:val="en-AU"/>
        </w:rPr>
      </w:pPr>
      <w:r>
        <w:rPr>
          <w:rFonts w:ascii="Calibri" w:eastAsia="Calibri" w:hAnsi="Calibri" w:cs="Calibri"/>
          <w:szCs w:val="20"/>
          <w:lang w:val="en-AU"/>
        </w:rPr>
        <w:t xml:space="preserve">Productivity Commission (2013) </w:t>
      </w:r>
      <w:r w:rsidRPr="00EB5B93">
        <w:rPr>
          <w:rFonts w:ascii="Calibri" w:eastAsia="Calibri" w:hAnsi="Calibri" w:cs="Calibri"/>
          <w:szCs w:val="20"/>
          <w:lang w:val="en-AU"/>
        </w:rPr>
        <w:t>Report on Electricity Network Regulatory Frameworks, April 2013</w:t>
      </w:r>
    </w:p>
    <w:p w14:paraId="314061A9" w14:textId="54BCA652" w:rsidR="00C14B94" w:rsidRDefault="00F13AB4" w:rsidP="00A37634">
      <w:pPr>
        <w:spacing w:after="120" w:line="276" w:lineRule="auto"/>
        <w:rPr>
          <w:rFonts w:ascii="Calibri" w:eastAsia="Calibri" w:hAnsi="Calibri" w:cs="Calibri"/>
          <w:szCs w:val="20"/>
          <w:lang w:val="en-AU"/>
        </w:rPr>
      </w:pPr>
      <w:r w:rsidRPr="00F13AB4">
        <w:rPr>
          <w:rFonts w:ascii="Calibri" w:eastAsia="Calibri" w:hAnsi="Calibri" w:cs="Calibri"/>
          <w:szCs w:val="20"/>
          <w:lang w:val="en-AU"/>
        </w:rPr>
        <w:t>Queensland Energy Group, (2109) Customer Interactions Demand Management Outcomes 2015-20, January 2019</w:t>
      </w:r>
    </w:p>
    <w:p w14:paraId="74CD808E" w14:textId="0AC9C41F" w:rsidR="00C515A0" w:rsidRDefault="00C515A0" w:rsidP="00A37634">
      <w:pPr>
        <w:spacing w:after="120" w:line="276" w:lineRule="auto"/>
        <w:rPr>
          <w:rFonts w:ascii="Calibri" w:eastAsia="Calibri" w:hAnsi="Calibri" w:cs="Calibri"/>
          <w:szCs w:val="20"/>
          <w:lang w:val="en-AU"/>
        </w:rPr>
      </w:pPr>
    </w:p>
    <w:p w14:paraId="7975888A" w14:textId="2E87D7AE" w:rsidR="00C515A0" w:rsidRDefault="00C515A0" w:rsidP="00A37634">
      <w:pPr>
        <w:spacing w:after="120" w:line="276" w:lineRule="auto"/>
        <w:rPr>
          <w:rFonts w:ascii="Calibri" w:eastAsia="Calibri" w:hAnsi="Calibri" w:cs="Calibri"/>
          <w:szCs w:val="20"/>
          <w:lang w:val="en-AU"/>
        </w:rPr>
      </w:pPr>
    </w:p>
    <w:p w14:paraId="2C69F71E" w14:textId="5FE1BE1A" w:rsidR="00C515A0" w:rsidRDefault="00C515A0" w:rsidP="00A37634">
      <w:pPr>
        <w:spacing w:after="120" w:line="276" w:lineRule="auto"/>
        <w:rPr>
          <w:rFonts w:ascii="Calibri" w:eastAsia="Calibri" w:hAnsi="Calibri" w:cs="Calibri"/>
          <w:szCs w:val="20"/>
          <w:lang w:val="en-AU"/>
        </w:rPr>
      </w:pPr>
    </w:p>
    <w:p w14:paraId="7246DAC9" w14:textId="156BE818" w:rsidR="00C515A0" w:rsidRDefault="00C515A0" w:rsidP="00A37634">
      <w:pPr>
        <w:spacing w:after="120" w:line="276" w:lineRule="auto"/>
        <w:rPr>
          <w:rFonts w:ascii="Calibri" w:eastAsia="Calibri" w:hAnsi="Calibri" w:cs="Calibri"/>
          <w:szCs w:val="20"/>
          <w:lang w:val="en-AU"/>
        </w:rPr>
      </w:pPr>
    </w:p>
    <w:p w14:paraId="6A776589" w14:textId="010DC15B" w:rsidR="00C515A0" w:rsidRDefault="00C515A0" w:rsidP="00C515A0">
      <w:pPr>
        <w:keepNext/>
        <w:keepLines/>
        <w:pageBreakBefore/>
        <w:spacing w:before="200" w:after="600" w:line="240" w:lineRule="auto"/>
        <w:outlineLvl w:val="1"/>
        <w:rPr>
          <w:rFonts w:ascii="Calibri" w:eastAsia="Times New Roman" w:hAnsi="Calibri" w:cs="Calibri"/>
          <w:b/>
          <w:bCs/>
          <w:color w:val="ED1B24"/>
          <w:sz w:val="50"/>
          <w:szCs w:val="50"/>
          <w:lang w:val="en-AU"/>
        </w:rPr>
      </w:pPr>
      <w:bookmarkStart w:id="137" w:name="_Toc22485221"/>
      <w:r w:rsidRPr="00C515A0">
        <w:rPr>
          <w:rFonts w:ascii="Calibri" w:eastAsia="Times New Roman" w:hAnsi="Calibri" w:cs="Calibri"/>
          <w:b/>
          <w:bCs/>
          <w:color w:val="ED1B24"/>
          <w:sz w:val="50"/>
          <w:szCs w:val="50"/>
          <w:lang w:val="en-AU"/>
        </w:rPr>
        <w:lastRenderedPageBreak/>
        <w:t>Appendix 1 Consultations and Submissions</w:t>
      </w:r>
      <w:bookmarkEnd w:id="137"/>
    </w:p>
    <w:p w14:paraId="01E66240" w14:textId="070290A7" w:rsidR="000A5D5A" w:rsidRDefault="000A5D5A" w:rsidP="000A5D5A">
      <w:pPr>
        <w:rPr>
          <w:lang w:val="en-AU"/>
        </w:rPr>
      </w:pPr>
      <w:r w:rsidRPr="000A5D5A">
        <w:rPr>
          <w:rStyle w:val="FigreferenceChar"/>
        </w:rPr>
        <w:fldChar w:fldCharType="begin"/>
      </w:r>
      <w:r w:rsidRPr="000A5D5A">
        <w:rPr>
          <w:rStyle w:val="FigreferenceChar"/>
        </w:rPr>
        <w:instrText xml:space="preserve"> REF _Ref22239650 \h </w:instrText>
      </w:r>
      <w:r>
        <w:rPr>
          <w:rStyle w:val="FigreferenceChar"/>
        </w:rPr>
        <w:instrText xml:space="preserve"> \* MERGEFORMAT </w:instrText>
      </w:r>
      <w:r w:rsidRPr="000A5D5A">
        <w:rPr>
          <w:rStyle w:val="FigreferenceChar"/>
        </w:rPr>
      </w:r>
      <w:r w:rsidRPr="000A5D5A">
        <w:rPr>
          <w:rStyle w:val="FigreferenceChar"/>
        </w:rPr>
        <w:fldChar w:fldCharType="separate"/>
      </w:r>
      <w:r w:rsidR="006B22A7" w:rsidRPr="006B22A7">
        <w:rPr>
          <w:rStyle w:val="FigreferenceChar"/>
        </w:rPr>
        <w:t>Table 2</w:t>
      </w:r>
      <w:r w:rsidR="006340AC">
        <w:rPr>
          <w:rStyle w:val="FigreferenceChar"/>
        </w:rPr>
        <w:t>1</w:t>
      </w:r>
      <w:r w:rsidRPr="000A5D5A">
        <w:rPr>
          <w:rStyle w:val="FigreferenceChar"/>
        </w:rPr>
        <w:fldChar w:fldCharType="end"/>
      </w:r>
      <w:r>
        <w:rPr>
          <w:lang w:val="en-AU"/>
        </w:rPr>
        <w:t xml:space="preserve"> lists the organisations and individuals that made written submissions on the Consultation Paper and </w:t>
      </w:r>
      <w:r w:rsidRPr="000A5D5A">
        <w:rPr>
          <w:rStyle w:val="FigreferenceChar"/>
        </w:rPr>
        <w:fldChar w:fldCharType="begin"/>
      </w:r>
      <w:r w:rsidRPr="000A5D5A">
        <w:rPr>
          <w:rStyle w:val="FigreferenceChar"/>
        </w:rPr>
        <w:instrText xml:space="preserve"> REF _Ref22239652 \h </w:instrText>
      </w:r>
      <w:r>
        <w:rPr>
          <w:rStyle w:val="FigreferenceChar"/>
        </w:rPr>
        <w:instrText xml:space="preserve"> \* MERGEFORMAT </w:instrText>
      </w:r>
      <w:r w:rsidRPr="000A5D5A">
        <w:rPr>
          <w:rStyle w:val="FigreferenceChar"/>
        </w:rPr>
      </w:r>
      <w:r w:rsidRPr="000A5D5A">
        <w:rPr>
          <w:rStyle w:val="FigreferenceChar"/>
        </w:rPr>
        <w:fldChar w:fldCharType="separate"/>
      </w:r>
      <w:r w:rsidR="006B22A7" w:rsidRPr="006B22A7">
        <w:rPr>
          <w:rStyle w:val="FigreferenceChar"/>
        </w:rPr>
        <w:t>Table 2</w:t>
      </w:r>
      <w:r w:rsidR="006340AC">
        <w:rPr>
          <w:rStyle w:val="FigreferenceChar"/>
        </w:rPr>
        <w:t>2</w:t>
      </w:r>
      <w:r w:rsidRPr="000A5D5A">
        <w:rPr>
          <w:rStyle w:val="FigreferenceChar"/>
        </w:rPr>
        <w:fldChar w:fldCharType="end"/>
      </w:r>
      <w:r>
        <w:rPr>
          <w:lang w:val="en-AU"/>
        </w:rPr>
        <w:t xml:space="preserve"> list the organisations that registered for the information sessions. Together these list the 7</w:t>
      </w:r>
      <w:r w:rsidR="00304C5F">
        <w:rPr>
          <w:lang w:val="en-AU"/>
        </w:rPr>
        <w:t>7</w:t>
      </w:r>
      <w:r>
        <w:rPr>
          <w:lang w:val="en-AU"/>
        </w:rPr>
        <w:t xml:space="preserve"> parties actively involved in the consultation process: 5</w:t>
      </w:r>
      <w:r w:rsidR="00304C5F">
        <w:rPr>
          <w:lang w:val="en-AU"/>
        </w:rPr>
        <w:t>5</w:t>
      </w:r>
      <w:r>
        <w:rPr>
          <w:lang w:val="en-AU"/>
        </w:rPr>
        <w:t xml:space="preserve"> in Australia and 22 in New Zealand. </w:t>
      </w:r>
      <w:r w:rsidRPr="000A6A2C">
        <w:fldChar w:fldCharType="begin"/>
      </w:r>
      <w:r w:rsidRPr="000A6A2C">
        <w:instrText xml:space="preserve"> REF _Ref22240037 \h </w:instrText>
      </w:r>
      <w:r w:rsidR="000A6A2C">
        <w:instrText xml:space="preserve"> \* MERGEFORMAT </w:instrText>
      </w:r>
      <w:r w:rsidRPr="000A6A2C">
        <w:fldChar w:fldCharType="separate"/>
      </w:r>
      <w:r w:rsidR="006B22A7" w:rsidRPr="006B22A7">
        <w:t>Table 2</w:t>
      </w:r>
      <w:r w:rsidR="00FC743E">
        <w:t>3</w:t>
      </w:r>
      <w:r w:rsidRPr="000A6A2C">
        <w:fldChar w:fldCharType="end"/>
      </w:r>
      <w:r>
        <w:rPr>
          <w:lang w:val="en-AU"/>
        </w:rPr>
        <w:t xml:space="preserve"> li</w:t>
      </w:r>
      <w:r w:rsidR="000A6A2C">
        <w:rPr>
          <w:lang w:val="en-AU"/>
        </w:rPr>
        <w:t>s</w:t>
      </w:r>
      <w:r>
        <w:rPr>
          <w:lang w:val="en-AU"/>
        </w:rPr>
        <w:t xml:space="preserve">ts the organisations represented on Joint Standards Australia/Standards New Zealand Committee EL-054, which is responsible for AS/NZS 4755. </w:t>
      </w:r>
      <w:r w:rsidRPr="000A6A2C">
        <w:rPr>
          <w:rStyle w:val="FigreferenceChar"/>
        </w:rPr>
        <w:fldChar w:fldCharType="begin"/>
      </w:r>
      <w:r w:rsidRPr="000A6A2C">
        <w:rPr>
          <w:rStyle w:val="FigreferenceChar"/>
        </w:rPr>
        <w:instrText xml:space="preserve"> REF _Ref22240040 \h </w:instrText>
      </w:r>
      <w:r w:rsidR="000A6A2C">
        <w:rPr>
          <w:rStyle w:val="FigreferenceChar"/>
        </w:rPr>
        <w:instrText xml:space="preserve"> \* MERGEFORMAT </w:instrText>
      </w:r>
      <w:r w:rsidRPr="000A6A2C">
        <w:rPr>
          <w:rStyle w:val="FigreferenceChar"/>
        </w:rPr>
      </w:r>
      <w:r w:rsidRPr="000A6A2C">
        <w:rPr>
          <w:rStyle w:val="FigreferenceChar"/>
        </w:rPr>
        <w:fldChar w:fldCharType="separate"/>
      </w:r>
      <w:r w:rsidR="006B22A7" w:rsidRPr="006B22A7">
        <w:rPr>
          <w:rStyle w:val="FigreferenceChar"/>
        </w:rPr>
        <w:t>Table 2</w:t>
      </w:r>
      <w:r w:rsidR="00FC743E">
        <w:rPr>
          <w:rStyle w:val="FigreferenceChar"/>
        </w:rPr>
        <w:t>4</w:t>
      </w:r>
      <w:r w:rsidRPr="000A6A2C">
        <w:rPr>
          <w:rStyle w:val="FigreferenceChar"/>
        </w:rPr>
        <w:fldChar w:fldCharType="end"/>
      </w:r>
      <w:r w:rsidRPr="000A6A2C">
        <w:rPr>
          <w:rStyle w:val="FigreferenceChar"/>
        </w:rPr>
        <w:t xml:space="preserve"> </w:t>
      </w:r>
      <w:r>
        <w:rPr>
          <w:lang w:val="en-AU"/>
        </w:rPr>
        <w:t xml:space="preserve">summarises the main responses </w:t>
      </w:r>
      <w:r w:rsidR="000A6A2C">
        <w:rPr>
          <w:lang w:val="en-AU"/>
        </w:rPr>
        <w:t xml:space="preserve">of Australian submitters and </w:t>
      </w:r>
      <w:r>
        <w:rPr>
          <w:lang w:val="en-AU"/>
        </w:rPr>
        <w:fldChar w:fldCharType="begin"/>
      </w:r>
      <w:r>
        <w:rPr>
          <w:lang w:val="en-AU"/>
        </w:rPr>
        <w:instrText xml:space="preserve"> REF _Ref22240043 \h </w:instrText>
      </w:r>
      <w:r>
        <w:rPr>
          <w:lang w:val="en-AU"/>
        </w:rPr>
      </w:r>
      <w:r>
        <w:rPr>
          <w:lang w:val="en-AU"/>
        </w:rPr>
        <w:fldChar w:fldCharType="separate"/>
      </w:r>
      <w:r w:rsidR="006B22A7">
        <w:t xml:space="preserve">Table </w:t>
      </w:r>
      <w:r w:rsidR="006B22A7">
        <w:rPr>
          <w:noProof/>
        </w:rPr>
        <w:t>2</w:t>
      </w:r>
      <w:r w:rsidR="00FC743E">
        <w:rPr>
          <w:noProof/>
        </w:rPr>
        <w:t>5</w:t>
      </w:r>
      <w:r>
        <w:rPr>
          <w:lang w:val="en-AU"/>
        </w:rPr>
        <w:fldChar w:fldCharType="end"/>
      </w:r>
      <w:r w:rsidR="000A6A2C">
        <w:rPr>
          <w:lang w:val="en-AU"/>
        </w:rPr>
        <w:t xml:space="preserve"> </w:t>
      </w:r>
      <w:r w:rsidR="000A6A2C" w:rsidRPr="000A6A2C">
        <w:rPr>
          <w:lang w:val="en-AU"/>
        </w:rPr>
        <w:t xml:space="preserve">summarises the main responses of </w:t>
      </w:r>
      <w:r w:rsidR="000A6A2C">
        <w:rPr>
          <w:lang w:val="en-AU"/>
        </w:rPr>
        <w:t xml:space="preserve">New Zealand </w:t>
      </w:r>
      <w:r w:rsidR="000A6A2C" w:rsidRPr="000A6A2C">
        <w:rPr>
          <w:lang w:val="en-AU"/>
        </w:rPr>
        <w:t>submitters</w:t>
      </w:r>
      <w:r w:rsidR="000A6A2C">
        <w:rPr>
          <w:lang w:val="en-AU"/>
        </w:rPr>
        <w:t>.</w:t>
      </w:r>
    </w:p>
    <w:p w14:paraId="276AC09D" w14:textId="34210DA5" w:rsidR="009455B3" w:rsidRPr="00947AD2" w:rsidRDefault="00947AD2" w:rsidP="00947AD2">
      <w:pPr>
        <w:spacing w:before="240" w:after="120" w:line="240" w:lineRule="auto"/>
        <w:jc w:val="center"/>
        <w:rPr>
          <w:rFonts w:ascii="Calibri" w:eastAsia="Cambria" w:hAnsi="Calibri" w:cs="Calibri"/>
          <w:b/>
          <w:bCs/>
          <w:sz w:val="20"/>
          <w:szCs w:val="16"/>
          <w:lang w:val="en-AU"/>
        </w:rPr>
      </w:pPr>
      <w:bookmarkStart w:id="138" w:name="_Ref22239650"/>
      <w:bookmarkStart w:id="139" w:name="_Toc22486965"/>
      <w:r w:rsidRPr="00947AD2">
        <w:rPr>
          <w:rFonts w:ascii="Calibri" w:eastAsia="Cambria" w:hAnsi="Calibri" w:cs="Calibri"/>
          <w:b/>
          <w:bCs/>
          <w:sz w:val="20"/>
          <w:szCs w:val="16"/>
          <w:lang w:val="en-AU"/>
        </w:rPr>
        <w:t xml:space="preserve">Table </w:t>
      </w:r>
      <w:r w:rsidRPr="00947AD2">
        <w:rPr>
          <w:rFonts w:ascii="Calibri" w:eastAsia="Cambria" w:hAnsi="Calibri" w:cs="Calibri"/>
          <w:b/>
          <w:bCs/>
          <w:sz w:val="20"/>
          <w:szCs w:val="16"/>
          <w:lang w:val="en-AU"/>
        </w:rPr>
        <w:fldChar w:fldCharType="begin"/>
      </w:r>
      <w:r w:rsidRPr="00947AD2">
        <w:rPr>
          <w:rFonts w:ascii="Calibri" w:eastAsia="Cambria" w:hAnsi="Calibri" w:cs="Calibri"/>
          <w:b/>
          <w:bCs/>
          <w:sz w:val="20"/>
          <w:szCs w:val="16"/>
          <w:lang w:val="en-AU"/>
        </w:rPr>
        <w:instrText xml:space="preserve"> SEQ Table \* ARABIC </w:instrText>
      </w:r>
      <w:r w:rsidRPr="00947AD2">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21</w:t>
      </w:r>
      <w:r w:rsidRPr="00947AD2">
        <w:rPr>
          <w:rFonts w:ascii="Calibri" w:eastAsia="Cambria" w:hAnsi="Calibri" w:cs="Calibri"/>
          <w:b/>
          <w:bCs/>
          <w:sz w:val="20"/>
          <w:szCs w:val="16"/>
          <w:lang w:val="en-AU"/>
        </w:rPr>
        <w:fldChar w:fldCharType="end"/>
      </w:r>
      <w:bookmarkEnd w:id="138"/>
      <w:r w:rsidRPr="00947AD2">
        <w:rPr>
          <w:rFonts w:ascii="Calibri" w:eastAsia="Cambria" w:hAnsi="Calibri" w:cs="Calibri"/>
          <w:b/>
          <w:bCs/>
          <w:sz w:val="20"/>
          <w:szCs w:val="16"/>
          <w:lang w:val="en-AU"/>
        </w:rPr>
        <w:t xml:space="preserve"> Submissions received on Consultation Paper</w:t>
      </w:r>
      <w:bookmarkEnd w:id="139"/>
      <w:r w:rsidRPr="00947AD2">
        <w:rPr>
          <w:rFonts w:ascii="Calibri" w:eastAsia="Cambria" w:hAnsi="Calibri" w:cs="Calibri"/>
          <w:b/>
          <w:bCs/>
          <w:sz w:val="20"/>
          <w:szCs w:val="16"/>
          <w:lang w:val="en-AU"/>
        </w:rPr>
        <w:t xml:space="preserve"> </w:t>
      </w:r>
    </w:p>
    <w:tbl>
      <w:tblPr>
        <w:tblW w:w="8794"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29"/>
        <w:gridCol w:w="3265"/>
      </w:tblGrid>
      <w:tr w:rsidR="00CE5330" w:rsidRPr="00CE5330" w14:paraId="3F0850C0" w14:textId="77777777" w:rsidTr="006140E0">
        <w:trPr>
          <w:trHeight w:val="300"/>
          <w:tblHeader/>
        </w:trPr>
        <w:tc>
          <w:tcPr>
            <w:tcW w:w="5529" w:type="dxa"/>
            <w:shd w:val="clear" w:color="000000" w:fill="44546A"/>
            <w:vAlign w:val="center"/>
            <w:hideMark/>
          </w:tcPr>
          <w:p w14:paraId="0B9E7623" w14:textId="77777777" w:rsidR="00CE5330" w:rsidRPr="00CE5330" w:rsidRDefault="00CE5330" w:rsidP="00CE5330">
            <w:pPr>
              <w:spacing w:after="0" w:line="240" w:lineRule="auto"/>
              <w:rPr>
                <w:rFonts w:ascii="Calibri" w:eastAsia="Times New Roman" w:hAnsi="Calibri" w:cs="Calibri"/>
                <w:b/>
                <w:bCs/>
                <w:color w:val="FFFFFF"/>
                <w:lang w:val="en-AU" w:eastAsia="en-AU"/>
              </w:rPr>
            </w:pPr>
            <w:r w:rsidRPr="00CE5330">
              <w:rPr>
                <w:rFonts w:ascii="Calibri" w:eastAsia="Times New Roman" w:hAnsi="Calibri" w:cs="Calibri"/>
                <w:b/>
                <w:bCs/>
                <w:color w:val="FFFFFF"/>
                <w:lang w:val="en-AU" w:eastAsia="en-AU"/>
              </w:rPr>
              <w:t>Submission from</w:t>
            </w:r>
          </w:p>
        </w:tc>
        <w:tc>
          <w:tcPr>
            <w:tcW w:w="3265" w:type="dxa"/>
            <w:shd w:val="clear" w:color="000000" w:fill="44546A"/>
            <w:vAlign w:val="center"/>
            <w:hideMark/>
          </w:tcPr>
          <w:p w14:paraId="5926C2B4" w14:textId="77777777" w:rsidR="00CE5330" w:rsidRPr="00CE5330" w:rsidRDefault="00CE5330" w:rsidP="00CE5330">
            <w:pPr>
              <w:spacing w:after="0" w:line="240" w:lineRule="auto"/>
              <w:rPr>
                <w:rFonts w:ascii="Calibri" w:eastAsia="Times New Roman" w:hAnsi="Calibri" w:cs="Calibri"/>
                <w:b/>
                <w:bCs/>
                <w:color w:val="FFFFFF"/>
                <w:lang w:val="en-AU" w:eastAsia="en-AU"/>
              </w:rPr>
            </w:pPr>
            <w:r w:rsidRPr="00CE5330">
              <w:rPr>
                <w:rFonts w:ascii="Calibri" w:eastAsia="Times New Roman" w:hAnsi="Calibri" w:cs="Calibri"/>
                <w:b/>
                <w:bCs/>
                <w:color w:val="FFFFFF"/>
                <w:lang w:val="en-AU" w:eastAsia="en-AU"/>
              </w:rPr>
              <w:t>Contact</w:t>
            </w:r>
          </w:p>
        </w:tc>
      </w:tr>
      <w:tr w:rsidR="00947AD2" w:rsidRPr="00CE5330" w14:paraId="14508F49" w14:textId="77777777" w:rsidTr="006140E0">
        <w:trPr>
          <w:trHeight w:val="289"/>
        </w:trPr>
        <w:tc>
          <w:tcPr>
            <w:tcW w:w="5529" w:type="dxa"/>
            <w:shd w:val="clear" w:color="auto" w:fill="auto"/>
            <w:vAlign w:val="bottom"/>
            <w:hideMark/>
          </w:tcPr>
          <w:p w14:paraId="3D0EBC07" w14:textId="27D14DF4"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ABB Australia (with E</w:t>
            </w:r>
            <w:r w:rsidRPr="00947AD2">
              <w:rPr>
                <w:rFonts w:ascii="Calibri" w:eastAsia="Times New Roman" w:hAnsi="Calibri" w:cs="Calibri"/>
                <w:color w:val="000000" w:themeColor="text1"/>
                <w:lang w:val="en-AU" w:eastAsia="en-AU"/>
              </w:rPr>
              <w:t xml:space="preserve">lectric </w:t>
            </w:r>
            <w:r w:rsidRPr="00CE5330">
              <w:rPr>
                <w:rFonts w:ascii="Calibri" w:eastAsia="Times New Roman" w:hAnsi="Calibri" w:cs="Calibri"/>
                <w:color w:val="000000" w:themeColor="text1"/>
                <w:lang w:val="en-AU" w:eastAsia="en-AU"/>
              </w:rPr>
              <w:t>V</w:t>
            </w:r>
            <w:r w:rsidRPr="00947AD2">
              <w:rPr>
                <w:rFonts w:ascii="Calibri" w:eastAsia="Times New Roman" w:hAnsi="Calibri" w:cs="Calibri"/>
                <w:color w:val="000000" w:themeColor="text1"/>
                <w:lang w:val="en-AU" w:eastAsia="en-AU"/>
              </w:rPr>
              <w:t>ehicle Council)</w:t>
            </w:r>
          </w:p>
        </w:tc>
        <w:tc>
          <w:tcPr>
            <w:tcW w:w="3265" w:type="dxa"/>
            <w:shd w:val="clear" w:color="auto" w:fill="auto"/>
            <w:vAlign w:val="bottom"/>
            <w:hideMark/>
          </w:tcPr>
          <w:p w14:paraId="7950300E"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Ian Richardson</w:t>
            </w:r>
          </w:p>
        </w:tc>
      </w:tr>
      <w:tr w:rsidR="00947AD2" w:rsidRPr="00CE5330" w14:paraId="3D1F344F" w14:textId="77777777" w:rsidTr="006140E0">
        <w:trPr>
          <w:trHeight w:val="289"/>
        </w:trPr>
        <w:tc>
          <w:tcPr>
            <w:tcW w:w="5529" w:type="dxa"/>
            <w:shd w:val="clear" w:color="auto" w:fill="auto"/>
            <w:vAlign w:val="bottom"/>
            <w:hideMark/>
          </w:tcPr>
          <w:p w14:paraId="7195A348"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Actron Air (confidential)</w:t>
            </w:r>
          </w:p>
        </w:tc>
        <w:tc>
          <w:tcPr>
            <w:tcW w:w="3265" w:type="dxa"/>
            <w:shd w:val="clear" w:color="auto" w:fill="auto"/>
            <w:vAlign w:val="bottom"/>
            <w:hideMark/>
          </w:tcPr>
          <w:p w14:paraId="14A5F11A"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Rui Li</w:t>
            </w:r>
          </w:p>
        </w:tc>
      </w:tr>
      <w:tr w:rsidR="00947AD2" w:rsidRPr="00CE5330" w14:paraId="28298038" w14:textId="77777777" w:rsidTr="006140E0">
        <w:trPr>
          <w:trHeight w:val="289"/>
        </w:trPr>
        <w:tc>
          <w:tcPr>
            <w:tcW w:w="5529" w:type="dxa"/>
            <w:shd w:val="clear" w:color="auto" w:fill="auto"/>
            <w:vAlign w:val="bottom"/>
            <w:hideMark/>
          </w:tcPr>
          <w:p w14:paraId="71268793" w14:textId="6164D454"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w:t>
            </w:r>
            <w:r w:rsidRPr="00947AD2">
              <w:rPr>
                <w:rFonts w:ascii="Calibri" w:eastAsia="Times New Roman" w:hAnsi="Calibri" w:cs="Calibri"/>
                <w:color w:val="000000" w:themeColor="text1"/>
                <w:lang w:val="en-AU" w:eastAsia="en-AU"/>
              </w:rPr>
              <w:t>ustralian Energy Council (A</w:t>
            </w:r>
            <w:r w:rsidRPr="00CE5330">
              <w:rPr>
                <w:rFonts w:ascii="Calibri" w:eastAsia="Times New Roman" w:hAnsi="Calibri" w:cs="Calibri"/>
                <w:color w:val="000000" w:themeColor="text1"/>
                <w:lang w:val="en-AU" w:eastAsia="en-AU"/>
              </w:rPr>
              <w:t>EC</w:t>
            </w:r>
            <w:r w:rsidRPr="00947AD2">
              <w:rPr>
                <w:rFonts w:ascii="Calibri" w:eastAsia="Times New Roman" w:hAnsi="Calibri" w:cs="Calibri"/>
                <w:color w:val="000000" w:themeColor="text1"/>
                <w:lang w:val="en-AU" w:eastAsia="en-AU"/>
              </w:rPr>
              <w:t>)</w:t>
            </w:r>
          </w:p>
        </w:tc>
        <w:tc>
          <w:tcPr>
            <w:tcW w:w="3265" w:type="dxa"/>
            <w:shd w:val="clear" w:color="auto" w:fill="auto"/>
            <w:vAlign w:val="bottom"/>
            <w:hideMark/>
          </w:tcPr>
          <w:p w14:paraId="6E2BFA2D"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David Markham</w:t>
            </w:r>
          </w:p>
        </w:tc>
      </w:tr>
      <w:tr w:rsidR="00947AD2" w:rsidRPr="00CE5330" w14:paraId="776C540A" w14:textId="77777777" w:rsidTr="006140E0">
        <w:trPr>
          <w:trHeight w:val="289"/>
        </w:trPr>
        <w:tc>
          <w:tcPr>
            <w:tcW w:w="5529" w:type="dxa"/>
            <w:shd w:val="clear" w:color="auto" w:fill="auto"/>
            <w:vAlign w:val="bottom"/>
            <w:hideMark/>
          </w:tcPr>
          <w:p w14:paraId="5B289F29"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AEMO</w:t>
            </w:r>
          </w:p>
        </w:tc>
        <w:tc>
          <w:tcPr>
            <w:tcW w:w="3265" w:type="dxa"/>
            <w:shd w:val="clear" w:color="auto" w:fill="auto"/>
            <w:vAlign w:val="bottom"/>
            <w:hideMark/>
          </w:tcPr>
          <w:p w14:paraId="406ED84A"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Monica Burkett</w:t>
            </w:r>
          </w:p>
        </w:tc>
      </w:tr>
      <w:tr w:rsidR="00947AD2" w:rsidRPr="00CE5330" w14:paraId="4B5616FE" w14:textId="77777777" w:rsidTr="006140E0">
        <w:trPr>
          <w:trHeight w:val="289"/>
        </w:trPr>
        <w:tc>
          <w:tcPr>
            <w:tcW w:w="5529" w:type="dxa"/>
            <w:shd w:val="clear" w:color="auto" w:fill="auto"/>
            <w:vAlign w:val="bottom"/>
            <w:hideMark/>
          </w:tcPr>
          <w:p w14:paraId="11E0F693"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AGL</w:t>
            </w:r>
          </w:p>
        </w:tc>
        <w:tc>
          <w:tcPr>
            <w:tcW w:w="3265" w:type="dxa"/>
            <w:shd w:val="clear" w:color="auto" w:fill="auto"/>
            <w:vAlign w:val="bottom"/>
            <w:hideMark/>
          </w:tcPr>
          <w:p w14:paraId="7E603173"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Kurt Winter</w:t>
            </w:r>
          </w:p>
        </w:tc>
      </w:tr>
      <w:tr w:rsidR="00947AD2" w:rsidRPr="00CE5330" w14:paraId="760BEA33" w14:textId="77777777" w:rsidTr="006140E0">
        <w:trPr>
          <w:trHeight w:val="289"/>
        </w:trPr>
        <w:tc>
          <w:tcPr>
            <w:tcW w:w="5529" w:type="dxa"/>
            <w:shd w:val="clear" w:color="auto" w:fill="auto"/>
            <w:vAlign w:val="bottom"/>
            <w:hideMark/>
          </w:tcPr>
          <w:p w14:paraId="40BCDED2" w14:textId="6CB7621D"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AI Group (for Aust</w:t>
            </w:r>
            <w:r w:rsidRPr="00947AD2">
              <w:rPr>
                <w:rFonts w:ascii="Calibri" w:eastAsia="Times New Roman" w:hAnsi="Calibri" w:cs="Calibri"/>
                <w:color w:val="000000" w:themeColor="text1"/>
                <w:lang w:val="en-AU" w:eastAsia="en-AU"/>
              </w:rPr>
              <w:t xml:space="preserve">ralian </w:t>
            </w:r>
            <w:r w:rsidRPr="00CE5330">
              <w:rPr>
                <w:rFonts w:ascii="Calibri" w:eastAsia="Times New Roman" w:hAnsi="Calibri" w:cs="Calibri"/>
                <w:color w:val="000000" w:themeColor="text1"/>
                <w:lang w:val="en-AU" w:eastAsia="en-AU"/>
              </w:rPr>
              <w:t>Water Heating Forum)</w:t>
            </w:r>
          </w:p>
        </w:tc>
        <w:tc>
          <w:tcPr>
            <w:tcW w:w="3265" w:type="dxa"/>
            <w:shd w:val="clear" w:color="auto" w:fill="auto"/>
            <w:vAlign w:val="bottom"/>
            <w:hideMark/>
          </w:tcPr>
          <w:p w14:paraId="28BD023F"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James Thomson</w:t>
            </w:r>
          </w:p>
        </w:tc>
      </w:tr>
      <w:tr w:rsidR="00947AD2" w:rsidRPr="00CE5330" w14:paraId="15E1BB75" w14:textId="77777777" w:rsidTr="006140E0">
        <w:trPr>
          <w:trHeight w:val="289"/>
        </w:trPr>
        <w:tc>
          <w:tcPr>
            <w:tcW w:w="5529" w:type="dxa"/>
            <w:shd w:val="clear" w:color="auto" w:fill="auto"/>
            <w:vAlign w:val="bottom"/>
            <w:hideMark/>
          </w:tcPr>
          <w:p w14:paraId="42249306"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APA Group</w:t>
            </w:r>
          </w:p>
        </w:tc>
        <w:tc>
          <w:tcPr>
            <w:tcW w:w="3265" w:type="dxa"/>
            <w:shd w:val="clear" w:color="auto" w:fill="auto"/>
            <w:vAlign w:val="bottom"/>
            <w:hideMark/>
          </w:tcPr>
          <w:p w14:paraId="1029279F"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Josh Hankey</w:t>
            </w:r>
          </w:p>
        </w:tc>
      </w:tr>
      <w:tr w:rsidR="00947AD2" w:rsidRPr="00CE5330" w14:paraId="70C6E7BB" w14:textId="77777777" w:rsidTr="006140E0">
        <w:trPr>
          <w:trHeight w:val="289"/>
        </w:trPr>
        <w:tc>
          <w:tcPr>
            <w:tcW w:w="5529" w:type="dxa"/>
            <w:shd w:val="clear" w:color="auto" w:fill="auto"/>
            <w:vAlign w:val="bottom"/>
            <w:hideMark/>
          </w:tcPr>
          <w:p w14:paraId="0FE12FEE" w14:textId="18E3F1FF"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w:t>
            </w:r>
            <w:r w:rsidRPr="00947AD2">
              <w:rPr>
                <w:rFonts w:ascii="Calibri" w:eastAsia="Times New Roman" w:hAnsi="Calibri" w:cs="Calibri"/>
                <w:color w:val="000000" w:themeColor="text1"/>
                <w:lang w:val="en-AU" w:eastAsia="en-AU"/>
              </w:rPr>
              <w:t>irconditioning and Refrigeration Equipment</w:t>
            </w:r>
            <w:r w:rsidR="006140E0">
              <w:rPr>
                <w:rFonts w:ascii="Calibri" w:eastAsia="Times New Roman" w:hAnsi="Calibri" w:cs="Calibri"/>
                <w:color w:val="000000" w:themeColor="text1"/>
                <w:lang w:val="en-AU" w:eastAsia="en-AU"/>
              </w:rPr>
              <w:t xml:space="preserve"> </w:t>
            </w:r>
            <w:r w:rsidR="006140E0">
              <w:rPr>
                <w:rFonts w:ascii="Calibri" w:eastAsia="Times New Roman" w:hAnsi="Calibri" w:cs="Calibri"/>
                <w:color w:val="000000" w:themeColor="text1"/>
                <w:lang w:val="en-AU" w:eastAsia="en-AU"/>
              </w:rPr>
              <w:br/>
              <w:t xml:space="preserve">         </w:t>
            </w:r>
            <w:r w:rsidRPr="00947AD2">
              <w:rPr>
                <w:rFonts w:ascii="Calibri" w:eastAsia="Times New Roman" w:hAnsi="Calibri" w:cs="Calibri"/>
                <w:color w:val="000000" w:themeColor="text1"/>
                <w:lang w:val="en-AU" w:eastAsia="en-AU"/>
              </w:rPr>
              <w:t>Manufacturing</w:t>
            </w:r>
            <w:r w:rsidR="006140E0">
              <w:rPr>
                <w:rFonts w:ascii="Calibri" w:eastAsia="Times New Roman" w:hAnsi="Calibri" w:cs="Calibri"/>
                <w:color w:val="000000" w:themeColor="text1"/>
                <w:lang w:val="en-AU" w:eastAsia="en-AU"/>
              </w:rPr>
              <w:t xml:space="preserve"> </w:t>
            </w:r>
            <w:r w:rsidRPr="00947AD2">
              <w:rPr>
                <w:rFonts w:ascii="Calibri" w:eastAsia="Times New Roman" w:hAnsi="Calibri" w:cs="Calibri"/>
                <w:color w:val="000000" w:themeColor="text1"/>
                <w:lang w:val="en-AU" w:eastAsia="en-AU"/>
              </w:rPr>
              <w:t>Association (AREMA)</w:t>
            </w:r>
          </w:p>
        </w:tc>
        <w:tc>
          <w:tcPr>
            <w:tcW w:w="3265" w:type="dxa"/>
            <w:shd w:val="clear" w:color="auto" w:fill="auto"/>
            <w:vAlign w:val="bottom"/>
            <w:hideMark/>
          </w:tcPr>
          <w:p w14:paraId="4CF86852"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Greg Picker</w:t>
            </w:r>
          </w:p>
        </w:tc>
      </w:tr>
      <w:tr w:rsidR="00947AD2" w:rsidRPr="00CE5330" w14:paraId="085E12F2" w14:textId="77777777" w:rsidTr="006140E0">
        <w:trPr>
          <w:trHeight w:val="289"/>
        </w:trPr>
        <w:tc>
          <w:tcPr>
            <w:tcW w:w="5529" w:type="dxa"/>
            <w:shd w:val="clear" w:color="auto" w:fill="auto"/>
            <w:vAlign w:val="bottom"/>
            <w:hideMark/>
          </w:tcPr>
          <w:p w14:paraId="19B4D7E3" w14:textId="40A62F9C"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w:t>
            </w:r>
            <w:r w:rsidRPr="00947AD2">
              <w:rPr>
                <w:rFonts w:ascii="Calibri" w:eastAsia="Times New Roman" w:hAnsi="Calibri" w:cs="Calibri"/>
                <w:color w:val="000000" w:themeColor="text1"/>
                <w:lang w:val="en-AU" w:eastAsia="en-AU"/>
              </w:rPr>
              <w:t>us</w:t>
            </w:r>
            <w:r w:rsidR="009455B3" w:rsidRPr="00947AD2">
              <w:rPr>
                <w:rFonts w:ascii="Calibri" w:eastAsia="Times New Roman" w:hAnsi="Calibri" w:cs="Calibri"/>
                <w:color w:val="000000" w:themeColor="text1"/>
                <w:lang w:val="en-AU" w:eastAsia="en-AU"/>
              </w:rPr>
              <w:t xml:space="preserve">tralian Sustainable Built Environment Council </w:t>
            </w:r>
            <w:r w:rsidRPr="00CE5330">
              <w:rPr>
                <w:rFonts w:ascii="Calibri" w:eastAsia="Times New Roman" w:hAnsi="Calibri" w:cs="Calibri"/>
                <w:color w:val="000000" w:themeColor="text1"/>
                <w:lang w:val="en-AU" w:eastAsia="en-AU"/>
              </w:rPr>
              <w:t>SBEC</w:t>
            </w:r>
          </w:p>
        </w:tc>
        <w:tc>
          <w:tcPr>
            <w:tcW w:w="3265" w:type="dxa"/>
            <w:shd w:val="clear" w:color="auto" w:fill="auto"/>
            <w:vAlign w:val="bottom"/>
            <w:hideMark/>
          </w:tcPr>
          <w:p w14:paraId="49CAE91E"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Suzanne Toumbourou</w:t>
            </w:r>
          </w:p>
        </w:tc>
      </w:tr>
      <w:tr w:rsidR="00947AD2" w:rsidRPr="00CE5330" w14:paraId="126281AD" w14:textId="77777777" w:rsidTr="006140E0">
        <w:trPr>
          <w:trHeight w:val="289"/>
        </w:trPr>
        <w:tc>
          <w:tcPr>
            <w:tcW w:w="5529" w:type="dxa"/>
            <w:shd w:val="clear" w:color="auto" w:fill="auto"/>
            <w:vAlign w:val="bottom"/>
            <w:hideMark/>
          </w:tcPr>
          <w:p w14:paraId="1C0988BC" w14:textId="71373C6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Aust E</w:t>
            </w:r>
            <w:r w:rsidR="009455B3" w:rsidRPr="00947AD2">
              <w:rPr>
                <w:rFonts w:ascii="Calibri" w:eastAsia="Times New Roman" w:hAnsi="Calibri" w:cs="Calibri"/>
                <w:color w:val="000000" w:themeColor="text1"/>
                <w:lang w:val="en-AU" w:eastAsia="en-AU"/>
              </w:rPr>
              <w:t xml:space="preserve">lectric </w:t>
            </w:r>
            <w:r w:rsidRPr="00CE5330">
              <w:rPr>
                <w:rFonts w:ascii="Calibri" w:eastAsia="Times New Roman" w:hAnsi="Calibri" w:cs="Calibri"/>
                <w:color w:val="000000" w:themeColor="text1"/>
                <w:lang w:val="en-AU" w:eastAsia="en-AU"/>
              </w:rPr>
              <w:t>V</w:t>
            </w:r>
            <w:r w:rsidR="009455B3" w:rsidRPr="00947AD2">
              <w:rPr>
                <w:rFonts w:ascii="Calibri" w:eastAsia="Times New Roman" w:hAnsi="Calibri" w:cs="Calibri"/>
                <w:color w:val="000000" w:themeColor="text1"/>
                <w:lang w:val="en-AU" w:eastAsia="en-AU"/>
              </w:rPr>
              <w:t xml:space="preserve">ehicle </w:t>
            </w:r>
            <w:r w:rsidRPr="00CE5330">
              <w:rPr>
                <w:rFonts w:ascii="Calibri" w:eastAsia="Times New Roman" w:hAnsi="Calibri" w:cs="Calibri"/>
                <w:color w:val="000000" w:themeColor="text1"/>
                <w:lang w:val="en-AU" w:eastAsia="en-AU"/>
              </w:rPr>
              <w:t>Assoc</w:t>
            </w:r>
            <w:r w:rsidR="009455B3" w:rsidRPr="00947AD2">
              <w:rPr>
                <w:rFonts w:ascii="Calibri" w:eastAsia="Times New Roman" w:hAnsi="Calibri" w:cs="Calibri"/>
                <w:color w:val="000000" w:themeColor="text1"/>
                <w:lang w:val="en-AU" w:eastAsia="en-AU"/>
              </w:rPr>
              <w:t xml:space="preserve">iation </w:t>
            </w:r>
            <w:r w:rsidRPr="00CE5330">
              <w:rPr>
                <w:rFonts w:ascii="Calibri" w:eastAsia="Times New Roman" w:hAnsi="Calibri" w:cs="Calibri"/>
                <w:color w:val="000000" w:themeColor="text1"/>
                <w:lang w:val="en-AU" w:eastAsia="en-AU"/>
              </w:rPr>
              <w:t>(AEVA)</w:t>
            </w:r>
          </w:p>
        </w:tc>
        <w:tc>
          <w:tcPr>
            <w:tcW w:w="3265" w:type="dxa"/>
            <w:shd w:val="clear" w:color="auto" w:fill="auto"/>
            <w:vAlign w:val="bottom"/>
            <w:hideMark/>
          </w:tcPr>
          <w:p w14:paraId="34CF5E54"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Dr Christopher Jones</w:t>
            </w:r>
          </w:p>
        </w:tc>
      </w:tr>
      <w:tr w:rsidR="00947AD2" w:rsidRPr="00CE5330" w14:paraId="5A4BCB6A" w14:textId="77777777" w:rsidTr="006140E0">
        <w:trPr>
          <w:trHeight w:val="289"/>
        </w:trPr>
        <w:tc>
          <w:tcPr>
            <w:tcW w:w="5529" w:type="dxa"/>
            <w:shd w:val="clear" w:color="auto" w:fill="auto"/>
            <w:vAlign w:val="bottom"/>
            <w:hideMark/>
          </w:tcPr>
          <w:p w14:paraId="6815966C"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Australia Institute</w:t>
            </w:r>
          </w:p>
        </w:tc>
        <w:tc>
          <w:tcPr>
            <w:tcW w:w="3265" w:type="dxa"/>
            <w:shd w:val="clear" w:color="auto" w:fill="auto"/>
            <w:vAlign w:val="bottom"/>
            <w:hideMark/>
          </w:tcPr>
          <w:p w14:paraId="1F389F81"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Dan Cass</w:t>
            </w:r>
          </w:p>
        </w:tc>
      </w:tr>
      <w:tr w:rsidR="00947AD2" w:rsidRPr="00CE5330" w14:paraId="00857C82" w14:textId="77777777" w:rsidTr="006140E0">
        <w:trPr>
          <w:trHeight w:val="289"/>
        </w:trPr>
        <w:tc>
          <w:tcPr>
            <w:tcW w:w="5529" w:type="dxa"/>
            <w:shd w:val="clear" w:color="auto" w:fill="auto"/>
            <w:vAlign w:val="bottom"/>
            <w:hideMark/>
          </w:tcPr>
          <w:p w14:paraId="28C77A26"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Black Diamond Technologies NZ</w:t>
            </w:r>
          </w:p>
        </w:tc>
        <w:tc>
          <w:tcPr>
            <w:tcW w:w="3265" w:type="dxa"/>
            <w:shd w:val="clear" w:color="auto" w:fill="auto"/>
            <w:vAlign w:val="bottom"/>
            <w:hideMark/>
          </w:tcPr>
          <w:p w14:paraId="07A5D914"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John Cavill</w:t>
            </w:r>
          </w:p>
        </w:tc>
      </w:tr>
      <w:tr w:rsidR="00947AD2" w:rsidRPr="00CE5330" w14:paraId="05B85F67" w14:textId="77777777" w:rsidTr="006140E0">
        <w:trPr>
          <w:trHeight w:val="289"/>
        </w:trPr>
        <w:tc>
          <w:tcPr>
            <w:tcW w:w="5529" w:type="dxa"/>
            <w:shd w:val="clear" w:color="auto" w:fill="auto"/>
            <w:vAlign w:val="bottom"/>
            <w:hideMark/>
          </w:tcPr>
          <w:p w14:paraId="1C062919" w14:textId="0A275A63"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C</w:t>
            </w:r>
            <w:r w:rsidR="009455B3" w:rsidRPr="00947AD2">
              <w:rPr>
                <w:rFonts w:ascii="Calibri" w:eastAsia="Times New Roman" w:hAnsi="Calibri" w:cs="Calibri"/>
                <w:color w:val="000000" w:themeColor="text1"/>
                <w:lang w:val="en-AU" w:eastAsia="en-AU"/>
              </w:rPr>
              <w:t>onsumer Electronic Suppliers Association (C</w:t>
            </w:r>
            <w:r w:rsidRPr="00CE5330">
              <w:rPr>
                <w:rFonts w:ascii="Calibri" w:eastAsia="Times New Roman" w:hAnsi="Calibri" w:cs="Calibri"/>
                <w:color w:val="000000" w:themeColor="text1"/>
                <w:lang w:val="en-AU" w:eastAsia="en-AU"/>
              </w:rPr>
              <w:t>ESA</w:t>
            </w:r>
            <w:r w:rsidR="009455B3" w:rsidRPr="00947AD2">
              <w:rPr>
                <w:rFonts w:ascii="Calibri" w:eastAsia="Times New Roman" w:hAnsi="Calibri" w:cs="Calibri"/>
                <w:color w:val="000000" w:themeColor="text1"/>
                <w:lang w:val="en-AU" w:eastAsia="en-AU"/>
              </w:rPr>
              <w:t>)</w:t>
            </w:r>
          </w:p>
        </w:tc>
        <w:tc>
          <w:tcPr>
            <w:tcW w:w="3265" w:type="dxa"/>
            <w:shd w:val="clear" w:color="auto" w:fill="auto"/>
            <w:vAlign w:val="bottom"/>
            <w:hideMark/>
          </w:tcPr>
          <w:p w14:paraId="33635B75"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 xml:space="preserve">Stuart Parker, </w:t>
            </w:r>
          </w:p>
        </w:tc>
      </w:tr>
      <w:tr w:rsidR="00947AD2" w:rsidRPr="00CE5330" w14:paraId="40F729C2" w14:textId="77777777" w:rsidTr="006140E0">
        <w:trPr>
          <w:trHeight w:val="289"/>
        </w:trPr>
        <w:tc>
          <w:tcPr>
            <w:tcW w:w="5529" w:type="dxa"/>
            <w:shd w:val="clear" w:color="auto" w:fill="auto"/>
            <w:vAlign w:val="bottom"/>
            <w:hideMark/>
          </w:tcPr>
          <w:p w14:paraId="0D309D9E"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Chromagen</w:t>
            </w:r>
          </w:p>
        </w:tc>
        <w:tc>
          <w:tcPr>
            <w:tcW w:w="3265" w:type="dxa"/>
            <w:shd w:val="clear" w:color="auto" w:fill="auto"/>
            <w:vAlign w:val="bottom"/>
            <w:hideMark/>
          </w:tcPr>
          <w:p w14:paraId="1D1B7228"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Tim Ralston</w:t>
            </w:r>
          </w:p>
        </w:tc>
      </w:tr>
      <w:tr w:rsidR="00947AD2" w:rsidRPr="00CE5330" w14:paraId="73BA64E9" w14:textId="77777777" w:rsidTr="006140E0">
        <w:trPr>
          <w:trHeight w:val="289"/>
        </w:trPr>
        <w:tc>
          <w:tcPr>
            <w:tcW w:w="5529" w:type="dxa"/>
            <w:shd w:val="clear" w:color="auto" w:fill="auto"/>
            <w:vAlign w:val="bottom"/>
            <w:hideMark/>
          </w:tcPr>
          <w:p w14:paraId="6509C2AA"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Citipower, Powercor, United Energy (joint)</w:t>
            </w:r>
          </w:p>
        </w:tc>
        <w:tc>
          <w:tcPr>
            <w:tcW w:w="3265" w:type="dxa"/>
            <w:shd w:val="clear" w:color="auto" w:fill="auto"/>
            <w:vAlign w:val="bottom"/>
            <w:hideMark/>
          </w:tcPr>
          <w:p w14:paraId="427DEB58"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Danny Jutrisa</w:t>
            </w:r>
          </w:p>
        </w:tc>
      </w:tr>
      <w:tr w:rsidR="00947AD2" w:rsidRPr="00CE5330" w14:paraId="25D574D8" w14:textId="77777777" w:rsidTr="006140E0">
        <w:trPr>
          <w:trHeight w:val="289"/>
        </w:trPr>
        <w:tc>
          <w:tcPr>
            <w:tcW w:w="5529" w:type="dxa"/>
            <w:shd w:val="clear" w:color="auto" w:fill="auto"/>
            <w:vAlign w:val="bottom"/>
            <w:hideMark/>
          </w:tcPr>
          <w:p w14:paraId="50BE2598"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Daikin Australia</w:t>
            </w:r>
          </w:p>
        </w:tc>
        <w:tc>
          <w:tcPr>
            <w:tcW w:w="3265" w:type="dxa"/>
            <w:shd w:val="clear" w:color="auto" w:fill="auto"/>
            <w:vAlign w:val="bottom"/>
            <w:hideMark/>
          </w:tcPr>
          <w:p w14:paraId="29B5283D"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Gary Knox</w:t>
            </w:r>
          </w:p>
        </w:tc>
      </w:tr>
      <w:tr w:rsidR="00947AD2" w:rsidRPr="00CE5330" w14:paraId="62C51B2A" w14:textId="77777777" w:rsidTr="006140E0">
        <w:trPr>
          <w:trHeight w:val="289"/>
        </w:trPr>
        <w:tc>
          <w:tcPr>
            <w:tcW w:w="5529" w:type="dxa"/>
            <w:shd w:val="clear" w:color="auto" w:fill="auto"/>
            <w:vAlign w:val="bottom"/>
            <w:hideMark/>
          </w:tcPr>
          <w:p w14:paraId="08F03D4B"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Daikin NZ</w:t>
            </w:r>
          </w:p>
        </w:tc>
        <w:tc>
          <w:tcPr>
            <w:tcW w:w="3265" w:type="dxa"/>
            <w:shd w:val="clear" w:color="auto" w:fill="auto"/>
            <w:vAlign w:val="bottom"/>
            <w:hideMark/>
          </w:tcPr>
          <w:p w14:paraId="036C09EA"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Ugur Sertan</w:t>
            </w:r>
          </w:p>
        </w:tc>
      </w:tr>
      <w:tr w:rsidR="00947AD2" w:rsidRPr="00CE5330" w14:paraId="5EFD3AE0" w14:textId="77777777" w:rsidTr="006140E0">
        <w:trPr>
          <w:trHeight w:val="289"/>
        </w:trPr>
        <w:tc>
          <w:tcPr>
            <w:tcW w:w="5529" w:type="dxa"/>
            <w:shd w:val="clear" w:color="auto" w:fill="auto"/>
            <w:vAlign w:val="bottom"/>
            <w:hideMark/>
          </w:tcPr>
          <w:p w14:paraId="3EB00D33"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Driveelectric NZ</w:t>
            </w:r>
          </w:p>
        </w:tc>
        <w:tc>
          <w:tcPr>
            <w:tcW w:w="3265" w:type="dxa"/>
            <w:shd w:val="clear" w:color="auto" w:fill="auto"/>
            <w:vAlign w:val="bottom"/>
            <w:hideMark/>
          </w:tcPr>
          <w:p w14:paraId="02F7296F"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Hannah Henderson</w:t>
            </w:r>
          </w:p>
        </w:tc>
      </w:tr>
      <w:tr w:rsidR="00947AD2" w:rsidRPr="00CE5330" w14:paraId="20C5521B" w14:textId="77777777" w:rsidTr="006140E0">
        <w:trPr>
          <w:trHeight w:val="289"/>
        </w:trPr>
        <w:tc>
          <w:tcPr>
            <w:tcW w:w="5529" w:type="dxa"/>
            <w:shd w:val="clear" w:color="auto" w:fill="auto"/>
            <w:vAlign w:val="bottom"/>
            <w:hideMark/>
          </w:tcPr>
          <w:p w14:paraId="33C87C05"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Dux</w:t>
            </w:r>
          </w:p>
        </w:tc>
        <w:tc>
          <w:tcPr>
            <w:tcW w:w="3265" w:type="dxa"/>
            <w:shd w:val="clear" w:color="auto" w:fill="auto"/>
            <w:vAlign w:val="bottom"/>
            <w:hideMark/>
          </w:tcPr>
          <w:p w14:paraId="2D4A91BA"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SIMON TERRY</w:t>
            </w:r>
          </w:p>
        </w:tc>
      </w:tr>
      <w:tr w:rsidR="00947AD2" w:rsidRPr="00CE5330" w14:paraId="08CC5CB4" w14:textId="77777777" w:rsidTr="006140E0">
        <w:trPr>
          <w:trHeight w:val="289"/>
        </w:trPr>
        <w:tc>
          <w:tcPr>
            <w:tcW w:w="5529" w:type="dxa"/>
            <w:shd w:val="clear" w:color="auto" w:fill="auto"/>
            <w:vAlign w:val="bottom"/>
            <w:hideMark/>
          </w:tcPr>
          <w:p w14:paraId="4CEB9EDD" w14:textId="3B742ED6"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Electric Vehicle Council</w:t>
            </w:r>
            <w:r w:rsidR="009455B3" w:rsidRPr="00947AD2">
              <w:rPr>
                <w:rFonts w:ascii="Calibri" w:eastAsia="Times New Roman" w:hAnsi="Calibri" w:cs="Calibri"/>
                <w:color w:val="000000" w:themeColor="text1"/>
                <w:lang w:val="en-AU" w:eastAsia="en-AU"/>
              </w:rPr>
              <w:t xml:space="preserve"> (EVC)</w:t>
            </w:r>
          </w:p>
        </w:tc>
        <w:tc>
          <w:tcPr>
            <w:tcW w:w="3265" w:type="dxa"/>
            <w:shd w:val="clear" w:color="auto" w:fill="auto"/>
            <w:vAlign w:val="bottom"/>
            <w:hideMark/>
          </w:tcPr>
          <w:p w14:paraId="063A61F3"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Larissa Cassidy</w:t>
            </w:r>
          </w:p>
        </w:tc>
      </w:tr>
      <w:tr w:rsidR="00947AD2" w:rsidRPr="00CE5330" w14:paraId="57E4EEA4" w14:textId="77777777" w:rsidTr="006140E0">
        <w:trPr>
          <w:trHeight w:val="289"/>
        </w:trPr>
        <w:tc>
          <w:tcPr>
            <w:tcW w:w="5529" w:type="dxa"/>
            <w:shd w:val="clear" w:color="auto" w:fill="auto"/>
            <w:vAlign w:val="bottom"/>
            <w:hideMark/>
          </w:tcPr>
          <w:p w14:paraId="230D2C6D" w14:textId="7335AA46"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Energex &amp; Ergon Energy (joint)</w:t>
            </w:r>
          </w:p>
        </w:tc>
        <w:tc>
          <w:tcPr>
            <w:tcW w:w="3265" w:type="dxa"/>
            <w:shd w:val="clear" w:color="auto" w:fill="auto"/>
            <w:vAlign w:val="bottom"/>
            <w:hideMark/>
          </w:tcPr>
          <w:p w14:paraId="4B6E0C91"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Aidan Roberts</w:t>
            </w:r>
          </w:p>
        </w:tc>
      </w:tr>
      <w:tr w:rsidR="00947AD2" w:rsidRPr="00CE5330" w14:paraId="03E5391D" w14:textId="77777777" w:rsidTr="006140E0">
        <w:trPr>
          <w:trHeight w:val="289"/>
        </w:trPr>
        <w:tc>
          <w:tcPr>
            <w:tcW w:w="5529" w:type="dxa"/>
            <w:shd w:val="clear" w:color="auto" w:fill="auto"/>
            <w:vAlign w:val="bottom"/>
            <w:hideMark/>
          </w:tcPr>
          <w:p w14:paraId="04A3ECDD"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Energy Efficiency Council</w:t>
            </w:r>
          </w:p>
        </w:tc>
        <w:tc>
          <w:tcPr>
            <w:tcW w:w="3265" w:type="dxa"/>
            <w:shd w:val="clear" w:color="auto" w:fill="auto"/>
            <w:vAlign w:val="bottom"/>
            <w:hideMark/>
          </w:tcPr>
          <w:p w14:paraId="1FC28140"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Rob Murray-Leach</w:t>
            </w:r>
          </w:p>
        </w:tc>
      </w:tr>
      <w:tr w:rsidR="00947AD2" w:rsidRPr="00CE5330" w14:paraId="64270146" w14:textId="77777777" w:rsidTr="006140E0">
        <w:trPr>
          <w:trHeight w:val="289"/>
        </w:trPr>
        <w:tc>
          <w:tcPr>
            <w:tcW w:w="5529" w:type="dxa"/>
            <w:shd w:val="clear" w:color="auto" w:fill="auto"/>
            <w:vAlign w:val="bottom"/>
            <w:hideMark/>
          </w:tcPr>
          <w:p w14:paraId="0BCCBE3E"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Energy Australia (confidential)</w:t>
            </w:r>
          </w:p>
        </w:tc>
        <w:tc>
          <w:tcPr>
            <w:tcW w:w="3265" w:type="dxa"/>
            <w:shd w:val="clear" w:color="auto" w:fill="auto"/>
            <w:vAlign w:val="bottom"/>
            <w:hideMark/>
          </w:tcPr>
          <w:p w14:paraId="48AB068C"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Selena Liu</w:t>
            </w:r>
          </w:p>
        </w:tc>
      </w:tr>
      <w:tr w:rsidR="00947AD2" w:rsidRPr="00CE5330" w14:paraId="23EB2D3F" w14:textId="77777777" w:rsidTr="006140E0">
        <w:trPr>
          <w:trHeight w:val="289"/>
        </w:trPr>
        <w:tc>
          <w:tcPr>
            <w:tcW w:w="5529" w:type="dxa"/>
            <w:shd w:val="clear" w:color="auto" w:fill="auto"/>
            <w:vAlign w:val="bottom"/>
            <w:hideMark/>
          </w:tcPr>
          <w:p w14:paraId="4768C128"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Energy Australia</w:t>
            </w:r>
          </w:p>
        </w:tc>
        <w:tc>
          <w:tcPr>
            <w:tcW w:w="3265" w:type="dxa"/>
            <w:shd w:val="clear" w:color="auto" w:fill="auto"/>
            <w:vAlign w:val="bottom"/>
            <w:hideMark/>
          </w:tcPr>
          <w:p w14:paraId="18C6F67F"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Selena Liu</w:t>
            </w:r>
          </w:p>
        </w:tc>
      </w:tr>
      <w:tr w:rsidR="00947AD2" w:rsidRPr="00CE5330" w14:paraId="0E4878CB" w14:textId="77777777" w:rsidTr="006140E0">
        <w:trPr>
          <w:trHeight w:val="289"/>
        </w:trPr>
        <w:tc>
          <w:tcPr>
            <w:tcW w:w="5529" w:type="dxa"/>
            <w:shd w:val="clear" w:color="auto" w:fill="auto"/>
            <w:vAlign w:val="bottom"/>
            <w:hideMark/>
          </w:tcPr>
          <w:p w14:paraId="10338BD4" w14:textId="414FCB45"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F</w:t>
            </w:r>
            <w:r w:rsidR="009455B3" w:rsidRPr="00947AD2">
              <w:rPr>
                <w:rFonts w:ascii="Calibri" w:eastAsia="Times New Roman" w:hAnsi="Calibri" w:cs="Calibri"/>
                <w:color w:val="000000" w:themeColor="text1"/>
                <w:lang w:val="en-AU" w:eastAsia="en-AU"/>
              </w:rPr>
              <w:t>ederated Chamber of Automotive Industries (F</w:t>
            </w:r>
            <w:r w:rsidRPr="00CE5330">
              <w:rPr>
                <w:rFonts w:ascii="Calibri" w:eastAsia="Times New Roman" w:hAnsi="Calibri" w:cs="Calibri"/>
                <w:color w:val="000000" w:themeColor="text1"/>
                <w:lang w:val="en-AU" w:eastAsia="en-AU"/>
              </w:rPr>
              <w:t>CAI</w:t>
            </w:r>
            <w:r w:rsidR="009455B3" w:rsidRPr="00947AD2">
              <w:rPr>
                <w:rFonts w:ascii="Calibri" w:eastAsia="Times New Roman" w:hAnsi="Calibri" w:cs="Calibri"/>
                <w:color w:val="000000" w:themeColor="text1"/>
                <w:lang w:val="en-AU" w:eastAsia="en-AU"/>
              </w:rPr>
              <w:t>)</w:t>
            </w:r>
          </w:p>
        </w:tc>
        <w:tc>
          <w:tcPr>
            <w:tcW w:w="3265" w:type="dxa"/>
            <w:shd w:val="clear" w:color="auto" w:fill="auto"/>
            <w:vAlign w:val="bottom"/>
            <w:hideMark/>
          </w:tcPr>
          <w:p w14:paraId="2487F180"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Ashley Sanders</w:t>
            </w:r>
          </w:p>
        </w:tc>
      </w:tr>
      <w:tr w:rsidR="00947AD2" w:rsidRPr="00CE5330" w14:paraId="1465C10C" w14:textId="77777777" w:rsidTr="006140E0">
        <w:trPr>
          <w:trHeight w:val="289"/>
        </w:trPr>
        <w:tc>
          <w:tcPr>
            <w:tcW w:w="5529" w:type="dxa"/>
            <w:shd w:val="clear" w:color="auto" w:fill="auto"/>
            <w:vAlign w:val="bottom"/>
            <w:hideMark/>
          </w:tcPr>
          <w:p w14:paraId="0D4ECD8E"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Fujitsu General</w:t>
            </w:r>
          </w:p>
        </w:tc>
        <w:tc>
          <w:tcPr>
            <w:tcW w:w="3265" w:type="dxa"/>
            <w:shd w:val="clear" w:color="auto" w:fill="auto"/>
            <w:vAlign w:val="bottom"/>
            <w:hideMark/>
          </w:tcPr>
          <w:p w14:paraId="233070D8"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Kyle Rafter</w:t>
            </w:r>
          </w:p>
        </w:tc>
      </w:tr>
      <w:tr w:rsidR="00947AD2" w:rsidRPr="00CE5330" w14:paraId="469152E5" w14:textId="77777777" w:rsidTr="006140E0">
        <w:trPr>
          <w:trHeight w:val="289"/>
        </w:trPr>
        <w:tc>
          <w:tcPr>
            <w:tcW w:w="5529" w:type="dxa"/>
            <w:shd w:val="clear" w:color="auto" w:fill="auto"/>
            <w:vAlign w:val="bottom"/>
            <w:hideMark/>
          </w:tcPr>
          <w:p w14:paraId="1EABB424"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Intelligent Automation</w:t>
            </w:r>
          </w:p>
        </w:tc>
        <w:tc>
          <w:tcPr>
            <w:tcW w:w="3265" w:type="dxa"/>
            <w:shd w:val="clear" w:color="auto" w:fill="auto"/>
            <w:vAlign w:val="bottom"/>
            <w:hideMark/>
          </w:tcPr>
          <w:p w14:paraId="3C2A8732"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Sabur Aziz</w:t>
            </w:r>
          </w:p>
        </w:tc>
      </w:tr>
      <w:tr w:rsidR="00947AD2" w:rsidRPr="00CE5330" w14:paraId="2D189707" w14:textId="77777777" w:rsidTr="006140E0">
        <w:trPr>
          <w:trHeight w:val="289"/>
        </w:trPr>
        <w:tc>
          <w:tcPr>
            <w:tcW w:w="5529" w:type="dxa"/>
            <w:shd w:val="clear" w:color="auto" w:fill="auto"/>
            <w:vAlign w:val="bottom"/>
            <w:hideMark/>
          </w:tcPr>
          <w:p w14:paraId="5025EAD7" w14:textId="79CC9A96"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J</w:t>
            </w:r>
            <w:r w:rsidR="001C62AE">
              <w:rPr>
                <w:rFonts w:ascii="Calibri" w:eastAsia="Times New Roman" w:hAnsi="Calibri" w:cs="Calibri"/>
                <w:color w:val="000000" w:themeColor="text1"/>
                <w:lang w:val="en-AU" w:eastAsia="en-AU"/>
              </w:rPr>
              <w:t xml:space="preserve">apan Refrigeration and Air Conditioning Industry </w:t>
            </w:r>
            <w:r w:rsidR="001C62AE">
              <w:rPr>
                <w:rFonts w:ascii="Calibri" w:eastAsia="Times New Roman" w:hAnsi="Calibri" w:cs="Calibri"/>
                <w:color w:val="000000" w:themeColor="text1"/>
                <w:lang w:val="en-AU" w:eastAsia="en-AU"/>
              </w:rPr>
              <w:br/>
              <w:t xml:space="preserve">           Association (J</w:t>
            </w:r>
            <w:r w:rsidRPr="00CE5330">
              <w:rPr>
                <w:rFonts w:ascii="Calibri" w:eastAsia="Times New Roman" w:hAnsi="Calibri" w:cs="Calibri"/>
                <w:color w:val="000000" w:themeColor="text1"/>
                <w:lang w:val="en-AU" w:eastAsia="en-AU"/>
              </w:rPr>
              <w:t>RAIA</w:t>
            </w:r>
            <w:r w:rsidR="001C62AE">
              <w:rPr>
                <w:rFonts w:ascii="Calibri" w:eastAsia="Times New Roman" w:hAnsi="Calibri" w:cs="Calibri"/>
                <w:color w:val="000000" w:themeColor="text1"/>
                <w:lang w:val="en-AU" w:eastAsia="en-AU"/>
              </w:rPr>
              <w:t>)</w:t>
            </w:r>
          </w:p>
        </w:tc>
        <w:tc>
          <w:tcPr>
            <w:tcW w:w="3265" w:type="dxa"/>
            <w:shd w:val="clear" w:color="auto" w:fill="auto"/>
            <w:vAlign w:val="bottom"/>
            <w:hideMark/>
          </w:tcPr>
          <w:p w14:paraId="59AF172A"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Hideaki Kasahara</w:t>
            </w:r>
          </w:p>
        </w:tc>
      </w:tr>
      <w:tr w:rsidR="00947AD2" w:rsidRPr="00CE5330" w14:paraId="0D8E2223" w14:textId="77777777" w:rsidTr="006140E0">
        <w:trPr>
          <w:trHeight w:val="289"/>
        </w:trPr>
        <w:tc>
          <w:tcPr>
            <w:tcW w:w="5529" w:type="dxa"/>
            <w:shd w:val="clear" w:color="auto" w:fill="auto"/>
            <w:vAlign w:val="bottom"/>
            <w:hideMark/>
          </w:tcPr>
          <w:p w14:paraId="2366A92F"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Martin Gill</w:t>
            </w:r>
          </w:p>
        </w:tc>
        <w:tc>
          <w:tcPr>
            <w:tcW w:w="3265" w:type="dxa"/>
            <w:shd w:val="clear" w:color="auto" w:fill="auto"/>
            <w:vAlign w:val="bottom"/>
            <w:hideMark/>
          </w:tcPr>
          <w:p w14:paraId="3475280C"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Dr Martin Gill</w:t>
            </w:r>
          </w:p>
        </w:tc>
      </w:tr>
      <w:tr w:rsidR="00947AD2" w:rsidRPr="00CE5330" w14:paraId="131689F4" w14:textId="77777777" w:rsidTr="006140E0">
        <w:trPr>
          <w:trHeight w:val="289"/>
        </w:trPr>
        <w:tc>
          <w:tcPr>
            <w:tcW w:w="5529" w:type="dxa"/>
            <w:shd w:val="clear" w:color="auto" w:fill="auto"/>
            <w:vAlign w:val="bottom"/>
            <w:hideMark/>
          </w:tcPr>
          <w:p w14:paraId="20C06106"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Mitsubishi Heavy Industries</w:t>
            </w:r>
          </w:p>
        </w:tc>
        <w:tc>
          <w:tcPr>
            <w:tcW w:w="3265" w:type="dxa"/>
            <w:shd w:val="clear" w:color="auto" w:fill="auto"/>
            <w:vAlign w:val="bottom"/>
            <w:hideMark/>
          </w:tcPr>
          <w:p w14:paraId="0F56E186"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Oscar Xu</w:t>
            </w:r>
          </w:p>
        </w:tc>
      </w:tr>
      <w:tr w:rsidR="00947AD2" w:rsidRPr="00CE5330" w14:paraId="40B1225C" w14:textId="77777777" w:rsidTr="006140E0">
        <w:trPr>
          <w:trHeight w:val="289"/>
        </w:trPr>
        <w:tc>
          <w:tcPr>
            <w:tcW w:w="5529" w:type="dxa"/>
            <w:shd w:val="clear" w:color="auto" w:fill="auto"/>
            <w:vAlign w:val="bottom"/>
            <w:hideMark/>
          </w:tcPr>
          <w:p w14:paraId="62B718ED"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Mondo Power</w:t>
            </w:r>
          </w:p>
        </w:tc>
        <w:tc>
          <w:tcPr>
            <w:tcW w:w="3265" w:type="dxa"/>
            <w:shd w:val="clear" w:color="auto" w:fill="auto"/>
            <w:vAlign w:val="bottom"/>
            <w:hideMark/>
          </w:tcPr>
          <w:p w14:paraId="25441A49"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Daniel Brass</w:t>
            </w:r>
          </w:p>
        </w:tc>
      </w:tr>
      <w:tr w:rsidR="00947AD2" w:rsidRPr="00CE5330" w14:paraId="282E930A" w14:textId="77777777" w:rsidTr="006140E0">
        <w:trPr>
          <w:trHeight w:val="289"/>
        </w:trPr>
        <w:tc>
          <w:tcPr>
            <w:tcW w:w="5529" w:type="dxa"/>
            <w:shd w:val="clear" w:color="auto" w:fill="auto"/>
            <w:vAlign w:val="bottom"/>
            <w:hideMark/>
          </w:tcPr>
          <w:p w14:paraId="667FF3F8"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Origin Energy</w:t>
            </w:r>
          </w:p>
        </w:tc>
        <w:tc>
          <w:tcPr>
            <w:tcW w:w="3265" w:type="dxa"/>
            <w:shd w:val="clear" w:color="auto" w:fill="auto"/>
            <w:vAlign w:val="bottom"/>
            <w:hideMark/>
          </w:tcPr>
          <w:p w14:paraId="55BF550C"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Keith Robertson</w:t>
            </w:r>
          </w:p>
        </w:tc>
      </w:tr>
      <w:tr w:rsidR="00947AD2" w:rsidRPr="00CE5330" w14:paraId="54D837A2" w14:textId="77777777" w:rsidTr="006140E0">
        <w:trPr>
          <w:trHeight w:val="289"/>
        </w:trPr>
        <w:tc>
          <w:tcPr>
            <w:tcW w:w="5529" w:type="dxa"/>
            <w:shd w:val="clear" w:color="auto" w:fill="auto"/>
            <w:vAlign w:val="bottom"/>
            <w:hideMark/>
          </w:tcPr>
          <w:p w14:paraId="1DCBACC5" w14:textId="34D9DF36" w:rsidR="00CE5330" w:rsidRPr="00CE5330" w:rsidRDefault="009455B3" w:rsidP="00CE5330">
            <w:pPr>
              <w:spacing w:after="0" w:line="240" w:lineRule="auto"/>
              <w:rPr>
                <w:rFonts w:ascii="Calibri" w:eastAsia="Times New Roman" w:hAnsi="Calibri" w:cs="Calibri"/>
                <w:color w:val="000000" w:themeColor="text1"/>
                <w:lang w:val="en-AU" w:eastAsia="en-AU"/>
              </w:rPr>
            </w:pPr>
            <w:r w:rsidRPr="00947AD2">
              <w:rPr>
                <w:rFonts w:ascii="Calibri" w:eastAsia="Times New Roman" w:hAnsi="Calibri" w:cs="Calibri"/>
                <w:color w:val="000000" w:themeColor="text1"/>
                <w:lang w:val="en-AU" w:eastAsia="en-AU"/>
              </w:rPr>
              <w:lastRenderedPageBreak/>
              <w:t>Public Interest Advocacy Centre (</w:t>
            </w:r>
            <w:r w:rsidR="00CE5330" w:rsidRPr="00CE5330">
              <w:rPr>
                <w:rFonts w:ascii="Calibri" w:eastAsia="Times New Roman" w:hAnsi="Calibri" w:cs="Calibri"/>
                <w:color w:val="000000" w:themeColor="text1"/>
                <w:lang w:val="en-AU" w:eastAsia="en-AU"/>
              </w:rPr>
              <w:t>PIAC</w:t>
            </w:r>
            <w:r w:rsidRPr="00947AD2">
              <w:rPr>
                <w:rFonts w:ascii="Calibri" w:eastAsia="Times New Roman" w:hAnsi="Calibri" w:cs="Calibri"/>
                <w:color w:val="000000" w:themeColor="text1"/>
                <w:lang w:val="en-AU" w:eastAsia="en-AU"/>
              </w:rPr>
              <w:t>)</w:t>
            </w:r>
          </w:p>
        </w:tc>
        <w:tc>
          <w:tcPr>
            <w:tcW w:w="3265" w:type="dxa"/>
            <w:shd w:val="clear" w:color="auto" w:fill="auto"/>
            <w:vAlign w:val="bottom"/>
            <w:hideMark/>
          </w:tcPr>
          <w:p w14:paraId="29AFB5A5"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Douglas McCloskey</w:t>
            </w:r>
          </w:p>
        </w:tc>
      </w:tr>
      <w:tr w:rsidR="00947AD2" w:rsidRPr="00CE5330" w14:paraId="3E8544A1" w14:textId="77777777" w:rsidTr="006140E0">
        <w:trPr>
          <w:trHeight w:val="289"/>
        </w:trPr>
        <w:tc>
          <w:tcPr>
            <w:tcW w:w="5529" w:type="dxa"/>
            <w:shd w:val="clear" w:color="auto" w:fill="auto"/>
            <w:vAlign w:val="bottom"/>
            <w:hideMark/>
          </w:tcPr>
          <w:p w14:paraId="05DB20A4"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Pooled Energy</w:t>
            </w:r>
          </w:p>
        </w:tc>
        <w:tc>
          <w:tcPr>
            <w:tcW w:w="3265" w:type="dxa"/>
            <w:shd w:val="clear" w:color="auto" w:fill="auto"/>
            <w:vAlign w:val="bottom"/>
            <w:hideMark/>
          </w:tcPr>
          <w:p w14:paraId="427FDE70"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John Riedl</w:t>
            </w:r>
          </w:p>
        </w:tc>
      </w:tr>
      <w:tr w:rsidR="00947AD2" w:rsidRPr="00CE5330" w14:paraId="1F35D3B2" w14:textId="77777777" w:rsidTr="006140E0">
        <w:trPr>
          <w:trHeight w:val="289"/>
        </w:trPr>
        <w:tc>
          <w:tcPr>
            <w:tcW w:w="5529" w:type="dxa"/>
            <w:shd w:val="clear" w:color="auto" w:fill="auto"/>
            <w:vAlign w:val="bottom"/>
            <w:hideMark/>
          </w:tcPr>
          <w:p w14:paraId="19A6BB71"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Power Diverter Australia Pty Ltd (confidential)</w:t>
            </w:r>
          </w:p>
        </w:tc>
        <w:tc>
          <w:tcPr>
            <w:tcW w:w="3265" w:type="dxa"/>
            <w:shd w:val="clear" w:color="auto" w:fill="auto"/>
            <w:vAlign w:val="bottom"/>
            <w:hideMark/>
          </w:tcPr>
          <w:p w14:paraId="2C71A78F"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Tyler Jackman</w:t>
            </w:r>
          </w:p>
        </w:tc>
      </w:tr>
      <w:tr w:rsidR="00947AD2" w:rsidRPr="00CE5330" w14:paraId="53B0C58C" w14:textId="77777777" w:rsidTr="006140E0">
        <w:trPr>
          <w:trHeight w:val="289"/>
        </w:trPr>
        <w:tc>
          <w:tcPr>
            <w:tcW w:w="5529" w:type="dxa"/>
            <w:shd w:val="clear" w:color="auto" w:fill="auto"/>
            <w:vAlign w:val="bottom"/>
            <w:hideMark/>
          </w:tcPr>
          <w:p w14:paraId="6F0716B9"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Powerco NZ</w:t>
            </w:r>
          </w:p>
        </w:tc>
        <w:tc>
          <w:tcPr>
            <w:tcW w:w="3265" w:type="dxa"/>
            <w:shd w:val="clear" w:color="auto" w:fill="auto"/>
            <w:vAlign w:val="bottom"/>
            <w:hideMark/>
          </w:tcPr>
          <w:p w14:paraId="7DFFA6D9"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Andrew Kerr</w:t>
            </w:r>
          </w:p>
        </w:tc>
      </w:tr>
      <w:tr w:rsidR="00947AD2" w:rsidRPr="00CE5330" w14:paraId="1689682C" w14:textId="77777777" w:rsidTr="006140E0">
        <w:trPr>
          <w:trHeight w:val="289"/>
        </w:trPr>
        <w:tc>
          <w:tcPr>
            <w:tcW w:w="5529" w:type="dxa"/>
            <w:shd w:val="clear" w:color="auto" w:fill="auto"/>
            <w:vAlign w:val="bottom"/>
            <w:hideMark/>
          </w:tcPr>
          <w:p w14:paraId="3F97694C"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Rheem</w:t>
            </w:r>
          </w:p>
        </w:tc>
        <w:tc>
          <w:tcPr>
            <w:tcW w:w="3265" w:type="dxa"/>
            <w:shd w:val="clear" w:color="auto" w:fill="auto"/>
            <w:vAlign w:val="bottom"/>
            <w:hideMark/>
          </w:tcPr>
          <w:p w14:paraId="2EAF4F7E"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Gareth Jennings</w:t>
            </w:r>
          </w:p>
        </w:tc>
      </w:tr>
      <w:tr w:rsidR="00947AD2" w:rsidRPr="00CE5330" w14:paraId="110B1B3B" w14:textId="77777777" w:rsidTr="006140E0">
        <w:trPr>
          <w:trHeight w:val="289"/>
        </w:trPr>
        <w:tc>
          <w:tcPr>
            <w:tcW w:w="5529" w:type="dxa"/>
            <w:shd w:val="clear" w:color="auto" w:fill="auto"/>
            <w:vAlign w:val="bottom"/>
            <w:hideMark/>
          </w:tcPr>
          <w:p w14:paraId="306E19D5"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Rheem NZ</w:t>
            </w:r>
          </w:p>
        </w:tc>
        <w:tc>
          <w:tcPr>
            <w:tcW w:w="3265" w:type="dxa"/>
            <w:shd w:val="clear" w:color="auto" w:fill="auto"/>
            <w:vAlign w:val="bottom"/>
            <w:hideMark/>
          </w:tcPr>
          <w:p w14:paraId="0AE1BC8D"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Steve Bullock</w:t>
            </w:r>
          </w:p>
        </w:tc>
      </w:tr>
      <w:tr w:rsidR="00947AD2" w:rsidRPr="00CE5330" w14:paraId="43B6D84B" w14:textId="77777777" w:rsidTr="006140E0">
        <w:trPr>
          <w:trHeight w:val="289"/>
        </w:trPr>
        <w:tc>
          <w:tcPr>
            <w:tcW w:w="5529" w:type="dxa"/>
            <w:shd w:val="clear" w:color="auto" w:fill="auto"/>
            <w:vAlign w:val="bottom"/>
            <w:hideMark/>
          </w:tcPr>
          <w:p w14:paraId="72206E23"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Rinnai Australia</w:t>
            </w:r>
          </w:p>
        </w:tc>
        <w:tc>
          <w:tcPr>
            <w:tcW w:w="3265" w:type="dxa"/>
            <w:shd w:val="clear" w:color="auto" w:fill="auto"/>
            <w:vAlign w:val="bottom"/>
            <w:hideMark/>
          </w:tcPr>
          <w:p w14:paraId="612E2E66"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Leon Bogers</w:t>
            </w:r>
          </w:p>
        </w:tc>
      </w:tr>
      <w:tr w:rsidR="00947AD2" w:rsidRPr="00CE5330" w14:paraId="688EDE73" w14:textId="77777777" w:rsidTr="006140E0">
        <w:trPr>
          <w:trHeight w:val="289"/>
        </w:trPr>
        <w:tc>
          <w:tcPr>
            <w:tcW w:w="5529" w:type="dxa"/>
            <w:shd w:val="clear" w:color="auto" w:fill="auto"/>
            <w:vAlign w:val="bottom"/>
            <w:hideMark/>
          </w:tcPr>
          <w:p w14:paraId="58949BE6"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Rinnai NZ</w:t>
            </w:r>
          </w:p>
        </w:tc>
        <w:tc>
          <w:tcPr>
            <w:tcW w:w="3265" w:type="dxa"/>
            <w:shd w:val="clear" w:color="auto" w:fill="auto"/>
            <w:vAlign w:val="bottom"/>
            <w:hideMark/>
          </w:tcPr>
          <w:p w14:paraId="582D9A8C"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Tim Grey</w:t>
            </w:r>
          </w:p>
        </w:tc>
      </w:tr>
      <w:tr w:rsidR="00947AD2" w:rsidRPr="00CE5330" w14:paraId="2B3B4560" w14:textId="77777777" w:rsidTr="006140E0">
        <w:trPr>
          <w:trHeight w:val="289"/>
        </w:trPr>
        <w:tc>
          <w:tcPr>
            <w:tcW w:w="5529" w:type="dxa"/>
            <w:shd w:val="clear" w:color="auto" w:fill="auto"/>
            <w:vAlign w:val="bottom"/>
            <w:hideMark/>
          </w:tcPr>
          <w:p w14:paraId="4BF8C9B4"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SA Power Networks</w:t>
            </w:r>
          </w:p>
        </w:tc>
        <w:tc>
          <w:tcPr>
            <w:tcW w:w="3265" w:type="dxa"/>
            <w:shd w:val="clear" w:color="auto" w:fill="auto"/>
            <w:vAlign w:val="bottom"/>
            <w:hideMark/>
          </w:tcPr>
          <w:p w14:paraId="225ED5C2"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Dr Bryn Williams</w:t>
            </w:r>
          </w:p>
        </w:tc>
      </w:tr>
      <w:tr w:rsidR="00947AD2" w:rsidRPr="00CE5330" w14:paraId="2AE6D0B1" w14:textId="77777777" w:rsidTr="006140E0">
        <w:trPr>
          <w:trHeight w:val="289"/>
        </w:trPr>
        <w:tc>
          <w:tcPr>
            <w:tcW w:w="5529" w:type="dxa"/>
            <w:shd w:val="clear" w:color="auto" w:fill="auto"/>
            <w:vAlign w:val="bottom"/>
            <w:hideMark/>
          </w:tcPr>
          <w:p w14:paraId="1BE13BCF"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Simply Energy</w:t>
            </w:r>
          </w:p>
        </w:tc>
        <w:tc>
          <w:tcPr>
            <w:tcW w:w="3265" w:type="dxa"/>
            <w:shd w:val="clear" w:color="auto" w:fill="auto"/>
            <w:vAlign w:val="bottom"/>
            <w:hideMark/>
          </w:tcPr>
          <w:p w14:paraId="2AC03610"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Anthony O’Connell</w:t>
            </w:r>
          </w:p>
        </w:tc>
      </w:tr>
      <w:tr w:rsidR="00947AD2" w:rsidRPr="00CE5330" w14:paraId="53ECD4C8" w14:textId="77777777" w:rsidTr="006140E0">
        <w:trPr>
          <w:trHeight w:val="289"/>
        </w:trPr>
        <w:tc>
          <w:tcPr>
            <w:tcW w:w="5529" w:type="dxa"/>
            <w:shd w:val="clear" w:color="auto" w:fill="auto"/>
            <w:vAlign w:val="bottom"/>
            <w:hideMark/>
          </w:tcPr>
          <w:p w14:paraId="73E0D7B6"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SP Ausnet</w:t>
            </w:r>
          </w:p>
        </w:tc>
        <w:tc>
          <w:tcPr>
            <w:tcW w:w="3265" w:type="dxa"/>
            <w:shd w:val="clear" w:color="auto" w:fill="auto"/>
            <w:vAlign w:val="bottom"/>
            <w:hideMark/>
          </w:tcPr>
          <w:p w14:paraId="13C050EA"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Justin Betlehem</w:t>
            </w:r>
          </w:p>
        </w:tc>
      </w:tr>
      <w:tr w:rsidR="00947AD2" w:rsidRPr="00CE5330" w14:paraId="7F3382D4" w14:textId="77777777" w:rsidTr="006140E0">
        <w:trPr>
          <w:trHeight w:val="289"/>
        </w:trPr>
        <w:tc>
          <w:tcPr>
            <w:tcW w:w="5529" w:type="dxa"/>
            <w:shd w:val="clear" w:color="auto" w:fill="auto"/>
            <w:vAlign w:val="bottom"/>
            <w:hideMark/>
          </w:tcPr>
          <w:p w14:paraId="3FABEA34"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Stiebel Eltron</w:t>
            </w:r>
          </w:p>
        </w:tc>
        <w:tc>
          <w:tcPr>
            <w:tcW w:w="3265" w:type="dxa"/>
            <w:shd w:val="clear" w:color="auto" w:fill="auto"/>
            <w:vAlign w:val="bottom"/>
            <w:hideMark/>
          </w:tcPr>
          <w:p w14:paraId="414495CC"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Dr Raniero Guarnieri</w:t>
            </w:r>
          </w:p>
        </w:tc>
      </w:tr>
      <w:tr w:rsidR="00947AD2" w:rsidRPr="00CE5330" w14:paraId="6B5A68EB" w14:textId="77777777" w:rsidTr="006140E0">
        <w:trPr>
          <w:trHeight w:val="289"/>
        </w:trPr>
        <w:tc>
          <w:tcPr>
            <w:tcW w:w="5529" w:type="dxa"/>
            <w:shd w:val="clear" w:color="auto" w:fill="auto"/>
            <w:vAlign w:val="bottom"/>
            <w:hideMark/>
          </w:tcPr>
          <w:p w14:paraId="762F0968"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Tasnetworks (confidential)</w:t>
            </w:r>
          </w:p>
        </w:tc>
        <w:tc>
          <w:tcPr>
            <w:tcW w:w="3265" w:type="dxa"/>
            <w:shd w:val="clear" w:color="auto" w:fill="auto"/>
            <w:vAlign w:val="bottom"/>
            <w:hideMark/>
          </w:tcPr>
          <w:p w14:paraId="0588C782"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Laura Jones</w:t>
            </w:r>
          </w:p>
        </w:tc>
      </w:tr>
      <w:tr w:rsidR="00947AD2" w:rsidRPr="00CE5330" w14:paraId="7AA1CE6F" w14:textId="77777777" w:rsidTr="006140E0">
        <w:trPr>
          <w:trHeight w:val="289"/>
        </w:trPr>
        <w:tc>
          <w:tcPr>
            <w:tcW w:w="5529" w:type="dxa"/>
            <w:shd w:val="clear" w:color="auto" w:fill="auto"/>
            <w:vAlign w:val="bottom"/>
            <w:hideMark/>
          </w:tcPr>
          <w:p w14:paraId="0677DD09"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Ted Woodley</w:t>
            </w:r>
          </w:p>
        </w:tc>
        <w:tc>
          <w:tcPr>
            <w:tcW w:w="3265" w:type="dxa"/>
            <w:shd w:val="clear" w:color="auto" w:fill="auto"/>
            <w:vAlign w:val="bottom"/>
            <w:hideMark/>
          </w:tcPr>
          <w:p w14:paraId="3F6757D8"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Ted Woodley</w:t>
            </w:r>
          </w:p>
        </w:tc>
      </w:tr>
      <w:tr w:rsidR="00947AD2" w:rsidRPr="00CE5330" w14:paraId="302B96D6" w14:textId="77777777" w:rsidTr="006140E0">
        <w:trPr>
          <w:trHeight w:val="289"/>
        </w:trPr>
        <w:tc>
          <w:tcPr>
            <w:tcW w:w="5529" w:type="dxa"/>
            <w:shd w:val="clear" w:color="auto" w:fill="auto"/>
            <w:vAlign w:val="bottom"/>
            <w:hideMark/>
          </w:tcPr>
          <w:p w14:paraId="2C7977C7"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Temperzone NZ</w:t>
            </w:r>
          </w:p>
        </w:tc>
        <w:tc>
          <w:tcPr>
            <w:tcW w:w="3265" w:type="dxa"/>
            <w:shd w:val="clear" w:color="auto" w:fill="auto"/>
            <w:vAlign w:val="bottom"/>
            <w:hideMark/>
          </w:tcPr>
          <w:p w14:paraId="4AF4E615"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Adrian Kerr</w:t>
            </w:r>
          </w:p>
        </w:tc>
      </w:tr>
      <w:tr w:rsidR="00947AD2" w:rsidRPr="00CE5330" w14:paraId="23B7E84B" w14:textId="77777777" w:rsidTr="006140E0">
        <w:trPr>
          <w:trHeight w:val="289"/>
        </w:trPr>
        <w:tc>
          <w:tcPr>
            <w:tcW w:w="5529" w:type="dxa"/>
            <w:shd w:val="clear" w:color="auto" w:fill="auto"/>
            <w:vAlign w:val="bottom"/>
            <w:hideMark/>
          </w:tcPr>
          <w:p w14:paraId="1346561A"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Tesla (Confidential)</w:t>
            </w:r>
          </w:p>
        </w:tc>
        <w:tc>
          <w:tcPr>
            <w:tcW w:w="3265" w:type="dxa"/>
            <w:shd w:val="clear" w:color="auto" w:fill="auto"/>
            <w:vAlign w:val="bottom"/>
            <w:hideMark/>
          </w:tcPr>
          <w:p w14:paraId="0C61EC6E"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Sam McLean</w:t>
            </w:r>
          </w:p>
        </w:tc>
      </w:tr>
      <w:tr w:rsidR="00947AD2" w:rsidRPr="00CE5330" w14:paraId="7B7F2C45" w14:textId="77777777" w:rsidTr="006140E0">
        <w:trPr>
          <w:trHeight w:val="289"/>
        </w:trPr>
        <w:tc>
          <w:tcPr>
            <w:tcW w:w="5529" w:type="dxa"/>
            <w:shd w:val="clear" w:color="auto" w:fill="auto"/>
            <w:vAlign w:val="bottom"/>
            <w:hideMark/>
          </w:tcPr>
          <w:p w14:paraId="61573ECA"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Transpower NZ</w:t>
            </w:r>
          </w:p>
        </w:tc>
        <w:tc>
          <w:tcPr>
            <w:tcW w:w="3265" w:type="dxa"/>
            <w:shd w:val="clear" w:color="auto" w:fill="auto"/>
            <w:vAlign w:val="bottom"/>
            <w:hideMark/>
          </w:tcPr>
          <w:p w14:paraId="6B10B867"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Quintin Tahau</w:t>
            </w:r>
          </w:p>
        </w:tc>
      </w:tr>
      <w:tr w:rsidR="00947AD2" w:rsidRPr="00CE5330" w14:paraId="546C3359" w14:textId="77777777" w:rsidTr="006140E0">
        <w:trPr>
          <w:trHeight w:val="289"/>
        </w:trPr>
        <w:tc>
          <w:tcPr>
            <w:tcW w:w="5529" w:type="dxa"/>
            <w:shd w:val="clear" w:color="auto" w:fill="auto"/>
            <w:vAlign w:val="bottom"/>
            <w:hideMark/>
          </w:tcPr>
          <w:p w14:paraId="58D23FC9" w14:textId="36509549"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 xml:space="preserve">Underwriters Ltd </w:t>
            </w:r>
            <w:r w:rsidR="009455B3" w:rsidRPr="00947AD2">
              <w:rPr>
                <w:rFonts w:ascii="Calibri" w:eastAsia="Times New Roman" w:hAnsi="Calibri" w:cs="Calibri"/>
                <w:color w:val="000000" w:themeColor="text1"/>
                <w:lang w:val="en-AU" w:eastAsia="en-AU"/>
              </w:rPr>
              <w:t>(</w:t>
            </w:r>
            <w:r w:rsidRPr="00CE5330">
              <w:rPr>
                <w:rFonts w:ascii="Calibri" w:eastAsia="Times New Roman" w:hAnsi="Calibri" w:cs="Calibri"/>
                <w:color w:val="000000" w:themeColor="text1"/>
                <w:lang w:val="en-AU" w:eastAsia="en-AU"/>
              </w:rPr>
              <w:t>UL</w:t>
            </w:r>
            <w:r w:rsidR="009455B3" w:rsidRPr="00947AD2">
              <w:rPr>
                <w:rFonts w:ascii="Calibri" w:eastAsia="Times New Roman" w:hAnsi="Calibri" w:cs="Calibri"/>
                <w:color w:val="000000" w:themeColor="text1"/>
                <w:lang w:val="en-AU" w:eastAsia="en-AU"/>
              </w:rPr>
              <w:t>)</w:t>
            </w:r>
          </w:p>
        </w:tc>
        <w:tc>
          <w:tcPr>
            <w:tcW w:w="3265" w:type="dxa"/>
            <w:shd w:val="clear" w:color="auto" w:fill="auto"/>
            <w:vAlign w:val="bottom"/>
            <w:hideMark/>
          </w:tcPr>
          <w:p w14:paraId="14E5F171" w14:textId="4AF5A341" w:rsidR="00CE5330" w:rsidRPr="00CE5330" w:rsidRDefault="00CE5330" w:rsidP="00CE5330">
            <w:pPr>
              <w:spacing w:after="0" w:line="240" w:lineRule="auto"/>
              <w:rPr>
                <w:rFonts w:ascii="Arial" w:eastAsia="Times New Roman" w:hAnsi="Arial" w:cs="Arial"/>
                <w:color w:val="000000" w:themeColor="text1"/>
                <w:sz w:val="20"/>
                <w:szCs w:val="20"/>
                <w:lang w:val="en-AU" w:eastAsia="en-AU"/>
              </w:rPr>
            </w:pPr>
            <w:r w:rsidRPr="00CE5330">
              <w:rPr>
                <w:rFonts w:ascii="Arial" w:eastAsia="Times New Roman" w:hAnsi="Arial" w:cs="Arial"/>
                <w:color w:val="000000" w:themeColor="text1"/>
                <w:sz w:val="20"/>
                <w:szCs w:val="20"/>
                <w:lang w:val="en-AU" w:eastAsia="en-AU"/>
              </w:rPr>
              <w:t>Dr Johannes Bauer</w:t>
            </w:r>
          </w:p>
        </w:tc>
      </w:tr>
      <w:tr w:rsidR="00947AD2" w:rsidRPr="00CE5330" w14:paraId="29E49B94" w14:textId="77777777" w:rsidTr="006140E0">
        <w:trPr>
          <w:trHeight w:val="289"/>
        </w:trPr>
        <w:tc>
          <w:tcPr>
            <w:tcW w:w="5529" w:type="dxa"/>
            <w:shd w:val="clear" w:color="auto" w:fill="auto"/>
            <w:vAlign w:val="bottom"/>
            <w:hideMark/>
          </w:tcPr>
          <w:p w14:paraId="55FAB91E"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University of Otago NZ</w:t>
            </w:r>
          </w:p>
        </w:tc>
        <w:tc>
          <w:tcPr>
            <w:tcW w:w="3265" w:type="dxa"/>
            <w:shd w:val="clear" w:color="auto" w:fill="auto"/>
            <w:vAlign w:val="bottom"/>
            <w:hideMark/>
          </w:tcPr>
          <w:p w14:paraId="0E9CA14C"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Helen Viggers</w:t>
            </w:r>
          </w:p>
        </w:tc>
      </w:tr>
      <w:tr w:rsidR="00947AD2" w:rsidRPr="00CE5330" w14:paraId="1B46A44F" w14:textId="77777777" w:rsidTr="006140E0">
        <w:trPr>
          <w:trHeight w:val="289"/>
        </w:trPr>
        <w:tc>
          <w:tcPr>
            <w:tcW w:w="5529" w:type="dxa"/>
            <w:shd w:val="clear" w:color="auto" w:fill="auto"/>
            <w:vAlign w:val="bottom"/>
            <w:hideMark/>
          </w:tcPr>
          <w:p w14:paraId="423154BB"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Xtra.co.nz (Consumer advocate)</w:t>
            </w:r>
          </w:p>
        </w:tc>
        <w:tc>
          <w:tcPr>
            <w:tcW w:w="3265" w:type="dxa"/>
            <w:shd w:val="clear" w:color="auto" w:fill="auto"/>
            <w:vAlign w:val="bottom"/>
            <w:hideMark/>
          </w:tcPr>
          <w:p w14:paraId="798C6D36" w14:textId="77777777" w:rsidR="00CE5330" w:rsidRPr="00CE5330" w:rsidRDefault="00CE5330" w:rsidP="00CE5330">
            <w:pPr>
              <w:spacing w:after="0" w:line="240" w:lineRule="auto"/>
              <w:rPr>
                <w:rFonts w:ascii="Calibri" w:eastAsia="Times New Roman" w:hAnsi="Calibri" w:cs="Calibri"/>
                <w:color w:val="000000" w:themeColor="text1"/>
                <w:lang w:val="en-AU" w:eastAsia="en-AU"/>
              </w:rPr>
            </w:pPr>
            <w:r w:rsidRPr="00CE5330">
              <w:rPr>
                <w:rFonts w:ascii="Calibri" w:eastAsia="Times New Roman" w:hAnsi="Calibri" w:cs="Calibri"/>
                <w:color w:val="000000" w:themeColor="text1"/>
                <w:lang w:val="en-AU" w:eastAsia="en-AU"/>
              </w:rPr>
              <w:t>Molly Melhuish</w:t>
            </w:r>
          </w:p>
        </w:tc>
      </w:tr>
    </w:tbl>
    <w:p w14:paraId="04FF2512" w14:textId="12F1CF6D" w:rsidR="00C515A0" w:rsidRDefault="00C515A0" w:rsidP="00A37634">
      <w:pPr>
        <w:spacing w:after="120" w:line="276" w:lineRule="auto"/>
        <w:rPr>
          <w:rFonts w:ascii="Calibri" w:eastAsia="Calibri" w:hAnsi="Calibri" w:cs="Calibri"/>
          <w:szCs w:val="20"/>
          <w:lang w:val="en-AU"/>
        </w:rPr>
      </w:pPr>
    </w:p>
    <w:p w14:paraId="61AF310F" w14:textId="4F9BA365" w:rsidR="00DD4862" w:rsidRPr="00DD4862" w:rsidRDefault="00DD4862" w:rsidP="00DD4862">
      <w:pPr>
        <w:pStyle w:val="Caption"/>
        <w:jc w:val="center"/>
        <w:rPr>
          <w:rFonts w:ascii="Calibri" w:eastAsia="Cambria" w:hAnsi="Calibri" w:cs="Calibri"/>
          <w:b/>
          <w:bCs/>
          <w:i w:val="0"/>
          <w:iCs w:val="0"/>
          <w:color w:val="auto"/>
          <w:sz w:val="20"/>
          <w:szCs w:val="16"/>
          <w:lang w:val="en-AU"/>
        </w:rPr>
      </w:pPr>
      <w:bookmarkStart w:id="140" w:name="_Ref22239652"/>
      <w:bookmarkStart w:id="141" w:name="_Toc22486966"/>
      <w:r w:rsidRPr="00DD4862">
        <w:rPr>
          <w:rFonts w:ascii="Calibri" w:eastAsia="Cambria" w:hAnsi="Calibri" w:cs="Calibri"/>
          <w:b/>
          <w:bCs/>
          <w:i w:val="0"/>
          <w:iCs w:val="0"/>
          <w:color w:val="auto"/>
          <w:sz w:val="20"/>
          <w:szCs w:val="16"/>
          <w:lang w:val="en-AU"/>
        </w:rPr>
        <w:t xml:space="preserve">Table </w:t>
      </w:r>
      <w:r w:rsidRPr="00DD4862">
        <w:rPr>
          <w:rFonts w:ascii="Calibri" w:eastAsia="Cambria" w:hAnsi="Calibri" w:cs="Calibri"/>
          <w:b/>
          <w:bCs/>
          <w:i w:val="0"/>
          <w:iCs w:val="0"/>
          <w:color w:val="auto"/>
          <w:sz w:val="20"/>
          <w:szCs w:val="16"/>
          <w:lang w:val="en-AU"/>
        </w:rPr>
        <w:fldChar w:fldCharType="begin"/>
      </w:r>
      <w:r w:rsidRPr="00DD4862">
        <w:rPr>
          <w:rFonts w:ascii="Calibri" w:eastAsia="Cambria" w:hAnsi="Calibri" w:cs="Calibri"/>
          <w:b/>
          <w:bCs/>
          <w:i w:val="0"/>
          <w:iCs w:val="0"/>
          <w:color w:val="auto"/>
          <w:sz w:val="20"/>
          <w:szCs w:val="16"/>
          <w:lang w:val="en-AU"/>
        </w:rPr>
        <w:instrText xml:space="preserve"> SEQ Table \* ARABIC </w:instrText>
      </w:r>
      <w:r w:rsidRPr="00DD4862">
        <w:rPr>
          <w:rFonts w:ascii="Calibri" w:eastAsia="Cambria" w:hAnsi="Calibri" w:cs="Calibri"/>
          <w:b/>
          <w:bCs/>
          <w:i w:val="0"/>
          <w:iCs w:val="0"/>
          <w:color w:val="auto"/>
          <w:sz w:val="20"/>
          <w:szCs w:val="16"/>
          <w:lang w:val="en-AU"/>
        </w:rPr>
        <w:fldChar w:fldCharType="separate"/>
      </w:r>
      <w:r w:rsidR="005B1ACD">
        <w:rPr>
          <w:rFonts w:ascii="Calibri" w:eastAsia="Cambria" w:hAnsi="Calibri" w:cs="Calibri"/>
          <w:b/>
          <w:bCs/>
          <w:i w:val="0"/>
          <w:iCs w:val="0"/>
          <w:noProof/>
          <w:color w:val="auto"/>
          <w:sz w:val="20"/>
          <w:szCs w:val="16"/>
          <w:lang w:val="en-AU"/>
        </w:rPr>
        <w:t>22</w:t>
      </w:r>
      <w:r w:rsidRPr="00DD4862">
        <w:rPr>
          <w:rFonts w:ascii="Calibri" w:eastAsia="Cambria" w:hAnsi="Calibri" w:cs="Calibri"/>
          <w:b/>
          <w:bCs/>
          <w:i w:val="0"/>
          <w:iCs w:val="0"/>
          <w:color w:val="auto"/>
          <w:sz w:val="20"/>
          <w:szCs w:val="16"/>
          <w:lang w:val="en-AU"/>
        </w:rPr>
        <w:fldChar w:fldCharType="end"/>
      </w:r>
      <w:bookmarkEnd w:id="140"/>
      <w:r w:rsidRPr="00DD4862">
        <w:rPr>
          <w:rFonts w:ascii="Calibri" w:eastAsia="Cambria" w:hAnsi="Calibri" w:cs="Calibri"/>
          <w:b/>
          <w:bCs/>
          <w:i w:val="0"/>
          <w:iCs w:val="0"/>
          <w:color w:val="auto"/>
          <w:sz w:val="20"/>
          <w:szCs w:val="16"/>
          <w:lang w:val="en-AU"/>
        </w:rPr>
        <w:t xml:space="preserve"> Org</w:t>
      </w:r>
      <w:r>
        <w:rPr>
          <w:rFonts w:ascii="Calibri" w:eastAsia="Cambria" w:hAnsi="Calibri" w:cs="Calibri"/>
          <w:b/>
          <w:bCs/>
          <w:i w:val="0"/>
          <w:iCs w:val="0"/>
          <w:color w:val="auto"/>
          <w:sz w:val="20"/>
          <w:szCs w:val="16"/>
          <w:lang w:val="en-AU"/>
        </w:rPr>
        <w:t>a</w:t>
      </w:r>
      <w:r w:rsidRPr="00DD4862">
        <w:rPr>
          <w:rFonts w:ascii="Calibri" w:eastAsia="Cambria" w:hAnsi="Calibri" w:cs="Calibri"/>
          <w:b/>
          <w:bCs/>
          <w:i w:val="0"/>
          <w:iCs w:val="0"/>
          <w:color w:val="auto"/>
          <w:sz w:val="20"/>
          <w:szCs w:val="16"/>
          <w:lang w:val="en-AU"/>
        </w:rPr>
        <w:t xml:space="preserve">nisations registered for information sessions </w:t>
      </w:r>
      <w:r w:rsidR="00AF458A">
        <w:rPr>
          <w:rFonts w:ascii="Calibri" w:eastAsia="Cambria" w:hAnsi="Calibri" w:cs="Calibri"/>
          <w:b/>
          <w:bCs/>
          <w:i w:val="0"/>
          <w:iCs w:val="0"/>
          <w:color w:val="auto"/>
          <w:sz w:val="20"/>
          <w:szCs w:val="16"/>
          <w:lang w:val="en-AU"/>
        </w:rPr>
        <w:t>t</w:t>
      </w:r>
      <w:r w:rsidRPr="00DD4862">
        <w:rPr>
          <w:rFonts w:ascii="Calibri" w:eastAsia="Cambria" w:hAnsi="Calibri" w:cs="Calibri"/>
          <w:b/>
          <w:bCs/>
          <w:i w:val="0"/>
          <w:iCs w:val="0"/>
          <w:color w:val="auto"/>
          <w:sz w:val="20"/>
          <w:szCs w:val="16"/>
          <w:lang w:val="en-AU"/>
        </w:rPr>
        <w:t xml:space="preserve">hat did </w:t>
      </w:r>
      <w:r w:rsidRPr="00C770AA">
        <w:rPr>
          <w:rFonts w:ascii="Calibri" w:eastAsia="Cambria" w:hAnsi="Calibri" w:cs="Calibri"/>
          <w:b/>
          <w:bCs/>
          <w:color w:val="auto"/>
          <w:sz w:val="20"/>
          <w:szCs w:val="16"/>
          <w:lang w:val="en-AU"/>
        </w:rPr>
        <w:t>not</w:t>
      </w:r>
      <w:r w:rsidRPr="00DD4862">
        <w:rPr>
          <w:rFonts w:ascii="Calibri" w:eastAsia="Cambria" w:hAnsi="Calibri" w:cs="Calibri"/>
          <w:b/>
          <w:bCs/>
          <w:i w:val="0"/>
          <w:iCs w:val="0"/>
          <w:color w:val="auto"/>
          <w:sz w:val="20"/>
          <w:szCs w:val="16"/>
          <w:lang w:val="en-AU"/>
        </w:rPr>
        <w:t xml:space="preserve"> make submissions</w:t>
      </w:r>
      <w:bookmarkEnd w:id="141"/>
    </w:p>
    <w:tbl>
      <w:tblPr>
        <w:tblStyle w:val="TableGrid"/>
        <w:tblW w:w="0" w:type="auto"/>
        <w:tblLook w:val="04A0" w:firstRow="1" w:lastRow="0" w:firstColumn="1" w:lastColumn="0" w:noHBand="0" w:noVBand="1"/>
      </w:tblPr>
      <w:tblGrid>
        <w:gridCol w:w="4810"/>
        <w:gridCol w:w="4810"/>
      </w:tblGrid>
      <w:tr w:rsidR="00C770AA" w:rsidRPr="000A5D5A" w14:paraId="592E3140" w14:textId="77777777" w:rsidTr="00C770AA">
        <w:tc>
          <w:tcPr>
            <w:tcW w:w="4810" w:type="dxa"/>
            <w:shd w:val="clear" w:color="auto" w:fill="000000" w:themeFill="text1"/>
          </w:tcPr>
          <w:p w14:paraId="3809BACB" w14:textId="2997A7C6" w:rsidR="00DD4862" w:rsidRPr="000A5D5A" w:rsidRDefault="00DD4862" w:rsidP="00DD4862">
            <w:pPr>
              <w:pStyle w:val="TableName"/>
              <w:rPr>
                <w:color w:val="FFFFFF" w:themeColor="background1"/>
                <w:sz w:val="24"/>
                <w:szCs w:val="24"/>
              </w:rPr>
            </w:pPr>
            <w:r w:rsidRPr="000A5D5A">
              <w:rPr>
                <w:color w:val="FFFFFF" w:themeColor="background1"/>
                <w:sz w:val="24"/>
                <w:szCs w:val="24"/>
              </w:rPr>
              <w:t>Australia</w:t>
            </w:r>
          </w:p>
        </w:tc>
        <w:tc>
          <w:tcPr>
            <w:tcW w:w="4810" w:type="dxa"/>
            <w:shd w:val="clear" w:color="auto" w:fill="000000" w:themeFill="text1"/>
          </w:tcPr>
          <w:p w14:paraId="684FD1BD" w14:textId="44D72EE1" w:rsidR="00DD4862" w:rsidRPr="000A5D5A" w:rsidRDefault="00DD4862" w:rsidP="00DD4862">
            <w:pPr>
              <w:pStyle w:val="TableName"/>
              <w:rPr>
                <w:color w:val="FFFFFF" w:themeColor="background1"/>
                <w:sz w:val="24"/>
                <w:szCs w:val="24"/>
              </w:rPr>
            </w:pPr>
            <w:r w:rsidRPr="000A5D5A">
              <w:rPr>
                <w:color w:val="FFFFFF" w:themeColor="background1"/>
                <w:sz w:val="24"/>
                <w:szCs w:val="24"/>
              </w:rPr>
              <w:t>New Zealand</w:t>
            </w:r>
          </w:p>
        </w:tc>
      </w:tr>
      <w:tr w:rsidR="00DD4862" w14:paraId="31FF0B61" w14:textId="77777777" w:rsidTr="00DD4862">
        <w:tc>
          <w:tcPr>
            <w:tcW w:w="4810" w:type="dxa"/>
          </w:tcPr>
          <w:p w14:paraId="5C244C2D" w14:textId="58340948" w:rsidR="00DD4862" w:rsidRDefault="00DD4862" w:rsidP="00A37634">
            <w:pPr>
              <w:spacing w:after="120" w:line="276" w:lineRule="auto"/>
              <w:rPr>
                <w:rFonts w:ascii="Calibri" w:eastAsia="Calibri" w:hAnsi="Calibri" w:cs="Calibri"/>
                <w:lang w:val="en-AU"/>
              </w:rPr>
            </w:pPr>
            <w:r>
              <w:rPr>
                <w:rFonts w:ascii="Calibri" w:eastAsia="Calibri" w:hAnsi="Calibri" w:cs="Calibri"/>
                <w:lang w:val="en-AU"/>
              </w:rPr>
              <w:t>Mitsubishi Motors Australia</w:t>
            </w:r>
          </w:p>
        </w:tc>
        <w:tc>
          <w:tcPr>
            <w:tcW w:w="4810" w:type="dxa"/>
          </w:tcPr>
          <w:p w14:paraId="778B31B6" w14:textId="57FE350F" w:rsidR="00DD4862" w:rsidRDefault="00DD4862" w:rsidP="00A37634">
            <w:pPr>
              <w:spacing w:after="120" w:line="276" w:lineRule="auto"/>
              <w:rPr>
                <w:rFonts w:ascii="Calibri" w:eastAsia="Calibri" w:hAnsi="Calibri" w:cs="Calibri"/>
                <w:lang w:val="en-AU"/>
              </w:rPr>
            </w:pPr>
            <w:r>
              <w:rPr>
                <w:rFonts w:ascii="Calibri" w:eastAsia="Calibri" w:hAnsi="Calibri" w:cs="Calibri"/>
                <w:lang w:val="en-AU"/>
              </w:rPr>
              <w:t>Orion</w:t>
            </w:r>
          </w:p>
        </w:tc>
      </w:tr>
      <w:tr w:rsidR="00DD4862" w14:paraId="6C83E099" w14:textId="77777777" w:rsidTr="00DD4862">
        <w:tc>
          <w:tcPr>
            <w:tcW w:w="4810" w:type="dxa"/>
          </w:tcPr>
          <w:p w14:paraId="2064503F" w14:textId="23D17FED" w:rsidR="00DD4862" w:rsidRDefault="00DD4862" w:rsidP="00A37634">
            <w:pPr>
              <w:spacing w:after="120" w:line="276" w:lineRule="auto"/>
              <w:rPr>
                <w:rFonts w:ascii="Calibri" w:eastAsia="Calibri" w:hAnsi="Calibri" w:cs="Calibri"/>
                <w:lang w:val="en-AU"/>
              </w:rPr>
            </w:pPr>
            <w:r>
              <w:rPr>
                <w:rFonts w:ascii="Calibri" w:eastAsia="Calibri" w:hAnsi="Calibri" w:cs="Calibri"/>
                <w:lang w:val="en-AU"/>
              </w:rPr>
              <w:t>Mitsubishi Electric Australia Pty Ltd</w:t>
            </w:r>
          </w:p>
        </w:tc>
        <w:tc>
          <w:tcPr>
            <w:tcW w:w="4810" w:type="dxa"/>
          </w:tcPr>
          <w:p w14:paraId="436749B8" w14:textId="6F6CCA18"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Major Electricity Users’ Group (MUEG)</w:t>
            </w:r>
          </w:p>
        </w:tc>
      </w:tr>
      <w:tr w:rsidR="00DD4862" w14:paraId="00DCFD88" w14:textId="77777777" w:rsidTr="00DD4862">
        <w:tc>
          <w:tcPr>
            <w:tcW w:w="4810" w:type="dxa"/>
          </w:tcPr>
          <w:p w14:paraId="1A4C35BC" w14:textId="4D2A2CF8" w:rsidR="00DD4862" w:rsidRDefault="00DD4862" w:rsidP="00A37634">
            <w:pPr>
              <w:spacing w:after="120" w:line="276" w:lineRule="auto"/>
              <w:rPr>
                <w:rFonts w:ascii="Calibri" w:eastAsia="Calibri" w:hAnsi="Calibri" w:cs="Calibri"/>
                <w:lang w:val="en-AU"/>
              </w:rPr>
            </w:pPr>
            <w:r>
              <w:rPr>
                <w:rFonts w:ascii="Calibri" w:eastAsia="Calibri" w:hAnsi="Calibri" w:cs="Calibri"/>
                <w:lang w:val="en-AU"/>
              </w:rPr>
              <w:t>Kirby HVAC&amp;R Pty Ltd</w:t>
            </w:r>
          </w:p>
        </w:tc>
        <w:tc>
          <w:tcPr>
            <w:tcW w:w="4810" w:type="dxa"/>
          </w:tcPr>
          <w:p w14:paraId="78B6335A" w14:textId="6E58F1DA"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Energy Management Association of NZ (EMANZ)</w:t>
            </w:r>
          </w:p>
        </w:tc>
      </w:tr>
      <w:tr w:rsidR="00DD4862" w14:paraId="48523D1A" w14:textId="77777777" w:rsidTr="00DD4862">
        <w:tc>
          <w:tcPr>
            <w:tcW w:w="4810" w:type="dxa"/>
          </w:tcPr>
          <w:p w14:paraId="38F70B5F" w14:textId="4977ED42" w:rsidR="00DD4862" w:rsidRDefault="00DD4862" w:rsidP="00A37634">
            <w:pPr>
              <w:spacing w:after="120" w:line="276" w:lineRule="auto"/>
              <w:rPr>
                <w:rFonts w:ascii="Calibri" w:eastAsia="Calibri" w:hAnsi="Calibri" w:cs="Calibri"/>
                <w:lang w:val="en-AU"/>
              </w:rPr>
            </w:pPr>
            <w:r>
              <w:rPr>
                <w:rFonts w:ascii="Calibri" w:eastAsia="Calibri" w:hAnsi="Calibri" w:cs="Calibri"/>
                <w:lang w:val="en-AU"/>
              </w:rPr>
              <w:t xml:space="preserve">Swimming Pool and </w:t>
            </w:r>
            <w:r w:rsidR="00C770AA">
              <w:rPr>
                <w:rFonts w:ascii="Calibri" w:eastAsia="Calibri" w:hAnsi="Calibri" w:cs="Calibri"/>
                <w:lang w:val="en-AU"/>
              </w:rPr>
              <w:t>Spa Association (SPASA)</w:t>
            </w:r>
          </w:p>
        </w:tc>
        <w:tc>
          <w:tcPr>
            <w:tcW w:w="4810" w:type="dxa"/>
          </w:tcPr>
          <w:p w14:paraId="787C017E" w14:textId="4D05F5D6"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Independent Electricity Generators Association (IEGA)</w:t>
            </w:r>
          </w:p>
        </w:tc>
      </w:tr>
      <w:tr w:rsidR="00DD4862" w14:paraId="2B22C532" w14:textId="77777777" w:rsidTr="00DD4862">
        <w:tc>
          <w:tcPr>
            <w:tcW w:w="4810" w:type="dxa"/>
          </w:tcPr>
          <w:p w14:paraId="15FEF1E1" w14:textId="01C2E132"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Electrical Trades Union</w:t>
            </w:r>
          </w:p>
        </w:tc>
        <w:tc>
          <w:tcPr>
            <w:tcW w:w="4810" w:type="dxa"/>
          </w:tcPr>
          <w:p w14:paraId="7091F9A3" w14:textId="59CDCD21"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Fujitsu General NZ</w:t>
            </w:r>
          </w:p>
        </w:tc>
      </w:tr>
      <w:tr w:rsidR="00DD4862" w14:paraId="78F47A80" w14:textId="77777777" w:rsidTr="00DD4862">
        <w:tc>
          <w:tcPr>
            <w:tcW w:w="4810" w:type="dxa"/>
          </w:tcPr>
          <w:p w14:paraId="6FF3E70D" w14:textId="0F40ABDC"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Fluidra Australia</w:t>
            </w:r>
          </w:p>
        </w:tc>
        <w:tc>
          <w:tcPr>
            <w:tcW w:w="4810" w:type="dxa"/>
          </w:tcPr>
          <w:p w14:paraId="7AF3E065" w14:textId="1C4268ED"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TransNet NZ</w:t>
            </w:r>
          </w:p>
        </w:tc>
      </w:tr>
      <w:tr w:rsidR="00DD4862" w14:paraId="54DBE520" w14:textId="77777777" w:rsidTr="00DD4862">
        <w:tc>
          <w:tcPr>
            <w:tcW w:w="4810" w:type="dxa"/>
          </w:tcPr>
          <w:p w14:paraId="560C6B6C" w14:textId="420A9F20"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 xml:space="preserve">VIPAC Engineers and Scientists Ltd </w:t>
            </w:r>
          </w:p>
        </w:tc>
        <w:tc>
          <w:tcPr>
            <w:tcW w:w="4810" w:type="dxa"/>
          </w:tcPr>
          <w:p w14:paraId="3581EFDE" w14:textId="43B77655"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Electricity Authority</w:t>
            </w:r>
          </w:p>
        </w:tc>
      </w:tr>
      <w:tr w:rsidR="00DD4862" w14:paraId="11E61B5A" w14:textId="77777777" w:rsidTr="00DD4862">
        <w:tc>
          <w:tcPr>
            <w:tcW w:w="4810" w:type="dxa"/>
          </w:tcPr>
          <w:p w14:paraId="285F322B" w14:textId="5DCE3284"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Jemena</w:t>
            </w:r>
          </w:p>
        </w:tc>
        <w:tc>
          <w:tcPr>
            <w:tcW w:w="4810" w:type="dxa"/>
          </w:tcPr>
          <w:p w14:paraId="671453F7" w14:textId="3070F482"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Worksafe NZ</w:t>
            </w:r>
          </w:p>
        </w:tc>
      </w:tr>
      <w:tr w:rsidR="00DD4862" w14:paraId="0154DBBB" w14:textId="77777777" w:rsidTr="00DD4862">
        <w:tc>
          <w:tcPr>
            <w:tcW w:w="4810" w:type="dxa"/>
          </w:tcPr>
          <w:p w14:paraId="6A32A017" w14:textId="7F3EC97A"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Atlantic Australasia Pty Ltd</w:t>
            </w:r>
          </w:p>
        </w:tc>
        <w:tc>
          <w:tcPr>
            <w:tcW w:w="4810" w:type="dxa"/>
          </w:tcPr>
          <w:p w14:paraId="33348812" w14:textId="738450C8"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Embrium Holdings Limited</w:t>
            </w:r>
          </w:p>
        </w:tc>
      </w:tr>
      <w:tr w:rsidR="00DD4862" w14:paraId="4B33F0D7" w14:textId="77777777" w:rsidTr="00DD4862">
        <w:tc>
          <w:tcPr>
            <w:tcW w:w="4810" w:type="dxa"/>
          </w:tcPr>
          <w:p w14:paraId="76A1C248" w14:textId="68E7E788"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ACOSS</w:t>
            </w:r>
          </w:p>
        </w:tc>
        <w:tc>
          <w:tcPr>
            <w:tcW w:w="4810" w:type="dxa"/>
          </w:tcPr>
          <w:p w14:paraId="36A74CA4" w14:textId="1FA7C76C" w:rsidR="00DD4862" w:rsidRDefault="00C770AA" w:rsidP="00A37634">
            <w:pPr>
              <w:spacing w:after="120" w:line="276" w:lineRule="auto"/>
              <w:rPr>
                <w:rFonts w:ascii="Calibri" w:eastAsia="Calibri" w:hAnsi="Calibri" w:cs="Calibri"/>
                <w:lang w:val="en-AU"/>
              </w:rPr>
            </w:pPr>
            <w:r>
              <w:rPr>
                <w:rFonts w:ascii="Calibri" w:eastAsia="Calibri" w:hAnsi="Calibri" w:cs="Calibri"/>
                <w:lang w:val="en-AU"/>
              </w:rPr>
              <w:t>Easy Warm Limited</w:t>
            </w:r>
          </w:p>
        </w:tc>
      </w:tr>
      <w:tr w:rsidR="00C770AA" w14:paraId="6C03DEDE" w14:textId="77777777" w:rsidTr="00DD4862">
        <w:tc>
          <w:tcPr>
            <w:tcW w:w="4810" w:type="dxa"/>
          </w:tcPr>
          <w:p w14:paraId="5F305D0B" w14:textId="513E98E9" w:rsidR="00C770AA" w:rsidRDefault="00C770AA" w:rsidP="00A37634">
            <w:pPr>
              <w:spacing w:after="120" w:line="276" w:lineRule="auto"/>
              <w:rPr>
                <w:rFonts w:ascii="Calibri" w:eastAsia="Calibri" w:hAnsi="Calibri" w:cs="Calibri"/>
                <w:lang w:val="en-AU"/>
              </w:rPr>
            </w:pPr>
            <w:r>
              <w:rPr>
                <w:rFonts w:ascii="Calibri" w:eastAsia="Calibri" w:hAnsi="Calibri" w:cs="Calibri"/>
                <w:lang w:val="en-AU"/>
              </w:rPr>
              <w:t>Electricity Consumers Association (ECA)</w:t>
            </w:r>
          </w:p>
        </w:tc>
        <w:tc>
          <w:tcPr>
            <w:tcW w:w="4810" w:type="dxa"/>
          </w:tcPr>
          <w:p w14:paraId="5D6E501A" w14:textId="3064D3F9" w:rsidR="00C770AA" w:rsidRDefault="00C770AA" w:rsidP="00A37634">
            <w:pPr>
              <w:spacing w:after="120" w:line="276" w:lineRule="auto"/>
              <w:rPr>
                <w:rFonts w:ascii="Calibri" w:eastAsia="Calibri" w:hAnsi="Calibri" w:cs="Calibri"/>
                <w:lang w:val="en-AU"/>
              </w:rPr>
            </w:pPr>
            <w:r>
              <w:rPr>
                <w:rFonts w:ascii="Calibri" w:eastAsia="Calibri" w:hAnsi="Calibri" w:cs="Calibri"/>
                <w:lang w:val="en-AU"/>
              </w:rPr>
              <w:t>Project Solar</w:t>
            </w:r>
          </w:p>
        </w:tc>
      </w:tr>
      <w:tr w:rsidR="00C770AA" w14:paraId="5DAFDE6C" w14:textId="77777777" w:rsidTr="00DD4862">
        <w:tc>
          <w:tcPr>
            <w:tcW w:w="4810" w:type="dxa"/>
          </w:tcPr>
          <w:p w14:paraId="5F633A04" w14:textId="2BEA680E" w:rsidR="00C770AA" w:rsidRDefault="00C770AA" w:rsidP="00A37634">
            <w:pPr>
              <w:spacing w:after="120" w:line="276" w:lineRule="auto"/>
              <w:rPr>
                <w:rFonts w:ascii="Calibri" w:eastAsia="Calibri" w:hAnsi="Calibri" w:cs="Calibri"/>
                <w:lang w:val="en-AU"/>
              </w:rPr>
            </w:pPr>
            <w:r>
              <w:rPr>
                <w:rFonts w:ascii="Calibri" w:eastAsia="Calibri" w:hAnsi="Calibri" w:cs="Calibri"/>
                <w:lang w:val="en-AU"/>
              </w:rPr>
              <w:t>Renew</w:t>
            </w:r>
          </w:p>
        </w:tc>
        <w:tc>
          <w:tcPr>
            <w:tcW w:w="4810" w:type="dxa"/>
          </w:tcPr>
          <w:p w14:paraId="7CB598B2" w14:textId="54C39E86" w:rsidR="00C770AA" w:rsidRDefault="00C770AA" w:rsidP="00A37634">
            <w:pPr>
              <w:spacing w:after="120" w:line="276" w:lineRule="auto"/>
              <w:rPr>
                <w:rFonts w:ascii="Calibri" w:eastAsia="Calibri" w:hAnsi="Calibri" w:cs="Calibri"/>
                <w:lang w:val="en-AU"/>
              </w:rPr>
            </w:pPr>
            <w:r>
              <w:rPr>
                <w:rFonts w:ascii="Calibri" w:eastAsia="Calibri" w:hAnsi="Calibri" w:cs="Calibri"/>
                <w:lang w:val="en-AU"/>
              </w:rPr>
              <w:t>Contact Energy</w:t>
            </w:r>
          </w:p>
        </w:tc>
      </w:tr>
    </w:tbl>
    <w:p w14:paraId="23ABC137" w14:textId="44319AAD" w:rsidR="006140E0" w:rsidRPr="00C770AA" w:rsidRDefault="00DD4862" w:rsidP="00A37634">
      <w:pPr>
        <w:spacing w:after="120" w:line="276" w:lineRule="auto"/>
        <w:rPr>
          <w:rFonts w:ascii="Calibri" w:eastAsia="Calibri" w:hAnsi="Calibri" w:cs="Calibri"/>
          <w:sz w:val="18"/>
          <w:szCs w:val="18"/>
          <w:lang w:val="en-AU"/>
        </w:rPr>
      </w:pPr>
      <w:r w:rsidRPr="00C770AA">
        <w:rPr>
          <w:rFonts w:ascii="Calibri" w:eastAsia="Calibri" w:hAnsi="Calibri" w:cs="Calibri"/>
          <w:sz w:val="18"/>
          <w:szCs w:val="18"/>
          <w:lang w:val="en-AU"/>
        </w:rPr>
        <w:t>Excludes government departments that participate in E3</w:t>
      </w:r>
      <w:r w:rsidR="00C770AA" w:rsidRPr="00C770AA">
        <w:rPr>
          <w:rFonts w:ascii="Calibri" w:eastAsia="Calibri" w:hAnsi="Calibri" w:cs="Calibri"/>
          <w:sz w:val="18"/>
          <w:szCs w:val="18"/>
          <w:lang w:val="en-AU"/>
        </w:rPr>
        <w:t xml:space="preserve"> and those who registered as individuals</w:t>
      </w:r>
      <w:r w:rsidRPr="00C770AA">
        <w:rPr>
          <w:rFonts w:ascii="Calibri" w:eastAsia="Calibri" w:hAnsi="Calibri" w:cs="Calibri"/>
          <w:sz w:val="18"/>
          <w:szCs w:val="18"/>
          <w:lang w:val="en-AU"/>
        </w:rPr>
        <w:t>.</w:t>
      </w:r>
      <w:r w:rsidR="00C770AA" w:rsidRPr="00C770AA">
        <w:rPr>
          <w:rFonts w:ascii="Calibri" w:eastAsia="Calibri" w:hAnsi="Calibri" w:cs="Calibri"/>
          <w:sz w:val="18"/>
          <w:szCs w:val="18"/>
          <w:lang w:val="en-AU"/>
        </w:rPr>
        <w:t xml:space="preserve"> Not all who registered attended.</w:t>
      </w:r>
    </w:p>
    <w:p w14:paraId="72484055" w14:textId="58D8EADF" w:rsidR="00DD4862" w:rsidRDefault="00DD4862" w:rsidP="00A37634">
      <w:pPr>
        <w:spacing w:after="120" w:line="276" w:lineRule="auto"/>
        <w:rPr>
          <w:rFonts w:ascii="Calibri" w:eastAsia="Calibri" w:hAnsi="Calibri" w:cs="Calibri"/>
          <w:szCs w:val="20"/>
          <w:lang w:val="en-AU"/>
        </w:rPr>
      </w:pPr>
    </w:p>
    <w:p w14:paraId="6771A2B4" w14:textId="7B0AA903" w:rsidR="006140E0" w:rsidRPr="00947AD2" w:rsidRDefault="006140E0" w:rsidP="006140E0">
      <w:pPr>
        <w:spacing w:before="240" w:after="120" w:line="240" w:lineRule="auto"/>
        <w:jc w:val="center"/>
        <w:rPr>
          <w:rFonts w:ascii="Calibri" w:eastAsia="Cambria" w:hAnsi="Calibri" w:cs="Calibri"/>
          <w:b/>
          <w:bCs/>
          <w:sz w:val="20"/>
          <w:szCs w:val="16"/>
          <w:lang w:val="en-AU"/>
        </w:rPr>
      </w:pPr>
      <w:bookmarkStart w:id="142" w:name="_Ref22240037"/>
      <w:bookmarkStart w:id="143" w:name="_Toc22486967"/>
      <w:r w:rsidRPr="00947AD2">
        <w:rPr>
          <w:rFonts w:ascii="Calibri" w:eastAsia="Cambria" w:hAnsi="Calibri" w:cs="Calibri"/>
          <w:b/>
          <w:bCs/>
          <w:sz w:val="20"/>
          <w:szCs w:val="16"/>
          <w:lang w:val="en-AU"/>
        </w:rPr>
        <w:lastRenderedPageBreak/>
        <w:t xml:space="preserve">Table </w:t>
      </w:r>
      <w:r w:rsidRPr="00947AD2">
        <w:rPr>
          <w:rFonts w:ascii="Calibri" w:eastAsia="Cambria" w:hAnsi="Calibri" w:cs="Calibri"/>
          <w:b/>
          <w:bCs/>
          <w:sz w:val="20"/>
          <w:szCs w:val="16"/>
          <w:lang w:val="en-AU"/>
        </w:rPr>
        <w:fldChar w:fldCharType="begin"/>
      </w:r>
      <w:r w:rsidRPr="00947AD2">
        <w:rPr>
          <w:rFonts w:ascii="Calibri" w:eastAsia="Cambria" w:hAnsi="Calibri" w:cs="Calibri"/>
          <w:b/>
          <w:bCs/>
          <w:sz w:val="20"/>
          <w:szCs w:val="16"/>
          <w:lang w:val="en-AU"/>
        </w:rPr>
        <w:instrText xml:space="preserve"> SEQ Table \* ARABIC </w:instrText>
      </w:r>
      <w:r w:rsidRPr="00947AD2">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23</w:t>
      </w:r>
      <w:r w:rsidRPr="00947AD2">
        <w:rPr>
          <w:rFonts w:ascii="Calibri" w:eastAsia="Cambria" w:hAnsi="Calibri" w:cs="Calibri"/>
          <w:b/>
          <w:bCs/>
          <w:sz w:val="20"/>
          <w:szCs w:val="16"/>
          <w:lang w:val="en-AU"/>
        </w:rPr>
        <w:fldChar w:fldCharType="end"/>
      </w:r>
      <w:bookmarkEnd w:id="142"/>
      <w:r w:rsidRPr="00947AD2">
        <w:rPr>
          <w:rFonts w:ascii="Calibri" w:eastAsia="Cambria" w:hAnsi="Calibri" w:cs="Calibri"/>
          <w:b/>
          <w:bCs/>
          <w:sz w:val="20"/>
          <w:szCs w:val="16"/>
          <w:lang w:val="en-AU"/>
        </w:rPr>
        <w:t xml:space="preserve"> </w:t>
      </w:r>
      <w:r>
        <w:rPr>
          <w:rFonts w:ascii="Calibri" w:eastAsia="Cambria" w:hAnsi="Calibri" w:cs="Calibri"/>
          <w:b/>
          <w:bCs/>
          <w:sz w:val="20"/>
          <w:szCs w:val="16"/>
          <w:lang w:val="en-AU"/>
        </w:rPr>
        <w:t>Organisations represented on Joint Standards Australia/Standards New Zealand Committee EL-054, Remote Demand Management of Electrical Products</w:t>
      </w:r>
      <w:bookmarkEnd w:id="143"/>
      <w:r w:rsidRPr="00947AD2">
        <w:rPr>
          <w:rFonts w:ascii="Calibri" w:eastAsia="Cambria" w:hAnsi="Calibri" w:cs="Calibri"/>
          <w:b/>
          <w:bCs/>
          <w:sz w:val="20"/>
          <w:szCs w:val="16"/>
          <w:lang w:val="en-AU"/>
        </w:rPr>
        <w:t xml:space="preserve"> </w:t>
      </w:r>
    </w:p>
    <w:tbl>
      <w:tblPr>
        <w:tblW w:w="0" w:type="auto"/>
        <w:jc w:val="center"/>
        <w:tblCellMar>
          <w:left w:w="0" w:type="dxa"/>
          <w:right w:w="0" w:type="dxa"/>
        </w:tblCellMar>
        <w:tblLook w:val="04A0" w:firstRow="1" w:lastRow="0" w:firstColumn="1" w:lastColumn="0" w:noHBand="0" w:noVBand="1"/>
      </w:tblPr>
      <w:tblGrid>
        <w:gridCol w:w="5812"/>
        <w:gridCol w:w="2129"/>
      </w:tblGrid>
      <w:tr w:rsidR="00947AD2" w:rsidRPr="00F36459" w14:paraId="44C11561" w14:textId="77777777" w:rsidTr="00F36459">
        <w:trPr>
          <w:trHeight w:val="260"/>
          <w:jc w:val="center"/>
        </w:trPr>
        <w:tc>
          <w:tcPr>
            <w:tcW w:w="5812" w:type="dxa"/>
            <w:tcBorders>
              <w:top w:val="single" w:sz="8" w:space="0" w:color="auto"/>
              <w:left w:val="single" w:sz="8" w:space="0" w:color="auto"/>
              <w:bottom w:val="single" w:sz="8" w:space="0" w:color="auto"/>
              <w:right w:val="single" w:sz="8" w:space="0" w:color="auto"/>
            </w:tcBorders>
            <w:shd w:val="clear" w:color="auto" w:fill="000000" w:themeFill="text1"/>
            <w:noWrap/>
            <w:tcMar>
              <w:top w:w="0" w:type="dxa"/>
              <w:left w:w="108" w:type="dxa"/>
              <w:bottom w:w="0" w:type="dxa"/>
              <w:right w:w="108" w:type="dxa"/>
            </w:tcMar>
            <w:vAlign w:val="bottom"/>
            <w:hideMark/>
          </w:tcPr>
          <w:p w14:paraId="2586FEBB" w14:textId="77777777" w:rsidR="00947AD2" w:rsidRPr="00F36459" w:rsidRDefault="00947AD2" w:rsidP="00947AD2">
            <w:pPr>
              <w:jc w:val="both"/>
              <w:rPr>
                <w:rFonts w:ascii="Arial" w:hAnsi="Arial" w:cs="Arial"/>
                <w:b/>
                <w:bCs/>
                <w:color w:val="FFFFFF"/>
                <w:sz w:val="20"/>
                <w:szCs w:val="20"/>
                <w:lang w:val="en-AU" w:eastAsia="en-AU"/>
              </w:rPr>
            </w:pPr>
            <w:r w:rsidRPr="00F36459">
              <w:rPr>
                <w:rFonts w:ascii="Arial" w:hAnsi="Arial" w:cs="Arial"/>
                <w:b/>
                <w:bCs/>
                <w:color w:val="FFFFFF"/>
                <w:sz w:val="20"/>
                <w:szCs w:val="20"/>
                <w:lang w:eastAsia="en-AU"/>
              </w:rPr>
              <w:t>Nominating Organisation</w:t>
            </w:r>
          </w:p>
        </w:tc>
        <w:tc>
          <w:tcPr>
            <w:tcW w:w="2129" w:type="dxa"/>
            <w:tcBorders>
              <w:top w:val="single" w:sz="8" w:space="0" w:color="auto"/>
              <w:left w:val="nil"/>
              <w:bottom w:val="single" w:sz="8" w:space="0" w:color="auto"/>
              <w:right w:val="single" w:sz="8" w:space="0" w:color="auto"/>
            </w:tcBorders>
            <w:shd w:val="clear" w:color="auto" w:fill="000000" w:themeFill="text1"/>
            <w:noWrap/>
            <w:tcMar>
              <w:top w:w="0" w:type="dxa"/>
              <w:left w:w="108" w:type="dxa"/>
              <w:bottom w:w="0" w:type="dxa"/>
              <w:right w:w="108" w:type="dxa"/>
            </w:tcMar>
            <w:vAlign w:val="bottom"/>
            <w:hideMark/>
          </w:tcPr>
          <w:p w14:paraId="2C369363" w14:textId="5F727B2E" w:rsidR="00947AD2" w:rsidRPr="00F36459" w:rsidRDefault="00947AD2" w:rsidP="00947AD2">
            <w:pPr>
              <w:rPr>
                <w:rFonts w:ascii="Arial" w:hAnsi="Arial" w:cs="Arial"/>
                <w:b/>
                <w:bCs/>
                <w:color w:val="FFFFFF"/>
                <w:sz w:val="20"/>
                <w:szCs w:val="20"/>
                <w:lang w:eastAsia="en-AU"/>
              </w:rPr>
            </w:pPr>
            <w:r w:rsidRPr="00F36459">
              <w:rPr>
                <w:rFonts w:ascii="Arial" w:hAnsi="Arial" w:cs="Arial"/>
                <w:b/>
                <w:bCs/>
                <w:color w:val="FFFFFF"/>
                <w:sz w:val="20"/>
                <w:szCs w:val="20"/>
                <w:lang w:eastAsia="en-AU"/>
              </w:rPr>
              <w:t xml:space="preserve">Role </w:t>
            </w:r>
          </w:p>
        </w:tc>
      </w:tr>
      <w:tr w:rsidR="00947AD2" w:rsidRPr="006140E0" w14:paraId="04F4D2DF"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5E10F7" w14:textId="13A73A9C"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AREMA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E3A9C6"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2770DDD2"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4A627E" w14:textId="657ECBE1"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AREMA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A6C8C3"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Awaiting Assignment</w:t>
            </w:r>
          </w:p>
        </w:tc>
      </w:tr>
      <w:tr w:rsidR="00947AD2" w:rsidRPr="006140E0" w14:paraId="4FE348D0"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FA9A3B" w14:textId="14DBF782"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AEC</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71C019"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7421FB08"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6D2336" w14:textId="715C62BF"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AEMO</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82FC9E"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 xml:space="preserve">For </w:t>
            </w:r>
            <w:proofErr w:type="gramStart"/>
            <w:r w:rsidRPr="006140E0">
              <w:rPr>
                <w:rFonts w:ascii="Arial" w:hAnsi="Arial" w:cs="Arial"/>
                <w:sz w:val="16"/>
                <w:szCs w:val="16"/>
                <w:lang w:eastAsia="en-AU"/>
              </w:rPr>
              <w:t>Information</w:t>
            </w:r>
            <w:proofErr w:type="gramEnd"/>
            <w:r w:rsidRPr="006140E0">
              <w:rPr>
                <w:rFonts w:ascii="Arial" w:hAnsi="Arial" w:cs="Arial"/>
                <w:sz w:val="16"/>
                <w:szCs w:val="16"/>
                <w:lang w:eastAsia="en-AU"/>
              </w:rPr>
              <w:t xml:space="preserve"> Only</w:t>
            </w:r>
          </w:p>
        </w:tc>
      </w:tr>
      <w:tr w:rsidR="00947AD2" w:rsidRPr="006140E0" w14:paraId="755A3C33"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A8669A" w14:textId="51F518DA"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AEMO</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FF22B"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08C8253F"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C475E7" w14:textId="2F4E9425"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AI Group</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CAA927"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4990C8F0"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49A0D5" w14:textId="67D38DEE"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AI Group</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58C52A"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60829743"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798743" w14:textId="67671FC8"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AI Group</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0A5599"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72629B5E"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F1C686" w14:textId="171095C2"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AI Group</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0F2747"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230AAA89"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EF576A"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Australian Institute of Refrigeration Air Conditioning and Heating (Inc)</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9E82BE"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00DD7032"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3D18D1"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Australian Institute of Refrigeration Air Conditioning and Heating (Inc)</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E81E41"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27A44A4E"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25D3B4"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Clean Energy Council</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5BE670"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74B3F50C"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C3504D" w14:textId="0887A148"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CESA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62D5E2"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13591299"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CCC52C"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Consumers Federation of Australia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09CF0F"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 xml:space="preserve">For </w:t>
            </w:r>
            <w:proofErr w:type="gramStart"/>
            <w:r w:rsidRPr="006140E0">
              <w:rPr>
                <w:rFonts w:ascii="Arial" w:hAnsi="Arial" w:cs="Arial"/>
                <w:sz w:val="16"/>
                <w:szCs w:val="16"/>
                <w:lang w:eastAsia="en-AU"/>
              </w:rPr>
              <w:t>Information</w:t>
            </w:r>
            <w:proofErr w:type="gramEnd"/>
            <w:r w:rsidRPr="006140E0">
              <w:rPr>
                <w:rFonts w:ascii="Arial" w:hAnsi="Arial" w:cs="Arial"/>
                <w:sz w:val="16"/>
                <w:szCs w:val="16"/>
                <w:lang w:eastAsia="en-AU"/>
              </w:rPr>
              <w:t xml:space="preserve"> Only</w:t>
            </w:r>
          </w:p>
        </w:tc>
      </w:tr>
      <w:tr w:rsidR="00947AD2" w:rsidRPr="006140E0" w14:paraId="0A05BD98"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2B2823"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Consumers Federation of Australia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062D53"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734D3A0E"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472E0A"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CSIRO</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CD128B"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20868A3C" w14:textId="77777777" w:rsidTr="001D3923">
        <w:trPr>
          <w:trHeight w:val="250"/>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B929F0"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CSIRO</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7299E4"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137E4271" w14:textId="77777777" w:rsidTr="001D3923">
        <w:trPr>
          <w:trHeight w:val="113"/>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71E16F"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Department of the Environment and Energy (Australian Government)</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644A2C"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 xml:space="preserve">For </w:t>
            </w:r>
            <w:proofErr w:type="gramStart"/>
            <w:r w:rsidRPr="006140E0">
              <w:rPr>
                <w:rFonts w:ascii="Arial" w:hAnsi="Arial" w:cs="Arial"/>
                <w:sz w:val="16"/>
                <w:szCs w:val="16"/>
                <w:lang w:eastAsia="en-AU"/>
              </w:rPr>
              <w:t>Information</w:t>
            </w:r>
            <w:proofErr w:type="gramEnd"/>
            <w:r w:rsidRPr="006140E0">
              <w:rPr>
                <w:rFonts w:ascii="Arial" w:hAnsi="Arial" w:cs="Arial"/>
                <w:sz w:val="16"/>
                <w:szCs w:val="16"/>
                <w:lang w:eastAsia="en-AU"/>
              </w:rPr>
              <w:t xml:space="preserve"> Only</w:t>
            </w:r>
          </w:p>
        </w:tc>
      </w:tr>
      <w:tr w:rsidR="00947AD2" w:rsidRPr="006140E0" w14:paraId="0850553A"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C7B553"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Department of the Environment and Energy (Australian Government)</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E207C1"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Awaiting Assignment</w:t>
            </w:r>
          </w:p>
        </w:tc>
      </w:tr>
      <w:tr w:rsidR="00947AD2" w:rsidRPr="006140E0" w14:paraId="2CC885EF"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E24AF2"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Department of the Environment and Energy (Australian Government)</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174BED"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Chairperson</w:t>
            </w:r>
          </w:p>
        </w:tc>
      </w:tr>
      <w:tr w:rsidR="00947AD2" w:rsidRPr="006140E0" w14:paraId="0A5EB85B"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C6FC90"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Department of the Environment and Energy (Australian Government)</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FF9E0B"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Awaiting Assignment</w:t>
            </w:r>
          </w:p>
        </w:tc>
      </w:tr>
      <w:tr w:rsidR="00947AD2" w:rsidRPr="006140E0" w14:paraId="44AE232B"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D342EA"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Electrical Engineers Association of NZ Inc</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06BDDA"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2393868B"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8813B1"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Energy Efficiency &amp; Conservation Authority of New Zealand</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BCBC60"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 xml:space="preserve">For </w:t>
            </w:r>
            <w:proofErr w:type="gramStart"/>
            <w:r w:rsidRPr="006140E0">
              <w:rPr>
                <w:rFonts w:ascii="Arial" w:hAnsi="Arial" w:cs="Arial"/>
                <w:sz w:val="16"/>
                <w:szCs w:val="16"/>
                <w:lang w:eastAsia="en-AU"/>
              </w:rPr>
              <w:t>Information</w:t>
            </w:r>
            <w:proofErr w:type="gramEnd"/>
            <w:r w:rsidRPr="006140E0">
              <w:rPr>
                <w:rFonts w:ascii="Arial" w:hAnsi="Arial" w:cs="Arial"/>
                <w:sz w:val="16"/>
                <w:szCs w:val="16"/>
                <w:lang w:eastAsia="en-AU"/>
              </w:rPr>
              <w:t xml:space="preserve"> Only</w:t>
            </w:r>
          </w:p>
        </w:tc>
      </w:tr>
      <w:tr w:rsidR="00947AD2" w:rsidRPr="006140E0" w14:paraId="61F02766"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9D49E6"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Energy Networks Australia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DC94C"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37471F74"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245623"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Energy Networks Australia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F446A5"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741DB160"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8E7431"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Energy Networks Australia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1EFEB1"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731F9F6F"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2AB15A"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Energy Networks Australia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F098B8"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5DD146BD"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34684D"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Energy Networks Australia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33CD3"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Awaiting Assignment</w:t>
            </w:r>
          </w:p>
        </w:tc>
      </w:tr>
      <w:tr w:rsidR="00947AD2" w:rsidRPr="006140E0" w14:paraId="505528C9"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93A391"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Heating, Ventilation and Air Conditioning New Zealand</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916824"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7A66A435"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0A7C96"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International Copper Association Australia</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C91EA"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r w:rsidR="00947AD2" w:rsidRPr="006140E0" w14:paraId="48BFCFA2"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B67C2A"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Standards New Zealand</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DD4C2A"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Ex-Officio</w:t>
            </w:r>
          </w:p>
        </w:tc>
      </w:tr>
      <w:tr w:rsidR="00947AD2" w:rsidRPr="006140E0" w14:paraId="39154432" w14:textId="77777777" w:rsidTr="001D3923">
        <w:trPr>
          <w:trHeight w:val="57"/>
          <w:jc w:val="center"/>
        </w:trPr>
        <w:tc>
          <w:tcPr>
            <w:tcW w:w="58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D54AB" w14:textId="77777777" w:rsidR="00947AD2" w:rsidRPr="006140E0" w:rsidRDefault="00947AD2" w:rsidP="00947AD2">
            <w:pPr>
              <w:jc w:val="both"/>
              <w:rPr>
                <w:rFonts w:ascii="Arial" w:hAnsi="Arial" w:cs="Arial"/>
                <w:sz w:val="16"/>
                <w:szCs w:val="16"/>
                <w:lang w:eastAsia="en-AU"/>
              </w:rPr>
            </w:pPr>
            <w:r w:rsidRPr="006140E0">
              <w:rPr>
                <w:rFonts w:ascii="Arial" w:hAnsi="Arial" w:cs="Arial"/>
                <w:sz w:val="16"/>
                <w:szCs w:val="16"/>
                <w:lang w:eastAsia="en-AU"/>
              </w:rPr>
              <w:t>Swimming Pool and Spa Association of Australia Ltd</w:t>
            </w:r>
          </w:p>
        </w:tc>
        <w:tc>
          <w:tcPr>
            <w:tcW w:w="2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7506D" w14:textId="77777777" w:rsidR="00947AD2" w:rsidRPr="006140E0" w:rsidRDefault="00947AD2" w:rsidP="00947AD2">
            <w:pPr>
              <w:rPr>
                <w:rFonts w:ascii="Arial" w:hAnsi="Arial" w:cs="Arial"/>
                <w:sz w:val="16"/>
                <w:szCs w:val="16"/>
                <w:lang w:eastAsia="en-AU"/>
              </w:rPr>
            </w:pPr>
            <w:r w:rsidRPr="006140E0">
              <w:rPr>
                <w:rFonts w:ascii="Arial" w:hAnsi="Arial" w:cs="Arial"/>
                <w:sz w:val="16"/>
                <w:szCs w:val="16"/>
                <w:lang w:eastAsia="en-AU"/>
              </w:rPr>
              <w:t>Participating Member</w:t>
            </w:r>
          </w:p>
        </w:tc>
      </w:tr>
    </w:tbl>
    <w:p w14:paraId="10FE05C1" w14:textId="0B0CF991" w:rsidR="006140E0" w:rsidRPr="001D3923" w:rsidRDefault="001D3923" w:rsidP="001D3923">
      <w:pPr>
        <w:spacing w:after="120" w:line="276" w:lineRule="auto"/>
        <w:jc w:val="center"/>
        <w:rPr>
          <w:rFonts w:ascii="Calibri" w:eastAsia="Calibri" w:hAnsi="Calibri" w:cs="Calibri"/>
          <w:sz w:val="18"/>
          <w:szCs w:val="18"/>
          <w:lang w:val="en-AU"/>
        </w:rPr>
        <w:sectPr w:rsidR="006140E0" w:rsidRPr="001D3923" w:rsidSect="007C7289">
          <w:footerReference w:type="default" r:id="rId28"/>
          <w:headerReference w:type="first" r:id="rId29"/>
          <w:footerReference w:type="first" r:id="rId30"/>
          <w:pgSz w:w="11906" w:h="16838" w:code="9"/>
          <w:pgMar w:top="1276" w:right="1138" w:bottom="1699" w:left="1138" w:header="576" w:footer="720" w:gutter="0"/>
          <w:pgNumType w:start="1"/>
          <w:cols w:space="708"/>
          <w:titlePg/>
          <w:docGrid w:linePitch="360"/>
        </w:sectPr>
      </w:pPr>
      <w:r>
        <w:rPr>
          <w:rFonts w:ascii="Calibri" w:eastAsia="Calibri" w:hAnsi="Calibri" w:cs="Calibri"/>
          <w:sz w:val="18"/>
          <w:szCs w:val="18"/>
          <w:lang w:val="en-AU"/>
        </w:rPr>
        <w:t>“</w:t>
      </w:r>
      <w:r w:rsidRPr="001D3923">
        <w:rPr>
          <w:rFonts w:ascii="Calibri" w:eastAsia="Calibri" w:hAnsi="Calibri" w:cs="Calibri"/>
          <w:sz w:val="18"/>
          <w:szCs w:val="18"/>
          <w:lang w:val="en-AU"/>
        </w:rPr>
        <w:t>Awaiting Assignment</w:t>
      </w:r>
      <w:r>
        <w:rPr>
          <w:rFonts w:ascii="Calibri" w:eastAsia="Calibri" w:hAnsi="Calibri" w:cs="Calibri"/>
          <w:sz w:val="18"/>
          <w:szCs w:val="18"/>
          <w:lang w:val="en-AU"/>
        </w:rPr>
        <w:t>”</w:t>
      </w:r>
      <w:r w:rsidRPr="001D3923">
        <w:rPr>
          <w:rFonts w:ascii="Calibri" w:eastAsia="Calibri" w:hAnsi="Calibri" w:cs="Calibri"/>
          <w:sz w:val="18"/>
          <w:szCs w:val="18"/>
          <w:lang w:val="en-AU"/>
        </w:rPr>
        <w:t xml:space="preserve"> means position not currently filled</w:t>
      </w:r>
      <w:r>
        <w:rPr>
          <w:rFonts w:ascii="Calibri" w:eastAsia="Calibri" w:hAnsi="Calibri" w:cs="Calibri"/>
          <w:sz w:val="18"/>
          <w:szCs w:val="18"/>
          <w:lang w:val="en-AU"/>
        </w:rPr>
        <w:t xml:space="preserve">. “For Information Only” positions are non-voting. </w:t>
      </w:r>
    </w:p>
    <w:p w14:paraId="0C7407BB" w14:textId="3F66F6FF" w:rsidR="006140E0" w:rsidRPr="00F36459" w:rsidRDefault="006140E0" w:rsidP="00F36459">
      <w:pPr>
        <w:spacing w:before="240" w:after="120" w:line="240" w:lineRule="auto"/>
        <w:jc w:val="center"/>
        <w:rPr>
          <w:rFonts w:ascii="Calibri" w:eastAsia="Cambria" w:hAnsi="Calibri" w:cs="Calibri"/>
          <w:b/>
          <w:bCs/>
          <w:sz w:val="20"/>
          <w:szCs w:val="16"/>
          <w:lang w:val="en-AU"/>
        </w:rPr>
      </w:pPr>
      <w:bookmarkStart w:id="144" w:name="_Ref22240040"/>
      <w:bookmarkStart w:id="145" w:name="_Toc22486968"/>
      <w:r w:rsidRPr="00F36459">
        <w:rPr>
          <w:rFonts w:ascii="Calibri" w:eastAsia="Cambria" w:hAnsi="Calibri" w:cs="Calibri"/>
          <w:b/>
          <w:bCs/>
          <w:sz w:val="20"/>
          <w:szCs w:val="16"/>
          <w:lang w:val="en-AU"/>
        </w:rPr>
        <w:lastRenderedPageBreak/>
        <w:t xml:space="preserve">Table </w:t>
      </w:r>
      <w:r w:rsidRPr="00F36459">
        <w:rPr>
          <w:rFonts w:ascii="Calibri" w:eastAsia="Cambria" w:hAnsi="Calibri" w:cs="Calibri"/>
          <w:b/>
          <w:bCs/>
          <w:sz w:val="20"/>
          <w:szCs w:val="16"/>
          <w:lang w:val="en-AU"/>
        </w:rPr>
        <w:fldChar w:fldCharType="begin"/>
      </w:r>
      <w:r w:rsidRPr="00F36459">
        <w:rPr>
          <w:rFonts w:ascii="Calibri" w:eastAsia="Cambria" w:hAnsi="Calibri" w:cs="Calibri"/>
          <w:b/>
          <w:bCs/>
          <w:sz w:val="20"/>
          <w:szCs w:val="16"/>
          <w:lang w:val="en-AU"/>
        </w:rPr>
        <w:instrText xml:space="preserve"> SEQ Table \* ARABIC </w:instrText>
      </w:r>
      <w:r w:rsidRPr="00F36459">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24</w:t>
      </w:r>
      <w:r w:rsidRPr="00F36459">
        <w:rPr>
          <w:rFonts w:ascii="Calibri" w:eastAsia="Cambria" w:hAnsi="Calibri" w:cs="Calibri"/>
          <w:b/>
          <w:bCs/>
          <w:sz w:val="20"/>
          <w:szCs w:val="16"/>
          <w:lang w:val="en-AU"/>
        </w:rPr>
        <w:fldChar w:fldCharType="end"/>
      </w:r>
      <w:bookmarkEnd w:id="144"/>
      <w:r w:rsidR="001D3923" w:rsidRPr="00F36459">
        <w:rPr>
          <w:rFonts w:ascii="Calibri" w:eastAsia="Cambria" w:hAnsi="Calibri" w:cs="Calibri"/>
          <w:b/>
          <w:bCs/>
          <w:sz w:val="20"/>
          <w:szCs w:val="16"/>
          <w:lang w:val="en-AU"/>
        </w:rPr>
        <w:t xml:space="preserve"> </w:t>
      </w:r>
      <w:bookmarkStart w:id="146" w:name="_Hlk22227247"/>
      <w:r w:rsidR="001D3923" w:rsidRPr="00F36459">
        <w:rPr>
          <w:rFonts w:ascii="Calibri" w:eastAsia="Cambria" w:hAnsi="Calibri" w:cs="Calibri"/>
          <w:b/>
          <w:bCs/>
          <w:sz w:val="20"/>
          <w:szCs w:val="16"/>
          <w:lang w:val="en-AU"/>
        </w:rPr>
        <w:t>Summary of positions – Written Submissions</w:t>
      </w:r>
      <w:r w:rsidR="00F36459">
        <w:rPr>
          <w:rFonts w:ascii="Calibri" w:eastAsia="Cambria" w:hAnsi="Calibri" w:cs="Calibri"/>
          <w:b/>
          <w:bCs/>
          <w:sz w:val="20"/>
          <w:szCs w:val="16"/>
          <w:lang w:val="en-AU"/>
        </w:rPr>
        <w:t xml:space="preserve"> (Australia)</w:t>
      </w:r>
      <w:bookmarkEnd w:id="145"/>
    </w:p>
    <w:tbl>
      <w:tblPr>
        <w:tblW w:w="0" w:type="auto"/>
        <w:tblInd w:w="-572" w:type="dxa"/>
        <w:tblLayout w:type="fixed"/>
        <w:tblLook w:val="04A0" w:firstRow="1" w:lastRow="0" w:firstColumn="1" w:lastColumn="0" w:noHBand="0" w:noVBand="1"/>
      </w:tblPr>
      <w:tblGrid>
        <w:gridCol w:w="1779"/>
        <w:gridCol w:w="1881"/>
        <w:gridCol w:w="674"/>
        <w:gridCol w:w="674"/>
        <w:gridCol w:w="674"/>
        <w:gridCol w:w="674"/>
        <w:gridCol w:w="674"/>
        <w:gridCol w:w="674"/>
        <w:gridCol w:w="2668"/>
        <w:gridCol w:w="2669"/>
        <w:gridCol w:w="1134"/>
      </w:tblGrid>
      <w:tr w:rsidR="00A85625" w:rsidRPr="00A85625" w14:paraId="6D36309D" w14:textId="77777777" w:rsidTr="005B199A">
        <w:trPr>
          <w:trHeight w:val="300"/>
          <w:tblHeader/>
        </w:trPr>
        <w:tc>
          <w:tcPr>
            <w:tcW w:w="1779" w:type="dxa"/>
            <w:tcBorders>
              <w:top w:val="single" w:sz="4" w:space="0" w:color="auto"/>
              <w:left w:val="single" w:sz="4" w:space="0" w:color="auto"/>
              <w:bottom w:val="nil"/>
              <w:right w:val="nil"/>
            </w:tcBorders>
            <w:shd w:val="clear" w:color="auto" w:fill="auto"/>
            <w:noWrap/>
            <w:vAlign w:val="center"/>
            <w:hideMark/>
          </w:tcPr>
          <w:bookmarkEnd w:id="146"/>
          <w:p w14:paraId="403801C5"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single" w:sz="4" w:space="0" w:color="auto"/>
              <w:left w:val="nil"/>
              <w:bottom w:val="nil"/>
              <w:right w:val="nil"/>
            </w:tcBorders>
            <w:shd w:val="clear" w:color="auto" w:fill="auto"/>
            <w:noWrap/>
            <w:vAlign w:val="center"/>
            <w:hideMark/>
          </w:tcPr>
          <w:p w14:paraId="3FA8CA91"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348"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496FFB03"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 for ACs</w:t>
            </w:r>
          </w:p>
        </w:tc>
        <w:tc>
          <w:tcPr>
            <w:tcW w:w="1348"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67FD6FDD"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 for PPs</w:t>
            </w:r>
          </w:p>
        </w:tc>
        <w:tc>
          <w:tcPr>
            <w:tcW w:w="1348" w:type="dxa"/>
            <w:gridSpan w:val="2"/>
            <w:tcBorders>
              <w:top w:val="single" w:sz="4" w:space="0" w:color="auto"/>
              <w:left w:val="single" w:sz="4" w:space="0" w:color="auto"/>
              <w:bottom w:val="nil"/>
              <w:right w:val="single" w:sz="4" w:space="0" w:color="auto"/>
            </w:tcBorders>
            <w:shd w:val="clear" w:color="auto" w:fill="auto"/>
            <w:noWrap/>
            <w:vAlign w:val="center"/>
            <w:hideMark/>
          </w:tcPr>
          <w:p w14:paraId="00B95FF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 for WHs</w:t>
            </w:r>
          </w:p>
        </w:tc>
        <w:tc>
          <w:tcPr>
            <w:tcW w:w="2668" w:type="dxa"/>
            <w:tcBorders>
              <w:top w:val="single" w:sz="4" w:space="0" w:color="auto"/>
              <w:left w:val="single" w:sz="4" w:space="0" w:color="auto"/>
              <w:bottom w:val="nil"/>
              <w:right w:val="single" w:sz="4" w:space="0" w:color="auto"/>
            </w:tcBorders>
            <w:shd w:val="clear" w:color="auto" w:fill="auto"/>
            <w:vAlign w:val="center"/>
            <w:hideMark/>
          </w:tcPr>
          <w:p w14:paraId="62A2F858" w14:textId="19C05BC8"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EV</w:t>
            </w:r>
            <w:r w:rsidR="001D3923">
              <w:rPr>
                <w:rFonts w:ascii="Calibri" w:eastAsia="Times New Roman" w:hAnsi="Calibri" w:cs="Calibri"/>
                <w:color w:val="000000"/>
                <w:sz w:val="18"/>
                <w:szCs w:val="18"/>
                <w:lang w:val="en-AU" w:eastAsia="en-AU"/>
              </w:rPr>
              <w:t xml:space="preserve"> Chargers</w:t>
            </w:r>
          </w:p>
        </w:tc>
        <w:tc>
          <w:tcPr>
            <w:tcW w:w="2669" w:type="dxa"/>
            <w:tcBorders>
              <w:top w:val="single" w:sz="4" w:space="0" w:color="auto"/>
              <w:left w:val="single" w:sz="4" w:space="0" w:color="auto"/>
              <w:bottom w:val="nil"/>
              <w:right w:val="nil"/>
            </w:tcBorders>
            <w:shd w:val="clear" w:color="auto" w:fill="auto"/>
            <w:noWrap/>
            <w:vAlign w:val="center"/>
            <w:hideMark/>
          </w:tcPr>
          <w:p w14:paraId="211E269B" w14:textId="5927D3FA"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Other products</w:t>
            </w:r>
            <w:r w:rsidR="00F36459">
              <w:rPr>
                <w:rFonts w:ascii="Calibri" w:eastAsia="Times New Roman" w:hAnsi="Calibri" w:cs="Calibri"/>
                <w:color w:val="000000"/>
                <w:sz w:val="18"/>
                <w:szCs w:val="18"/>
                <w:lang w:val="en-AU" w:eastAsia="en-AU"/>
              </w:rPr>
              <w:t>; comments</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CBBD710" w14:textId="10ED4C93" w:rsidR="006140E0" w:rsidRPr="00A85625" w:rsidRDefault="00A85625"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Need DR</w:t>
            </w:r>
          </w:p>
        </w:tc>
      </w:tr>
      <w:tr w:rsidR="00A85625" w:rsidRPr="00A85625" w14:paraId="2F5A02FA" w14:textId="77777777" w:rsidTr="005B199A">
        <w:trPr>
          <w:trHeight w:val="300"/>
          <w:tblHeader/>
        </w:trPr>
        <w:tc>
          <w:tcPr>
            <w:tcW w:w="1779" w:type="dxa"/>
            <w:tcBorders>
              <w:top w:val="nil"/>
              <w:left w:val="single" w:sz="4" w:space="0" w:color="auto"/>
              <w:bottom w:val="single" w:sz="4" w:space="0" w:color="auto"/>
              <w:right w:val="nil"/>
            </w:tcBorders>
            <w:shd w:val="clear" w:color="auto" w:fill="auto"/>
            <w:noWrap/>
            <w:vAlign w:val="center"/>
            <w:hideMark/>
          </w:tcPr>
          <w:p w14:paraId="52F3F2E4"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Category</w:t>
            </w:r>
          </w:p>
        </w:tc>
        <w:tc>
          <w:tcPr>
            <w:tcW w:w="1881" w:type="dxa"/>
            <w:tcBorders>
              <w:top w:val="nil"/>
              <w:left w:val="nil"/>
              <w:bottom w:val="single" w:sz="4" w:space="0" w:color="auto"/>
              <w:right w:val="nil"/>
            </w:tcBorders>
            <w:shd w:val="clear" w:color="auto" w:fill="auto"/>
            <w:noWrap/>
            <w:vAlign w:val="center"/>
            <w:hideMark/>
          </w:tcPr>
          <w:p w14:paraId="73B9F86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Name</w:t>
            </w:r>
          </w:p>
        </w:tc>
        <w:tc>
          <w:tcPr>
            <w:tcW w:w="674" w:type="dxa"/>
            <w:tcBorders>
              <w:top w:val="nil"/>
              <w:left w:val="single" w:sz="4" w:space="0" w:color="auto"/>
              <w:bottom w:val="single" w:sz="4" w:space="0" w:color="auto"/>
              <w:right w:val="nil"/>
            </w:tcBorders>
            <w:shd w:val="clear" w:color="auto" w:fill="auto"/>
            <w:noWrap/>
            <w:vAlign w:val="center"/>
            <w:hideMark/>
          </w:tcPr>
          <w:p w14:paraId="407B96F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c>
          <w:tcPr>
            <w:tcW w:w="674" w:type="dxa"/>
            <w:tcBorders>
              <w:top w:val="nil"/>
              <w:left w:val="nil"/>
              <w:bottom w:val="single" w:sz="4" w:space="0" w:color="auto"/>
              <w:right w:val="single" w:sz="4" w:space="0" w:color="auto"/>
            </w:tcBorders>
            <w:shd w:val="clear" w:color="auto" w:fill="auto"/>
            <w:noWrap/>
            <w:vAlign w:val="center"/>
            <w:hideMark/>
          </w:tcPr>
          <w:p w14:paraId="605BF5E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c>
          <w:tcPr>
            <w:tcW w:w="674" w:type="dxa"/>
            <w:tcBorders>
              <w:top w:val="nil"/>
              <w:left w:val="nil"/>
              <w:bottom w:val="single" w:sz="4" w:space="0" w:color="auto"/>
              <w:right w:val="nil"/>
            </w:tcBorders>
            <w:shd w:val="clear" w:color="auto" w:fill="auto"/>
            <w:noWrap/>
            <w:vAlign w:val="center"/>
            <w:hideMark/>
          </w:tcPr>
          <w:p w14:paraId="42F6374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c>
          <w:tcPr>
            <w:tcW w:w="674" w:type="dxa"/>
            <w:tcBorders>
              <w:top w:val="nil"/>
              <w:left w:val="nil"/>
              <w:bottom w:val="single" w:sz="4" w:space="0" w:color="auto"/>
              <w:right w:val="single" w:sz="4" w:space="0" w:color="auto"/>
            </w:tcBorders>
            <w:shd w:val="clear" w:color="auto" w:fill="auto"/>
            <w:noWrap/>
            <w:vAlign w:val="center"/>
            <w:hideMark/>
          </w:tcPr>
          <w:p w14:paraId="7AB4534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c>
          <w:tcPr>
            <w:tcW w:w="674" w:type="dxa"/>
            <w:tcBorders>
              <w:top w:val="nil"/>
              <w:left w:val="nil"/>
              <w:bottom w:val="single" w:sz="4" w:space="0" w:color="auto"/>
              <w:right w:val="nil"/>
            </w:tcBorders>
            <w:shd w:val="clear" w:color="auto" w:fill="auto"/>
            <w:noWrap/>
            <w:vAlign w:val="center"/>
            <w:hideMark/>
          </w:tcPr>
          <w:p w14:paraId="72EB772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c>
          <w:tcPr>
            <w:tcW w:w="674" w:type="dxa"/>
            <w:tcBorders>
              <w:top w:val="nil"/>
              <w:left w:val="nil"/>
              <w:bottom w:val="single" w:sz="4" w:space="0" w:color="auto"/>
              <w:right w:val="single" w:sz="4" w:space="0" w:color="auto"/>
            </w:tcBorders>
            <w:shd w:val="clear" w:color="auto" w:fill="auto"/>
            <w:noWrap/>
            <w:vAlign w:val="center"/>
            <w:hideMark/>
          </w:tcPr>
          <w:p w14:paraId="4E46DB0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c>
          <w:tcPr>
            <w:tcW w:w="2668" w:type="dxa"/>
            <w:tcBorders>
              <w:top w:val="nil"/>
              <w:left w:val="nil"/>
              <w:bottom w:val="single" w:sz="4" w:space="0" w:color="auto"/>
              <w:right w:val="single" w:sz="4" w:space="0" w:color="auto"/>
            </w:tcBorders>
            <w:shd w:val="clear" w:color="auto" w:fill="auto"/>
            <w:noWrap/>
            <w:vAlign w:val="center"/>
            <w:hideMark/>
          </w:tcPr>
          <w:p w14:paraId="0F4D5684" w14:textId="038DC6D3"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single" w:sz="4" w:space="0" w:color="auto"/>
              <w:right w:val="nil"/>
            </w:tcBorders>
            <w:shd w:val="clear" w:color="auto" w:fill="auto"/>
            <w:noWrap/>
            <w:vAlign w:val="center"/>
            <w:hideMark/>
          </w:tcPr>
          <w:p w14:paraId="24FCB78F"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E1AA5DF" w14:textId="248541E7" w:rsidR="006140E0" w:rsidRPr="00A85625" w:rsidRDefault="006140E0" w:rsidP="00A85625">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standard?</w:t>
            </w:r>
          </w:p>
        </w:tc>
      </w:tr>
      <w:tr w:rsidR="00A85625" w:rsidRPr="00A85625" w14:paraId="7DE227AE" w14:textId="77777777" w:rsidTr="00304C5F">
        <w:trPr>
          <w:trHeight w:val="300"/>
        </w:trPr>
        <w:tc>
          <w:tcPr>
            <w:tcW w:w="1779" w:type="dxa"/>
            <w:tcBorders>
              <w:top w:val="single" w:sz="4" w:space="0" w:color="auto"/>
              <w:left w:val="single" w:sz="4" w:space="0" w:color="auto"/>
              <w:bottom w:val="nil"/>
            </w:tcBorders>
            <w:shd w:val="clear" w:color="auto" w:fill="auto"/>
            <w:noWrap/>
            <w:vAlign w:val="center"/>
            <w:hideMark/>
          </w:tcPr>
          <w:p w14:paraId="2B30F5AE"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Elec networks</w:t>
            </w:r>
          </w:p>
        </w:tc>
        <w:tc>
          <w:tcPr>
            <w:tcW w:w="1881" w:type="dxa"/>
            <w:tcBorders>
              <w:top w:val="single" w:sz="4" w:space="0" w:color="auto"/>
              <w:bottom w:val="nil"/>
              <w:right w:val="single" w:sz="4" w:space="0" w:color="auto"/>
            </w:tcBorders>
            <w:shd w:val="clear" w:color="auto" w:fill="auto"/>
            <w:noWrap/>
            <w:vAlign w:val="center"/>
            <w:hideMark/>
          </w:tcPr>
          <w:p w14:paraId="104DEB4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AEMO</w:t>
            </w:r>
          </w:p>
        </w:tc>
        <w:tc>
          <w:tcPr>
            <w:tcW w:w="674" w:type="dxa"/>
            <w:tcBorders>
              <w:top w:val="nil"/>
              <w:left w:val="single" w:sz="4" w:space="0" w:color="auto"/>
              <w:bottom w:val="nil"/>
              <w:right w:val="nil"/>
            </w:tcBorders>
            <w:shd w:val="clear" w:color="auto" w:fill="auto"/>
            <w:noWrap/>
            <w:vAlign w:val="center"/>
            <w:hideMark/>
          </w:tcPr>
          <w:p w14:paraId="1847DF2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1849C02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05C725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559BC1A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361378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539B11C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7F06B950"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single" w:sz="4" w:space="0" w:color="auto"/>
              <w:left w:val="single" w:sz="4" w:space="0" w:color="auto"/>
              <w:bottom w:val="nil"/>
              <w:right w:val="nil"/>
            </w:tcBorders>
            <w:shd w:val="clear" w:color="auto" w:fill="auto"/>
            <w:noWrap/>
            <w:vAlign w:val="center"/>
            <w:hideMark/>
          </w:tcPr>
          <w:p w14:paraId="40003C1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Inverters, ESS, HEMS</w:t>
            </w:r>
          </w:p>
        </w:tc>
        <w:tc>
          <w:tcPr>
            <w:tcW w:w="1134" w:type="dxa"/>
            <w:tcBorders>
              <w:top w:val="nil"/>
              <w:left w:val="single" w:sz="4" w:space="0" w:color="auto"/>
              <w:bottom w:val="nil"/>
              <w:right w:val="single" w:sz="4" w:space="0" w:color="auto"/>
            </w:tcBorders>
            <w:shd w:val="clear" w:color="auto" w:fill="auto"/>
            <w:noWrap/>
            <w:vAlign w:val="center"/>
            <w:hideMark/>
          </w:tcPr>
          <w:p w14:paraId="640DBB9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5E2C2EF8" w14:textId="77777777" w:rsidTr="00304C5F">
        <w:trPr>
          <w:trHeight w:val="300"/>
        </w:trPr>
        <w:tc>
          <w:tcPr>
            <w:tcW w:w="1779" w:type="dxa"/>
            <w:tcBorders>
              <w:top w:val="nil"/>
              <w:left w:val="single" w:sz="4" w:space="0" w:color="auto"/>
              <w:bottom w:val="nil"/>
            </w:tcBorders>
            <w:shd w:val="clear" w:color="auto" w:fill="auto"/>
            <w:noWrap/>
            <w:vAlign w:val="center"/>
            <w:hideMark/>
          </w:tcPr>
          <w:p w14:paraId="68193545"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bottom w:val="nil"/>
              <w:right w:val="single" w:sz="4" w:space="0" w:color="auto"/>
            </w:tcBorders>
            <w:shd w:val="clear" w:color="auto" w:fill="auto"/>
            <w:noWrap/>
            <w:vAlign w:val="center"/>
            <w:hideMark/>
          </w:tcPr>
          <w:p w14:paraId="2A1D8A09"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Citipower (a)</w:t>
            </w:r>
          </w:p>
        </w:tc>
        <w:tc>
          <w:tcPr>
            <w:tcW w:w="674" w:type="dxa"/>
            <w:tcBorders>
              <w:top w:val="nil"/>
              <w:left w:val="single" w:sz="4" w:space="0" w:color="auto"/>
              <w:bottom w:val="nil"/>
              <w:right w:val="nil"/>
            </w:tcBorders>
            <w:shd w:val="clear" w:color="auto" w:fill="auto"/>
            <w:noWrap/>
            <w:vAlign w:val="center"/>
            <w:hideMark/>
          </w:tcPr>
          <w:p w14:paraId="4A45394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5CB474D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11F2966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228189E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E94F0A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12E159A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6A389EAD"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192C323C"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4F8FE40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1AA08B1C" w14:textId="77777777" w:rsidTr="00304C5F">
        <w:trPr>
          <w:trHeight w:val="300"/>
        </w:trPr>
        <w:tc>
          <w:tcPr>
            <w:tcW w:w="1779" w:type="dxa"/>
            <w:tcBorders>
              <w:top w:val="nil"/>
              <w:left w:val="single" w:sz="4" w:space="0" w:color="auto"/>
              <w:bottom w:val="nil"/>
            </w:tcBorders>
            <w:shd w:val="clear" w:color="auto" w:fill="auto"/>
            <w:noWrap/>
            <w:vAlign w:val="center"/>
            <w:hideMark/>
          </w:tcPr>
          <w:p w14:paraId="6012CA0A"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bottom w:val="nil"/>
              <w:right w:val="single" w:sz="4" w:space="0" w:color="auto"/>
            </w:tcBorders>
            <w:shd w:val="clear" w:color="auto" w:fill="auto"/>
            <w:noWrap/>
            <w:vAlign w:val="center"/>
            <w:hideMark/>
          </w:tcPr>
          <w:p w14:paraId="4BDDDBB1"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PowerCor (a)</w:t>
            </w:r>
          </w:p>
        </w:tc>
        <w:tc>
          <w:tcPr>
            <w:tcW w:w="674" w:type="dxa"/>
            <w:tcBorders>
              <w:top w:val="nil"/>
              <w:left w:val="single" w:sz="4" w:space="0" w:color="auto"/>
              <w:bottom w:val="nil"/>
              <w:right w:val="nil"/>
            </w:tcBorders>
            <w:shd w:val="clear" w:color="auto" w:fill="auto"/>
            <w:noWrap/>
            <w:vAlign w:val="center"/>
            <w:hideMark/>
          </w:tcPr>
          <w:p w14:paraId="1941EB0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10E1F0D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6E2242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6C91CC2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051C1C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4B84697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31CF5A44"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7AC6C096"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35D72B2F"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4FF16CC2" w14:textId="77777777" w:rsidTr="00304C5F">
        <w:trPr>
          <w:trHeight w:val="300"/>
        </w:trPr>
        <w:tc>
          <w:tcPr>
            <w:tcW w:w="1779" w:type="dxa"/>
            <w:tcBorders>
              <w:top w:val="nil"/>
              <w:left w:val="single" w:sz="4" w:space="0" w:color="auto"/>
              <w:bottom w:val="nil"/>
            </w:tcBorders>
            <w:shd w:val="clear" w:color="auto" w:fill="auto"/>
            <w:noWrap/>
            <w:vAlign w:val="center"/>
            <w:hideMark/>
          </w:tcPr>
          <w:p w14:paraId="1C056D44"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bottom w:val="nil"/>
              <w:right w:val="single" w:sz="4" w:space="0" w:color="auto"/>
            </w:tcBorders>
            <w:shd w:val="clear" w:color="auto" w:fill="auto"/>
            <w:noWrap/>
            <w:vAlign w:val="center"/>
            <w:hideMark/>
          </w:tcPr>
          <w:p w14:paraId="173D971B"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United Energy (a)</w:t>
            </w:r>
          </w:p>
        </w:tc>
        <w:tc>
          <w:tcPr>
            <w:tcW w:w="674" w:type="dxa"/>
            <w:tcBorders>
              <w:top w:val="nil"/>
              <w:left w:val="single" w:sz="4" w:space="0" w:color="auto"/>
              <w:bottom w:val="nil"/>
              <w:right w:val="nil"/>
            </w:tcBorders>
            <w:shd w:val="clear" w:color="auto" w:fill="auto"/>
            <w:noWrap/>
            <w:vAlign w:val="center"/>
            <w:hideMark/>
          </w:tcPr>
          <w:p w14:paraId="30DAB2A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5103EA2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1E3B03A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590818E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6B10E3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717B572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23CC5B93"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71E1E48D"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0209E06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2D207132" w14:textId="77777777" w:rsidTr="00304C5F">
        <w:trPr>
          <w:trHeight w:val="300"/>
        </w:trPr>
        <w:tc>
          <w:tcPr>
            <w:tcW w:w="1779" w:type="dxa"/>
            <w:tcBorders>
              <w:top w:val="nil"/>
              <w:left w:val="single" w:sz="4" w:space="0" w:color="auto"/>
              <w:bottom w:val="nil"/>
            </w:tcBorders>
            <w:shd w:val="clear" w:color="auto" w:fill="auto"/>
            <w:noWrap/>
            <w:vAlign w:val="center"/>
            <w:hideMark/>
          </w:tcPr>
          <w:p w14:paraId="7BE63CEB"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bottom w:val="nil"/>
              <w:right w:val="single" w:sz="4" w:space="0" w:color="auto"/>
            </w:tcBorders>
            <w:shd w:val="clear" w:color="auto" w:fill="auto"/>
            <w:noWrap/>
            <w:vAlign w:val="center"/>
            <w:hideMark/>
          </w:tcPr>
          <w:p w14:paraId="4ABC1089"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Energex (b)</w:t>
            </w:r>
          </w:p>
        </w:tc>
        <w:tc>
          <w:tcPr>
            <w:tcW w:w="674" w:type="dxa"/>
            <w:tcBorders>
              <w:top w:val="nil"/>
              <w:left w:val="single" w:sz="4" w:space="0" w:color="auto"/>
              <w:bottom w:val="nil"/>
              <w:right w:val="nil"/>
            </w:tcBorders>
            <w:shd w:val="clear" w:color="auto" w:fill="auto"/>
            <w:noWrap/>
            <w:vAlign w:val="center"/>
            <w:hideMark/>
          </w:tcPr>
          <w:p w14:paraId="2BD339B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6159716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F5F588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47D4E98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E106EE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677BAC5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0E8EB12A"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Conditional on intl. stds.</w:t>
            </w:r>
          </w:p>
        </w:tc>
        <w:tc>
          <w:tcPr>
            <w:tcW w:w="2669" w:type="dxa"/>
            <w:tcBorders>
              <w:top w:val="nil"/>
              <w:left w:val="single" w:sz="4" w:space="0" w:color="auto"/>
              <w:bottom w:val="nil"/>
              <w:right w:val="nil"/>
            </w:tcBorders>
            <w:shd w:val="clear" w:color="auto" w:fill="auto"/>
            <w:noWrap/>
            <w:vAlign w:val="center"/>
            <w:hideMark/>
          </w:tcPr>
          <w:p w14:paraId="132F56E7"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1A2589B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425913CD" w14:textId="77777777" w:rsidTr="00304C5F">
        <w:trPr>
          <w:trHeight w:val="300"/>
        </w:trPr>
        <w:tc>
          <w:tcPr>
            <w:tcW w:w="1779" w:type="dxa"/>
            <w:tcBorders>
              <w:top w:val="nil"/>
              <w:left w:val="single" w:sz="4" w:space="0" w:color="auto"/>
              <w:bottom w:val="nil"/>
            </w:tcBorders>
            <w:shd w:val="clear" w:color="auto" w:fill="auto"/>
            <w:noWrap/>
            <w:vAlign w:val="center"/>
            <w:hideMark/>
          </w:tcPr>
          <w:p w14:paraId="50A3447C"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bottom w:val="nil"/>
              <w:right w:val="single" w:sz="4" w:space="0" w:color="auto"/>
            </w:tcBorders>
            <w:shd w:val="clear" w:color="auto" w:fill="auto"/>
            <w:noWrap/>
            <w:vAlign w:val="center"/>
            <w:hideMark/>
          </w:tcPr>
          <w:p w14:paraId="2287212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Ergon (b)</w:t>
            </w:r>
          </w:p>
        </w:tc>
        <w:tc>
          <w:tcPr>
            <w:tcW w:w="674" w:type="dxa"/>
            <w:tcBorders>
              <w:top w:val="nil"/>
              <w:left w:val="single" w:sz="4" w:space="0" w:color="auto"/>
              <w:bottom w:val="nil"/>
              <w:right w:val="nil"/>
            </w:tcBorders>
            <w:shd w:val="clear" w:color="auto" w:fill="auto"/>
            <w:noWrap/>
            <w:vAlign w:val="center"/>
            <w:hideMark/>
          </w:tcPr>
          <w:p w14:paraId="3510131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44BA049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F500D5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2D1DC58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A2FF24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4C6F9CD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70E18DCB"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Conditional on intl. stds.</w:t>
            </w:r>
          </w:p>
        </w:tc>
        <w:tc>
          <w:tcPr>
            <w:tcW w:w="2669" w:type="dxa"/>
            <w:tcBorders>
              <w:top w:val="nil"/>
              <w:left w:val="single" w:sz="4" w:space="0" w:color="auto"/>
              <w:bottom w:val="nil"/>
              <w:right w:val="nil"/>
            </w:tcBorders>
            <w:shd w:val="clear" w:color="auto" w:fill="auto"/>
            <w:noWrap/>
            <w:vAlign w:val="center"/>
            <w:hideMark/>
          </w:tcPr>
          <w:p w14:paraId="180997D7"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4312C69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23A0C9CF" w14:textId="77777777" w:rsidTr="00304C5F">
        <w:trPr>
          <w:trHeight w:val="300"/>
        </w:trPr>
        <w:tc>
          <w:tcPr>
            <w:tcW w:w="1779" w:type="dxa"/>
            <w:tcBorders>
              <w:top w:val="nil"/>
              <w:left w:val="single" w:sz="4" w:space="0" w:color="auto"/>
              <w:bottom w:val="nil"/>
            </w:tcBorders>
            <w:shd w:val="clear" w:color="auto" w:fill="auto"/>
            <w:noWrap/>
            <w:vAlign w:val="center"/>
            <w:hideMark/>
          </w:tcPr>
          <w:p w14:paraId="6E5978DC"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bottom w:val="nil"/>
              <w:right w:val="single" w:sz="4" w:space="0" w:color="auto"/>
            </w:tcBorders>
            <w:shd w:val="clear" w:color="auto" w:fill="auto"/>
            <w:noWrap/>
            <w:vAlign w:val="center"/>
            <w:hideMark/>
          </w:tcPr>
          <w:p w14:paraId="797E8482"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SAPN</w:t>
            </w:r>
          </w:p>
        </w:tc>
        <w:tc>
          <w:tcPr>
            <w:tcW w:w="674" w:type="dxa"/>
            <w:tcBorders>
              <w:top w:val="nil"/>
              <w:left w:val="single" w:sz="4" w:space="0" w:color="auto"/>
              <w:bottom w:val="nil"/>
              <w:right w:val="nil"/>
            </w:tcBorders>
            <w:shd w:val="clear" w:color="auto" w:fill="auto"/>
            <w:noWrap/>
            <w:vAlign w:val="center"/>
            <w:hideMark/>
          </w:tcPr>
          <w:p w14:paraId="05AE615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w:t>
            </w:r>
          </w:p>
        </w:tc>
        <w:tc>
          <w:tcPr>
            <w:tcW w:w="674" w:type="dxa"/>
            <w:tcBorders>
              <w:top w:val="nil"/>
              <w:left w:val="nil"/>
              <w:bottom w:val="nil"/>
              <w:right w:val="single" w:sz="4" w:space="0" w:color="auto"/>
            </w:tcBorders>
            <w:shd w:val="clear" w:color="auto" w:fill="auto"/>
            <w:noWrap/>
            <w:vAlign w:val="center"/>
            <w:hideMark/>
          </w:tcPr>
          <w:p w14:paraId="0DD9390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16D5CA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w:t>
            </w:r>
          </w:p>
        </w:tc>
        <w:tc>
          <w:tcPr>
            <w:tcW w:w="674" w:type="dxa"/>
            <w:tcBorders>
              <w:top w:val="nil"/>
              <w:left w:val="nil"/>
              <w:bottom w:val="nil"/>
              <w:right w:val="single" w:sz="4" w:space="0" w:color="auto"/>
            </w:tcBorders>
            <w:shd w:val="clear" w:color="auto" w:fill="auto"/>
            <w:noWrap/>
            <w:vAlign w:val="center"/>
            <w:hideMark/>
          </w:tcPr>
          <w:p w14:paraId="3B88DC8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0C80B05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w:t>
            </w:r>
          </w:p>
        </w:tc>
        <w:tc>
          <w:tcPr>
            <w:tcW w:w="674" w:type="dxa"/>
            <w:tcBorders>
              <w:top w:val="nil"/>
              <w:left w:val="nil"/>
              <w:bottom w:val="nil"/>
              <w:right w:val="single" w:sz="4" w:space="0" w:color="auto"/>
            </w:tcBorders>
            <w:shd w:val="clear" w:color="auto" w:fill="auto"/>
            <w:noWrap/>
            <w:vAlign w:val="center"/>
            <w:hideMark/>
          </w:tcPr>
          <w:p w14:paraId="3FF99AC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65B46FDB"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Prefer OCPP</w:t>
            </w:r>
          </w:p>
        </w:tc>
        <w:tc>
          <w:tcPr>
            <w:tcW w:w="2669" w:type="dxa"/>
            <w:tcBorders>
              <w:top w:val="nil"/>
              <w:left w:val="single" w:sz="4" w:space="0" w:color="auto"/>
              <w:bottom w:val="nil"/>
              <w:right w:val="nil"/>
            </w:tcBorders>
            <w:shd w:val="clear" w:color="auto" w:fill="auto"/>
            <w:noWrap/>
            <w:vAlign w:val="center"/>
            <w:hideMark/>
          </w:tcPr>
          <w:p w14:paraId="5634060A"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24D8938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304C5F" w:rsidRPr="00304C5F" w14:paraId="26D3A870" w14:textId="77777777" w:rsidTr="00304C5F">
        <w:trPr>
          <w:trHeight w:val="300"/>
        </w:trPr>
        <w:tc>
          <w:tcPr>
            <w:tcW w:w="1779" w:type="dxa"/>
            <w:tcBorders>
              <w:top w:val="nil"/>
              <w:left w:val="single" w:sz="4" w:space="0" w:color="auto"/>
            </w:tcBorders>
            <w:shd w:val="clear" w:color="auto" w:fill="auto"/>
            <w:noWrap/>
            <w:vAlign w:val="center"/>
          </w:tcPr>
          <w:p w14:paraId="4C548AA2" w14:textId="77777777" w:rsidR="00304C5F" w:rsidRPr="00A85625" w:rsidRDefault="00304C5F" w:rsidP="00304C5F">
            <w:pPr>
              <w:spacing w:after="0" w:line="240" w:lineRule="auto"/>
              <w:rPr>
                <w:rFonts w:ascii="Calibri" w:eastAsia="Times New Roman" w:hAnsi="Calibri" w:cs="Calibri"/>
                <w:color w:val="000000"/>
                <w:sz w:val="18"/>
                <w:szCs w:val="18"/>
                <w:lang w:val="en-AU" w:eastAsia="en-AU"/>
              </w:rPr>
            </w:pPr>
          </w:p>
        </w:tc>
        <w:tc>
          <w:tcPr>
            <w:tcW w:w="1881" w:type="dxa"/>
            <w:tcBorders>
              <w:top w:val="nil"/>
              <w:right w:val="single" w:sz="4" w:space="0" w:color="auto"/>
            </w:tcBorders>
            <w:shd w:val="clear" w:color="auto" w:fill="auto"/>
            <w:noWrap/>
            <w:vAlign w:val="bottom"/>
          </w:tcPr>
          <w:p w14:paraId="625742B0" w14:textId="5CCCCD9D" w:rsidR="00304C5F" w:rsidRPr="00A85625" w:rsidRDefault="00304C5F" w:rsidP="00304C5F">
            <w:pPr>
              <w:spacing w:after="0" w:line="240" w:lineRule="auto"/>
              <w:rPr>
                <w:rFonts w:ascii="Calibri" w:eastAsia="Times New Roman" w:hAnsi="Calibri" w:cs="Calibri"/>
                <w:color w:val="000000"/>
                <w:sz w:val="18"/>
                <w:szCs w:val="18"/>
                <w:lang w:val="en-AU" w:eastAsia="en-AU"/>
              </w:rPr>
            </w:pPr>
            <w:r w:rsidRPr="00304C5F">
              <w:rPr>
                <w:rFonts w:ascii="Calibri" w:eastAsia="Times New Roman" w:hAnsi="Calibri" w:cs="Calibri"/>
                <w:color w:val="000000"/>
                <w:sz w:val="18"/>
                <w:szCs w:val="18"/>
                <w:lang w:val="en-AU" w:eastAsia="en-AU"/>
              </w:rPr>
              <w:t>SP Ausnet</w:t>
            </w:r>
          </w:p>
        </w:tc>
        <w:tc>
          <w:tcPr>
            <w:tcW w:w="674" w:type="dxa"/>
            <w:tcBorders>
              <w:top w:val="nil"/>
              <w:left w:val="single" w:sz="4" w:space="0" w:color="auto"/>
              <w:bottom w:val="nil"/>
              <w:right w:val="nil"/>
            </w:tcBorders>
            <w:shd w:val="clear" w:color="auto" w:fill="auto"/>
            <w:noWrap/>
            <w:vAlign w:val="bottom"/>
          </w:tcPr>
          <w:p w14:paraId="48A651F9" w14:textId="37F8FA2B" w:rsidR="00304C5F" w:rsidRPr="00A85625" w:rsidRDefault="00304C5F" w:rsidP="00304C5F">
            <w:pPr>
              <w:spacing w:after="0" w:line="240" w:lineRule="auto"/>
              <w:jc w:val="center"/>
              <w:rPr>
                <w:rFonts w:ascii="Calibri" w:eastAsia="Times New Roman" w:hAnsi="Calibri" w:cs="Calibri"/>
                <w:color w:val="000000"/>
                <w:sz w:val="18"/>
                <w:szCs w:val="18"/>
                <w:lang w:val="en-AU" w:eastAsia="en-AU"/>
              </w:rPr>
            </w:pPr>
            <w:r w:rsidRPr="00304C5F">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bottom"/>
          </w:tcPr>
          <w:p w14:paraId="2FA396D9" w14:textId="32B7F038" w:rsidR="00304C5F" w:rsidRPr="00A85625" w:rsidRDefault="00304C5F" w:rsidP="00304C5F">
            <w:pPr>
              <w:spacing w:after="0" w:line="240" w:lineRule="auto"/>
              <w:jc w:val="center"/>
              <w:rPr>
                <w:rFonts w:ascii="Calibri" w:eastAsia="Times New Roman" w:hAnsi="Calibri" w:cs="Calibri"/>
                <w:color w:val="000000"/>
                <w:sz w:val="18"/>
                <w:szCs w:val="18"/>
                <w:lang w:val="en-AU" w:eastAsia="en-AU"/>
              </w:rPr>
            </w:pPr>
          </w:p>
        </w:tc>
        <w:tc>
          <w:tcPr>
            <w:tcW w:w="674" w:type="dxa"/>
            <w:tcBorders>
              <w:top w:val="nil"/>
              <w:left w:val="nil"/>
              <w:bottom w:val="nil"/>
              <w:right w:val="nil"/>
            </w:tcBorders>
            <w:shd w:val="clear" w:color="auto" w:fill="auto"/>
            <w:noWrap/>
            <w:vAlign w:val="bottom"/>
          </w:tcPr>
          <w:p w14:paraId="31DED10F" w14:textId="55877022" w:rsidR="00304C5F" w:rsidRPr="00A85625" w:rsidRDefault="00304C5F" w:rsidP="00304C5F">
            <w:pPr>
              <w:spacing w:after="0" w:line="240" w:lineRule="auto"/>
              <w:jc w:val="center"/>
              <w:rPr>
                <w:rFonts w:ascii="Calibri" w:eastAsia="Times New Roman" w:hAnsi="Calibri" w:cs="Calibri"/>
                <w:color w:val="000000"/>
                <w:sz w:val="18"/>
                <w:szCs w:val="18"/>
                <w:lang w:val="en-AU" w:eastAsia="en-AU"/>
              </w:rPr>
            </w:pPr>
          </w:p>
        </w:tc>
        <w:tc>
          <w:tcPr>
            <w:tcW w:w="674" w:type="dxa"/>
            <w:tcBorders>
              <w:top w:val="nil"/>
              <w:left w:val="nil"/>
              <w:bottom w:val="nil"/>
              <w:right w:val="single" w:sz="4" w:space="0" w:color="auto"/>
            </w:tcBorders>
            <w:shd w:val="clear" w:color="auto" w:fill="auto"/>
            <w:noWrap/>
            <w:vAlign w:val="bottom"/>
          </w:tcPr>
          <w:p w14:paraId="4C06F834" w14:textId="47E5A663" w:rsidR="00304C5F" w:rsidRPr="00A85625" w:rsidRDefault="00304C5F" w:rsidP="00304C5F">
            <w:pPr>
              <w:spacing w:after="0" w:line="240" w:lineRule="auto"/>
              <w:jc w:val="center"/>
              <w:rPr>
                <w:rFonts w:ascii="Calibri" w:eastAsia="Times New Roman" w:hAnsi="Calibri" w:cs="Calibri"/>
                <w:color w:val="000000"/>
                <w:sz w:val="18"/>
                <w:szCs w:val="18"/>
                <w:lang w:val="en-AU" w:eastAsia="en-AU"/>
              </w:rPr>
            </w:pPr>
          </w:p>
        </w:tc>
        <w:tc>
          <w:tcPr>
            <w:tcW w:w="674" w:type="dxa"/>
            <w:tcBorders>
              <w:top w:val="nil"/>
              <w:left w:val="nil"/>
              <w:bottom w:val="nil"/>
              <w:right w:val="nil"/>
            </w:tcBorders>
            <w:shd w:val="clear" w:color="auto" w:fill="auto"/>
            <w:noWrap/>
            <w:vAlign w:val="bottom"/>
          </w:tcPr>
          <w:p w14:paraId="426CAEDE" w14:textId="46F1E69C" w:rsidR="00304C5F" w:rsidRPr="00A85625" w:rsidRDefault="00304C5F" w:rsidP="00304C5F">
            <w:pPr>
              <w:spacing w:after="0" w:line="240" w:lineRule="auto"/>
              <w:jc w:val="center"/>
              <w:rPr>
                <w:rFonts w:ascii="Calibri" w:eastAsia="Times New Roman" w:hAnsi="Calibri" w:cs="Calibri"/>
                <w:color w:val="000000"/>
                <w:sz w:val="18"/>
                <w:szCs w:val="18"/>
                <w:lang w:val="en-AU" w:eastAsia="en-AU"/>
              </w:rPr>
            </w:pPr>
            <w:r w:rsidRPr="00304C5F">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bottom"/>
          </w:tcPr>
          <w:p w14:paraId="5E7D5B87" w14:textId="502CFC3B" w:rsidR="00304C5F" w:rsidRPr="00A85625" w:rsidRDefault="00304C5F" w:rsidP="00304C5F">
            <w:pPr>
              <w:spacing w:after="0" w:line="240" w:lineRule="auto"/>
              <w:jc w:val="center"/>
              <w:rPr>
                <w:rFonts w:ascii="Calibri" w:eastAsia="Times New Roman" w:hAnsi="Calibri" w:cs="Calibri"/>
                <w:color w:val="000000"/>
                <w:sz w:val="18"/>
                <w:szCs w:val="18"/>
                <w:lang w:val="en-AU" w:eastAsia="en-AU"/>
              </w:rPr>
            </w:pPr>
          </w:p>
        </w:tc>
        <w:tc>
          <w:tcPr>
            <w:tcW w:w="2668" w:type="dxa"/>
            <w:tcBorders>
              <w:top w:val="nil"/>
              <w:left w:val="nil"/>
              <w:bottom w:val="nil"/>
              <w:right w:val="single" w:sz="4" w:space="0" w:color="auto"/>
            </w:tcBorders>
            <w:shd w:val="clear" w:color="auto" w:fill="auto"/>
            <w:noWrap/>
            <w:vAlign w:val="bottom"/>
          </w:tcPr>
          <w:p w14:paraId="0A2D44EE" w14:textId="3D7B916F" w:rsidR="00304C5F" w:rsidRPr="00A85625" w:rsidRDefault="00304C5F" w:rsidP="00304C5F">
            <w:pPr>
              <w:spacing w:after="0" w:line="240" w:lineRule="auto"/>
              <w:jc w:val="center"/>
              <w:rPr>
                <w:rFonts w:ascii="Calibri" w:eastAsia="Times New Roman" w:hAnsi="Calibri" w:cs="Calibri"/>
                <w:color w:val="000000"/>
                <w:sz w:val="18"/>
                <w:szCs w:val="18"/>
                <w:lang w:val="en-AU" w:eastAsia="en-AU"/>
              </w:rPr>
            </w:pPr>
            <w:r w:rsidRPr="00304C5F">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bottom"/>
          </w:tcPr>
          <w:p w14:paraId="05BA0DBF" w14:textId="4887226B" w:rsidR="00304C5F" w:rsidRPr="00A85625" w:rsidRDefault="00304C5F" w:rsidP="00304C5F">
            <w:pPr>
              <w:spacing w:after="0" w:line="240" w:lineRule="auto"/>
              <w:rPr>
                <w:rFonts w:ascii="Calibri" w:eastAsia="Times New Roman" w:hAnsi="Calibri" w:cs="Calibri"/>
                <w:color w:val="000000"/>
                <w:sz w:val="18"/>
                <w:szCs w:val="18"/>
                <w:lang w:val="en-AU" w:eastAsia="en-AU"/>
              </w:rPr>
            </w:pPr>
            <w:r w:rsidRPr="00304C5F">
              <w:rPr>
                <w:rFonts w:ascii="Calibri" w:eastAsia="Times New Roman" w:hAnsi="Calibri" w:cs="Calibri"/>
                <w:color w:val="000000"/>
                <w:sz w:val="18"/>
                <w:szCs w:val="18"/>
                <w:lang w:val="en-AU" w:eastAsia="en-AU"/>
              </w:rPr>
              <w:t>ESS, PV</w:t>
            </w:r>
          </w:p>
        </w:tc>
        <w:tc>
          <w:tcPr>
            <w:tcW w:w="1134" w:type="dxa"/>
            <w:tcBorders>
              <w:top w:val="nil"/>
              <w:left w:val="single" w:sz="4" w:space="0" w:color="auto"/>
              <w:bottom w:val="nil"/>
              <w:right w:val="single" w:sz="4" w:space="0" w:color="auto"/>
            </w:tcBorders>
            <w:shd w:val="clear" w:color="auto" w:fill="auto"/>
            <w:noWrap/>
            <w:vAlign w:val="bottom"/>
          </w:tcPr>
          <w:p w14:paraId="4DADFD1A" w14:textId="03404D93" w:rsidR="00304C5F" w:rsidRPr="00A85625" w:rsidRDefault="00304C5F" w:rsidP="00304C5F">
            <w:pPr>
              <w:spacing w:after="0" w:line="240" w:lineRule="auto"/>
              <w:rPr>
                <w:rFonts w:ascii="Calibri" w:eastAsia="Times New Roman" w:hAnsi="Calibri" w:cs="Calibri"/>
                <w:color w:val="000000"/>
                <w:sz w:val="18"/>
                <w:szCs w:val="18"/>
                <w:lang w:val="en-AU" w:eastAsia="en-AU"/>
              </w:rPr>
            </w:pPr>
            <w:r w:rsidRPr="00304C5F">
              <w:rPr>
                <w:rFonts w:ascii="Calibri" w:eastAsia="Times New Roman" w:hAnsi="Calibri" w:cs="Calibri"/>
                <w:color w:val="000000"/>
                <w:sz w:val="18"/>
                <w:szCs w:val="18"/>
                <w:lang w:val="en-AU" w:eastAsia="en-AU"/>
              </w:rPr>
              <w:t>Yes</w:t>
            </w:r>
          </w:p>
        </w:tc>
      </w:tr>
      <w:tr w:rsidR="00A85625" w:rsidRPr="00A85625" w14:paraId="528E3767" w14:textId="77777777" w:rsidTr="00304C5F">
        <w:trPr>
          <w:trHeight w:val="300"/>
        </w:trPr>
        <w:tc>
          <w:tcPr>
            <w:tcW w:w="1779" w:type="dxa"/>
            <w:tcBorders>
              <w:top w:val="nil"/>
              <w:left w:val="single" w:sz="4" w:space="0" w:color="auto"/>
              <w:bottom w:val="single" w:sz="4" w:space="0" w:color="auto"/>
            </w:tcBorders>
            <w:shd w:val="clear" w:color="auto" w:fill="auto"/>
            <w:noWrap/>
            <w:vAlign w:val="center"/>
            <w:hideMark/>
          </w:tcPr>
          <w:p w14:paraId="6A6AD846"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bottom w:val="single" w:sz="4" w:space="0" w:color="auto"/>
              <w:right w:val="single" w:sz="4" w:space="0" w:color="auto"/>
            </w:tcBorders>
            <w:shd w:val="clear" w:color="auto" w:fill="auto"/>
            <w:noWrap/>
            <w:vAlign w:val="center"/>
            <w:hideMark/>
          </w:tcPr>
          <w:p w14:paraId="1FF7D99C"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Tasnetworks</w:t>
            </w:r>
          </w:p>
        </w:tc>
        <w:tc>
          <w:tcPr>
            <w:tcW w:w="674" w:type="dxa"/>
            <w:tcBorders>
              <w:top w:val="nil"/>
              <w:left w:val="single" w:sz="4" w:space="0" w:color="auto"/>
              <w:bottom w:val="nil"/>
              <w:right w:val="nil"/>
            </w:tcBorders>
            <w:shd w:val="clear" w:color="auto" w:fill="auto"/>
            <w:noWrap/>
            <w:vAlign w:val="center"/>
            <w:hideMark/>
          </w:tcPr>
          <w:p w14:paraId="026409E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w:t>
            </w:r>
          </w:p>
        </w:tc>
        <w:tc>
          <w:tcPr>
            <w:tcW w:w="674" w:type="dxa"/>
            <w:tcBorders>
              <w:top w:val="nil"/>
              <w:left w:val="nil"/>
              <w:bottom w:val="nil"/>
              <w:right w:val="single" w:sz="4" w:space="0" w:color="auto"/>
            </w:tcBorders>
            <w:shd w:val="clear" w:color="auto" w:fill="auto"/>
            <w:noWrap/>
            <w:vAlign w:val="center"/>
            <w:hideMark/>
          </w:tcPr>
          <w:p w14:paraId="52DC4FF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8F46BE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w:t>
            </w:r>
          </w:p>
        </w:tc>
        <w:tc>
          <w:tcPr>
            <w:tcW w:w="674" w:type="dxa"/>
            <w:tcBorders>
              <w:top w:val="nil"/>
              <w:left w:val="nil"/>
              <w:bottom w:val="nil"/>
              <w:right w:val="single" w:sz="4" w:space="0" w:color="auto"/>
            </w:tcBorders>
            <w:shd w:val="clear" w:color="auto" w:fill="auto"/>
            <w:noWrap/>
            <w:vAlign w:val="center"/>
            <w:hideMark/>
          </w:tcPr>
          <w:p w14:paraId="03DD78F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2760D4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w:t>
            </w:r>
          </w:p>
        </w:tc>
        <w:tc>
          <w:tcPr>
            <w:tcW w:w="674" w:type="dxa"/>
            <w:tcBorders>
              <w:top w:val="nil"/>
              <w:left w:val="nil"/>
              <w:bottom w:val="nil"/>
              <w:right w:val="single" w:sz="4" w:space="0" w:color="auto"/>
            </w:tcBorders>
            <w:shd w:val="clear" w:color="auto" w:fill="auto"/>
            <w:noWrap/>
            <w:vAlign w:val="center"/>
            <w:hideMark/>
          </w:tcPr>
          <w:p w14:paraId="65E7E7B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0CB1DEB5"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Prefer OCPP</w:t>
            </w:r>
          </w:p>
        </w:tc>
        <w:tc>
          <w:tcPr>
            <w:tcW w:w="2669" w:type="dxa"/>
            <w:tcBorders>
              <w:top w:val="nil"/>
              <w:left w:val="single" w:sz="4" w:space="0" w:color="auto"/>
              <w:bottom w:val="single" w:sz="4" w:space="0" w:color="auto"/>
              <w:right w:val="nil"/>
            </w:tcBorders>
            <w:shd w:val="clear" w:color="auto" w:fill="auto"/>
            <w:noWrap/>
            <w:vAlign w:val="center"/>
            <w:hideMark/>
          </w:tcPr>
          <w:p w14:paraId="1EB97D3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ESS</w:t>
            </w:r>
          </w:p>
        </w:tc>
        <w:tc>
          <w:tcPr>
            <w:tcW w:w="1134" w:type="dxa"/>
            <w:tcBorders>
              <w:top w:val="nil"/>
              <w:left w:val="single" w:sz="4" w:space="0" w:color="auto"/>
              <w:bottom w:val="nil"/>
              <w:right w:val="single" w:sz="4" w:space="0" w:color="auto"/>
            </w:tcBorders>
            <w:shd w:val="clear" w:color="auto" w:fill="auto"/>
            <w:noWrap/>
            <w:vAlign w:val="center"/>
            <w:hideMark/>
          </w:tcPr>
          <w:p w14:paraId="4D04F74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23E6472F" w14:textId="77777777" w:rsidTr="00304C5F">
        <w:trPr>
          <w:trHeight w:val="300"/>
        </w:trPr>
        <w:tc>
          <w:tcPr>
            <w:tcW w:w="1779" w:type="dxa"/>
            <w:tcBorders>
              <w:top w:val="single" w:sz="4" w:space="0" w:color="auto"/>
              <w:left w:val="single" w:sz="4" w:space="0" w:color="auto"/>
              <w:bottom w:val="single" w:sz="4" w:space="0" w:color="auto"/>
              <w:right w:val="nil"/>
            </w:tcBorders>
            <w:shd w:val="clear" w:color="auto" w:fill="auto"/>
            <w:noWrap/>
            <w:vAlign w:val="center"/>
            <w:hideMark/>
          </w:tcPr>
          <w:p w14:paraId="34F04C80" w14:textId="78C2DB9A" w:rsidR="006140E0" w:rsidRPr="00A85625" w:rsidRDefault="00304C5F" w:rsidP="000A6A2C">
            <w:pPr>
              <w:spacing w:after="0" w:line="240" w:lineRule="auto"/>
              <w:rPr>
                <w:rFonts w:ascii="Calibri" w:eastAsia="Times New Roman" w:hAnsi="Calibri" w:cs="Calibri"/>
                <w:color w:val="000000"/>
                <w:sz w:val="18"/>
                <w:szCs w:val="18"/>
                <w:lang w:val="en-AU" w:eastAsia="en-AU"/>
              </w:rPr>
            </w:pPr>
            <w:r>
              <w:rPr>
                <w:rFonts w:ascii="Calibri" w:eastAsia="Times New Roman" w:hAnsi="Calibri" w:cs="Calibri"/>
                <w:color w:val="000000"/>
                <w:sz w:val="18"/>
                <w:szCs w:val="18"/>
                <w:lang w:val="en-AU" w:eastAsia="en-AU"/>
              </w:rPr>
              <w:t>9</w:t>
            </w:r>
          </w:p>
        </w:tc>
        <w:tc>
          <w:tcPr>
            <w:tcW w:w="1881" w:type="dxa"/>
            <w:tcBorders>
              <w:top w:val="single" w:sz="4" w:space="0" w:color="auto"/>
              <w:left w:val="nil"/>
              <w:bottom w:val="single" w:sz="4" w:space="0" w:color="auto"/>
              <w:right w:val="nil"/>
            </w:tcBorders>
            <w:shd w:val="clear" w:color="auto" w:fill="auto"/>
            <w:noWrap/>
            <w:vAlign w:val="center"/>
            <w:hideMark/>
          </w:tcPr>
          <w:p w14:paraId="01B39B6D" w14:textId="20BD80AB"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r w:rsidR="000A6A2C">
              <w:rPr>
                <w:rFonts w:ascii="Calibri" w:eastAsia="Times New Roman" w:hAnsi="Calibri" w:cs="Calibri"/>
                <w:color w:val="000000"/>
                <w:sz w:val="18"/>
                <w:szCs w:val="18"/>
                <w:lang w:val="en-AU" w:eastAsia="en-AU"/>
              </w:rPr>
              <w:t>Total (u</w:t>
            </w:r>
            <w:r w:rsidR="00F36459">
              <w:rPr>
                <w:rFonts w:ascii="Calibri" w:eastAsia="Times New Roman" w:hAnsi="Calibri" w:cs="Calibri"/>
                <w:color w:val="000000"/>
                <w:sz w:val="18"/>
                <w:szCs w:val="18"/>
                <w:lang w:val="en-AU" w:eastAsia="en-AU"/>
              </w:rPr>
              <w:t>nconditional</w:t>
            </w:r>
            <w:r w:rsidR="000A6A2C">
              <w:rPr>
                <w:rFonts w:ascii="Calibri" w:eastAsia="Times New Roman" w:hAnsi="Calibri" w:cs="Calibri"/>
                <w:color w:val="000000"/>
                <w:sz w:val="18"/>
                <w:szCs w:val="18"/>
                <w:lang w:val="en-AU" w:eastAsia="en-AU"/>
              </w:rPr>
              <w:t>)</w:t>
            </w:r>
            <w:r w:rsidR="00F36459">
              <w:rPr>
                <w:rFonts w:ascii="Calibri" w:eastAsia="Times New Roman" w:hAnsi="Calibri" w:cs="Calibri"/>
                <w:color w:val="000000"/>
                <w:sz w:val="18"/>
                <w:szCs w:val="18"/>
                <w:lang w:val="en-AU" w:eastAsia="en-AU"/>
              </w:rPr>
              <w:t xml:space="preserve">  </w:t>
            </w:r>
          </w:p>
        </w:tc>
        <w:tc>
          <w:tcPr>
            <w:tcW w:w="674" w:type="dxa"/>
            <w:tcBorders>
              <w:top w:val="single" w:sz="4" w:space="0" w:color="auto"/>
              <w:left w:val="single" w:sz="4" w:space="0" w:color="auto"/>
              <w:bottom w:val="single" w:sz="4" w:space="0" w:color="auto"/>
              <w:right w:val="nil"/>
            </w:tcBorders>
            <w:shd w:val="clear" w:color="auto" w:fill="auto"/>
            <w:noWrap/>
            <w:vAlign w:val="center"/>
            <w:hideMark/>
          </w:tcPr>
          <w:p w14:paraId="625E5EA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6</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962973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674" w:type="dxa"/>
            <w:tcBorders>
              <w:top w:val="single" w:sz="4" w:space="0" w:color="auto"/>
              <w:left w:val="nil"/>
              <w:bottom w:val="single" w:sz="4" w:space="0" w:color="auto"/>
              <w:right w:val="nil"/>
            </w:tcBorders>
            <w:shd w:val="clear" w:color="auto" w:fill="auto"/>
            <w:noWrap/>
            <w:vAlign w:val="center"/>
            <w:hideMark/>
          </w:tcPr>
          <w:p w14:paraId="364F382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6</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182AD61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674" w:type="dxa"/>
            <w:tcBorders>
              <w:top w:val="single" w:sz="4" w:space="0" w:color="auto"/>
              <w:left w:val="nil"/>
              <w:bottom w:val="single" w:sz="4" w:space="0" w:color="auto"/>
              <w:right w:val="nil"/>
            </w:tcBorders>
            <w:shd w:val="clear" w:color="auto" w:fill="auto"/>
            <w:noWrap/>
            <w:vAlign w:val="center"/>
            <w:hideMark/>
          </w:tcPr>
          <w:p w14:paraId="3E64E01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6</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3EF6A09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2668" w:type="dxa"/>
            <w:tcBorders>
              <w:top w:val="single" w:sz="4" w:space="0" w:color="auto"/>
              <w:left w:val="nil"/>
              <w:bottom w:val="single" w:sz="4" w:space="0" w:color="auto"/>
              <w:right w:val="single" w:sz="4" w:space="0" w:color="auto"/>
            </w:tcBorders>
            <w:shd w:val="clear" w:color="auto" w:fill="auto"/>
            <w:noWrap/>
            <w:vAlign w:val="center"/>
            <w:hideMark/>
          </w:tcPr>
          <w:p w14:paraId="167C65FA" w14:textId="711144D9"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single" w:sz="4" w:space="0" w:color="auto"/>
              <w:right w:val="nil"/>
            </w:tcBorders>
            <w:shd w:val="clear" w:color="auto" w:fill="auto"/>
            <w:noWrap/>
            <w:vAlign w:val="center"/>
            <w:hideMark/>
          </w:tcPr>
          <w:p w14:paraId="3D60F17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C9E0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03FE886F"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5445A01A"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Elec retailers</w:t>
            </w:r>
          </w:p>
        </w:tc>
        <w:tc>
          <w:tcPr>
            <w:tcW w:w="1881" w:type="dxa"/>
            <w:tcBorders>
              <w:top w:val="nil"/>
              <w:left w:val="nil"/>
              <w:bottom w:val="nil"/>
              <w:right w:val="nil"/>
            </w:tcBorders>
            <w:shd w:val="clear" w:color="auto" w:fill="auto"/>
            <w:noWrap/>
            <w:vAlign w:val="center"/>
            <w:hideMark/>
          </w:tcPr>
          <w:p w14:paraId="0E1BF0F9"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AEC</w:t>
            </w:r>
          </w:p>
        </w:tc>
        <w:tc>
          <w:tcPr>
            <w:tcW w:w="674" w:type="dxa"/>
            <w:tcBorders>
              <w:top w:val="nil"/>
              <w:left w:val="single" w:sz="4" w:space="0" w:color="auto"/>
              <w:bottom w:val="nil"/>
              <w:right w:val="nil"/>
            </w:tcBorders>
            <w:shd w:val="clear" w:color="auto" w:fill="auto"/>
            <w:noWrap/>
            <w:vAlign w:val="center"/>
            <w:hideMark/>
          </w:tcPr>
          <w:p w14:paraId="60F826A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2AF0606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62AE8FE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DD2836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7006F58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6054AD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nil"/>
              <w:right w:val="single" w:sz="4" w:space="0" w:color="auto"/>
            </w:tcBorders>
            <w:shd w:val="clear" w:color="auto" w:fill="auto"/>
            <w:noWrap/>
            <w:vAlign w:val="center"/>
            <w:hideMark/>
          </w:tcPr>
          <w:p w14:paraId="24146F53"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Need a WG to resolve std.</w:t>
            </w:r>
          </w:p>
        </w:tc>
        <w:tc>
          <w:tcPr>
            <w:tcW w:w="2669" w:type="dxa"/>
            <w:tcBorders>
              <w:top w:val="nil"/>
              <w:left w:val="single" w:sz="4" w:space="0" w:color="auto"/>
              <w:bottom w:val="nil"/>
              <w:right w:val="nil"/>
            </w:tcBorders>
            <w:shd w:val="clear" w:color="auto" w:fill="auto"/>
            <w:noWrap/>
            <w:vAlign w:val="center"/>
            <w:hideMark/>
          </w:tcPr>
          <w:p w14:paraId="3EFF817E"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6B179D6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460DD473"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56C4C24B"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555EAB62"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AGL</w:t>
            </w:r>
          </w:p>
        </w:tc>
        <w:tc>
          <w:tcPr>
            <w:tcW w:w="674" w:type="dxa"/>
            <w:tcBorders>
              <w:top w:val="nil"/>
              <w:left w:val="single" w:sz="4" w:space="0" w:color="auto"/>
              <w:bottom w:val="nil"/>
              <w:right w:val="nil"/>
            </w:tcBorders>
            <w:shd w:val="clear" w:color="auto" w:fill="auto"/>
            <w:noWrap/>
            <w:vAlign w:val="center"/>
            <w:hideMark/>
          </w:tcPr>
          <w:p w14:paraId="2BE1BD4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E26E4C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0523383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332FE62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4F9E2A8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1D2899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nil"/>
              <w:right w:val="single" w:sz="4" w:space="0" w:color="auto"/>
            </w:tcBorders>
            <w:shd w:val="clear" w:color="auto" w:fill="auto"/>
            <w:noWrap/>
            <w:vAlign w:val="center"/>
            <w:hideMark/>
          </w:tcPr>
          <w:p w14:paraId="04F5F639"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Need a WG to resolve std.</w:t>
            </w:r>
          </w:p>
        </w:tc>
        <w:tc>
          <w:tcPr>
            <w:tcW w:w="2669" w:type="dxa"/>
            <w:tcBorders>
              <w:top w:val="nil"/>
              <w:left w:val="single" w:sz="4" w:space="0" w:color="auto"/>
              <w:bottom w:val="nil"/>
              <w:right w:val="nil"/>
            </w:tcBorders>
            <w:shd w:val="clear" w:color="auto" w:fill="auto"/>
            <w:noWrap/>
            <w:vAlign w:val="center"/>
            <w:hideMark/>
          </w:tcPr>
          <w:p w14:paraId="6AF3A64C"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203FAE4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08D5D6C8"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1B9C26E2"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508C5D2E"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EnergyAustralia</w:t>
            </w:r>
          </w:p>
        </w:tc>
        <w:tc>
          <w:tcPr>
            <w:tcW w:w="674" w:type="dxa"/>
            <w:tcBorders>
              <w:top w:val="nil"/>
              <w:left w:val="single" w:sz="4" w:space="0" w:color="auto"/>
              <w:bottom w:val="nil"/>
              <w:right w:val="nil"/>
            </w:tcBorders>
            <w:shd w:val="clear" w:color="auto" w:fill="auto"/>
            <w:noWrap/>
            <w:vAlign w:val="center"/>
            <w:hideMark/>
          </w:tcPr>
          <w:p w14:paraId="33DF869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213A9F9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108B30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25C7F6B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0350C40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4C7C98C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62FD1302"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21CF1DF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Inverters, ESS</w:t>
            </w:r>
          </w:p>
        </w:tc>
        <w:tc>
          <w:tcPr>
            <w:tcW w:w="1134" w:type="dxa"/>
            <w:tcBorders>
              <w:top w:val="nil"/>
              <w:left w:val="single" w:sz="4" w:space="0" w:color="auto"/>
              <w:bottom w:val="nil"/>
              <w:right w:val="single" w:sz="4" w:space="0" w:color="auto"/>
            </w:tcBorders>
            <w:shd w:val="clear" w:color="auto" w:fill="auto"/>
            <w:noWrap/>
            <w:vAlign w:val="center"/>
            <w:hideMark/>
          </w:tcPr>
          <w:p w14:paraId="21BDC907"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4B608829"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0E9D63D7"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470BF6E3"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Mondo Power</w:t>
            </w:r>
          </w:p>
        </w:tc>
        <w:tc>
          <w:tcPr>
            <w:tcW w:w="674" w:type="dxa"/>
            <w:tcBorders>
              <w:top w:val="nil"/>
              <w:left w:val="single" w:sz="4" w:space="0" w:color="auto"/>
              <w:bottom w:val="nil"/>
              <w:right w:val="nil"/>
            </w:tcBorders>
            <w:shd w:val="clear" w:color="auto" w:fill="auto"/>
            <w:noWrap/>
            <w:vAlign w:val="center"/>
            <w:hideMark/>
          </w:tcPr>
          <w:p w14:paraId="310B3CC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17268D3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D04F77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02963A5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848F89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0275A2A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75EDE3CA"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4248B7A4"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7AB9F7B3"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1738954B"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515469BB"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2E6906CC"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Origin</w:t>
            </w:r>
          </w:p>
        </w:tc>
        <w:tc>
          <w:tcPr>
            <w:tcW w:w="674" w:type="dxa"/>
            <w:tcBorders>
              <w:top w:val="nil"/>
              <w:left w:val="single" w:sz="4" w:space="0" w:color="auto"/>
              <w:bottom w:val="nil"/>
              <w:right w:val="nil"/>
            </w:tcBorders>
            <w:shd w:val="clear" w:color="auto" w:fill="auto"/>
            <w:noWrap/>
            <w:vAlign w:val="center"/>
            <w:hideMark/>
          </w:tcPr>
          <w:p w14:paraId="0E368E1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DF6A56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5A3378F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3B3955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1B73D6C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4603A3C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nil"/>
              <w:right w:val="single" w:sz="4" w:space="0" w:color="auto"/>
            </w:tcBorders>
            <w:shd w:val="clear" w:color="auto" w:fill="auto"/>
            <w:noWrap/>
            <w:vAlign w:val="center"/>
            <w:hideMark/>
          </w:tcPr>
          <w:p w14:paraId="14ADE893"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Need a WG to resolve std.</w:t>
            </w:r>
          </w:p>
        </w:tc>
        <w:tc>
          <w:tcPr>
            <w:tcW w:w="2669" w:type="dxa"/>
            <w:tcBorders>
              <w:top w:val="nil"/>
              <w:left w:val="single" w:sz="4" w:space="0" w:color="auto"/>
              <w:bottom w:val="nil"/>
              <w:right w:val="nil"/>
            </w:tcBorders>
            <w:shd w:val="clear" w:color="auto" w:fill="auto"/>
            <w:noWrap/>
            <w:vAlign w:val="center"/>
            <w:hideMark/>
          </w:tcPr>
          <w:p w14:paraId="6EC0117D"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596BCA31"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0072585A" w14:textId="77777777" w:rsidTr="00F36459">
        <w:trPr>
          <w:trHeight w:val="300"/>
        </w:trPr>
        <w:tc>
          <w:tcPr>
            <w:tcW w:w="1779" w:type="dxa"/>
            <w:tcBorders>
              <w:top w:val="nil"/>
              <w:left w:val="single" w:sz="4" w:space="0" w:color="auto"/>
              <w:bottom w:val="single" w:sz="4" w:space="0" w:color="auto"/>
              <w:right w:val="nil"/>
            </w:tcBorders>
            <w:shd w:val="clear" w:color="auto" w:fill="auto"/>
            <w:noWrap/>
            <w:vAlign w:val="center"/>
            <w:hideMark/>
          </w:tcPr>
          <w:p w14:paraId="70C40967"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single" w:sz="4" w:space="0" w:color="auto"/>
              <w:right w:val="nil"/>
            </w:tcBorders>
            <w:shd w:val="clear" w:color="auto" w:fill="auto"/>
            <w:noWrap/>
            <w:vAlign w:val="center"/>
            <w:hideMark/>
          </w:tcPr>
          <w:p w14:paraId="2BA9A63C"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Simply Energy</w:t>
            </w:r>
          </w:p>
        </w:tc>
        <w:tc>
          <w:tcPr>
            <w:tcW w:w="674" w:type="dxa"/>
            <w:tcBorders>
              <w:top w:val="nil"/>
              <w:left w:val="single" w:sz="4" w:space="0" w:color="auto"/>
              <w:bottom w:val="single" w:sz="4" w:space="0" w:color="auto"/>
              <w:right w:val="nil"/>
            </w:tcBorders>
            <w:shd w:val="clear" w:color="auto" w:fill="auto"/>
            <w:noWrap/>
            <w:vAlign w:val="center"/>
            <w:hideMark/>
          </w:tcPr>
          <w:p w14:paraId="265B225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single" w:sz="4" w:space="0" w:color="auto"/>
              <w:right w:val="single" w:sz="4" w:space="0" w:color="auto"/>
            </w:tcBorders>
            <w:shd w:val="clear" w:color="auto" w:fill="auto"/>
            <w:noWrap/>
            <w:vAlign w:val="center"/>
            <w:hideMark/>
          </w:tcPr>
          <w:p w14:paraId="1141359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single" w:sz="4" w:space="0" w:color="auto"/>
              <w:right w:val="nil"/>
            </w:tcBorders>
            <w:shd w:val="clear" w:color="auto" w:fill="auto"/>
            <w:noWrap/>
            <w:vAlign w:val="center"/>
            <w:hideMark/>
          </w:tcPr>
          <w:p w14:paraId="0DB13DA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single" w:sz="4" w:space="0" w:color="auto"/>
              <w:right w:val="single" w:sz="4" w:space="0" w:color="auto"/>
            </w:tcBorders>
            <w:shd w:val="clear" w:color="auto" w:fill="auto"/>
            <w:noWrap/>
            <w:vAlign w:val="center"/>
            <w:hideMark/>
          </w:tcPr>
          <w:p w14:paraId="639786D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single" w:sz="4" w:space="0" w:color="auto"/>
              <w:right w:val="nil"/>
            </w:tcBorders>
            <w:shd w:val="clear" w:color="auto" w:fill="auto"/>
            <w:noWrap/>
            <w:vAlign w:val="center"/>
            <w:hideMark/>
          </w:tcPr>
          <w:p w14:paraId="471D998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single" w:sz="4" w:space="0" w:color="auto"/>
              <w:right w:val="single" w:sz="4" w:space="0" w:color="auto"/>
            </w:tcBorders>
            <w:shd w:val="clear" w:color="auto" w:fill="auto"/>
            <w:noWrap/>
            <w:vAlign w:val="center"/>
            <w:hideMark/>
          </w:tcPr>
          <w:p w14:paraId="5598010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single" w:sz="4" w:space="0" w:color="auto"/>
              <w:right w:val="single" w:sz="4" w:space="0" w:color="auto"/>
            </w:tcBorders>
            <w:shd w:val="clear" w:color="auto" w:fill="auto"/>
            <w:noWrap/>
            <w:vAlign w:val="center"/>
            <w:hideMark/>
          </w:tcPr>
          <w:p w14:paraId="436C1E5E"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c>
          <w:tcPr>
            <w:tcW w:w="2669" w:type="dxa"/>
            <w:tcBorders>
              <w:top w:val="nil"/>
              <w:left w:val="single" w:sz="4" w:space="0" w:color="auto"/>
              <w:bottom w:val="single" w:sz="4" w:space="0" w:color="auto"/>
              <w:right w:val="nil"/>
            </w:tcBorders>
            <w:shd w:val="clear" w:color="auto" w:fill="auto"/>
            <w:noWrap/>
            <w:vAlign w:val="center"/>
            <w:hideMark/>
          </w:tcPr>
          <w:p w14:paraId="25D5D82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nil"/>
              <w:left w:val="single" w:sz="4" w:space="0" w:color="auto"/>
              <w:bottom w:val="nil"/>
              <w:right w:val="single" w:sz="4" w:space="0" w:color="auto"/>
            </w:tcBorders>
            <w:shd w:val="clear" w:color="auto" w:fill="auto"/>
            <w:noWrap/>
            <w:vAlign w:val="center"/>
            <w:hideMark/>
          </w:tcPr>
          <w:p w14:paraId="17D278D6"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r>
      <w:tr w:rsidR="00A85625" w:rsidRPr="00A85625" w14:paraId="27D7810F" w14:textId="77777777" w:rsidTr="00F36459">
        <w:trPr>
          <w:trHeight w:val="300"/>
        </w:trPr>
        <w:tc>
          <w:tcPr>
            <w:tcW w:w="1779" w:type="dxa"/>
            <w:tcBorders>
              <w:top w:val="nil"/>
              <w:left w:val="single" w:sz="4" w:space="0" w:color="auto"/>
              <w:bottom w:val="single" w:sz="4" w:space="0" w:color="auto"/>
              <w:right w:val="nil"/>
            </w:tcBorders>
            <w:shd w:val="clear" w:color="auto" w:fill="auto"/>
            <w:noWrap/>
            <w:vAlign w:val="center"/>
            <w:hideMark/>
          </w:tcPr>
          <w:p w14:paraId="3DB4276C"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6</w:t>
            </w:r>
          </w:p>
        </w:tc>
        <w:tc>
          <w:tcPr>
            <w:tcW w:w="1881" w:type="dxa"/>
            <w:tcBorders>
              <w:top w:val="nil"/>
              <w:left w:val="nil"/>
              <w:bottom w:val="single" w:sz="4" w:space="0" w:color="auto"/>
              <w:right w:val="nil"/>
            </w:tcBorders>
            <w:shd w:val="clear" w:color="auto" w:fill="auto"/>
            <w:noWrap/>
            <w:vAlign w:val="center"/>
            <w:hideMark/>
          </w:tcPr>
          <w:p w14:paraId="435932F3" w14:textId="2B490A0C" w:rsidR="006140E0" w:rsidRPr="00A85625" w:rsidRDefault="000A6A2C" w:rsidP="006140E0">
            <w:pPr>
              <w:spacing w:after="0" w:line="240" w:lineRule="auto"/>
              <w:rPr>
                <w:rFonts w:ascii="Calibri" w:eastAsia="Times New Roman" w:hAnsi="Calibri" w:cs="Calibri"/>
                <w:color w:val="000000"/>
                <w:sz w:val="18"/>
                <w:szCs w:val="18"/>
                <w:lang w:val="en-AU" w:eastAsia="en-AU"/>
              </w:rPr>
            </w:pPr>
            <w:r w:rsidRPr="000A6A2C">
              <w:rPr>
                <w:rFonts w:ascii="Calibri" w:eastAsia="Times New Roman" w:hAnsi="Calibri" w:cs="Calibri"/>
                <w:color w:val="000000"/>
                <w:sz w:val="18"/>
                <w:szCs w:val="18"/>
                <w:lang w:val="en-AU" w:eastAsia="en-AU"/>
              </w:rPr>
              <w:t xml:space="preserve">Total (unconditional)  </w:t>
            </w:r>
          </w:p>
        </w:tc>
        <w:tc>
          <w:tcPr>
            <w:tcW w:w="674" w:type="dxa"/>
            <w:tcBorders>
              <w:top w:val="nil"/>
              <w:left w:val="single" w:sz="4" w:space="0" w:color="auto"/>
              <w:bottom w:val="single" w:sz="4" w:space="0" w:color="auto"/>
              <w:right w:val="nil"/>
            </w:tcBorders>
            <w:shd w:val="clear" w:color="auto" w:fill="auto"/>
            <w:noWrap/>
            <w:vAlign w:val="center"/>
            <w:hideMark/>
          </w:tcPr>
          <w:p w14:paraId="50047BF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2</w:t>
            </w:r>
          </w:p>
        </w:tc>
        <w:tc>
          <w:tcPr>
            <w:tcW w:w="674" w:type="dxa"/>
            <w:tcBorders>
              <w:top w:val="nil"/>
              <w:left w:val="nil"/>
              <w:bottom w:val="single" w:sz="4" w:space="0" w:color="auto"/>
              <w:right w:val="single" w:sz="4" w:space="0" w:color="auto"/>
            </w:tcBorders>
            <w:shd w:val="clear" w:color="auto" w:fill="auto"/>
            <w:noWrap/>
            <w:vAlign w:val="center"/>
            <w:hideMark/>
          </w:tcPr>
          <w:p w14:paraId="57150EA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w:t>
            </w:r>
          </w:p>
        </w:tc>
        <w:tc>
          <w:tcPr>
            <w:tcW w:w="674" w:type="dxa"/>
            <w:tcBorders>
              <w:top w:val="nil"/>
              <w:left w:val="nil"/>
              <w:bottom w:val="single" w:sz="4" w:space="0" w:color="auto"/>
              <w:right w:val="nil"/>
            </w:tcBorders>
            <w:shd w:val="clear" w:color="auto" w:fill="auto"/>
            <w:noWrap/>
            <w:vAlign w:val="center"/>
            <w:hideMark/>
          </w:tcPr>
          <w:p w14:paraId="5DDFAE3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2</w:t>
            </w:r>
          </w:p>
        </w:tc>
        <w:tc>
          <w:tcPr>
            <w:tcW w:w="674" w:type="dxa"/>
            <w:tcBorders>
              <w:top w:val="nil"/>
              <w:left w:val="nil"/>
              <w:bottom w:val="single" w:sz="4" w:space="0" w:color="auto"/>
              <w:right w:val="single" w:sz="4" w:space="0" w:color="auto"/>
            </w:tcBorders>
            <w:shd w:val="clear" w:color="auto" w:fill="auto"/>
            <w:noWrap/>
            <w:vAlign w:val="center"/>
            <w:hideMark/>
          </w:tcPr>
          <w:p w14:paraId="692AC7B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w:t>
            </w:r>
          </w:p>
        </w:tc>
        <w:tc>
          <w:tcPr>
            <w:tcW w:w="674" w:type="dxa"/>
            <w:tcBorders>
              <w:top w:val="nil"/>
              <w:left w:val="nil"/>
              <w:bottom w:val="single" w:sz="4" w:space="0" w:color="auto"/>
              <w:right w:val="nil"/>
            </w:tcBorders>
            <w:shd w:val="clear" w:color="auto" w:fill="auto"/>
            <w:noWrap/>
            <w:vAlign w:val="center"/>
            <w:hideMark/>
          </w:tcPr>
          <w:p w14:paraId="293BEA7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2</w:t>
            </w:r>
          </w:p>
        </w:tc>
        <w:tc>
          <w:tcPr>
            <w:tcW w:w="674" w:type="dxa"/>
            <w:tcBorders>
              <w:top w:val="nil"/>
              <w:left w:val="nil"/>
              <w:bottom w:val="single" w:sz="4" w:space="0" w:color="auto"/>
              <w:right w:val="single" w:sz="4" w:space="0" w:color="auto"/>
            </w:tcBorders>
            <w:shd w:val="clear" w:color="auto" w:fill="auto"/>
            <w:noWrap/>
            <w:vAlign w:val="center"/>
            <w:hideMark/>
          </w:tcPr>
          <w:p w14:paraId="7A9E487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w:t>
            </w:r>
          </w:p>
        </w:tc>
        <w:tc>
          <w:tcPr>
            <w:tcW w:w="2668" w:type="dxa"/>
            <w:tcBorders>
              <w:top w:val="nil"/>
              <w:left w:val="nil"/>
              <w:bottom w:val="single" w:sz="4" w:space="0" w:color="auto"/>
              <w:right w:val="single" w:sz="4" w:space="0" w:color="auto"/>
            </w:tcBorders>
            <w:shd w:val="clear" w:color="auto" w:fill="auto"/>
            <w:noWrap/>
            <w:vAlign w:val="center"/>
            <w:hideMark/>
          </w:tcPr>
          <w:p w14:paraId="254F05C0" w14:textId="3E8B1B83"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single" w:sz="4" w:space="0" w:color="auto"/>
              <w:right w:val="nil"/>
            </w:tcBorders>
            <w:shd w:val="clear" w:color="auto" w:fill="auto"/>
            <w:noWrap/>
            <w:vAlign w:val="center"/>
            <w:hideMark/>
          </w:tcPr>
          <w:p w14:paraId="639C6EC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325A3"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6E053671"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117EE1B0"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AC industry</w:t>
            </w:r>
          </w:p>
        </w:tc>
        <w:tc>
          <w:tcPr>
            <w:tcW w:w="1881" w:type="dxa"/>
            <w:tcBorders>
              <w:top w:val="nil"/>
              <w:left w:val="nil"/>
              <w:bottom w:val="nil"/>
              <w:right w:val="nil"/>
            </w:tcBorders>
            <w:shd w:val="clear" w:color="auto" w:fill="auto"/>
            <w:noWrap/>
            <w:vAlign w:val="center"/>
            <w:hideMark/>
          </w:tcPr>
          <w:p w14:paraId="4BA4E11F"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ActronAir</w:t>
            </w:r>
          </w:p>
        </w:tc>
        <w:tc>
          <w:tcPr>
            <w:tcW w:w="674" w:type="dxa"/>
            <w:tcBorders>
              <w:top w:val="nil"/>
              <w:left w:val="single" w:sz="4" w:space="0" w:color="auto"/>
              <w:bottom w:val="nil"/>
              <w:right w:val="nil"/>
            </w:tcBorders>
            <w:shd w:val="clear" w:color="auto" w:fill="auto"/>
            <w:noWrap/>
            <w:vAlign w:val="center"/>
            <w:hideMark/>
          </w:tcPr>
          <w:p w14:paraId="0F5D475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886AFB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320FFAE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2A18B68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111F074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6E66E50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7C6D9DF3"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1451741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If mandated, 2012V</w:t>
            </w:r>
          </w:p>
        </w:tc>
        <w:tc>
          <w:tcPr>
            <w:tcW w:w="1134" w:type="dxa"/>
            <w:tcBorders>
              <w:top w:val="nil"/>
              <w:left w:val="single" w:sz="4" w:space="0" w:color="auto"/>
              <w:bottom w:val="nil"/>
              <w:right w:val="single" w:sz="4" w:space="0" w:color="auto"/>
            </w:tcBorders>
            <w:shd w:val="clear" w:color="auto" w:fill="auto"/>
            <w:noWrap/>
            <w:vAlign w:val="center"/>
            <w:hideMark/>
          </w:tcPr>
          <w:p w14:paraId="13DF0666"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13BBDC9D"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59068084"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697D1E5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AREMA</w:t>
            </w:r>
          </w:p>
        </w:tc>
        <w:tc>
          <w:tcPr>
            <w:tcW w:w="674" w:type="dxa"/>
            <w:tcBorders>
              <w:top w:val="nil"/>
              <w:left w:val="single" w:sz="4" w:space="0" w:color="auto"/>
              <w:bottom w:val="nil"/>
              <w:right w:val="nil"/>
            </w:tcBorders>
            <w:shd w:val="clear" w:color="auto" w:fill="auto"/>
            <w:noWrap/>
            <w:vAlign w:val="center"/>
            <w:hideMark/>
          </w:tcPr>
          <w:p w14:paraId="0002005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67D4ED4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6EA0133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E0EED5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DB3147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A25037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49034F0A"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1EFC05CE"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Voluntary, 2012V</w:t>
            </w:r>
          </w:p>
        </w:tc>
        <w:tc>
          <w:tcPr>
            <w:tcW w:w="1134" w:type="dxa"/>
            <w:tcBorders>
              <w:top w:val="nil"/>
              <w:left w:val="single" w:sz="4" w:space="0" w:color="auto"/>
              <w:bottom w:val="nil"/>
              <w:right w:val="single" w:sz="4" w:space="0" w:color="auto"/>
            </w:tcBorders>
            <w:shd w:val="clear" w:color="auto" w:fill="auto"/>
            <w:noWrap/>
            <w:vAlign w:val="center"/>
            <w:hideMark/>
          </w:tcPr>
          <w:p w14:paraId="45777B2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1C76F95E"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290B1FEB"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2AD44CA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CESA</w:t>
            </w:r>
          </w:p>
        </w:tc>
        <w:tc>
          <w:tcPr>
            <w:tcW w:w="674" w:type="dxa"/>
            <w:tcBorders>
              <w:top w:val="nil"/>
              <w:left w:val="single" w:sz="4" w:space="0" w:color="auto"/>
              <w:bottom w:val="nil"/>
              <w:right w:val="nil"/>
            </w:tcBorders>
            <w:shd w:val="clear" w:color="auto" w:fill="auto"/>
            <w:noWrap/>
            <w:vAlign w:val="center"/>
            <w:hideMark/>
          </w:tcPr>
          <w:p w14:paraId="2D8D1A5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1938C25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31836C2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19D9D08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4212D7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17D951E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nil"/>
              <w:right w:val="single" w:sz="4" w:space="0" w:color="auto"/>
            </w:tcBorders>
            <w:shd w:val="clear" w:color="auto" w:fill="auto"/>
            <w:noWrap/>
            <w:vAlign w:val="center"/>
            <w:hideMark/>
          </w:tcPr>
          <w:p w14:paraId="0728869B"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38C0A0CE"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Voluntary, 2012V</w:t>
            </w:r>
          </w:p>
        </w:tc>
        <w:tc>
          <w:tcPr>
            <w:tcW w:w="1134" w:type="dxa"/>
            <w:tcBorders>
              <w:top w:val="nil"/>
              <w:left w:val="single" w:sz="4" w:space="0" w:color="auto"/>
              <w:bottom w:val="nil"/>
              <w:right w:val="single" w:sz="4" w:space="0" w:color="auto"/>
            </w:tcBorders>
            <w:shd w:val="clear" w:color="auto" w:fill="auto"/>
            <w:noWrap/>
            <w:vAlign w:val="center"/>
            <w:hideMark/>
          </w:tcPr>
          <w:p w14:paraId="50E5D707"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5BA76C09"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1B494C1D"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65F9BA8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Daikin</w:t>
            </w:r>
          </w:p>
        </w:tc>
        <w:tc>
          <w:tcPr>
            <w:tcW w:w="674" w:type="dxa"/>
            <w:tcBorders>
              <w:top w:val="nil"/>
              <w:left w:val="single" w:sz="4" w:space="0" w:color="auto"/>
              <w:bottom w:val="nil"/>
              <w:right w:val="nil"/>
            </w:tcBorders>
            <w:shd w:val="clear" w:color="auto" w:fill="auto"/>
            <w:noWrap/>
            <w:vAlign w:val="center"/>
            <w:hideMark/>
          </w:tcPr>
          <w:p w14:paraId="38754CD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710D93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2C6A3DB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2CF7A4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C9341A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684B46B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2AE3D1BD"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00F2068C"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Voluntary, 2012V</w:t>
            </w:r>
          </w:p>
        </w:tc>
        <w:tc>
          <w:tcPr>
            <w:tcW w:w="1134" w:type="dxa"/>
            <w:tcBorders>
              <w:top w:val="nil"/>
              <w:left w:val="single" w:sz="4" w:space="0" w:color="auto"/>
              <w:bottom w:val="nil"/>
              <w:right w:val="single" w:sz="4" w:space="0" w:color="auto"/>
            </w:tcBorders>
            <w:shd w:val="clear" w:color="auto" w:fill="auto"/>
            <w:noWrap/>
            <w:vAlign w:val="center"/>
            <w:hideMark/>
          </w:tcPr>
          <w:p w14:paraId="5FF1D5E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18ACC89E"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40E88344"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3300940E"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Fujitsu General</w:t>
            </w:r>
          </w:p>
        </w:tc>
        <w:tc>
          <w:tcPr>
            <w:tcW w:w="674" w:type="dxa"/>
            <w:tcBorders>
              <w:top w:val="nil"/>
              <w:left w:val="single" w:sz="4" w:space="0" w:color="auto"/>
              <w:bottom w:val="nil"/>
              <w:right w:val="nil"/>
            </w:tcBorders>
            <w:shd w:val="clear" w:color="auto" w:fill="auto"/>
            <w:noWrap/>
            <w:vAlign w:val="center"/>
            <w:hideMark/>
          </w:tcPr>
          <w:p w14:paraId="383CBA7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0CC98DB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B4D96D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A9FAFC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B268B8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0C3A30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7C51BCA5"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66BF113B"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xml:space="preserve">Mandate 2012V </w:t>
            </w:r>
          </w:p>
        </w:tc>
        <w:tc>
          <w:tcPr>
            <w:tcW w:w="1134" w:type="dxa"/>
            <w:tcBorders>
              <w:top w:val="nil"/>
              <w:left w:val="single" w:sz="4" w:space="0" w:color="auto"/>
              <w:bottom w:val="nil"/>
              <w:right w:val="single" w:sz="4" w:space="0" w:color="auto"/>
            </w:tcBorders>
            <w:shd w:val="clear" w:color="auto" w:fill="auto"/>
            <w:noWrap/>
            <w:vAlign w:val="center"/>
            <w:hideMark/>
          </w:tcPr>
          <w:p w14:paraId="4B04F80C"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4707F370"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37990A39"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052A08B9"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JRAIA</w:t>
            </w:r>
          </w:p>
        </w:tc>
        <w:tc>
          <w:tcPr>
            <w:tcW w:w="674" w:type="dxa"/>
            <w:tcBorders>
              <w:top w:val="nil"/>
              <w:left w:val="single" w:sz="4" w:space="0" w:color="auto"/>
              <w:bottom w:val="nil"/>
              <w:right w:val="nil"/>
            </w:tcBorders>
            <w:shd w:val="clear" w:color="auto" w:fill="auto"/>
            <w:noWrap/>
            <w:vAlign w:val="center"/>
            <w:hideMark/>
          </w:tcPr>
          <w:p w14:paraId="389D56C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7170BA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1A25D23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37FE60B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4D068E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3A55306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712E81A8"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20310A9C"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Incentives, 2012V</w:t>
            </w:r>
          </w:p>
        </w:tc>
        <w:tc>
          <w:tcPr>
            <w:tcW w:w="1134" w:type="dxa"/>
            <w:tcBorders>
              <w:top w:val="nil"/>
              <w:left w:val="single" w:sz="4" w:space="0" w:color="auto"/>
              <w:bottom w:val="nil"/>
              <w:right w:val="single" w:sz="4" w:space="0" w:color="auto"/>
            </w:tcBorders>
            <w:shd w:val="clear" w:color="auto" w:fill="auto"/>
            <w:noWrap/>
            <w:vAlign w:val="center"/>
            <w:hideMark/>
          </w:tcPr>
          <w:p w14:paraId="1470D0D3"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0F4D5D9F"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1712DFCA"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4A200287"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Mitsubishi HI</w:t>
            </w:r>
          </w:p>
        </w:tc>
        <w:tc>
          <w:tcPr>
            <w:tcW w:w="674" w:type="dxa"/>
            <w:tcBorders>
              <w:top w:val="nil"/>
              <w:left w:val="single" w:sz="4" w:space="0" w:color="auto"/>
              <w:bottom w:val="nil"/>
              <w:right w:val="nil"/>
            </w:tcBorders>
            <w:shd w:val="clear" w:color="auto" w:fill="auto"/>
            <w:noWrap/>
            <w:vAlign w:val="center"/>
            <w:hideMark/>
          </w:tcPr>
          <w:p w14:paraId="490DCD1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318188E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16CE8F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A31512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102F25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9182E7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0FBBD89D"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3471ADCB"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If mandated, 2012V</w:t>
            </w:r>
          </w:p>
        </w:tc>
        <w:tc>
          <w:tcPr>
            <w:tcW w:w="1134" w:type="dxa"/>
            <w:tcBorders>
              <w:top w:val="nil"/>
              <w:left w:val="single" w:sz="4" w:space="0" w:color="auto"/>
              <w:bottom w:val="nil"/>
              <w:right w:val="single" w:sz="4" w:space="0" w:color="auto"/>
            </w:tcBorders>
            <w:shd w:val="clear" w:color="auto" w:fill="auto"/>
            <w:noWrap/>
            <w:vAlign w:val="center"/>
            <w:hideMark/>
          </w:tcPr>
          <w:p w14:paraId="0825056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723CB1F2" w14:textId="77777777" w:rsidTr="00F36459">
        <w:trPr>
          <w:trHeight w:val="300"/>
        </w:trPr>
        <w:tc>
          <w:tcPr>
            <w:tcW w:w="1779" w:type="dxa"/>
            <w:tcBorders>
              <w:top w:val="single" w:sz="4" w:space="0" w:color="auto"/>
              <w:left w:val="single" w:sz="4" w:space="0" w:color="auto"/>
              <w:bottom w:val="single" w:sz="4" w:space="0" w:color="auto"/>
              <w:right w:val="nil"/>
            </w:tcBorders>
            <w:shd w:val="clear" w:color="auto" w:fill="auto"/>
            <w:noWrap/>
            <w:vAlign w:val="center"/>
            <w:hideMark/>
          </w:tcPr>
          <w:p w14:paraId="260D5363"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7</w:t>
            </w:r>
          </w:p>
        </w:tc>
        <w:tc>
          <w:tcPr>
            <w:tcW w:w="1881" w:type="dxa"/>
            <w:tcBorders>
              <w:top w:val="single" w:sz="4" w:space="0" w:color="auto"/>
              <w:left w:val="nil"/>
              <w:bottom w:val="single" w:sz="4" w:space="0" w:color="auto"/>
              <w:right w:val="nil"/>
            </w:tcBorders>
            <w:shd w:val="clear" w:color="auto" w:fill="auto"/>
            <w:noWrap/>
            <w:vAlign w:val="center"/>
            <w:hideMark/>
          </w:tcPr>
          <w:p w14:paraId="6844C066" w14:textId="383D83ED" w:rsidR="006140E0" w:rsidRPr="00A85625" w:rsidRDefault="000A6A2C" w:rsidP="006140E0">
            <w:pPr>
              <w:spacing w:after="0" w:line="240" w:lineRule="auto"/>
              <w:rPr>
                <w:rFonts w:ascii="Calibri" w:eastAsia="Times New Roman" w:hAnsi="Calibri" w:cs="Calibri"/>
                <w:color w:val="000000"/>
                <w:sz w:val="18"/>
                <w:szCs w:val="18"/>
                <w:lang w:val="en-AU" w:eastAsia="en-AU"/>
              </w:rPr>
            </w:pPr>
            <w:r w:rsidRPr="000A6A2C">
              <w:rPr>
                <w:rFonts w:ascii="Calibri" w:eastAsia="Times New Roman" w:hAnsi="Calibri" w:cs="Calibri"/>
                <w:color w:val="000000"/>
                <w:sz w:val="18"/>
                <w:szCs w:val="18"/>
                <w:lang w:val="en-AU" w:eastAsia="en-AU"/>
              </w:rPr>
              <w:t>Total (unconditional)</w:t>
            </w:r>
            <w:r w:rsidR="006140E0" w:rsidRPr="00A85625">
              <w:rPr>
                <w:rFonts w:ascii="Calibri" w:eastAsia="Times New Roman" w:hAnsi="Calibri" w:cs="Calibri"/>
                <w:color w:val="000000"/>
                <w:sz w:val="18"/>
                <w:szCs w:val="18"/>
                <w:lang w:val="en-AU" w:eastAsia="en-AU"/>
              </w:rPr>
              <w:t> </w:t>
            </w:r>
          </w:p>
        </w:tc>
        <w:tc>
          <w:tcPr>
            <w:tcW w:w="674" w:type="dxa"/>
            <w:tcBorders>
              <w:top w:val="single" w:sz="4" w:space="0" w:color="auto"/>
              <w:left w:val="single" w:sz="4" w:space="0" w:color="auto"/>
              <w:bottom w:val="single" w:sz="4" w:space="0" w:color="auto"/>
              <w:right w:val="nil"/>
            </w:tcBorders>
            <w:shd w:val="clear" w:color="auto" w:fill="auto"/>
            <w:noWrap/>
            <w:vAlign w:val="center"/>
            <w:hideMark/>
          </w:tcPr>
          <w:p w14:paraId="3095F52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03EB9D5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5</w:t>
            </w:r>
          </w:p>
        </w:tc>
        <w:tc>
          <w:tcPr>
            <w:tcW w:w="674" w:type="dxa"/>
            <w:tcBorders>
              <w:top w:val="single" w:sz="4" w:space="0" w:color="auto"/>
              <w:left w:val="nil"/>
              <w:bottom w:val="single" w:sz="4" w:space="0" w:color="auto"/>
              <w:right w:val="nil"/>
            </w:tcBorders>
            <w:shd w:val="clear" w:color="auto" w:fill="auto"/>
            <w:noWrap/>
            <w:vAlign w:val="center"/>
            <w:hideMark/>
          </w:tcPr>
          <w:p w14:paraId="00FEB10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45D9038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674" w:type="dxa"/>
            <w:tcBorders>
              <w:top w:val="single" w:sz="4" w:space="0" w:color="auto"/>
              <w:left w:val="nil"/>
              <w:bottom w:val="single" w:sz="4" w:space="0" w:color="auto"/>
              <w:right w:val="nil"/>
            </w:tcBorders>
            <w:shd w:val="clear" w:color="auto" w:fill="auto"/>
            <w:noWrap/>
            <w:vAlign w:val="center"/>
            <w:hideMark/>
          </w:tcPr>
          <w:p w14:paraId="3169F4B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48DCFFA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single" w:sz="4" w:space="0" w:color="auto"/>
              <w:left w:val="nil"/>
              <w:bottom w:val="single" w:sz="4" w:space="0" w:color="auto"/>
              <w:right w:val="single" w:sz="4" w:space="0" w:color="auto"/>
            </w:tcBorders>
            <w:shd w:val="clear" w:color="auto" w:fill="auto"/>
            <w:noWrap/>
            <w:vAlign w:val="center"/>
            <w:hideMark/>
          </w:tcPr>
          <w:p w14:paraId="61483282" w14:textId="79AB52F8"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single" w:sz="4" w:space="0" w:color="auto"/>
              <w:left w:val="single" w:sz="4" w:space="0" w:color="auto"/>
              <w:bottom w:val="single" w:sz="4" w:space="0" w:color="auto"/>
              <w:right w:val="nil"/>
            </w:tcBorders>
            <w:shd w:val="clear" w:color="auto" w:fill="auto"/>
            <w:noWrap/>
            <w:vAlign w:val="center"/>
            <w:hideMark/>
          </w:tcPr>
          <w:p w14:paraId="29C68FB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3A423"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6FBCADF4"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1D838BF3"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WH industry</w:t>
            </w:r>
          </w:p>
        </w:tc>
        <w:tc>
          <w:tcPr>
            <w:tcW w:w="1881" w:type="dxa"/>
            <w:tcBorders>
              <w:top w:val="nil"/>
              <w:left w:val="nil"/>
              <w:bottom w:val="nil"/>
              <w:right w:val="nil"/>
            </w:tcBorders>
            <w:shd w:val="clear" w:color="auto" w:fill="auto"/>
            <w:noWrap/>
            <w:vAlign w:val="center"/>
            <w:hideMark/>
          </w:tcPr>
          <w:p w14:paraId="5A9CA6A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AIG AWH Forum</w:t>
            </w:r>
          </w:p>
        </w:tc>
        <w:tc>
          <w:tcPr>
            <w:tcW w:w="674" w:type="dxa"/>
            <w:tcBorders>
              <w:top w:val="nil"/>
              <w:left w:val="single" w:sz="4" w:space="0" w:color="auto"/>
              <w:bottom w:val="nil"/>
              <w:right w:val="nil"/>
            </w:tcBorders>
            <w:shd w:val="clear" w:color="auto" w:fill="auto"/>
            <w:noWrap/>
            <w:vAlign w:val="center"/>
            <w:hideMark/>
          </w:tcPr>
          <w:p w14:paraId="46B1D8B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2FD3B6F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81F6E2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18D0FBF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45F4F5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77733B7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w:t>
            </w:r>
          </w:p>
        </w:tc>
        <w:tc>
          <w:tcPr>
            <w:tcW w:w="2668" w:type="dxa"/>
            <w:tcBorders>
              <w:top w:val="nil"/>
              <w:left w:val="nil"/>
              <w:bottom w:val="nil"/>
              <w:right w:val="single" w:sz="4" w:space="0" w:color="auto"/>
            </w:tcBorders>
            <w:shd w:val="clear" w:color="auto" w:fill="auto"/>
            <w:noWrap/>
            <w:vAlign w:val="center"/>
            <w:hideMark/>
          </w:tcPr>
          <w:p w14:paraId="1ABDC217"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7CCBAF1D"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See redraft of 4755.2</w:t>
            </w:r>
          </w:p>
        </w:tc>
        <w:tc>
          <w:tcPr>
            <w:tcW w:w="1134" w:type="dxa"/>
            <w:tcBorders>
              <w:top w:val="nil"/>
              <w:left w:val="single" w:sz="4" w:space="0" w:color="auto"/>
              <w:bottom w:val="nil"/>
              <w:right w:val="single" w:sz="4" w:space="0" w:color="auto"/>
            </w:tcBorders>
            <w:shd w:val="clear" w:color="auto" w:fill="auto"/>
            <w:noWrap/>
            <w:vAlign w:val="center"/>
            <w:hideMark/>
          </w:tcPr>
          <w:p w14:paraId="2D09E5AB"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365B32D7"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346A6BDE"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71B8F1CC"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Chromagen</w:t>
            </w:r>
          </w:p>
        </w:tc>
        <w:tc>
          <w:tcPr>
            <w:tcW w:w="674" w:type="dxa"/>
            <w:tcBorders>
              <w:top w:val="nil"/>
              <w:left w:val="single" w:sz="4" w:space="0" w:color="auto"/>
              <w:bottom w:val="nil"/>
              <w:right w:val="nil"/>
            </w:tcBorders>
            <w:shd w:val="clear" w:color="auto" w:fill="auto"/>
            <w:noWrap/>
            <w:vAlign w:val="center"/>
            <w:hideMark/>
          </w:tcPr>
          <w:p w14:paraId="5F210A4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1193563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C5FB72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F0222F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700448B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6F66F01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w:t>
            </w:r>
          </w:p>
        </w:tc>
        <w:tc>
          <w:tcPr>
            <w:tcW w:w="2668" w:type="dxa"/>
            <w:tcBorders>
              <w:top w:val="nil"/>
              <w:left w:val="nil"/>
              <w:bottom w:val="nil"/>
              <w:right w:val="single" w:sz="4" w:space="0" w:color="auto"/>
            </w:tcBorders>
            <w:shd w:val="clear" w:color="auto" w:fill="auto"/>
            <w:noWrap/>
            <w:vAlign w:val="center"/>
            <w:hideMark/>
          </w:tcPr>
          <w:p w14:paraId="5B15B18B"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6A48FFD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Sees logic of storage</w:t>
            </w:r>
          </w:p>
        </w:tc>
        <w:tc>
          <w:tcPr>
            <w:tcW w:w="1134" w:type="dxa"/>
            <w:tcBorders>
              <w:top w:val="nil"/>
              <w:left w:val="single" w:sz="4" w:space="0" w:color="auto"/>
              <w:bottom w:val="nil"/>
              <w:right w:val="single" w:sz="4" w:space="0" w:color="auto"/>
            </w:tcBorders>
            <w:shd w:val="clear" w:color="auto" w:fill="auto"/>
            <w:noWrap/>
            <w:vAlign w:val="center"/>
            <w:hideMark/>
          </w:tcPr>
          <w:p w14:paraId="0D8B5C2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0C837869"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63BA2072"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767B940C"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Dux</w:t>
            </w:r>
          </w:p>
        </w:tc>
        <w:tc>
          <w:tcPr>
            <w:tcW w:w="674" w:type="dxa"/>
            <w:tcBorders>
              <w:top w:val="nil"/>
              <w:left w:val="single" w:sz="4" w:space="0" w:color="auto"/>
              <w:bottom w:val="nil"/>
              <w:right w:val="nil"/>
            </w:tcBorders>
            <w:shd w:val="clear" w:color="auto" w:fill="auto"/>
            <w:noWrap/>
            <w:vAlign w:val="center"/>
            <w:hideMark/>
          </w:tcPr>
          <w:p w14:paraId="7DEB7A0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4DB47D1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02E9CA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373CF50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891147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30CBDE6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nil"/>
              <w:right w:val="single" w:sz="4" w:space="0" w:color="auto"/>
            </w:tcBorders>
            <w:shd w:val="clear" w:color="auto" w:fill="auto"/>
            <w:noWrap/>
            <w:vAlign w:val="center"/>
            <w:hideMark/>
          </w:tcPr>
          <w:p w14:paraId="18209500"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3500EA95" w14:textId="77777777" w:rsidR="006140E0" w:rsidRPr="00A85625" w:rsidRDefault="006140E0" w:rsidP="006140E0">
            <w:pPr>
              <w:spacing w:after="0" w:line="240" w:lineRule="auto"/>
              <w:rPr>
                <w:rFonts w:ascii="Times New Roman" w:eastAsia="Times New Roman" w:hAnsi="Times New Roman" w:cs="Times New Roman"/>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7F3417D6"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39B09066"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2AAF1DCD"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lastRenderedPageBreak/>
              <w:t> </w:t>
            </w:r>
          </w:p>
        </w:tc>
        <w:tc>
          <w:tcPr>
            <w:tcW w:w="1881" w:type="dxa"/>
            <w:tcBorders>
              <w:top w:val="nil"/>
              <w:left w:val="nil"/>
              <w:bottom w:val="nil"/>
              <w:right w:val="nil"/>
            </w:tcBorders>
            <w:shd w:val="clear" w:color="auto" w:fill="auto"/>
            <w:noWrap/>
            <w:vAlign w:val="center"/>
            <w:hideMark/>
          </w:tcPr>
          <w:p w14:paraId="1B170A2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Rheem</w:t>
            </w:r>
          </w:p>
        </w:tc>
        <w:tc>
          <w:tcPr>
            <w:tcW w:w="674" w:type="dxa"/>
            <w:tcBorders>
              <w:top w:val="nil"/>
              <w:left w:val="single" w:sz="4" w:space="0" w:color="auto"/>
              <w:bottom w:val="nil"/>
              <w:right w:val="nil"/>
            </w:tcBorders>
            <w:shd w:val="clear" w:color="auto" w:fill="auto"/>
            <w:noWrap/>
            <w:vAlign w:val="center"/>
            <w:hideMark/>
          </w:tcPr>
          <w:p w14:paraId="5DED5B5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75D655B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AA385B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2E4E239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06B8045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C8C399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Cond</w:t>
            </w:r>
          </w:p>
        </w:tc>
        <w:tc>
          <w:tcPr>
            <w:tcW w:w="2668" w:type="dxa"/>
            <w:tcBorders>
              <w:top w:val="nil"/>
              <w:left w:val="nil"/>
              <w:bottom w:val="nil"/>
              <w:right w:val="single" w:sz="4" w:space="0" w:color="auto"/>
            </w:tcBorders>
            <w:shd w:val="clear" w:color="auto" w:fill="auto"/>
            <w:noWrap/>
            <w:vAlign w:val="center"/>
            <w:hideMark/>
          </w:tcPr>
          <w:p w14:paraId="0A89BBC9"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60F5B967"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See redraft of 4755.2</w:t>
            </w:r>
          </w:p>
        </w:tc>
        <w:tc>
          <w:tcPr>
            <w:tcW w:w="1134" w:type="dxa"/>
            <w:tcBorders>
              <w:top w:val="nil"/>
              <w:left w:val="single" w:sz="4" w:space="0" w:color="auto"/>
              <w:bottom w:val="nil"/>
              <w:right w:val="single" w:sz="4" w:space="0" w:color="auto"/>
            </w:tcBorders>
            <w:shd w:val="clear" w:color="auto" w:fill="auto"/>
            <w:noWrap/>
            <w:vAlign w:val="center"/>
            <w:hideMark/>
          </w:tcPr>
          <w:p w14:paraId="4DD684C6"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2FDB3C64"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45A0652F"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3556848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Rinnai</w:t>
            </w:r>
          </w:p>
        </w:tc>
        <w:tc>
          <w:tcPr>
            <w:tcW w:w="674" w:type="dxa"/>
            <w:tcBorders>
              <w:top w:val="nil"/>
              <w:left w:val="single" w:sz="4" w:space="0" w:color="auto"/>
              <w:bottom w:val="nil"/>
              <w:right w:val="nil"/>
            </w:tcBorders>
            <w:shd w:val="clear" w:color="auto" w:fill="auto"/>
            <w:noWrap/>
            <w:vAlign w:val="center"/>
            <w:hideMark/>
          </w:tcPr>
          <w:p w14:paraId="532721A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1F440CF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10B24A2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22D2AB2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06FBF45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AD9A84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nil"/>
              <w:right w:val="single" w:sz="4" w:space="0" w:color="auto"/>
            </w:tcBorders>
            <w:shd w:val="clear" w:color="auto" w:fill="auto"/>
            <w:noWrap/>
            <w:vAlign w:val="center"/>
            <w:hideMark/>
          </w:tcPr>
          <w:p w14:paraId="5B18F971"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68263B7D" w14:textId="77777777" w:rsidR="006140E0" w:rsidRPr="00A85625" w:rsidRDefault="006140E0" w:rsidP="006140E0">
            <w:pPr>
              <w:spacing w:after="0" w:line="240" w:lineRule="auto"/>
              <w:rPr>
                <w:rFonts w:ascii="Times New Roman" w:eastAsia="Times New Roman" w:hAnsi="Times New Roman" w:cs="Times New Roman"/>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1DC529A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5904F5A0"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08A88A92"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44D8A60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Stiebel Eltron</w:t>
            </w:r>
          </w:p>
        </w:tc>
        <w:tc>
          <w:tcPr>
            <w:tcW w:w="674" w:type="dxa"/>
            <w:tcBorders>
              <w:top w:val="nil"/>
              <w:left w:val="single" w:sz="4" w:space="0" w:color="auto"/>
              <w:bottom w:val="nil"/>
              <w:right w:val="nil"/>
            </w:tcBorders>
            <w:shd w:val="clear" w:color="auto" w:fill="auto"/>
            <w:noWrap/>
            <w:vAlign w:val="center"/>
            <w:hideMark/>
          </w:tcPr>
          <w:p w14:paraId="4666541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EB44E9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636FF9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46F7574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19DC5DC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3606F92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nil"/>
              <w:right w:val="single" w:sz="4" w:space="0" w:color="auto"/>
            </w:tcBorders>
            <w:shd w:val="clear" w:color="auto" w:fill="auto"/>
            <w:noWrap/>
            <w:vAlign w:val="center"/>
            <w:hideMark/>
          </w:tcPr>
          <w:p w14:paraId="44914727"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146371EC" w14:textId="77777777" w:rsidR="006140E0" w:rsidRPr="00A85625" w:rsidRDefault="006140E0" w:rsidP="006140E0">
            <w:pPr>
              <w:spacing w:after="0" w:line="240" w:lineRule="auto"/>
              <w:rPr>
                <w:rFonts w:ascii="Times New Roman" w:eastAsia="Times New Roman" w:hAnsi="Times New Roman" w:cs="Times New Roman"/>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46161A8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3B90074F" w14:textId="77777777" w:rsidTr="00F36459">
        <w:trPr>
          <w:trHeight w:val="300"/>
        </w:trPr>
        <w:tc>
          <w:tcPr>
            <w:tcW w:w="1779" w:type="dxa"/>
            <w:tcBorders>
              <w:top w:val="single" w:sz="4" w:space="0" w:color="auto"/>
              <w:left w:val="single" w:sz="4" w:space="0" w:color="auto"/>
              <w:bottom w:val="single" w:sz="4" w:space="0" w:color="auto"/>
              <w:right w:val="nil"/>
            </w:tcBorders>
            <w:shd w:val="clear" w:color="auto" w:fill="auto"/>
            <w:noWrap/>
            <w:vAlign w:val="center"/>
            <w:hideMark/>
          </w:tcPr>
          <w:p w14:paraId="2E4FDEA2"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6</w:t>
            </w:r>
          </w:p>
        </w:tc>
        <w:tc>
          <w:tcPr>
            <w:tcW w:w="1881" w:type="dxa"/>
            <w:tcBorders>
              <w:top w:val="single" w:sz="4" w:space="0" w:color="auto"/>
              <w:left w:val="nil"/>
              <w:bottom w:val="single" w:sz="4" w:space="0" w:color="auto"/>
              <w:right w:val="nil"/>
            </w:tcBorders>
            <w:shd w:val="clear" w:color="auto" w:fill="auto"/>
            <w:noWrap/>
            <w:vAlign w:val="center"/>
            <w:hideMark/>
          </w:tcPr>
          <w:p w14:paraId="491CA8B8" w14:textId="1BC3FF0E" w:rsidR="006140E0" w:rsidRPr="00A85625" w:rsidRDefault="000A6A2C" w:rsidP="006140E0">
            <w:pPr>
              <w:spacing w:after="0" w:line="240" w:lineRule="auto"/>
              <w:rPr>
                <w:rFonts w:ascii="Calibri" w:eastAsia="Times New Roman" w:hAnsi="Calibri" w:cs="Calibri"/>
                <w:color w:val="000000"/>
                <w:sz w:val="18"/>
                <w:szCs w:val="18"/>
                <w:lang w:val="en-AU" w:eastAsia="en-AU"/>
              </w:rPr>
            </w:pPr>
            <w:r w:rsidRPr="000A6A2C">
              <w:rPr>
                <w:rFonts w:ascii="Calibri" w:eastAsia="Times New Roman" w:hAnsi="Calibri" w:cs="Calibri"/>
                <w:color w:val="000000"/>
                <w:sz w:val="18"/>
                <w:szCs w:val="18"/>
                <w:lang w:val="en-AU" w:eastAsia="en-AU"/>
              </w:rPr>
              <w:t>Total (</w:t>
            </w:r>
            <w:proofErr w:type="gramStart"/>
            <w:r w:rsidRPr="000A6A2C">
              <w:rPr>
                <w:rFonts w:ascii="Calibri" w:eastAsia="Times New Roman" w:hAnsi="Calibri" w:cs="Calibri"/>
                <w:color w:val="000000"/>
                <w:sz w:val="18"/>
                <w:szCs w:val="18"/>
                <w:lang w:val="en-AU" w:eastAsia="en-AU"/>
              </w:rPr>
              <w:t xml:space="preserve">unconditional)  </w:t>
            </w:r>
            <w:r w:rsidR="006140E0" w:rsidRPr="00A85625">
              <w:rPr>
                <w:rFonts w:ascii="Calibri" w:eastAsia="Times New Roman" w:hAnsi="Calibri" w:cs="Calibri"/>
                <w:color w:val="000000"/>
                <w:sz w:val="18"/>
                <w:szCs w:val="18"/>
                <w:lang w:val="en-AU" w:eastAsia="en-AU"/>
              </w:rPr>
              <w:t> </w:t>
            </w:r>
            <w:proofErr w:type="gramEnd"/>
          </w:p>
        </w:tc>
        <w:tc>
          <w:tcPr>
            <w:tcW w:w="674" w:type="dxa"/>
            <w:tcBorders>
              <w:top w:val="single" w:sz="4" w:space="0" w:color="auto"/>
              <w:left w:val="single" w:sz="4" w:space="0" w:color="auto"/>
              <w:bottom w:val="single" w:sz="4" w:space="0" w:color="auto"/>
              <w:right w:val="nil"/>
            </w:tcBorders>
            <w:shd w:val="clear" w:color="auto" w:fill="auto"/>
            <w:noWrap/>
            <w:vAlign w:val="center"/>
            <w:hideMark/>
          </w:tcPr>
          <w:p w14:paraId="6B8179B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6126C69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674" w:type="dxa"/>
            <w:tcBorders>
              <w:top w:val="single" w:sz="4" w:space="0" w:color="auto"/>
              <w:left w:val="nil"/>
              <w:bottom w:val="single" w:sz="4" w:space="0" w:color="auto"/>
              <w:right w:val="nil"/>
            </w:tcBorders>
            <w:shd w:val="clear" w:color="auto" w:fill="auto"/>
            <w:noWrap/>
            <w:vAlign w:val="center"/>
            <w:hideMark/>
          </w:tcPr>
          <w:p w14:paraId="279D140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016187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single" w:sz="4" w:space="0" w:color="auto"/>
              <w:left w:val="nil"/>
              <w:bottom w:val="single" w:sz="4" w:space="0" w:color="auto"/>
              <w:right w:val="nil"/>
            </w:tcBorders>
            <w:shd w:val="clear" w:color="auto" w:fill="auto"/>
            <w:noWrap/>
            <w:vAlign w:val="center"/>
            <w:hideMark/>
          </w:tcPr>
          <w:p w14:paraId="7AB5C22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29E751F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3</w:t>
            </w:r>
          </w:p>
        </w:tc>
        <w:tc>
          <w:tcPr>
            <w:tcW w:w="2668" w:type="dxa"/>
            <w:tcBorders>
              <w:top w:val="single" w:sz="4" w:space="0" w:color="auto"/>
              <w:left w:val="nil"/>
              <w:bottom w:val="single" w:sz="4" w:space="0" w:color="auto"/>
              <w:right w:val="single" w:sz="4" w:space="0" w:color="auto"/>
            </w:tcBorders>
            <w:shd w:val="clear" w:color="auto" w:fill="auto"/>
            <w:noWrap/>
            <w:vAlign w:val="center"/>
            <w:hideMark/>
          </w:tcPr>
          <w:p w14:paraId="2A3FBF34" w14:textId="3C9AE0E4"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single" w:sz="4" w:space="0" w:color="auto"/>
              <w:left w:val="single" w:sz="4" w:space="0" w:color="auto"/>
              <w:bottom w:val="single" w:sz="4" w:space="0" w:color="auto"/>
              <w:right w:val="nil"/>
            </w:tcBorders>
            <w:shd w:val="clear" w:color="auto" w:fill="auto"/>
            <w:noWrap/>
            <w:vAlign w:val="center"/>
            <w:hideMark/>
          </w:tcPr>
          <w:p w14:paraId="6A970541"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186E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507A4C91"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1F752390"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EV Industry</w:t>
            </w:r>
          </w:p>
        </w:tc>
        <w:tc>
          <w:tcPr>
            <w:tcW w:w="1881" w:type="dxa"/>
            <w:tcBorders>
              <w:top w:val="nil"/>
              <w:left w:val="nil"/>
              <w:bottom w:val="nil"/>
              <w:right w:val="nil"/>
            </w:tcBorders>
            <w:shd w:val="clear" w:color="auto" w:fill="auto"/>
            <w:noWrap/>
            <w:vAlign w:val="center"/>
            <w:hideMark/>
          </w:tcPr>
          <w:p w14:paraId="6BE2183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ABB</w:t>
            </w:r>
          </w:p>
        </w:tc>
        <w:tc>
          <w:tcPr>
            <w:tcW w:w="674" w:type="dxa"/>
            <w:tcBorders>
              <w:top w:val="nil"/>
              <w:left w:val="single" w:sz="4" w:space="0" w:color="auto"/>
              <w:bottom w:val="nil"/>
              <w:right w:val="nil"/>
            </w:tcBorders>
            <w:shd w:val="clear" w:color="auto" w:fill="auto"/>
            <w:noWrap/>
            <w:vAlign w:val="center"/>
            <w:hideMark/>
          </w:tcPr>
          <w:p w14:paraId="5BC6D13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7554F47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7341A2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4DC339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0EB4178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2DF655B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vAlign w:val="center"/>
            <w:hideMark/>
          </w:tcPr>
          <w:p w14:paraId="5E42A9D0"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 OCPP, IEC 14543.3, Behav</w:t>
            </w:r>
          </w:p>
        </w:tc>
        <w:tc>
          <w:tcPr>
            <w:tcW w:w="2669" w:type="dxa"/>
            <w:tcBorders>
              <w:top w:val="nil"/>
              <w:left w:val="single" w:sz="4" w:space="0" w:color="auto"/>
              <w:bottom w:val="nil"/>
              <w:right w:val="nil"/>
            </w:tcBorders>
            <w:shd w:val="clear" w:color="auto" w:fill="auto"/>
            <w:noWrap/>
            <w:vAlign w:val="center"/>
            <w:hideMark/>
          </w:tcPr>
          <w:p w14:paraId="3E797F1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560D1F6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02614ABD"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7ED83F92"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490BCFA1"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Aust EV Assoc</w:t>
            </w:r>
          </w:p>
        </w:tc>
        <w:tc>
          <w:tcPr>
            <w:tcW w:w="674" w:type="dxa"/>
            <w:tcBorders>
              <w:top w:val="nil"/>
              <w:left w:val="single" w:sz="4" w:space="0" w:color="auto"/>
              <w:bottom w:val="nil"/>
              <w:right w:val="nil"/>
            </w:tcBorders>
            <w:shd w:val="clear" w:color="auto" w:fill="auto"/>
            <w:noWrap/>
            <w:vAlign w:val="center"/>
            <w:hideMark/>
          </w:tcPr>
          <w:p w14:paraId="65293C9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7A0726C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7F68898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6870A7A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4DD9B7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4A3367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vAlign w:val="center"/>
            <w:hideMark/>
          </w:tcPr>
          <w:p w14:paraId="046C8F0E"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 OCPP, IEC 15116, 61850</w:t>
            </w:r>
          </w:p>
        </w:tc>
        <w:tc>
          <w:tcPr>
            <w:tcW w:w="2669" w:type="dxa"/>
            <w:tcBorders>
              <w:top w:val="nil"/>
              <w:left w:val="single" w:sz="4" w:space="0" w:color="auto"/>
              <w:bottom w:val="nil"/>
              <w:right w:val="nil"/>
            </w:tcBorders>
            <w:shd w:val="clear" w:color="auto" w:fill="auto"/>
            <w:noWrap/>
            <w:vAlign w:val="center"/>
            <w:hideMark/>
          </w:tcPr>
          <w:p w14:paraId="53B8C52E"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72715F4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5E95E128"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697CF89E"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7A5ABBEF"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EV Council</w:t>
            </w:r>
          </w:p>
        </w:tc>
        <w:tc>
          <w:tcPr>
            <w:tcW w:w="674" w:type="dxa"/>
            <w:tcBorders>
              <w:top w:val="nil"/>
              <w:left w:val="single" w:sz="4" w:space="0" w:color="auto"/>
              <w:bottom w:val="nil"/>
              <w:right w:val="nil"/>
            </w:tcBorders>
            <w:shd w:val="clear" w:color="auto" w:fill="auto"/>
            <w:noWrap/>
            <w:vAlign w:val="center"/>
            <w:hideMark/>
          </w:tcPr>
          <w:p w14:paraId="05E8BE4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4CD9813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F3DF9E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17A83F1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C888BE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D6CDCA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vAlign w:val="center"/>
            <w:hideMark/>
          </w:tcPr>
          <w:p w14:paraId="24593561"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 OCPP, IEC 15118, 61850</w:t>
            </w:r>
          </w:p>
        </w:tc>
        <w:tc>
          <w:tcPr>
            <w:tcW w:w="2669" w:type="dxa"/>
            <w:tcBorders>
              <w:top w:val="nil"/>
              <w:left w:val="single" w:sz="4" w:space="0" w:color="auto"/>
              <w:bottom w:val="nil"/>
              <w:right w:val="nil"/>
            </w:tcBorders>
            <w:shd w:val="clear" w:color="auto" w:fill="auto"/>
            <w:noWrap/>
            <w:vAlign w:val="center"/>
            <w:hideMark/>
          </w:tcPr>
          <w:p w14:paraId="0D618DC1"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7287CB79"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0D69C139"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36EBB3A4"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0B577AF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FCAI</w:t>
            </w:r>
          </w:p>
        </w:tc>
        <w:tc>
          <w:tcPr>
            <w:tcW w:w="674" w:type="dxa"/>
            <w:tcBorders>
              <w:top w:val="nil"/>
              <w:left w:val="single" w:sz="4" w:space="0" w:color="auto"/>
              <w:bottom w:val="nil"/>
              <w:right w:val="nil"/>
            </w:tcBorders>
            <w:shd w:val="clear" w:color="auto" w:fill="auto"/>
            <w:noWrap/>
            <w:vAlign w:val="center"/>
            <w:hideMark/>
          </w:tcPr>
          <w:p w14:paraId="3614134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3B34F06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78F65B5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1E1A982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7D4C0D1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699E63D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vAlign w:val="center"/>
            <w:hideMark/>
          </w:tcPr>
          <w:p w14:paraId="7C6A576C" w14:textId="1CB25AC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 OCPP, IEC 15118</w:t>
            </w:r>
          </w:p>
        </w:tc>
        <w:tc>
          <w:tcPr>
            <w:tcW w:w="2669" w:type="dxa"/>
            <w:tcBorders>
              <w:top w:val="nil"/>
              <w:left w:val="single" w:sz="4" w:space="0" w:color="auto"/>
              <w:bottom w:val="nil"/>
              <w:right w:val="nil"/>
            </w:tcBorders>
            <w:shd w:val="clear" w:color="auto" w:fill="auto"/>
            <w:noWrap/>
            <w:vAlign w:val="center"/>
            <w:hideMark/>
          </w:tcPr>
          <w:p w14:paraId="16A8BC47"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624BB4F3"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0C57F5D9" w14:textId="77777777" w:rsidTr="00F36459">
        <w:trPr>
          <w:trHeight w:val="300"/>
        </w:trPr>
        <w:tc>
          <w:tcPr>
            <w:tcW w:w="1779" w:type="dxa"/>
            <w:tcBorders>
              <w:top w:val="single" w:sz="4" w:space="0" w:color="auto"/>
              <w:left w:val="single" w:sz="4" w:space="0" w:color="auto"/>
              <w:bottom w:val="single" w:sz="4" w:space="0" w:color="auto"/>
              <w:right w:val="nil"/>
            </w:tcBorders>
            <w:shd w:val="clear" w:color="auto" w:fill="auto"/>
            <w:noWrap/>
            <w:vAlign w:val="center"/>
            <w:hideMark/>
          </w:tcPr>
          <w:p w14:paraId="2D264D3F"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w:t>
            </w:r>
          </w:p>
        </w:tc>
        <w:tc>
          <w:tcPr>
            <w:tcW w:w="1881" w:type="dxa"/>
            <w:tcBorders>
              <w:top w:val="single" w:sz="4" w:space="0" w:color="auto"/>
              <w:left w:val="nil"/>
              <w:bottom w:val="single" w:sz="4" w:space="0" w:color="auto"/>
              <w:right w:val="nil"/>
            </w:tcBorders>
            <w:shd w:val="clear" w:color="auto" w:fill="auto"/>
            <w:noWrap/>
            <w:vAlign w:val="center"/>
            <w:hideMark/>
          </w:tcPr>
          <w:p w14:paraId="316E43CD" w14:textId="62EB40F0" w:rsidR="006140E0" w:rsidRPr="00A85625" w:rsidRDefault="000A6A2C" w:rsidP="006140E0">
            <w:pPr>
              <w:spacing w:after="0" w:line="240" w:lineRule="auto"/>
              <w:rPr>
                <w:rFonts w:ascii="Calibri" w:eastAsia="Times New Roman" w:hAnsi="Calibri" w:cs="Calibri"/>
                <w:color w:val="000000"/>
                <w:sz w:val="18"/>
                <w:szCs w:val="18"/>
                <w:lang w:val="en-AU" w:eastAsia="en-AU"/>
              </w:rPr>
            </w:pPr>
            <w:r w:rsidRPr="000A6A2C">
              <w:rPr>
                <w:rFonts w:ascii="Calibri" w:eastAsia="Times New Roman" w:hAnsi="Calibri" w:cs="Calibri"/>
                <w:color w:val="000000"/>
                <w:sz w:val="18"/>
                <w:szCs w:val="18"/>
                <w:lang w:val="en-AU" w:eastAsia="en-AU"/>
              </w:rPr>
              <w:t xml:space="preserve">Total (unconditional) </w:t>
            </w:r>
            <w:r w:rsidR="00F36459">
              <w:rPr>
                <w:rFonts w:ascii="Calibri" w:eastAsia="Times New Roman" w:hAnsi="Calibri" w:cs="Calibri"/>
                <w:color w:val="000000"/>
                <w:sz w:val="18"/>
                <w:szCs w:val="18"/>
                <w:lang w:val="en-AU" w:eastAsia="en-AU"/>
              </w:rPr>
              <w:t>l</w:t>
            </w:r>
            <w:r w:rsidR="006140E0" w:rsidRPr="00A85625">
              <w:rPr>
                <w:rFonts w:ascii="Calibri" w:eastAsia="Times New Roman" w:hAnsi="Calibri" w:cs="Calibri"/>
                <w:color w:val="000000"/>
                <w:sz w:val="18"/>
                <w:szCs w:val="18"/>
                <w:lang w:val="en-AU" w:eastAsia="en-AU"/>
              </w:rPr>
              <w:t> </w:t>
            </w:r>
          </w:p>
        </w:tc>
        <w:tc>
          <w:tcPr>
            <w:tcW w:w="674" w:type="dxa"/>
            <w:tcBorders>
              <w:top w:val="single" w:sz="4" w:space="0" w:color="auto"/>
              <w:left w:val="single" w:sz="4" w:space="0" w:color="auto"/>
              <w:bottom w:val="single" w:sz="4" w:space="0" w:color="auto"/>
              <w:right w:val="nil"/>
            </w:tcBorders>
            <w:shd w:val="clear" w:color="auto" w:fill="auto"/>
            <w:noWrap/>
            <w:vAlign w:val="center"/>
            <w:hideMark/>
          </w:tcPr>
          <w:p w14:paraId="6E2BE81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257475C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single" w:sz="4" w:space="0" w:color="auto"/>
              <w:left w:val="nil"/>
              <w:bottom w:val="single" w:sz="4" w:space="0" w:color="auto"/>
              <w:right w:val="nil"/>
            </w:tcBorders>
            <w:shd w:val="clear" w:color="auto" w:fill="auto"/>
            <w:noWrap/>
            <w:vAlign w:val="center"/>
            <w:hideMark/>
          </w:tcPr>
          <w:p w14:paraId="7FD82E9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238006A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single" w:sz="4" w:space="0" w:color="auto"/>
              <w:left w:val="nil"/>
              <w:bottom w:val="single" w:sz="4" w:space="0" w:color="auto"/>
              <w:right w:val="nil"/>
            </w:tcBorders>
            <w:shd w:val="clear" w:color="auto" w:fill="auto"/>
            <w:noWrap/>
            <w:vAlign w:val="center"/>
            <w:hideMark/>
          </w:tcPr>
          <w:p w14:paraId="018C570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7FF3E5B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single" w:sz="4" w:space="0" w:color="auto"/>
              <w:left w:val="nil"/>
              <w:bottom w:val="single" w:sz="4" w:space="0" w:color="auto"/>
              <w:right w:val="single" w:sz="4" w:space="0" w:color="auto"/>
            </w:tcBorders>
            <w:shd w:val="clear" w:color="auto" w:fill="auto"/>
            <w:noWrap/>
            <w:vAlign w:val="center"/>
            <w:hideMark/>
          </w:tcPr>
          <w:p w14:paraId="4AC0511B" w14:textId="015156DE"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single" w:sz="4" w:space="0" w:color="auto"/>
              <w:left w:val="single" w:sz="4" w:space="0" w:color="auto"/>
              <w:bottom w:val="single" w:sz="4" w:space="0" w:color="auto"/>
              <w:right w:val="nil"/>
            </w:tcBorders>
            <w:shd w:val="clear" w:color="auto" w:fill="auto"/>
            <w:noWrap/>
            <w:vAlign w:val="center"/>
            <w:hideMark/>
          </w:tcPr>
          <w:p w14:paraId="4EF4640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E5DF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57063FBD"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257F37E3"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DRSP products</w:t>
            </w:r>
          </w:p>
        </w:tc>
        <w:tc>
          <w:tcPr>
            <w:tcW w:w="1881" w:type="dxa"/>
            <w:tcBorders>
              <w:top w:val="nil"/>
              <w:left w:val="nil"/>
              <w:bottom w:val="nil"/>
              <w:right w:val="nil"/>
            </w:tcBorders>
            <w:shd w:val="clear" w:color="auto" w:fill="auto"/>
            <w:noWrap/>
            <w:vAlign w:val="center"/>
            <w:hideMark/>
          </w:tcPr>
          <w:p w14:paraId="1C8FBFD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Intelligent Auto</w:t>
            </w:r>
          </w:p>
        </w:tc>
        <w:tc>
          <w:tcPr>
            <w:tcW w:w="674" w:type="dxa"/>
            <w:tcBorders>
              <w:top w:val="nil"/>
              <w:left w:val="single" w:sz="4" w:space="0" w:color="auto"/>
              <w:bottom w:val="nil"/>
              <w:right w:val="nil"/>
            </w:tcBorders>
            <w:shd w:val="clear" w:color="auto" w:fill="auto"/>
            <w:noWrap/>
            <w:vAlign w:val="center"/>
            <w:hideMark/>
          </w:tcPr>
          <w:p w14:paraId="51BF02F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27E21E4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8B0E52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25550FE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B508E0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6C656C5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09FA68F4"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66990B37"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ESS, HEMS</w:t>
            </w:r>
          </w:p>
        </w:tc>
        <w:tc>
          <w:tcPr>
            <w:tcW w:w="1134" w:type="dxa"/>
            <w:tcBorders>
              <w:top w:val="nil"/>
              <w:left w:val="single" w:sz="4" w:space="0" w:color="auto"/>
              <w:bottom w:val="nil"/>
              <w:right w:val="single" w:sz="4" w:space="0" w:color="auto"/>
            </w:tcBorders>
            <w:shd w:val="clear" w:color="auto" w:fill="auto"/>
            <w:noWrap/>
            <w:vAlign w:val="center"/>
            <w:hideMark/>
          </w:tcPr>
          <w:p w14:paraId="18502E2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51A12814"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25C825C1"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0A5D2CC4"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Pooled Energy</w:t>
            </w:r>
          </w:p>
        </w:tc>
        <w:tc>
          <w:tcPr>
            <w:tcW w:w="674" w:type="dxa"/>
            <w:tcBorders>
              <w:top w:val="nil"/>
              <w:left w:val="single" w:sz="4" w:space="0" w:color="auto"/>
              <w:bottom w:val="nil"/>
              <w:right w:val="nil"/>
            </w:tcBorders>
            <w:shd w:val="clear" w:color="auto" w:fill="auto"/>
            <w:noWrap/>
            <w:vAlign w:val="center"/>
            <w:hideMark/>
          </w:tcPr>
          <w:p w14:paraId="338B11E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793A955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77F52C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4A97EDB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4187799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0551911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vAlign w:val="center"/>
            <w:hideMark/>
          </w:tcPr>
          <w:p w14:paraId="25371DE2"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4E821F5F"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70FA692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5A3567FE"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2E8B6D8B"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nil"/>
              <w:left w:val="nil"/>
              <w:bottom w:val="nil"/>
              <w:right w:val="nil"/>
            </w:tcBorders>
            <w:shd w:val="clear" w:color="auto" w:fill="auto"/>
            <w:noWrap/>
            <w:vAlign w:val="center"/>
            <w:hideMark/>
          </w:tcPr>
          <w:p w14:paraId="35F64503"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Power Diverter</w:t>
            </w:r>
          </w:p>
        </w:tc>
        <w:tc>
          <w:tcPr>
            <w:tcW w:w="674" w:type="dxa"/>
            <w:tcBorders>
              <w:top w:val="nil"/>
              <w:left w:val="single" w:sz="4" w:space="0" w:color="auto"/>
              <w:bottom w:val="nil"/>
              <w:right w:val="nil"/>
            </w:tcBorders>
            <w:shd w:val="clear" w:color="auto" w:fill="auto"/>
            <w:noWrap/>
            <w:vAlign w:val="center"/>
            <w:hideMark/>
          </w:tcPr>
          <w:p w14:paraId="43C263E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13803AC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95C19F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1D5E117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CD10D8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3B009AD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2141A0D9"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6DC45DC6" w14:textId="77777777" w:rsidR="006140E0" w:rsidRPr="00A85625" w:rsidRDefault="006140E0" w:rsidP="006140E0">
            <w:pPr>
              <w:spacing w:after="0" w:line="240" w:lineRule="auto"/>
              <w:jc w:val="right"/>
              <w:rPr>
                <w:rFonts w:ascii="Times New Roman" w:eastAsia="Times New Roman" w:hAnsi="Times New Roman" w:cs="Times New Roman"/>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214E76EF"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486B2379" w14:textId="77777777" w:rsidTr="00F36459">
        <w:trPr>
          <w:trHeight w:val="300"/>
        </w:trPr>
        <w:tc>
          <w:tcPr>
            <w:tcW w:w="1779" w:type="dxa"/>
            <w:tcBorders>
              <w:top w:val="single" w:sz="4" w:space="0" w:color="auto"/>
              <w:left w:val="single" w:sz="4" w:space="0" w:color="auto"/>
              <w:bottom w:val="single" w:sz="4" w:space="0" w:color="auto"/>
              <w:right w:val="nil"/>
            </w:tcBorders>
            <w:shd w:val="clear" w:color="auto" w:fill="auto"/>
            <w:noWrap/>
            <w:vAlign w:val="center"/>
            <w:hideMark/>
          </w:tcPr>
          <w:p w14:paraId="4DE36BD1"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3</w:t>
            </w:r>
          </w:p>
        </w:tc>
        <w:tc>
          <w:tcPr>
            <w:tcW w:w="1881" w:type="dxa"/>
            <w:tcBorders>
              <w:top w:val="single" w:sz="4" w:space="0" w:color="auto"/>
              <w:left w:val="nil"/>
              <w:bottom w:val="single" w:sz="4" w:space="0" w:color="auto"/>
              <w:right w:val="nil"/>
            </w:tcBorders>
            <w:shd w:val="clear" w:color="auto" w:fill="auto"/>
            <w:noWrap/>
            <w:vAlign w:val="center"/>
            <w:hideMark/>
          </w:tcPr>
          <w:p w14:paraId="28AC0406" w14:textId="541E2734" w:rsidR="006140E0" w:rsidRPr="00A85625" w:rsidRDefault="000A6A2C" w:rsidP="006140E0">
            <w:pPr>
              <w:spacing w:after="0" w:line="240" w:lineRule="auto"/>
              <w:rPr>
                <w:rFonts w:ascii="Calibri" w:eastAsia="Times New Roman" w:hAnsi="Calibri" w:cs="Calibri"/>
                <w:color w:val="000000"/>
                <w:sz w:val="18"/>
                <w:szCs w:val="18"/>
                <w:lang w:val="en-AU" w:eastAsia="en-AU"/>
              </w:rPr>
            </w:pPr>
            <w:r>
              <w:rPr>
                <w:rFonts w:ascii="Calibri" w:eastAsia="Times New Roman" w:hAnsi="Calibri" w:cs="Calibri"/>
                <w:color w:val="000000"/>
                <w:sz w:val="18"/>
                <w:szCs w:val="18"/>
                <w:lang w:val="en-AU" w:eastAsia="en-AU"/>
              </w:rPr>
              <w:t xml:space="preserve">Total (unconditional)  </w:t>
            </w:r>
          </w:p>
        </w:tc>
        <w:tc>
          <w:tcPr>
            <w:tcW w:w="674" w:type="dxa"/>
            <w:tcBorders>
              <w:top w:val="single" w:sz="4" w:space="0" w:color="auto"/>
              <w:left w:val="single" w:sz="4" w:space="0" w:color="auto"/>
              <w:bottom w:val="single" w:sz="4" w:space="0" w:color="auto"/>
              <w:right w:val="nil"/>
            </w:tcBorders>
            <w:shd w:val="clear" w:color="auto" w:fill="auto"/>
            <w:noWrap/>
            <w:vAlign w:val="center"/>
            <w:hideMark/>
          </w:tcPr>
          <w:p w14:paraId="6A231E8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3</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60567A9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674" w:type="dxa"/>
            <w:tcBorders>
              <w:top w:val="single" w:sz="4" w:space="0" w:color="auto"/>
              <w:left w:val="nil"/>
              <w:bottom w:val="single" w:sz="4" w:space="0" w:color="auto"/>
              <w:right w:val="nil"/>
            </w:tcBorders>
            <w:shd w:val="clear" w:color="auto" w:fill="auto"/>
            <w:noWrap/>
            <w:vAlign w:val="center"/>
            <w:hideMark/>
          </w:tcPr>
          <w:p w14:paraId="70AA5F2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3123D8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single" w:sz="4" w:space="0" w:color="auto"/>
              <w:left w:val="nil"/>
              <w:bottom w:val="single" w:sz="4" w:space="0" w:color="auto"/>
              <w:right w:val="nil"/>
            </w:tcBorders>
            <w:shd w:val="clear" w:color="auto" w:fill="auto"/>
            <w:noWrap/>
            <w:vAlign w:val="center"/>
            <w:hideMark/>
          </w:tcPr>
          <w:p w14:paraId="7DCE56F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6FEAA75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0</w:t>
            </w:r>
          </w:p>
        </w:tc>
        <w:tc>
          <w:tcPr>
            <w:tcW w:w="2668" w:type="dxa"/>
            <w:tcBorders>
              <w:top w:val="single" w:sz="4" w:space="0" w:color="auto"/>
              <w:left w:val="nil"/>
              <w:bottom w:val="single" w:sz="4" w:space="0" w:color="auto"/>
              <w:right w:val="single" w:sz="4" w:space="0" w:color="auto"/>
            </w:tcBorders>
            <w:shd w:val="clear" w:color="auto" w:fill="auto"/>
            <w:noWrap/>
            <w:vAlign w:val="center"/>
            <w:hideMark/>
          </w:tcPr>
          <w:p w14:paraId="18232A4C" w14:textId="287E3C92"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single" w:sz="4" w:space="0" w:color="auto"/>
              <w:left w:val="single" w:sz="4" w:space="0" w:color="auto"/>
              <w:bottom w:val="single" w:sz="4" w:space="0" w:color="auto"/>
              <w:right w:val="nil"/>
            </w:tcBorders>
            <w:shd w:val="clear" w:color="auto" w:fill="auto"/>
            <w:noWrap/>
            <w:vAlign w:val="center"/>
            <w:hideMark/>
          </w:tcPr>
          <w:p w14:paraId="181A702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DCAD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46805814" w14:textId="77777777" w:rsidTr="00F36459">
        <w:trPr>
          <w:trHeight w:val="300"/>
        </w:trPr>
        <w:tc>
          <w:tcPr>
            <w:tcW w:w="1779" w:type="dxa"/>
            <w:tcBorders>
              <w:top w:val="single" w:sz="4" w:space="0" w:color="auto"/>
              <w:left w:val="single" w:sz="4" w:space="0" w:color="auto"/>
              <w:bottom w:val="nil"/>
              <w:right w:val="nil"/>
            </w:tcBorders>
            <w:shd w:val="clear" w:color="auto" w:fill="auto"/>
            <w:noWrap/>
            <w:vAlign w:val="center"/>
            <w:hideMark/>
          </w:tcPr>
          <w:p w14:paraId="513CA77B"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APA Group</w:t>
            </w:r>
          </w:p>
        </w:tc>
        <w:tc>
          <w:tcPr>
            <w:tcW w:w="1881" w:type="dxa"/>
            <w:tcBorders>
              <w:top w:val="single" w:sz="4" w:space="0" w:color="auto"/>
              <w:left w:val="nil"/>
              <w:bottom w:val="nil"/>
              <w:right w:val="nil"/>
            </w:tcBorders>
            <w:shd w:val="clear" w:color="auto" w:fill="auto"/>
            <w:noWrap/>
            <w:vAlign w:val="center"/>
            <w:hideMark/>
          </w:tcPr>
          <w:p w14:paraId="1EF2015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Gas utilities</w:t>
            </w:r>
          </w:p>
        </w:tc>
        <w:tc>
          <w:tcPr>
            <w:tcW w:w="674" w:type="dxa"/>
            <w:tcBorders>
              <w:top w:val="nil"/>
              <w:left w:val="single" w:sz="4" w:space="0" w:color="auto"/>
              <w:bottom w:val="nil"/>
              <w:right w:val="nil"/>
            </w:tcBorders>
            <w:shd w:val="clear" w:color="auto" w:fill="auto"/>
            <w:noWrap/>
            <w:vAlign w:val="center"/>
            <w:hideMark/>
          </w:tcPr>
          <w:p w14:paraId="4529158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542CCAF7"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573528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4431D4F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6C4E6D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0AD8CCC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3A33CB40"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7009267F"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Pro-gas use</w:t>
            </w:r>
          </w:p>
        </w:tc>
        <w:tc>
          <w:tcPr>
            <w:tcW w:w="1134" w:type="dxa"/>
            <w:tcBorders>
              <w:top w:val="nil"/>
              <w:left w:val="single" w:sz="4" w:space="0" w:color="auto"/>
              <w:bottom w:val="nil"/>
              <w:right w:val="single" w:sz="4" w:space="0" w:color="auto"/>
            </w:tcBorders>
            <w:shd w:val="clear" w:color="auto" w:fill="auto"/>
            <w:noWrap/>
            <w:vAlign w:val="center"/>
            <w:hideMark/>
          </w:tcPr>
          <w:p w14:paraId="2A16C495"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0A6A2C" w:rsidRPr="00A85625" w14:paraId="70F2863C" w14:textId="77777777" w:rsidTr="00E56C1E">
        <w:trPr>
          <w:trHeight w:val="300"/>
        </w:trPr>
        <w:tc>
          <w:tcPr>
            <w:tcW w:w="1779" w:type="dxa"/>
            <w:tcBorders>
              <w:top w:val="nil"/>
              <w:left w:val="single" w:sz="4" w:space="0" w:color="auto"/>
              <w:bottom w:val="nil"/>
              <w:right w:val="nil"/>
            </w:tcBorders>
            <w:shd w:val="clear" w:color="auto" w:fill="auto"/>
            <w:noWrap/>
            <w:vAlign w:val="center"/>
            <w:hideMark/>
          </w:tcPr>
          <w:p w14:paraId="21D97BC6" w14:textId="77777777" w:rsidR="000A6A2C" w:rsidRPr="00A85625" w:rsidRDefault="000A6A2C" w:rsidP="00E56C1E">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ASBEC</w:t>
            </w:r>
          </w:p>
        </w:tc>
        <w:tc>
          <w:tcPr>
            <w:tcW w:w="1881" w:type="dxa"/>
            <w:tcBorders>
              <w:top w:val="nil"/>
              <w:left w:val="nil"/>
              <w:bottom w:val="nil"/>
              <w:right w:val="nil"/>
            </w:tcBorders>
            <w:shd w:val="clear" w:color="auto" w:fill="auto"/>
            <w:vAlign w:val="center"/>
            <w:hideMark/>
          </w:tcPr>
          <w:p w14:paraId="2F6E16B9" w14:textId="77777777" w:rsidR="000A6A2C" w:rsidRPr="00A85625" w:rsidRDefault="000A6A2C" w:rsidP="00E56C1E">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Public Interest</w:t>
            </w:r>
          </w:p>
        </w:tc>
        <w:tc>
          <w:tcPr>
            <w:tcW w:w="674" w:type="dxa"/>
            <w:tcBorders>
              <w:top w:val="nil"/>
              <w:left w:val="single" w:sz="4" w:space="0" w:color="auto"/>
              <w:bottom w:val="nil"/>
              <w:right w:val="nil"/>
            </w:tcBorders>
            <w:shd w:val="clear" w:color="auto" w:fill="auto"/>
            <w:noWrap/>
            <w:vAlign w:val="center"/>
            <w:hideMark/>
          </w:tcPr>
          <w:p w14:paraId="2D6A8F19"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6C008E64"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6C638A23"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41B74BA3"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FDD8DD9"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61978B4E"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0DC82880"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52C65EF6" w14:textId="77777777" w:rsidR="000A6A2C" w:rsidRPr="00A85625" w:rsidRDefault="000A6A2C" w:rsidP="00E56C1E">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1F35E081" w14:textId="77777777" w:rsidR="000A6A2C" w:rsidRPr="00A85625" w:rsidRDefault="000A6A2C" w:rsidP="00E56C1E">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25794D7B"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44BFC9D6"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Australia Institute</w:t>
            </w:r>
          </w:p>
        </w:tc>
        <w:tc>
          <w:tcPr>
            <w:tcW w:w="1881" w:type="dxa"/>
            <w:tcBorders>
              <w:top w:val="nil"/>
              <w:left w:val="nil"/>
              <w:bottom w:val="nil"/>
              <w:right w:val="nil"/>
            </w:tcBorders>
            <w:shd w:val="clear" w:color="auto" w:fill="auto"/>
            <w:noWrap/>
            <w:vAlign w:val="center"/>
            <w:hideMark/>
          </w:tcPr>
          <w:p w14:paraId="0CAEF707"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Public Interest</w:t>
            </w:r>
          </w:p>
        </w:tc>
        <w:tc>
          <w:tcPr>
            <w:tcW w:w="674" w:type="dxa"/>
            <w:tcBorders>
              <w:top w:val="nil"/>
              <w:left w:val="single" w:sz="4" w:space="0" w:color="auto"/>
              <w:bottom w:val="nil"/>
              <w:right w:val="nil"/>
            </w:tcBorders>
            <w:shd w:val="clear" w:color="auto" w:fill="auto"/>
            <w:noWrap/>
            <w:vAlign w:val="center"/>
            <w:hideMark/>
          </w:tcPr>
          <w:p w14:paraId="2F478AA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66A0057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3FE47F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6D1B051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09E94E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1EC3241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3F4BFC04"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610FFCBE"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3D5FF651"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6FA89A71"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019B5F7F" w14:textId="0A0A492C"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M.</w:t>
            </w:r>
            <w:r w:rsidR="000A6A2C">
              <w:rPr>
                <w:rFonts w:ascii="Calibri" w:eastAsia="Times New Roman" w:hAnsi="Calibri" w:cs="Calibri"/>
                <w:color w:val="000000"/>
                <w:sz w:val="18"/>
                <w:szCs w:val="18"/>
                <w:lang w:val="en-AU" w:eastAsia="en-AU"/>
              </w:rPr>
              <w:t xml:space="preserve"> </w:t>
            </w:r>
            <w:r w:rsidRPr="00A85625">
              <w:rPr>
                <w:rFonts w:ascii="Calibri" w:eastAsia="Times New Roman" w:hAnsi="Calibri" w:cs="Calibri"/>
                <w:color w:val="000000"/>
                <w:sz w:val="18"/>
                <w:szCs w:val="18"/>
                <w:lang w:val="en-AU" w:eastAsia="en-AU"/>
              </w:rPr>
              <w:t>Gill</w:t>
            </w:r>
          </w:p>
        </w:tc>
        <w:tc>
          <w:tcPr>
            <w:tcW w:w="1881" w:type="dxa"/>
            <w:tcBorders>
              <w:top w:val="nil"/>
              <w:left w:val="nil"/>
              <w:bottom w:val="nil"/>
              <w:right w:val="nil"/>
            </w:tcBorders>
            <w:shd w:val="clear" w:color="auto" w:fill="auto"/>
            <w:noWrap/>
            <w:vAlign w:val="center"/>
            <w:hideMark/>
          </w:tcPr>
          <w:p w14:paraId="40AB312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Private individual</w:t>
            </w:r>
          </w:p>
        </w:tc>
        <w:tc>
          <w:tcPr>
            <w:tcW w:w="674" w:type="dxa"/>
            <w:tcBorders>
              <w:top w:val="nil"/>
              <w:left w:val="single" w:sz="4" w:space="0" w:color="auto"/>
              <w:bottom w:val="nil"/>
              <w:right w:val="nil"/>
            </w:tcBorders>
            <w:shd w:val="clear" w:color="auto" w:fill="auto"/>
            <w:noWrap/>
            <w:vAlign w:val="center"/>
            <w:hideMark/>
          </w:tcPr>
          <w:p w14:paraId="028875FE"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4823364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09E6846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6B7189B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7DBD948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6CF74DD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nil"/>
              <w:right w:val="single" w:sz="4" w:space="0" w:color="auto"/>
            </w:tcBorders>
            <w:shd w:val="clear" w:color="auto" w:fill="auto"/>
            <w:noWrap/>
            <w:vAlign w:val="center"/>
            <w:hideMark/>
          </w:tcPr>
          <w:p w14:paraId="667117E0"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c>
          <w:tcPr>
            <w:tcW w:w="2669" w:type="dxa"/>
            <w:tcBorders>
              <w:top w:val="nil"/>
              <w:left w:val="single" w:sz="4" w:space="0" w:color="auto"/>
              <w:bottom w:val="nil"/>
              <w:right w:val="nil"/>
            </w:tcBorders>
            <w:shd w:val="clear" w:color="auto" w:fill="auto"/>
            <w:noWrap/>
            <w:vAlign w:val="center"/>
            <w:hideMark/>
          </w:tcPr>
          <w:p w14:paraId="1BADDB32"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77BED970"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0A6A2C" w:rsidRPr="00A85625" w14:paraId="4321FD96" w14:textId="77777777" w:rsidTr="000A6A2C">
        <w:trPr>
          <w:trHeight w:val="300"/>
        </w:trPr>
        <w:tc>
          <w:tcPr>
            <w:tcW w:w="1779" w:type="dxa"/>
            <w:tcBorders>
              <w:top w:val="nil"/>
              <w:left w:val="single" w:sz="4" w:space="0" w:color="auto"/>
              <w:bottom w:val="nil"/>
              <w:right w:val="nil"/>
            </w:tcBorders>
            <w:shd w:val="clear" w:color="auto" w:fill="auto"/>
            <w:noWrap/>
            <w:vAlign w:val="center"/>
            <w:hideMark/>
          </w:tcPr>
          <w:p w14:paraId="4A2D404D" w14:textId="77777777" w:rsidR="000A6A2C" w:rsidRPr="00A85625" w:rsidRDefault="000A6A2C" w:rsidP="00E56C1E">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PIAC</w:t>
            </w:r>
          </w:p>
        </w:tc>
        <w:tc>
          <w:tcPr>
            <w:tcW w:w="1881" w:type="dxa"/>
            <w:tcBorders>
              <w:top w:val="nil"/>
              <w:left w:val="nil"/>
              <w:bottom w:val="nil"/>
              <w:right w:val="nil"/>
            </w:tcBorders>
            <w:shd w:val="clear" w:color="auto" w:fill="auto"/>
            <w:noWrap/>
            <w:vAlign w:val="center"/>
            <w:hideMark/>
          </w:tcPr>
          <w:p w14:paraId="4508B891" w14:textId="77777777" w:rsidR="000A6A2C" w:rsidRPr="00A85625" w:rsidRDefault="000A6A2C" w:rsidP="00E56C1E">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Public Interest</w:t>
            </w:r>
          </w:p>
        </w:tc>
        <w:tc>
          <w:tcPr>
            <w:tcW w:w="674" w:type="dxa"/>
            <w:tcBorders>
              <w:top w:val="nil"/>
              <w:left w:val="single" w:sz="4" w:space="0" w:color="auto"/>
              <w:bottom w:val="nil"/>
              <w:right w:val="nil"/>
            </w:tcBorders>
            <w:shd w:val="clear" w:color="auto" w:fill="auto"/>
            <w:noWrap/>
            <w:vAlign w:val="center"/>
            <w:hideMark/>
          </w:tcPr>
          <w:p w14:paraId="7A9D7068"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04EE4EE7"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555B6FB"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04598478"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793B956E"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7DE092BF"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2B6A97E8" w14:textId="77777777" w:rsidR="000A6A2C" w:rsidRPr="00A85625" w:rsidRDefault="000A6A2C" w:rsidP="00E56C1E">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33527620" w14:textId="77777777" w:rsidR="000A6A2C" w:rsidRPr="00A85625" w:rsidRDefault="000A6A2C" w:rsidP="00E56C1E">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7D8A711A" w14:textId="77777777" w:rsidR="000A6A2C" w:rsidRPr="00A85625" w:rsidRDefault="000A6A2C" w:rsidP="00E56C1E">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6C4E0ECA"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3239CB86"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Tesla</w:t>
            </w:r>
          </w:p>
        </w:tc>
        <w:tc>
          <w:tcPr>
            <w:tcW w:w="1881" w:type="dxa"/>
            <w:tcBorders>
              <w:top w:val="nil"/>
              <w:left w:val="nil"/>
              <w:bottom w:val="nil"/>
              <w:right w:val="nil"/>
            </w:tcBorders>
            <w:shd w:val="clear" w:color="auto" w:fill="auto"/>
            <w:noWrap/>
            <w:vAlign w:val="center"/>
            <w:hideMark/>
          </w:tcPr>
          <w:p w14:paraId="6E41B1DD"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Battery Mfr</w:t>
            </w:r>
          </w:p>
        </w:tc>
        <w:tc>
          <w:tcPr>
            <w:tcW w:w="674" w:type="dxa"/>
            <w:tcBorders>
              <w:top w:val="nil"/>
              <w:left w:val="single" w:sz="4" w:space="0" w:color="auto"/>
              <w:bottom w:val="nil"/>
              <w:right w:val="nil"/>
            </w:tcBorders>
            <w:shd w:val="clear" w:color="auto" w:fill="auto"/>
            <w:noWrap/>
            <w:vAlign w:val="center"/>
            <w:hideMark/>
          </w:tcPr>
          <w:p w14:paraId="6951517C"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6FAFF8F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4CEEB2F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7C5446D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nil"/>
            </w:tcBorders>
            <w:shd w:val="clear" w:color="auto" w:fill="auto"/>
            <w:noWrap/>
            <w:vAlign w:val="center"/>
            <w:hideMark/>
          </w:tcPr>
          <w:p w14:paraId="482E2D7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2E92672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2668" w:type="dxa"/>
            <w:tcBorders>
              <w:top w:val="nil"/>
              <w:left w:val="nil"/>
              <w:bottom w:val="nil"/>
              <w:right w:val="single" w:sz="4" w:space="0" w:color="auto"/>
            </w:tcBorders>
            <w:shd w:val="clear" w:color="auto" w:fill="auto"/>
            <w:noWrap/>
            <w:vAlign w:val="center"/>
            <w:hideMark/>
          </w:tcPr>
          <w:p w14:paraId="418B0201"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c>
          <w:tcPr>
            <w:tcW w:w="2669" w:type="dxa"/>
            <w:tcBorders>
              <w:top w:val="nil"/>
              <w:left w:val="single" w:sz="4" w:space="0" w:color="auto"/>
              <w:bottom w:val="nil"/>
              <w:right w:val="nil"/>
            </w:tcBorders>
            <w:shd w:val="clear" w:color="auto" w:fill="auto"/>
            <w:noWrap/>
            <w:vAlign w:val="center"/>
            <w:hideMark/>
          </w:tcPr>
          <w:p w14:paraId="0CD8AFDE"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6FDF806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r>
      <w:tr w:rsidR="00A85625" w:rsidRPr="00A85625" w14:paraId="0CC0612C" w14:textId="77777777" w:rsidTr="00F36459">
        <w:trPr>
          <w:trHeight w:val="300"/>
        </w:trPr>
        <w:tc>
          <w:tcPr>
            <w:tcW w:w="1779" w:type="dxa"/>
            <w:tcBorders>
              <w:top w:val="nil"/>
              <w:left w:val="single" w:sz="4" w:space="0" w:color="auto"/>
              <w:bottom w:val="nil"/>
              <w:right w:val="nil"/>
            </w:tcBorders>
            <w:shd w:val="clear" w:color="auto" w:fill="auto"/>
            <w:noWrap/>
            <w:vAlign w:val="center"/>
            <w:hideMark/>
          </w:tcPr>
          <w:p w14:paraId="099A42B6"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UL</w:t>
            </w:r>
          </w:p>
        </w:tc>
        <w:tc>
          <w:tcPr>
            <w:tcW w:w="1881" w:type="dxa"/>
            <w:tcBorders>
              <w:top w:val="nil"/>
              <w:left w:val="nil"/>
              <w:bottom w:val="nil"/>
              <w:right w:val="nil"/>
            </w:tcBorders>
            <w:shd w:val="clear" w:color="auto" w:fill="auto"/>
            <w:noWrap/>
            <w:vAlign w:val="center"/>
            <w:hideMark/>
          </w:tcPr>
          <w:p w14:paraId="7DFE062C"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Test &amp; cert</w:t>
            </w:r>
          </w:p>
        </w:tc>
        <w:tc>
          <w:tcPr>
            <w:tcW w:w="674" w:type="dxa"/>
            <w:tcBorders>
              <w:top w:val="nil"/>
              <w:left w:val="single" w:sz="4" w:space="0" w:color="auto"/>
              <w:bottom w:val="nil"/>
              <w:right w:val="nil"/>
            </w:tcBorders>
            <w:shd w:val="clear" w:color="auto" w:fill="auto"/>
            <w:noWrap/>
            <w:vAlign w:val="center"/>
            <w:hideMark/>
          </w:tcPr>
          <w:p w14:paraId="153FBFD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49AE9C4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4AAD2F99"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7107CD15"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535389ED"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single" w:sz="4" w:space="0" w:color="auto"/>
            </w:tcBorders>
            <w:shd w:val="clear" w:color="auto" w:fill="auto"/>
            <w:noWrap/>
            <w:vAlign w:val="center"/>
            <w:hideMark/>
          </w:tcPr>
          <w:p w14:paraId="46DF2722"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79ED1B9D"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nil"/>
              <w:left w:val="single" w:sz="4" w:space="0" w:color="auto"/>
              <w:bottom w:val="nil"/>
              <w:right w:val="nil"/>
            </w:tcBorders>
            <w:shd w:val="clear" w:color="auto" w:fill="auto"/>
            <w:noWrap/>
            <w:vAlign w:val="center"/>
            <w:hideMark/>
          </w:tcPr>
          <w:p w14:paraId="18495531"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Cyberscurity paper</w:t>
            </w:r>
          </w:p>
        </w:tc>
        <w:tc>
          <w:tcPr>
            <w:tcW w:w="1134" w:type="dxa"/>
            <w:tcBorders>
              <w:top w:val="nil"/>
              <w:left w:val="single" w:sz="4" w:space="0" w:color="auto"/>
              <w:bottom w:val="nil"/>
              <w:right w:val="single" w:sz="4" w:space="0" w:color="auto"/>
            </w:tcBorders>
            <w:shd w:val="clear" w:color="auto" w:fill="auto"/>
            <w:noWrap/>
            <w:vAlign w:val="center"/>
            <w:hideMark/>
          </w:tcPr>
          <w:p w14:paraId="5055F5B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r w:rsidR="00A85625" w:rsidRPr="00A85625" w14:paraId="084BA004" w14:textId="77777777" w:rsidTr="00F36459">
        <w:trPr>
          <w:trHeight w:val="300"/>
        </w:trPr>
        <w:tc>
          <w:tcPr>
            <w:tcW w:w="1779" w:type="dxa"/>
            <w:tcBorders>
              <w:top w:val="nil"/>
              <w:left w:val="single" w:sz="4" w:space="0" w:color="auto"/>
              <w:bottom w:val="single" w:sz="4" w:space="0" w:color="auto"/>
              <w:right w:val="nil"/>
            </w:tcBorders>
            <w:shd w:val="clear" w:color="auto" w:fill="auto"/>
            <w:noWrap/>
            <w:vAlign w:val="center"/>
            <w:hideMark/>
          </w:tcPr>
          <w:p w14:paraId="4B5C99D8"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 Woodley</w:t>
            </w:r>
          </w:p>
        </w:tc>
        <w:tc>
          <w:tcPr>
            <w:tcW w:w="1881" w:type="dxa"/>
            <w:tcBorders>
              <w:top w:val="nil"/>
              <w:left w:val="nil"/>
              <w:bottom w:val="single" w:sz="4" w:space="0" w:color="auto"/>
              <w:right w:val="nil"/>
            </w:tcBorders>
            <w:shd w:val="clear" w:color="auto" w:fill="auto"/>
            <w:noWrap/>
            <w:vAlign w:val="center"/>
            <w:hideMark/>
          </w:tcPr>
          <w:p w14:paraId="3A86CA89"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Private individual</w:t>
            </w:r>
          </w:p>
        </w:tc>
        <w:tc>
          <w:tcPr>
            <w:tcW w:w="674" w:type="dxa"/>
            <w:tcBorders>
              <w:top w:val="nil"/>
              <w:left w:val="single" w:sz="4" w:space="0" w:color="auto"/>
              <w:bottom w:val="nil"/>
              <w:right w:val="nil"/>
            </w:tcBorders>
            <w:shd w:val="clear" w:color="auto" w:fill="auto"/>
            <w:noWrap/>
            <w:vAlign w:val="center"/>
            <w:hideMark/>
          </w:tcPr>
          <w:p w14:paraId="6014C62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1802C4F3"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3D4A5EA4"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691D948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674" w:type="dxa"/>
            <w:tcBorders>
              <w:top w:val="nil"/>
              <w:left w:val="nil"/>
              <w:bottom w:val="nil"/>
              <w:right w:val="nil"/>
            </w:tcBorders>
            <w:shd w:val="clear" w:color="auto" w:fill="auto"/>
            <w:noWrap/>
            <w:vAlign w:val="center"/>
            <w:hideMark/>
          </w:tcPr>
          <w:p w14:paraId="2ED85F9B"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1</w:t>
            </w:r>
          </w:p>
        </w:tc>
        <w:tc>
          <w:tcPr>
            <w:tcW w:w="674" w:type="dxa"/>
            <w:tcBorders>
              <w:top w:val="nil"/>
              <w:left w:val="nil"/>
              <w:bottom w:val="nil"/>
              <w:right w:val="single" w:sz="4" w:space="0" w:color="auto"/>
            </w:tcBorders>
            <w:shd w:val="clear" w:color="auto" w:fill="auto"/>
            <w:noWrap/>
            <w:vAlign w:val="center"/>
            <w:hideMark/>
          </w:tcPr>
          <w:p w14:paraId="3DD87F3F"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2668" w:type="dxa"/>
            <w:tcBorders>
              <w:top w:val="nil"/>
              <w:left w:val="nil"/>
              <w:bottom w:val="nil"/>
              <w:right w:val="single" w:sz="4" w:space="0" w:color="auto"/>
            </w:tcBorders>
            <w:shd w:val="clear" w:color="auto" w:fill="auto"/>
            <w:noWrap/>
            <w:vAlign w:val="center"/>
            <w:hideMark/>
          </w:tcPr>
          <w:p w14:paraId="359667BC" w14:textId="77777777"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w:t>
            </w:r>
          </w:p>
        </w:tc>
        <w:tc>
          <w:tcPr>
            <w:tcW w:w="2669" w:type="dxa"/>
            <w:tcBorders>
              <w:top w:val="nil"/>
              <w:left w:val="single" w:sz="4" w:space="0" w:color="auto"/>
              <w:bottom w:val="nil"/>
              <w:right w:val="nil"/>
            </w:tcBorders>
            <w:shd w:val="clear" w:color="auto" w:fill="auto"/>
            <w:noWrap/>
            <w:vAlign w:val="center"/>
            <w:hideMark/>
          </w:tcPr>
          <w:p w14:paraId="66165496" w14:textId="77777777" w:rsidR="006140E0" w:rsidRPr="00A85625" w:rsidRDefault="006140E0" w:rsidP="006140E0">
            <w:pPr>
              <w:spacing w:after="0" w:line="240" w:lineRule="auto"/>
              <w:jc w:val="right"/>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01B7EEAA"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r>
      <w:tr w:rsidR="00A85625" w:rsidRPr="00A85625" w14:paraId="7E26E285" w14:textId="77777777" w:rsidTr="00F36459">
        <w:trPr>
          <w:trHeight w:val="300"/>
        </w:trPr>
        <w:tc>
          <w:tcPr>
            <w:tcW w:w="1779" w:type="dxa"/>
            <w:tcBorders>
              <w:top w:val="single" w:sz="4" w:space="0" w:color="auto"/>
              <w:left w:val="single" w:sz="4" w:space="0" w:color="auto"/>
              <w:bottom w:val="single" w:sz="4" w:space="0" w:color="auto"/>
              <w:right w:val="nil"/>
            </w:tcBorders>
            <w:shd w:val="clear" w:color="auto" w:fill="auto"/>
            <w:noWrap/>
            <w:vAlign w:val="center"/>
            <w:hideMark/>
          </w:tcPr>
          <w:p w14:paraId="58466C08" w14:textId="77777777" w:rsidR="006140E0" w:rsidRPr="00A85625" w:rsidRDefault="006140E0" w:rsidP="000A6A2C">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9</w:t>
            </w:r>
          </w:p>
        </w:tc>
        <w:tc>
          <w:tcPr>
            <w:tcW w:w="1881" w:type="dxa"/>
            <w:tcBorders>
              <w:top w:val="single" w:sz="4" w:space="0" w:color="auto"/>
              <w:left w:val="nil"/>
              <w:bottom w:val="single" w:sz="4" w:space="0" w:color="auto"/>
              <w:right w:val="nil"/>
            </w:tcBorders>
            <w:shd w:val="clear" w:color="auto" w:fill="auto"/>
            <w:noWrap/>
            <w:vAlign w:val="center"/>
            <w:hideMark/>
          </w:tcPr>
          <w:p w14:paraId="20AB50AE" w14:textId="117846DE" w:rsidR="006140E0" w:rsidRPr="00A85625" w:rsidRDefault="000A6A2C" w:rsidP="006140E0">
            <w:pPr>
              <w:spacing w:after="0" w:line="240" w:lineRule="auto"/>
              <w:rPr>
                <w:rFonts w:ascii="Calibri" w:eastAsia="Times New Roman" w:hAnsi="Calibri" w:cs="Calibri"/>
                <w:color w:val="000000"/>
                <w:sz w:val="18"/>
                <w:szCs w:val="18"/>
                <w:lang w:val="en-AU" w:eastAsia="en-AU"/>
              </w:rPr>
            </w:pPr>
            <w:r>
              <w:rPr>
                <w:rFonts w:ascii="Calibri" w:eastAsia="Times New Roman" w:hAnsi="Calibri" w:cs="Calibri"/>
                <w:color w:val="000000"/>
                <w:sz w:val="18"/>
                <w:szCs w:val="18"/>
                <w:lang w:val="en-AU" w:eastAsia="en-AU"/>
              </w:rPr>
              <w:t xml:space="preserve">Total (unconditional)  </w:t>
            </w:r>
          </w:p>
        </w:tc>
        <w:tc>
          <w:tcPr>
            <w:tcW w:w="674" w:type="dxa"/>
            <w:tcBorders>
              <w:top w:val="single" w:sz="4" w:space="0" w:color="auto"/>
              <w:left w:val="single" w:sz="4" w:space="0" w:color="auto"/>
              <w:bottom w:val="single" w:sz="4" w:space="0" w:color="auto"/>
              <w:right w:val="nil"/>
            </w:tcBorders>
            <w:shd w:val="clear" w:color="auto" w:fill="auto"/>
            <w:noWrap/>
            <w:vAlign w:val="center"/>
            <w:hideMark/>
          </w:tcPr>
          <w:p w14:paraId="6742EF56"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0DE4A511"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2</w:t>
            </w:r>
          </w:p>
        </w:tc>
        <w:tc>
          <w:tcPr>
            <w:tcW w:w="674" w:type="dxa"/>
            <w:tcBorders>
              <w:top w:val="single" w:sz="4" w:space="0" w:color="auto"/>
              <w:left w:val="nil"/>
              <w:bottom w:val="single" w:sz="4" w:space="0" w:color="auto"/>
              <w:right w:val="nil"/>
            </w:tcBorders>
            <w:shd w:val="clear" w:color="auto" w:fill="auto"/>
            <w:noWrap/>
            <w:vAlign w:val="center"/>
            <w:hideMark/>
          </w:tcPr>
          <w:p w14:paraId="179D2318"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0257FFC0"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2</w:t>
            </w:r>
          </w:p>
        </w:tc>
        <w:tc>
          <w:tcPr>
            <w:tcW w:w="674" w:type="dxa"/>
            <w:tcBorders>
              <w:top w:val="single" w:sz="4" w:space="0" w:color="auto"/>
              <w:left w:val="nil"/>
              <w:bottom w:val="single" w:sz="4" w:space="0" w:color="auto"/>
              <w:right w:val="nil"/>
            </w:tcBorders>
            <w:shd w:val="clear" w:color="auto" w:fill="auto"/>
            <w:noWrap/>
            <w:vAlign w:val="center"/>
            <w:hideMark/>
          </w:tcPr>
          <w:p w14:paraId="04FB2CC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32F1F22A" w14:textId="77777777" w:rsidR="006140E0" w:rsidRPr="00A85625" w:rsidRDefault="006140E0" w:rsidP="006140E0">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2</w:t>
            </w:r>
          </w:p>
        </w:tc>
        <w:tc>
          <w:tcPr>
            <w:tcW w:w="2668" w:type="dxa"/>
            <w:tcBorders>
              <w:top w:val="single" w:sz="4" w:space="0" w:color="auto"/>
              <w:left w:val="nil"/>
              <w:bottom w:val="single" w:sz="4" w:space="0" w:color="auto"/>
              <w:right w:val="single" w:sz="4" w:space="0" w:color="auto"/>
            </w:tcBorders>
            <w:shd w:val="clear" w:color="auto" w:fill="auto"/>
            <w:noWrap/>
            <w:vAlign w:val="center"/>
            <w:hideMark/>
          </w:tcPr>
          <w:p w14:paraId="06E4093F" w14:textId="0DE6702E" w:rsidR="006140E0" w:rsidRPr="00A85625" w:rsidRDefault="006140E0" w:rsidP="001D3923">
            <w:pPr>
              <w:spacing w:after="0" w:line="240" w:lineRule="auto"/>
              <w:jc w:val="center"/>
              <w:rPr>
                <w:rFonts w:ascii="Calibri" w:eastAsia="Times New Roman" w:hAnsi="Calibri" w:cs="Calibri"/>
                <w:color w:val="000000"/>
                <w:sz w:val="18"/>
                <w:szCs w:val="18"/>
                <w:lang w:val="en-AU" w:eastAsia="en-AU"/>
              </w:rPr>
            </w:pPr>
          </w:p>
        </w:tc>
        <w:tc>
          <w:tcPr>
            <w:tcW w:w="2669" w:type="dxa"/>
            <w:tcBorders>
              <w:top w:val="single" w:sz="4" w:space="0" w:color="auto"/>
              <w:left w:val="single" w:sz="4" w:space="0" w:color="auto"/>
              <w:bottom w:val="single" w:sz="4" w:space="0" w:color="auto"/>
              <w:right w:val="nil"/>
            </w:tcBorders>
            <w:shd w:val="clear" w:color="auto" w:fill="auto"/>
            <w:noWrap/>
            <w:vAlign w:val="center"/>
            <w:hideMark/>
          </w:tcPr>
          <w:p w14:paraId="754371DD"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427C8" w14:textId="77777777" w:rsidR="006140E0" w:rsidRPr="00A85625" w:rsidRDefault="006140E0" w:rsidP="006140E0">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r>
    </w:tbl>
    <w:p w14:paraId="7D812089" w14:textId="13AADB46" w:rsidR="006140E0" w:rsidRPr="00366993" w:rsidRDefault="00366993" w:rsidP="00366993">
      <w:pPr>
        <w:ind w:left="360"/>
        <w:jc w:val="center"/>
        <w:rPr>
          <w:sz w:val="18"/>
          <w:szCs w:val="18"/>
        </w:rPr>
      </w:pPr>
      <w:r w:rsidRPr="00366993">
        <w:rPr>
          <w:sz w:val="18"/>
          <w:szCs w:val="18"/>
        </w:rPr>
        <w:t>(a</w:t>
      </w:r>
      <w:proofErr w:type="gramStart"/>
      <w:r w:rsidRPr="00366993">
        <w:rPr>
          <w:sz w:val="18"/>
          <w:szCs w:val="18"/>
        </w:rPr>
        <w:t>),(</w:t>
      </w:r>
      <w:proofErr w:type="gramEnd"/>
      <w:r w:rsidRPr="00366993">
        <w:rPr>
          <w:sz w:val="18"/>
          <w:szCs w:val="18"/>
        </w:rPr>
        <w:t>b) Joint submission, considered to represent the views of each of the parties.</w:t>
      </w:r>
    </w:p>
    <w:p w14:paraId="2C1B5368" w14:textId="77777777" w:rsidR="006140E0" w:rsidRDefault="006140E0" w:rsidP="00A37634">
      <w:pPr>
        <w:spacing w:after="120" w:line="276" w:lineRule="auto"/>
        <w:rPr>
          <w:rFonts w:ascii="Calibri" w:eastAsia="Calibri" w:hAnsi="Calibri" w:cs="Calibri"/>
          <w:szCs w:val="20"/>
          <w:lang w:val="en-AU"/>
        </w:rPr>
      </w:pPr>
    </w:p>
    <w:p w14:paraId="655DFE13" w14:textId="77777777" w:rsidR="006140E0" w:rsidRDefault="006140E0" w:rsidP="00A37634">
      <w:pPr>
        <w:spacing w:after="120" w:line="276" w:lineRule="auto"/>
        <w:rPr>
          <w:rFonts w:ascii="Calibri" w:eastAsia="Calibri" w:hAnsi="Calibri" w:cs="Calibri"/>
          <w:szCs w:val="20"/>
          <w:lang w:val="en-AU"/>
        </w:rPr>
      </w:pPr>
    </w:p>
    <w:p w14:paraId="4247DAF0" w14:textId="77777777" w:rsidR="006140E0" w:rsidRDefault="006140E0" w:rsidP="00A37634">
      <w:pPr>
        <w:spacing w:after="120" w:line="276" w:lineRule="auto"/>
        <w:rPr>
          <w:rFonts w:ascii="Calibri" w:eastAsia="Calibri" w:hAnsi="Calibri" w:cs="Calibri"/>
          <w:szCs w:val="20"/>
          <w:lang w:val="en-AU"/>
        </w:rPr>
      </w:pPr>
    </w:p>
    <w:p w14:paraId="748B5379" w14:textId="77777777" w:rsidR="006140E0" w:rsidRDefault="006140E0" w:rsidP="00A37634">
      <w:pPr>
        <w:spacing w:after="120" w:line="276" w:lineRule="auto"/>
        <w:rPr>
          <w:rFonts w:ascii="Calibri" w:eastAsia="Calibri" w:hAnsi="Calibri" w:cs="Calibri"/>
          <w:szCs w:val="20"/>
          <w:lang w:val="en-AU"/>
        </w:rPr>
      </w:pPr>
    </w:p>
    <w:p w14:paraId="0527E67F" w14:textId="544B6CBE" w:rsidR="00F36459" w:rsidRPr="00F36459" w:rsidRDefault="001D3923" w:rsidP="00F36459">
      <w:pPr>
        <w:spacing w:before="240" w:after="120" w:line="240" w:lineRule="auto"/>
        <w:jc w:val="center"/>
        <w:rPr>
          <w:rFonts w:ascii="Calibri" w:eastAsia="Cambria" w:hAnsi="Calibri" w:cs="Calibri"/>
          <w:b/>
          <w:bCs/>
          <w:sz w:val="20"/>
          <w:szCs w:val="16"/>
          <w:lang w:val="en-AU"/>
        </w:rPr>
      </w:pPr>
      <w:bookmarkStart w:id="147" w:name="_Ref22240043"/>
      <w:bookmarkStart w:id="148" w:name="_Toc22486969"/>
      <w:r>
        <w:lastRenderedPageBreak/>
        <w:t xml:space="preserve">Table </w:t>
      </w:r>
      <w:r>
        <w:fldChar w:fldCharType="begin"/>
      </w:r>
      <w:r>
        <w:instrText xml:space="preserve"> SEQ Table \* ARABIC </w:instrText>
      </w:r>
      <w:r>
        <w:fldChar w:fldCharType="separate"/>
      </w:r>
      <w:r w:rsidR="005B1ACD">
        <w:rPr>
          <w:noProof/>
        </w:rPr>
        <w:t>25</w:t>
      </w:r>
      <w:r>
        <w:fldChar w:fldCharType="end"/>
      </w:r>
      <w:bookmarkEnd w:id="147"/>
      <w:r w:rsidR="00F36459">
        <w:t xml:space="preserve"> </w:t>
      </w:r>
      <w:r w:rsidR="00F36459" w:rsidRPr="00F36459">
        <w:rPr>
          <w:rFonts w:ascii="Calibri" w:eastAsia="Cambria" w:hAnsi="Calibri" w:cs="Calibri"/>
          <w:b/>
          <w:bCs/>
          <w:sz w:val="20"/>
          <w:szCs w:val="16"/>
          <w:lang w:val="en-AU"/>
        </w:rPr>
        <w:t>Summary of positions – Written Submissions</w:t>
      </w:r>
      <w:r w:rsidR="00F36459">
        <w:rPr>
          <w:rFonts w:ascii="Calibri" w:eastAsia="Cambria" w:hAnsi="Calibri" w:cs="Calibri"/>
          <w:b/>
          <w:bCs/>
          <w:sz w:val="20"/>
          <w:szCs w:val="16"/>
          <w:lang w:val="en-AU"/>
        </w:rPr>
        <w:t xml:space="preserve"> (New Zealand)</w:t>
      </w:r>
      <w:bookmarkEnd w:id="148"/>
    </w:p>
    <w:tbl>
      <w:tblPr>
        <w:tblW w:w="0" w:type="auto"/>
        <w:jc w:val="center"/>
        <w:tblLayout w:type="fixed"/>
        <w:tblLook w:val="04A0" w:firstRow="1" w:lastRow="0" w:firstColumn="1" w:lastColumn="0" w:noHBand="0" w:noVBand="1"/>
      </w:tblPr>
      <w:tblGrid>
        <w:gridCol w:w="1779"/>
        <w:gridCol w:w="1881"/>
        <w:gridCol w:w="674"/>
        <w:gridCol w:w="674"/>
        <w:gridCol w:w="674"/>
        <w:gridCol w:w="674"/>
        <w:gridCol w:w="674"/>
        <w:gridCol w:w="674"/>
        <w:gridCol w:w="1794"/>
        <w:gridCol w:w="2551"/>
        <w:gridCol w:w="1134"/>
      </w:tblGrid>
      <w:tr w:rsidR="001D3923" w:rsidRPr="00A85625" w14:paraId="1BDDF289" w14:textId="77777777" w:rsidTr="00F36459">
        <w:trPr>
          <w:trHeight w:val="300"/>
          <w:jc w:val="center"/>
        </w:trPr>
        <w:tc>
          <w:tcPr>
            <w:tcW w:w="1779" w:type="dxa"/>
            <w:tcBorders>
              <w:top w:val="single" w:sz="4" w:space="0" w:color="auto"/>
              <w:left w:val="single" w:sz="4" w:space="0" w:color="auto"/>
              <w:bottom w:val="nil"/>
              <w:right w:val="nil"/>
            </w:tcBorders>
            <w:shd w:val="clear" w:color="auto" w:fill="auto"/>
            <w:noWrap/>
            <w:vAlign w:val="center"/>
            <w:hideMark/>
          </w:tcPr>
          <w:p w14:paraId="63B4A6EB" w14:textId="77777777" w:rsidR="001D3923" w:rsidRPr="00A85625" w:rsidRDefault="001D3923" w:rsidP="00F36459">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881" w:type="dxa"/>
            <w:tcBorders>
              <w:top w:val="single" w:sz="4" w:space="0" w:color="auto"/>
              <w:left w:val="nil"/>
              <w:bottom w:val="nil"/>
              <w:right w:val="nil"/>
            </w:tcBorders>
            <w:shd w:val="clear" w:color="auto" w:fill="auto"/>
            <w:noWrap/>
            <w:vAlign w:val="center"/>
            <w:hideMark/>
          </w:tcPr>
          <w:p w14:paraId="24746A3A" w14:textId="77777777" w:rsidR="001D3923" w:rsidRPr="00A85625" w:rsidRDefault="001D3923" w:rsidP="00DE5103">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348"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211BF948" w14:textId="77777777" w:rsidR="001D3923" w:rsidRPr="00A85625" w:rsidRDefault="001D3923" w:rsidP="00DE5103">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 for ACs</w:t>
            </w:r>
          </w:p>
        </w:tc>
        <w:tc>
          <w:tcPr>
            <w:tcW w:w="1348"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4936FA33" w14:textId="77777777" w:rsidR="001D3923" w:rsidRPr="00A85625" w:rsidRDefault="001D3923" w:rsidP="00DE5103">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 for PPs</w:t>
            </w:r>
          </w:p>
        </w:tc>
        <w:tc>
          <w:tcPr>
            <w:tcW w:w="1348" w:type="dxa"/>
            <w:gridSpan w:val="2"/>
            <w:tcBorders>
              <w:top w:val="single" w:sz="4" w:space="0" w:color="auto"/>
              <w:left w:val="single" w:sz="4" w:space="0" w:color="auto"/>
              <w:bottom w:val="nil"/>
              <w:right w:val="single" w:sz="4" w:space="0" w:color="auto"/>
            </w:tcBorders>
            <w:shd w:val="clear" w:color="auto" w:fill="auto"/>
            <w:noWrap/>
            <w:vAlign w:val="center"/>
            <w:hideMark/>
          </w:tcPr>
          <w:p w14:paraId="5D295576" w14:textId="77777777" w:rsidR="001D3923" w:rsidRPr="00A85625" w:rsidRDefault="001D3923" w:rsidP="00DE5103">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4755 for WHs</w:t>
            </w:r>
          </w:p>
        </w:tc>
        <w:tc>
          <w:tcPr>
            <w:tcW w:w="1794" w:type="dxa"/>
            <w:tcBorders>
              <w:top w:val="single" w:sz="4" w:space="0" w:color="auto"/>
              <w:left w:val="single" w:sz="4" w:space="0" w:color="auto"/>
              <w:bottom w:val="nil"/>
              <w:right w:val="single" w:sz="4" w:space="0" w:color="auto"/>
            </w:tcBorders>
            <w:shd w:val="clear" w:color="auto" w:fill="auto"/>
            <w:vAlign w:val="center"/>
            <w:hideMark/>
          </w:tcPr>
          <w:p w14:paraId="15C06F07" w14:textId="77777777" w:rsidR="001D3923" w:rsidRPr="00A85625" w:rsidRDefault="001D3923" w:rsidP="00DE510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EV</w:t>
            </w:r>
            <w:r>
              <w:rPr>
                <w:rFonts w:ascii="Calibri" w:eastAsia="Times New Roman" w:hAnsi="Calibri" w:cs="Calibri"/>
                <w:color w:val="000000"/>
                <w:sz w:val="18"/>
                <w:szCs w:val="18"/>
                <w:lang w:val="en-AU" w:eastAsia="en-AU"/>
              </w:rPr>
              <w:t xml:space="preserve"> Chargers</w:t>
            </w:r>
          </w:p>
        </w:tc>
        <w:tc>
          <w:tcPr>
            <w:tcW w:w="2551" w:type="dxa"/>
            <w:tcBorders>
              <w:top w:val="single" w:sz="4" w:space="0" w:color="auto"/>
              <w:left w:val="single" w:sz="4" w:space="0" w:color="auto"/>
              <w:bottom w:val="nil"/>
              <w:right w:val="nil"/>
            </w:tcBorders>
            <w:shd w:val="clear" w:color="auto" w:fill="auto"/>
            <w:noWrap/>
            <w:vAlign w:val="center"/>
            <w:hideMark/>
          </w:tcPr>
          <w:p w14:paraId="12702D3F" w14:textId="3C6C9473" w:rsidR="001D3923" w:rsidRPr="00A85625" w:rsidRDefault="001D3923" w:rsidP="00F36459">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Other products</w:t>
            </w:r>
            <w:r w:rsidR="00F36459">
              <w:rPr>
                <w:rFonts w:ascii="Calibri" w:eastAsia="Times New Roman" w:hAnsi="Calibri" w:cs="Calibri"/>
                <w:color w:val="000000"/>
                <w:sz w:val="18"/>
                <w:szCs w:val="18"/>
                <w:lang w:val="en-AU" w:eastAsia="en-AU"/>
              </w:rPr>
              <w:t>; comments</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4848B39" w14:textId="77777777" w:rsidR="001D3923" w:rsidRPr="00A85625" w:rsidRDefault="001D3923" w:rsidP="00DE5103">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Need DR</w:t>
            </w:r>
          </w:p>
        </w:tc>
      </w:tr>
      <w:tr w:rsidR="00F36459" w:rsidRPr="00A85625" w14:paraId="42D2017E" w14:textId="77777777" w:rsidTr="00F36459">
        <w:trPr>
          <w:trHeight w:val="300"/>
          <w:jc w:val="center"/>
        </w:trPr>
        <w:tc>
          <w:tcPr>
            <w:tcW w:w="1779" w:type="dxa"/>
            <w:tcBorders>
              <w:top w:val="nil"/>
              <w:left w:val="single" w:sz="4" w:space="0" w:color="auto"/>
              <w:bottom w:val="single" w:sz="4" w:space="0" w:color="auto"/>
              <w:right w:val="nil"/>
            </w:tcBorders>
            <w:shd w:val="clear" w:color="auto" w:fill="auto"/>
            <w:noWrap/>
            <w:vAlign w:val="center"/>
            <w:hideMark/>
          </w:tcPr>
          <w:p w14:paraId="2CAE29BE" w14:textId="77777777" w:rsidR="001D3923" w:rsidRPr="00A85625" w:rsidRDefault="001D3923" w:rsidP="00F36459">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Category</w:t>
            </w:r>
          </w:p>
        </w:tc>
        <w:tc>
          <w:tcPr>
            <w:tcW w:w="1881" w:type="dxa"/>
            <w:tcBorders>
              <w:top w:val="nil"/>
              <w:left w:val="nil"/>
              <w:bottom w:val="single" w:sz="4" w:space="0" w:color="auto"/>
              <w:right w:val="nil"/>
            </w:tcBorders>
            <w:shd w:val="clear" w:color="auto" w:fill="auto"/>
            <w:noWrap/>
            <w:vAlign w:val="center"/>
            <w:hideMark/>
          </w:tcPr>
          <w:p w14:paraId="30842BCD" w14:textId="77777777" w:rsidR="001D3923" w:rsidRPr="00A85625" w:rsidRDefault="001D3923" w:rsidP="00DE5103">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Name</w:t>
            </w:r>
          </w:p>
        </w:tc>
        <w:tc>
          <w:tcPr>
            <w:tcW w:w="674" w:type="dxa"/>
            <w:tcBorders>
              <w:top w:val="nil"/>
              <w:left w:val="single" w:sz="4" w:space="0" w:color="auto"/>
              <w:bottom w:val="single" w:sz="4" w:space="0" w:color="auto"/>
              <w:right w:val="nil"/>
            </w:tcBorders>
            <w:shd w:val="clear" w:color="auto" w:fill="auto"/>
            <w:noWrap/>
            <w:vAlign w:val="center"/>
            <w:hideMark/>
          </w:tcPr>
          <w:p w14:paraId="59911FC7" w14:textId="77777777" w:rsidR="001D3923" w:rsidRPr="00A85625" w:rsidRDefault="001D3923" w:rsidP="00DE510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c>
          <w:tcPr>
            <w:tcW w:w="674" w:type="dxa"/>
            <w:tcBorders>
              <w:top w:val="nil"/>
              <w:left w:val="nil"/>
              <w:bottom w:val="single" w:sz="4" w:space="0" w:color="auto"/>
              <w:right w:val="single" w:sz="4" w:space="0" w:color="auto"/>
            </w:tcBorders>
            <w:shd w:val="clear" w:color="auto" w:fill="auto"/>
            <w:noWrap/>
            <w:vAlign w:val="center"/>
            <w:hideMark/>
          </w:tcPr>
          <w:p w14:paraId="2F7CF9FF" w14:textId="77777777" w:rsidR="001D3923" w:rsidRPr="00A85625" w:rsidRDefault="001D3923" w:rsidP="00DE510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c>
          <w:tcPr>
            <w:tcW w:w="674" w:type="dxa"/>
            <w:tcBorders>
              <w:top w:val="nil"/>
              <w:left w:val="nil"/>
              <w:bottom w:val="single" w:sz="4" w:space="0" w:color="auto"/>
              <w:right w:val="nil"/>
            </w:tcBorders>
            <w:shd w:val="clear" w:color="auto" w:fill="auto"/>
            <w:noWrap/>
            <w:vAlign w:val="center"/>
            <w:hideMark/>
          </w:tcPr>
          <w:p w14:paraId="688F8A45" w14:textId="77777777" w:rsidR="001D3923" w:rsidRPr="00A85625" w:rsidRDefault="001D3923" w:rsidP="00DE510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c>
          <w:tcPr>
            <w:tcW w:w="674" w:type="dxa"/>
            <w:tcBorders>
              <w:top w:val="nil"/>
              <w:left w:val="nil"/>
              <w:bottom w:val="single" w:sz="4" w:space="0" w:color="auto"/>
              <w:right w:val="single" w:sz="4" w:space="0" w:color="auto"/>
            </w:tcBorders>
            <w:shd w:val="clear" w:color="auto" w:fill="auto"/>
            <w:noWrap/>
            <w:vAlign w:val="center"/>
            <w:hideMark/>
          </w:tcPr>
          <w:p w14:paraId="65B862B7" w14:textId="77777777" w:rsidR="001D3923" w:rsidRPr="00A85625" w:rsidRDefault="001D3923" w:rsidP="00DE510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c>
          <w:tcPr>
            <w:tcW w:w="674" w:type="dxa"/>
            <w:tcBorders>
              <w:top w:val="nil"/>
              <w:left w:val="nil"/>
              <w:bottom w:val="single" w:sz="4" w:space="0" w:color="auto"/>
              <w:right w:val="nil"/>
            </w:tcBorders>
            <w:shd w:val="clear" w:color="auto" w:fill="auto"/>
            <w:noWrap/>
            <w:vAlign w:val="center"/>
            <w:hideMark/>
          </w:tcPr>
          <w:p w14:paraId="6DAFE4AA" w14:textId="77777777" w:rsidR="001D3923" w:rsidRPr="00A85625" w:rsidRDefault="001D3923" w:rsidP="00DE510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Yes</w:t>
            </w:r>
          </w:p>
        </w:tc>
        <w:tc>
          <w:tcPr>
            <w:tcW w:w="674" w:type="dxa"/>
            <w:tcBorders>
              <w:top w:val="nil"/>
              <w:left w:val="nil"/>
              <w:bottom w:val="single" w:sz="4" w:space="0" w:color="auto"/>
              <w:right w:val="single" w:sz="4" w:space="0" w:color="auto"/>
            </w:tcBorders>
            <w:shd w:val="clear" w:color="auto" w:fill="auto"/>
            <w:noWrap/>
            <w:vAlign w:val="center"/>
            <w:hideMark/>
          </w:tcPr>
          <w:p w14:paraId="0FE433F7" w14:textId="77777777" w:rsidR="001D3923" w:rsidRPr="00A85625" w:rsidRDefault="001D3923" w:rsidP="00DE5103">
            <w:pPr>
              <w:spacing w:after="0" w:line="240" w:lineRule="auto"/>
              <w:jc w:val="center"/>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No</w:t>
            </w:r>
          </w:p>
        </w:tc>
        <w:tc>
          <w:tcPr>
            <w:tcW w:w="1794" w:type="dxa"/>
            <w:tcBorders>
              <w:top w:val="nil"/>
              <w:left w:val="nil"/>
              <w:bottom w:val="single" w:sz="4" w:space="0" w:color="auto"/>
              <w:right w:val="single" w:sz="4" w:space="0" w:color="auto"/>
            </w:tcBorders>
            <w:shd w:val="clear" w:color="auto" w:fill="auto"/>
            <w:noWrap/>
            <w:vAlign w:val="center"/>
            <w:hideMark/>
          </w:tcPr>
          <w:p w14:paraId="40AA34EA" w14:textId="77777777" w:rsidR="001D3923" w:rsidRPr="00A85625" w:rsidRDefault="001D3923" w:rsidP="00DE5103">
            <w:pPr>
              <w:spacing w:after="0" w:line="240" w:lineRule="auto"/>
              <w:jc w:val="center"/>
              <w:rPr>
                <w:rFonts w:ascii="Calibri" w:eastAsia="Times New Roman" w:hAnsi="Calibri" w:cs="Calibri"/>
                <w:color w:val="000000"/>
                <w:sz w:val="18"/>
                <w:szCs w:val="18"/>
                <w:lang w:val="en-AU" w:eastAsia="en-AU"/>
              </w:rPr>
            </w:pPr>
          </w:p>
        </w:tc>
        <w:tc>
          <w:tcPr>
            <w:tcW w:w="2551" w:type="dxa"/>
            <w:tcBorders>
              <w:top w:val="nil"/>
              <w:left w:val="single" w:sz="4" w:space="0" w:color="auto"/>
              <w:bottom w:val="single" w:sz="4" w:space="0" w:color="auto"/>
              <w:right w:val="nil"/>
            </w:tcBorders>
            <w:shd w:val="clear" w:color="auto" w:fill="auto"/>
            <w:noWrap/>
            <w:vAlign w:val="center"/>
            <w:hideMark/>
          </w:tcPr>
          <w:p w14:paraId="5CBCD8F6" w14:textId="77777777" w:rsidR="001D3923" w:rsidRPr="00A85625" w:rsidRDefault="001D3923" w:rsidP="00F36459">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3DC3B0B" w14:textId="77777777" w:rsidR="001D3923" w:rsidRPr="00A85625" w:rsidRDefault="001D3923" w:rsidP="00DE5103">
            <w:pPr>
              <w:spacing w:after="0" w:line="240" w:lineRule="auto"/>
              <w:rPr>
                <w:rFonts w:ascii="Calibri" w:eastAsia="Times New Roman" w:hAnsi="Calibri" w:cs="Calibri"/>
                <w:color w:val="000000"/>
                <w:sz w:val="18"/>
                <w:szCs w:val="18"/>
                <w:lang w:val="en-AU" w:eastAsia="en-AU"/>
              </w:rPr>
            </w:pPr>
            <w:r w:rsidRPr="00A85625">
              <w:rPr>
                <w:rFonts w:ascii="Calibri" w:eastAsia="Times New Roman" w:hAnsi="Calibri" w:cs="Calibri"/>
                <w:color w:val="000000"/>
                <w:sz w:val="18"/>
                <w:szCs w:val="18"/>
                <w:lang w:val="en-AU" w:eastAsia="en-AU"/>
              </w:rPr>
              <w:t>standard?</w:t>
            </w:r>
          </w:p>
        </w:tc>
      </w:tr>
      <w:tr w:rsidR="00F36459" w:rsidRPr="00F36459" w14:paraId="1871EC5D" w14:textId="77777777" w:rsidTr="00F36459">
        <w:trPr>
          <w:trHeight w:val="300"/>
          <w:jc w:val="center"/>
        </w:trPr>
        <w:tc>
          <w:tcPr>
            <w:tcW w:w="1779" w:type="dxa"/>
            <w:tcBorders>
              <w:top w:val="single" w:sz="4" w:space="0" w:color="auto"/>
              <w:left w:val="single" w:sz="4" w:space="0" w:color="auto"/>
              <w:bottom w:val="nil"/>
              <w:right w:val="nil"/>
            </w:tcBorders>
            <w:shd w:val="clear" w:color="auto" w:fill="auto"/>
            <w:noWrap/>
            <w:vAlign w:val="center"/>
            <w:hideMark/>
          </w:tcPr>
          <w:p w14:paraId="0D901937" w14:textId="5B47F832"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xml:space="preserve">Black Diamond </w:t>
            </w:r>
          </w:p>
        </w:tc>
        <w:tc>
          <w:tcPr>
            <w:tcW w:w="1881" w:type="dxa"/>
            <w:tcBorders>
              <w:top w:val="single" w:sz="4" w:space="0" w:color="auto"/>
              <w:left w:val="nil"/>
              <w:bottom w:val="nil"/>
              <w:right w:val="nil"/>
            </w:tcBorders>
            <w:shd w:val="clear" w:color="auto" w:fill="auto"/>
            <w:noWrap/>
            <w:vAlign w:val="center"/>
            <w:hideMark/>
          </w:tcPr>
          <w:p w14:paraId="6C240FAC" w14:textId="1C0EC9B9"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AC supplier</w:t>
            </w:r>
          </w:p>
        </w:tc>
        <w:tc>
          <w:tcPr>
            <w:tcW w:w="674" w:type="dxa"/>
            <w:tcBorders>
              <w:top w:val="single" w:sz="4" w:space="0" w:color="auto"/>
              <w:left w:val="single" w:sz="4" w:space="0" w:color="auto"/>
              <w:bottom w:val="nil"/>
              <w:right w:val="nil"/>
            </w:tcBorders>
            <w:shd w:val="clear" w:color="auto" w:fill="auto"/>
            <w:noWrap/>
            <w:vAlign w:val="center"/>
            <w:hideMark/>
          </w:tcPr>
          <w:p w14:paraId="3E7A1845" w14:textId="63ED2094"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single" w:sz="4" w:space="0" w:color="auto"/>
              <w:left w:val="nil"/>
              <w:bottom w:val="nil"/>
              <w:right w:val="single" w:sz="4" w:space="0" w:color="auto"/>
            </w:tcBorders>
            <w:shd w:val="clear" w:color="auto" w:fill="auto"/>
            <w:noWrap/>
            <w:vAlign w:val="center"/>
            <w:hideMark/>
          </w:tcPr>
          <w:p w14:paraId="6D01E05C" w14:textId="119E6100"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Cond</w:t>
            </w:r>
          </w:p>
        </w:tc>
        <w:tc>
          <w:tcPr>
            <w:tcW w:w="674" w:type="dxa"/>
            <w:tcBorders>
              <w:top w:val="single" w:sz="4" w:space="0" w:color="auto"/>
              <w:left w:val="nil"/>
              <w:bottom w:val="nil"/>
              <w:right w:val="nil"/>
            </w:tcBorders>
            <w:shd w:val="clear" w:color="auto" w:fill="auto"/>
            <w:noWrap/>
            <w:vAlign w:val="center"/>
            <w:hideMark/>
          </w:tcPr>
          <w:p w14:paraId="7C092CB1" w14:textId="71B2DC18"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single" w:sz="4" w:space="0" w:color="auto"/>
              <w:left w:val="nil"/>
              <w:bottom w:val="nil"/>
              <w:right w:val="single" w:sz="4" w:space="0" w:color="auto"/>
            </w:tcBorders>
            <w:shd w:val="clear" w:color="auto" w:fill="auto"/>
            <w:noWrap/>
            <w:vAlign w:val="center"/>
            <w:hideMark/>
          </w:tcPr>
          <w:p w14:paraId="07048B80" w14:textId="5CCA61AB"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single" w:sz="4" w:space="0" w:color="auto"/>
              <w:left w:val="nil"/>
              <w:bottom w:val="nil"/>
              <w:right w:val="nil"/>
            </w:tcBorders>
            <w:shd w:val="clear" w:color="auto" w:fill="auto"/>
            <w:noWrap/>
            <w:vAlign w:val="center"/>
            <w:hideMark/>
          </w:tcPr>
          <w:p w14:paraId="54685117" w14:textId="557BE0CF"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single" w:sz="4" w:space="0" w:color="auto"/>
              <w:left w:val="nil"/>
              <w:bottom w:val="nil"/>
              <w:right w:val="single" w:sz="4" w:space="0" w:color="auto"/>
            </w:tcBorders>
            <w:shd w:val="clear" w:color="auto" w:fill="auto"/>
            <w:noWrap/>
            <w:vAlign w:val="center"/>
            <w:hideMark/>
          </w:tcPr>
          <w:p w14:paraId="40FBC3E9" w14:textId="312B23C1"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1794" w:type="dxa"/>
            <w:tcBorders>
              <w:top w:val="single" w:sz="4" w:space="0" w:color="auto"/>
              <w:left w:val="single" w:sz="4" w:space="0" w:color="auto"/>
              <w:bottom w:val="nil"/>
              <w:right w:val="single" w:sz="4" w:space="0" w:color="auto"/>
            </w:tcBorders>
            <w:shd w:val="clear" w:color="auto" w:fill="auto"/>
            <w:noWrap/>
            <w:vAlign w:val="center"/>
            <w:hideMark/>
          </w:tcPr>
          <w:p w14:paraId="15979258" w14:textId="5F075FBB"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p>
        </w:tc>
        <w:tc>
          <w:tcPr>
            <w:tcW w:w="2551" w:type="dxa"/>
            <w:tcBorders>
              <w:top w:val="single" w:sz="4" w:space="0" w:color="auto"/>
              <w:left w:val="single" w:sz="4" w:space="0" w:color="auto"/>
              <w:bottom w:val="nil"/>
              <w:right w:val="single" w:sz="4" w:space="0" w:color="auto"/>
            </w:tcBorders>
            <w:shd w:val="clear" w:color="auto" w:fill="auto"/>
            <w:noWrap/>
            <w:vAlign w:val="center"/>
            <w:hideMark/>
          </w:tcPr>
          <w:p w14:paraId="72D6057E" w14:textId="38F060C0" w:rsidR="00F36459" w:rsidRPr="00F36459" w:rsidRDefault="00F36459" w:rsidP="00F36459">
            <w:pPr>
              <w:spacing w:after="0" w:line="240" w:lineRule="auto"/>
              <w:rPr>
                <w:rFonts w:ascii="Calibri" w:eastAsia="Times New Roman" w:hAnsi="Calibri" w:cs="Calibri"/>
                <w:color w:val="000000"/>
                <w:sz w:val="18"/>
                <w:szCs w:val="18"/>
                <w:lang w:val="en-AU" w:eastAsia="en-AU"/>
              </w:rPr>
            </w:pP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79DB693" w14:textId="71CB1D49"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Yes</w:t>
            </w:r>
          </w:p>
        </w:tc>
      </w:tr>
      <w:tr w:rsidR="00F36459" w:rsidRPr="00F36459" w14:paraId="34845A42" w14:textId="77777777" w:rsidTr="00F36459">
        <w:trPr>
          <w:trHeight w:val="300"/>
          <w:jc w:val="center"/>
        </w:trPr>
        <w:tc>
          <w:tcPr>
            <w:tcW w:w="1779" w:type="dxa"/>
            <w:tcBorders>
              <w:top w:val="nil"/>
              <w:left w:val="single" w:sz="4" w:space="0" w:color="auto"/>
              <w:bottom w:val="nil"/>
              <w:right w:val="nil"/>
            </w:tcBorders>
            <w:shd w:val="clear" w:color="auto" w:fill="auto"/>
            <w:noWrap/>
            <w:vAlign w:val="center"/>
            <w:hideMark/>
          </w:tcPr>
          <w:p w14:paraId="65855FC9" w14:textId="6D21A532"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Daikin NZ</w:t>
            </w:r>
          </w:p>
        </w:tc>
        <w:tc>
          <w:tcPr>
            <w:tcW w:w="1881" w:type="dxa"/>
            <w:tcBorders>
              <w:top w:val="nil"/>
              <w:left w:val="nil"/>
              <w:bottom w:val="nil"/>
              <w:right w:val="nil"/>
            </w:tcBorders>
            <w:shd w:val="clear" w:color="auto" w:fill="auto"/>
            <w:noWrap/>
            <w:vAlign w:val="center"/>
            <w:hideMark/>
          </w:tcPr>
          <w:p w14:paraId="48B87E1B" w14:textId="1E1A53DC"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AC supplier</w:t>
            </w:r>
          </w:p>
        </w:tc>
        <w:tc>
          <w:tcPr>
            <w:tcW w:w="674" w:type="dxa"/>
            <w:tcBorders>
              <w:top w:val="nil"/>
              <w:left w:val="single" w:sz="4" w:space="0" w:color="auto"/>
              <w:bottom w:val="nil"/>
              <w:right w:val="nil"/>
            </w:tcBorders>
            <w:shd w:val="clear" w:color="auto" w:fill="auto"/>
            <w:noWrap/>
            <w:vAlign w:val="center"/>
            <w:hideMark/>
          </w:tcPr>
          <w:p w14:paraId="68CAB4B6" w14:textId="4393E75F"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4383A154" w14:textId="109C057F"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nil"/>
            </w:tcBorders>
            <w:shd w:val="clear" w:color="auto" w:fill="auto"/>
            <w:noWrap/>
            <w:vAlign w:val="center"/>
            <w:hideMark/>
          </w:tcPr>
          <w:p w14:paraId="2BD0ECFB" w14:textId="1ED24967"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09202E61" w14:textId="0C76823A"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32A006DF" w14:textId="659C9D52"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4034655D" w14:textId="3B7B1597"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1794" w:type="dxa"/>
            <w:tcBorders>
              <w:top w:val="nil"/>
              <w:left w:val="single" w:sz="4" w:space="0" w:color="auto"/>
              <w:bottom w:val="nil"/>
              <w:right w:val="single" w:sz="4" w:space="0" w:color="auto"/>
            </w:tcBorders>
            <w:shd w:val="clear" w:color="auto" w:fill="auto"/>
            <w:noWrap/>
            <w:vAlign w:val="center"/>
            <w:hideMark/>
          </w:tcPr>
          <w:p w14:paraId="35217E26" w14:textId="7BF80B82"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p>
        </w:tc>
        <w:tc>
          <w:tcPr>
            <w:tcW w:w="2551" w:type="dxa"/>
            <w:tcBorders>
              <w:top w:val="nil"/>
              <w:left w:val="single" w:sz="4" w:space="0" w:color="auto"/>
              <w:bottom w:val="nil"/>
              <w:right w:val="single" w:sz="4" w:space="0" w:color="auto"/>
            </w:tcBorders>
            <w:shd w:val="clear" w:color="auto" w:fill="auto"/>
            <w:noWrap/>
            <w:vAlign w:val="center"/>
            <w:hideMark/>
          </w:tcPr>
          <w:p w14:paraId="60F137B8" w14:textId="77777777" w:rsidR="00F36459" w:rsidRPr="00F36459" w:rsidRDefault="00F36459" w:rsidP="00F36459">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20F3655D" w14:textId="70795D65"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r>
      <w:tr w:rsidR="00F36459" w:rsidRPr="00F36459" w14:paraId="38A053D5" w14:textId="77777777" w:rsidTr="00F36459">
        <w:trPr>
          <w:trHeight w:val="300"/>
          <w:jc w:val="center"/>
        </w:trPr>
        <w:tc>
          <w:tcPr>
            <w:tcW w:w="1779" w:type="dxa"/>
            <w:tcBorders>
              <w:top w:val="nil"/>
              <w:left w:val="single" w:sz="4" w:space="0" w:color="auto"/>
              <w:bottom w:val="nil"/>
              <w:right w:val="nil"/>
            </w:tcBorders>
            <w:shd w:val="clear" w:color="auto" w:fill="auto"/>
            <w:noWrap/>
            <w:vAlign w:val="center"/>
            <w:hideMark/>
          </w:tcPr>
          <w:p w14:paraId="548755AA" w14:textId="6D21850A"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DriveElectric</w:t>
            </w:r>
          </w:p>
        </w:tc>
        <w:tc>
          <w:tcPr>
            <w:tcW w:w="1881" w:type="dxa"/>
            <w:tcBorders>
              <w:top w:val="nil"/>
              <w:left w:val="nil"/>
              <w:bottom w:val="nil"/>
              <w:right w:val="nil"/>
            </w:tcBorders>
            <w:shd w:val="clear" w:color="auto" w:fill="auto"/>
            <w:noWrap/>
            <w:vAlign w:val="center"/>
            <w:hideMark/>
          </w:tcPr>
          <w:p w14:paraId="66EE43BB" w14:textId="3E5D840B"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xml:space="preserve">EV </w:t>
            </w:r>
            <w:proofErr w:type="spellStart"/>
            <w:r w:rsidRPr="00F36459">
              <w:rPr>
                <w:rFonts w:ascii="Calibri" w:hAnsi="Calibri" w:cs="Calibri"/>
                <w:color w:val="000000"/>
                <w:sz w:val="18"/>
                <w:szCs w:val="18"/>
              </w:rPr>
              <w:t>Ind</w:t>
            </w:r>
            <w:proofErr w:type="spellEnd"/>
            <w:r w:rsidRPr="00F36459">
              <w:rPr>
                <w:rFonts w:ascii="Calibri" w:hAnsi="Calibri" w:cs="Calibri"/>
                <w:color w:val="000000"/>
                <w:sz w:val="18"/>
                <w:szCs w:val="18"/>
              </w:rPr>
              <w:t xml:space="preserve"> Assoc</w:t>
            </w:r>
          </w:p>
        </w:tc>
        <w:tc>
          <w:tcPr>
            <w:tcW w:w="674" w:type="dxa"/>
            <w:tcBorders>
              <w:top w:val="nil"/>
              <w:left w:val="single" w:sz="4" w:space="0" w:color="auto"/>
              <w:bottom w:val="nil"/>
              <w:right w:val="nil"/>
            </w:tcBorders>
            <w:shd w:val="clear" w:color="auto" w:fill="auto"/>
            <w:noWrap/>
            <w:vAlign w:val="center"/>
            <w:hideMark/>
          </w:tcPr>
          <w:p w14:paraId="5DA94921" w14:textId="13B5CFB8"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42675BEB" w14:textId="19F2D678"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123E138D" w14:textId="571EA2F5"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7280BF24" w14:textId="3B41061D"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5031CDC0" w14:textId="7F3F34AC"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21AF1A64" w14:textId="1831CD46"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1794" w:type="dxa"/>
            <w:tcBorders>
              <w:top w:val="nil"/>
              <w:left w:val="single" w:sz="4" w:space="0" w:color="auto"/>
              <w:bottom w:val="nil"/>
              <w:right w:val="single" w:sz="4" w:space="0" w:color="auto"/>
            </w:tcBorders>
            <w:shd w:val="clear" w:color="auto" w:fill="auto"/>
            <w:noWrap/>
            <w:vAlign w:val="center"/>
            <w:hideMark/>
          </w:tcPr>
          <w:p w14:paraId="5594276C" w14:textId="1E596AFA"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4755</w:t>
            </w:r>
          </w:p>
        </w:tc>
        <w:tc>
          <w:tcPr>
            <w:tcW w:w="2551" w:type="dxa"/>
            <w:tcBorders>
              <w:top w:val="nil"/>
              <w:left w:val="single" w:sz="4" w:space="0" w:color="auto"/>
              <w:bottom w:val="nil"/>
              <w:right w:val="single" w:sz="4" w:space="0" w:color="auto"/>
            </w:tcBorders>
            <w:shd w:val="clear" w:color="auto" w:fill="auto"/>
            <w:noWrap/>
            <w:vAlign w:val="center"/>
            <w:hideMark/>
          </w:tcPr>
          <w:p w14:paraId="2FB943CF" w14:textId="77777777" w:rsidR="00F36459" w:rsidRPr="00F36459" w:rsidRDefault="00F36459" w:rsidP="00F36459">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716B336A" w14:textId="5CCA085B"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r>
      <w:tr w:rsidR="00F36459" w:rsidRPr="00F36459" w14:paraId="79E792D8" w14:textId="77777777" w:rsidTr="00F36459">
        <w:trPr>
          <w:trHeight w:val="300"/>
          <w:jc w:val="center"/>
        </w:trPr>
        <w:tc>
          <w:tcPr>
            <w:tcW w:w="1779" w:type="dxa"/>
            <w:tcBorders>
              <w:top w:val="nil"/>
              <w:left w:val="single" w:sz="4" w:space="0" w:color="auto"/>
              <w:bottom w:val="nil"/>
              <w:right w:val="nil"/>
            </w:tcBorders>
            <w:shd w:val="clear" w:color="auto" w:fill="auto"/>
            <w:noWrap/>
            <w:vAlign w:val="center"/>
            <w:hideMark/>
          </w:tcPr>
          <w:p w14:paraId="79BCE2A0" w14:textId="600E9713"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Melhuish</w:t>
            </w:r>
          </w:p>
        </w:tc>
        <w:tc>
          <w:tcPr>
            <w:tcW w:w="1881" w:type="dxa"/>
            <w:tcBorders>
              <w:top w:val="nil"/>
              <w:left w:val="nil"/>
              <w:bottom w:val="nil"/>
              <w:right w:val="nil"/>
            </w:tcBorders>
            <w:shd w:val="clear" w:color="auto" w:fill="auto"/>
            <w:noWrap/>
            <w:vAlign w:val="center"/>
            <w:hideMark/>
          </w:tcPr>
          <w:p w14:paraId="5E4F0291" w14:textId="1FF04FE9"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Private Individual</w:t>
            </w:r>
          </w:p>
        </w:tc>
        <w:tc>
          <w:tcPr>
            <w:tcW w:w="674" w:type="dxa"/>
            <w:tcBorders>
              <w:top w:val="nil"/>
              <w:left w:val="single" w:sz="4" w:space="0" w:color="auto"/>
              <w:bottom w:val="nil"/>
              <w:right w:val="nil"/>
            </w:tcBorders>
            <w:shd w:val="clear" w:color="auto" w:fill="auto"/>
            <w:noWrap/>
            <w:vAlign w:val="center"/>
            <w:hideMark/>
          </w:tcPr>
          <w:p w14:paraId="18226AFE" w14:textId="7F005F55"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7B6F3E7A" w14:textId="2186B297"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75BCD4F7" w14:textId="4B55C93A"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6842F14D" w14:textId="17418F31"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6B3014A0" w14:textId="445E635B"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2E942F6B" w14:textId="19C58E9F"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1794" w:type="dxa"/>
            <w:tcBorders>
              <w:top w:val="nil"/>
              <w:left w:val="single" w:sz="4" w:space="0" w:color="auto"/>
              <w:bottom w:val="nil"/>
              <w:right w:val="single" w:sz="4" w:space="0" w:color="auto"/>
            </w:tcBorders>
            <w:shd w:val="clear" w:color="auto" w:fill="auto"/>
            <w:noWrap/>
            <w:vAlign w:val="center"/>
            <w:hideMark/>
          </w:tcPr>
          <w:p w14:paraId="05EBE7ED" w14:textId="6CB06F4F"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4755</w:t>
            </w:r>
          </w:p>
        </w:tc>
        <w:tc>
          <w:tcPr>
            <w:tcW w:w="2551" w:type="dxa"/>
            <w:tcBorders>
              <w:top w:val="nil"/>
              <w:left w:val="single" w:sz="4" w:space="0" w:color="auto"/>
              <w:bottom w:val="nil"/>
              <w:right w:val="single" w:sz="4" w:space="0" w:color="auto"/>
            </w:tcBorders>
            <w:shd w:val="clear" w:color="auto" w:fill="auto"/>
            <w:noWrap/>
            <w:vAlign w:val="center"/>
            <w:hideMark/>
          </w:tcPr>
          <w:p w14:paraId="462D3096" w14:textId="77777777" w:rsidR="00F36459" w:rsidRPr="00F36459" w:rsidRDefault="00F36459" w:rsidP="00F36459">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4EADBAE4" w14:textId="0D030E34"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Yes</w:t>
            </w:r>
          </w:p>
        </w:tc>
      </w:tr>
      <w:tr w:rsidR="00F36459" w:rsidRPr="00F36459" w14:paraId="325DCFCE" w14:textId="77777777" w:rsidTr="00F36459">
        <w:trPr>
          <w:trHeight w:val="300"/>
          <w:jc w:val="center"/>
        </w:trPr>
        <w:tc>
          <w:tcPr>
            <w:tcW w:w="1779" w:type="dxa"/>
            <w:tcBorders>
              <w:top w:val="nil"/>
              <w:left w:val="single" w:sz="4" w:space="0" w:color="auto"/>
              <w:bottom w:val="nil"/>
              <w:right w:val="nil"/>
            </w:tcBorders>
            <w:shd w:val="clear" w:color="auto" w:fill="auto"/>
            <w:noWrap/>
            <w:vAlign w:val="center"/>
            <w:hideMark/>
          </w:tcPr>
          <w:p w14:paraId="43F95663" w14:textId="65D49924"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Otago University</w:t>
            </w:r>
          </w:p>
        </w:tc>
        <w:tc>
          <w:tcPr>
            <w:tcW w:w="1881" w:type="dxa"/>
            <w:tcBorders>
              <w:top w:val="nil"/>
              <w:left w:val="nil"/>
              <w:bottom w:val="nil"/>
              <w:right w:val="nil"/>
            </w:tcBorders>
            <w:shd w:val="clear" w:color="auto" w:fill="auto"/>
            <w:noWrap/>
            <w:vAlign w:val="center"/>
            <w:hideMark/>
          </w:tcPr>
          <w:p w14:paraId="4F73FFC9" w14:textId="36334C8D"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University</w:t>
            </w:r>
          </w:p>
        </w:tc>
        <w:tc>
          <w:tcPr>
            <w:tcW w:w="674" w:type="dxa"/>
            <w:tcBorders>
              <w:top w:val="nil"/>
              <w:left w:val="single" w:sz="4" w:space="0" w:color="auto"/>
              <w:bottom w:val="nil"/>
              <w:right w:val="nil"/>
            </w:tcBorders>
            <w:shd w:val="clear" w:color="auto" w:fill="auto"/>
            <w:noWrap/>
            <w:vAlign w:val="center"/>
            <w:hideMark/>
          </w:tcPr>
          <w:p w14:paraId="3028AA79" w14:textId="238D6CAB"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23209F61" w14:textId="100AC80A"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358F014A" w14:textId="53CD519B"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4A313E70" w14:textId="2457E743"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5E351E43" w14:textId="1A4888E2"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36D6C66F" w14:textId="102463F2"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1794" w:type="dxa"/>
            <w:tcBorders>
              <w:top w:val="nil"/>
              <w:left w:val="single" w:sz="4" w:space="0" w:color="auto"/>
              <w:bottom w:val="nil"/>
              <w:right w:val="single" w:sz="4" w:space="0" w:color="auto"/>
            </w:tcBorders>
            <w:shd w:val="clear" w:color="auto" w:fill="auto"/>
            <w:noWrap/>
            <w:vAlign w:val="center"/>
            <w:hideMark/>
          </w:tcPr>
          <w:p w14:paraId="68875ED9" w14:textId="25891767"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4755</w:t>
            </w:r>
          </w:p>
        </w:tc>
        <w:tc>
          <w:tcPr>
            <w:tcW w:w="2551" w:type="dxa"/>
            <w:tcBorders>
              <w:top w:val="nil"/>
              <w:left w:val="single" w:sz="4" w:space="0" w:color="auto"/>
              <w:bottom w:val="nil"/>
              <w:right w:val="single" w:sz="4" w:space="0" w:color="auto"/>
            </w:tcBorders>
            <w:shd w:val="clear" w:color="auto" w:fill="auto"/>
            <w:noWrap/>
            <w:vAlign w:val="center"/>
            <w:hideMark/>
          </w:tcPr>
          <w:p w14:paraId="2C4E9276" w14:textId="77777777" w:rsidR="00F36459" w:rsidRPr="00F36459" w:rsidRDefault="00F36459" w:rsidP="00F36459">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5D55745C" w14:textId="79A70523"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Yes</w:t>
            </w:r>
          </w:p>
        </w:tc>
      </w:tr>
      <w:tr w:rsidR="00F36459" w:rsidRPr="00F36459" w14:paraId="2810C082" w14:textId="77777777" w:rsidTr="00F36459">
        <w:trPr>
          <w:trHeight w:val="300"/>
          <w:jc w:val="center"/>
        </w:trPr>
        <w:tc>
          <w:tcPr>
            <w:tcW w:w="1779" w:type="dxa"/>
            <w:tcBorders>
              <w:top w:val="nil"/>
              <w:left w:val="single" w:sz="4" w:space="0" w:color="auto"/>
              <w:bottom w:val="nil"/>
              <w:right w:val="nil"/>
            </w:tcBorders>
            <w:shd w:val="clear" w:color="auto" w:fill="auto"/>
            <w:noWrap/>
            <w:vAlign w:val="center"/>
            <w:hideMark/>
          </w:tcPr>
          <w:p w14:paraId="53F9D845" w14:textId="3068E3B1"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Powerco</w:t>
            </w:r>
          </w:p>
        </w:tc>
        <w:tc>
          <w:tcPr>
            <w:tcW w:w="1881" w:type="dxa"/>
            <w:tcBorders>
              <w:top w:val="nil"/>
              <w:left w:val="nil"/>
              <w:bottom w:val="nil"/>
              <w:right w:val="nil"/>
            </w:tcBorders>
            <w:shd w:val="clear" w:color="auto" w:fill="auto"/>
            <w:noWrap/>
            <w:vAlign w:val="center"/>
            <w:hideMark/>
          </w:tcPr>
          <w:p w14:paraId="32EA9F04" w14:textId="1FCDAF09"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Elec DNSP</w:t>
            </w:r>
          </w:p>
        </w:tc>
        <w:tc>
          <w:tcPr>
            <w:tcW w:w="674" w:type="dxa"/>
            <w:tcBorders>
              <w:top w:val="nil"/>
              <w:left w:val="single" w:sz="4" w:space="0" w:color="auto"/>
              <w:bottom w:val="nil"/>
              <w:right w:val="nil"/>
            </w:tcBorders>
            <w:shd w:val="clear" w:color="auto" w:fill="auto"/>
            <w:noWrap/>
            <w:vAlign w:val="center"/>
            <w:hideMark/>
          </w:tcPr>
          <w:p w14:paraId="6DE32F06" w14:textId="6CF3238F"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3F8FD977" w14:textId="39F40E5E"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0C966D72" w14:textId="159E1EBF"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01F15F45" w14:textId="357F873D"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23E09E07" w14:textId="15762317"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7B1B42B7" w14:textId="05E114E1"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1794" w:type="dxa"/>
            <w:tcBorders>
              <w:top w:val="nil"/>
              <w:left w:val="single" w:sz="4" w:space="0" w:color="auto"/>
              <w:bottom w:val="nil"/>
              <w:right w:val="single" w:sz="4" w:space="0" w:color="auto"/>
            </w:tcBorders>
            <w:shd w:val="clear" w:color="auto" w:fill="auto"/>
            <w:noWrap/>
            <w:vAlign w:val="center"/>
            <w:hideMark/>
          </w:tcPr>
          <w:p w14:paraId="5FDB64F5" w14:textId="15A99323"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4755</w:t>
            </w:r>
          </w:p>
        </w:tc>
        <w:tc>
          <w:tcPr>
            <w:tcW w:w="2551" w:type="dxa"/>
            <w:tcBorders>
              <w:top w:val="nil"/>
              <w:left w:val="single" w:sz="4" w:space="0" w:color="auto"/>
              <w:bottom w:val="nil"/>
              <w:right w:val="single" w:sz="4" w:space="0" w:color="auto"/>
            </w:tcBorders>
            <w:shd w:val="clear" w:color="auto" w:fill="auto"/>
            <w:noWrap/>
            <w:vAlign w:val="center"/>
            <w:hideMark/>
          </w:tcPr>
          <w:p w14:paraId="7EBCFC38" w14:textId="77777777" w:rsidR="00F36459" w:rsidRPr="00F36459" w:rsidRDefault="00F36459" w:rsidP="00F36459">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3324DBCB" w14:textId="7BC03801"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Yes</w:t>
            </w:r>
          </w:p>
        </w:tc>
      </w:tr>
      <w:tr w:rsidR="00F36459" w:rsidRPr="00F36459" w14:paraId="3954A7D1" w14:textId="77777777" w:rsidTr="00F36459">
        <w:trPr>
          <w:trHeight w:val="300"/>
          <w:jc w:val="center"/>
        </w:trPr>
        <w:tc>
          <w:tcPr>
            <w:tcW w:w="1779" w:type="dxa"/>
            <w:tcBorders>
              <w:top w:val="nil"/>
              <w:left w:val="single" w:sz="4" w:space="0" w:color="auto"/>
              <w:bottom w:val="nil"/>
              <w:right w:val="nil"/>
            </w:tcBorders>
            <w:shd w:val="clear" w:color="auto" w:fill="auto"/>
            <w:noWrap/>
            <w:vAlign w:val="center"/>
            <w:hideMark/>
          </w:tcPr>
          <w:p w14:paraId="25B5F2D3" w14:textId="3B9DEBC5"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Rheem NZ</w:t>
            </w:r>
          </w:p>
        </w:tc>
        <w:tc>
          <w:tcPr>
            <w:tcW w:w="1881" w:type="dxa"/>
            <w:tcBorders>
              <w:top w:val="nil"/>
              <w:left w:val="nil"/>
              <w:bottom w:val="nil"/>
              <w:right w:val="nil"/>
            </w:tcBorders>
            <w:shd w:val="clear" w:color="auto" w:fill="auto"/>
            <w:noWrap/>
            <w:vAlign w:val="center"/>
            <w:hideMark/>
          </w:tcPr>
          <w:p w14:paraId="503159F3" w14:textId="7F61FE94"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WH Mfr</w:t>
            </w:r>
          </w:p>
        </w:tc>
        <w:tc>
          <w:tcPr>
            <w:tcW w:w="674" w:type="dxa"/>
            <w:tcBorders>
              <w:top w:val="nil"/>
              <w:left w:val="single" w:sz="4" w:space="0" w:color="auto"/>
              <w:bottom w:val="nil"/>
              <w:right w:val="nil"/>
            </w:tcBorders>
            <w:shd w:val="clear" w:color="auto" w:fill="auto"/>
            <w:noWrap/>
            <w:vAlign w:val="center"/>
            <w:hideMark/>
          </w:tcPr>
          <w:p w14:paraId="10549C31" w14:textId="0C043AF4"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18F8C045" w14:textId="20A58966"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19F4E0F3" w14:textId="2ECAE24C"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6266817F" w14:textId="2FE62B09"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1182E052" w14:textId="2A0B84CB"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64E474F1" w14:textId="628A2457"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Cond</w:t>
            </w:r>
          </w:p>
        </w:tc>
        <w:tc>
          <w:tcPr>
            <w:tcW w:w="1794" w:type="dxa"/>
            <w:tcBorders>
              <w:top w:val="nil"/>
              <w:left w:val="single" w:sz="4" w:space="0" w:color="auto"/>
              <w:bottom w:val="nil"/>
              <w:right w:val="single" w:sz="4" w:space="0" w:color="auto"/>
            </w:tcBorders>
            <w:shd w:val="clear" w:color="auto" w:fill="auto"/>
            <w:noWrap/>
            <w:vAlign w:val="center"/>
            <w:hideMark/>
          </w:tcPr>
          <w:p w14:paraId="2B672282" w14:textId="68A0FF62"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p>
        </w:tc>
        <w:tc>
          <w:tcPr>
            <w:tcW w:w="2551" w:type="dxa"/>
            <w:tcBorders>
              <w:top w:val="nil"/>
              <w:left w:val="single" w:sz="4" w:space="0" w:color="auto"/>
              <w:bottom w:val="nil"/>
              <w:right w:val="single" w:sz="4" w:space="0" w:color="auto"/>
            </w:tcBorders>
            <w:shd w:val="clear" w:color="auto" w:fill="auto"/>
            <w:noWrap/>
            <w:vAlign w:val="center"/>
            <w:hideMark/>
          </w:tcPr>
          <w:p w14:paraId="2EA3B0B7" w14:textId="0BF0AA71"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Subject to 4755.2</w:t>
            </w:r>
          </w:p>
        </w:tc>
        <w:tc>
          <w:tcPr>
            <w:tcW w:w="1134" w:type="dxa"/>
            <w:tcBorders>
              <w:top w:val="nil"/>
              <w:left w:val="single" w:sz="4" w:space="0" w:color="auto"/>
              <w:bottom w:val="nil"/>
              <w:right w:val="single" w:sz="4" w:space="0" w:color="auto"/>
            </w:tcBorders>
            <w:shd w:val="clear" w:color="auto" w:fill="auto"/>
            <w:noWrap/>
            <w:vAlign w:val="center"/>
            <w:hideMark/>
          </w:tcPr>
          <w:p w14:paraId="58BF2E00" w14:textId="4B325652"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r>
      <w:tr w:rsidR="00F36459" w:rsidRPr="00F36459" w14:paraId="569D6AE0" w14:textId="77777777" w:rsidTr="00F36459">
        <w:trPr>
          <w:trHeight w:val="300"/>
          <w:jc w:val="center"/>
        </w:trPr>
        <w:tc>
          <w:tcPr>
            <w:tcW w:w="1779" w:type="dxa"/>
            <w:tcBorders>
              <w:top w:val="nil"/>
              <w:left w:val="single" w:sz="4" w:space="0" w:color="auto"/>
              <w:bottom w:val="nil"/>
              <w:right w:val="nil"/>
            </w:tcBorders>
            <w:shd w:val="clear" w:color="auto" w:fill="auto"/>
            <w:noWrap/>
            <w:vAlign w:val="center"/>
            <w:hideMark/>
          </w:tcPr>
          <w:p w14:paraId="7FB6D364" w14:textId="0BEC75A1"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Rinnai NZ</w:t>
            </w:r>
          </w:p>
        </w:tc>
        <w:tc>
          <w:tcPr>
            <w:tcW w:w="1881" w:type="dxa"/>
            <w:tcBorders>
              <w:top w:val="nil"/>
              <w:left w:val="nil"/>
              <w:bottom w:val="nil"/>
              <w:right w:val="nil"/>
            </w:tcBorders>
            <w:shd w:val="clear" w:color="auto" w:fill="auto"/>
            <w:noWrap/>
            <w:vAlign w:val="center"/>
            <w:hideMark/>
          </w:tcPr>
          <w:p w14:paraId="23D894B2" w14:textId="2AFE419C"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WH Mfr</w:t>
            </w:r>
          </w:p>
        </w:tc>
        <w:tc>
          <w:tcPr>
            <w:tcW w:w="674" w:type="dxa"/>
            <w:tcBorders>
              <w:top w:val="nil"/>
              <w:left w:val="single" w:sz="4" w:space="0" w:color="auto"/>
              <w:bottom w:val="nil"/>
              <w:right w:val="nil"/>
            </w:tcBorders>
            <w:shd w:val="clear" w:color="auto" w:fill="auto"/>
            <w:noWrap/>
            <w:vAlign w:val="center"/>
            <w:hideMark/>
          </w:tcPr>
          <w:p w14:paraId="46CD43C2" w14:textId="4A0B81BC"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4BAD542D" w14:textId="6EA71875"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53830F00" w14:textId="1E90A899"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65E345DE" w14:textId="641DDAA5"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5AFC51CE" w14:textId="5B5249CC"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1CDB24DA" w14:textId="5576562A"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1794" w:type="dxa"/>
            <w:tcBorders>
              <w:top w:val="nil"/>
              <w:left w:val="single" w:sz="4" w:space="0" w:color="auto"/>
              <w:bottom w:val="nil"/>
              <w:right w:val="single" w:sz="4" w:space="0" w:color="auto"/>
            </w:tcBorders>
            <w:shd w:val="clear" w:color="auto" w:fill="auto"/>
            <w:noWrap/>
            <w:vAlign w:val="center"/>
            <w:hideMark/>
          </w:tcPr>
          <w:p w14:paraId="1E2190F2" w14:textId="37D47561"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p>
        </w:tc>
        <w:tc>
          <w:tcPr>
            <w:tcW w:w="2551" w:type="dxa"/>
            <w:tcBorders>
              <w:top w:val="nil"/>
              <w:left w:val="single" w:sz="4" w:space="0" w:color="auto"/>
              <w:bottom w:val="nil"/>
              <w:right w:val="single" w:sz="4" w:space="0" w:color="auto"/>
            </w:tcBorders>
            <w:shd w:val="clear" w:color="auto" w:fill="auto"/>
            <w:noWrap/>
            <w:vAlign w:val="center"/>
            <w:hideMark/>
          </w:tcPr>
          <w:p w14:paraId="08C24DEA" w14:textId="6CA7E832" w:rsidR="00F36459" w:rsidRPr="00F36459" w:rsidRDefault="00F36459" w:rsidP="00F36459">
            <w:pPr>
              <w:spacing w:after="0" w:line="240" w:lineRule="auto"/>
              <w:rPr>
                <w:rFonts w:ascii="Calibri" w:eastAsia="Times New Roman" w:hAnsi="Calibri" w:cs="Calibri"/>
                <w:color w:val="000000"/>
                <w:sz w:val="18"/>
                <w:szCs w:val="18"/>
                <w:lang w:val="en-AU" w:eastAsia="en-AU"/>
              </w:rPr>
            </w:pPr>
          </w:p>
        </w:tc>
        <w:tc>
          <w:tcPr>
            <w:tcW w:w="1134" w:type="dxa"/>
            <w:tcBorders>
              <w:top w:val="nil"/>
              <w:left w:val="single" w:sz="4" w:space="0" w:color="auto"/>
              <w:bottom w:val="nil"/>
              <w:right w:val="single" w:sz="4" w:space="0" w:color="auto"/>
            </w:tcBorders>
            <w:shd w:val="clear" w:color="auto" w:fill="auto"/>
            <w:noWrap/>
            <w:vAlign w:val="center"/>
            <w:hideMark/>
          </w:tcPr>
          <w:p w14:paraId="2133ADC0" w14:textId="591624A3"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Yes</w:t>
            </w:r>
          </w:p>
        </w:tc>
      </w:tr>
      <w:tr w:rsidR="00F36459" w:rsidRPr="00F36459" w14:paraId="33AF5B85" w14:textId="77777777" w:rsidTr="00F36459">
        <w:trPr>
          <w:trHeight w:val="300"/>
          <w:jc w:val="center"/>
        </w:trPr>
        <w:tc>
          <w:tcPr>
            <w:tcW w:w="1779" w:type="dxa"/>
            <w:tcBorders>
              <w:top w:val="nil"/>
              <w:left w:val="single" w:sz="4" w:space="0" w:color="auto"/>
              <w:bottom w:val="nil"/>
              <w:right w:val="nil"/>
            </w:tcBorders>
            <w:shd w:val="clear" w:color="auto" w:fill="auto"/>
            <w:noWrap/>
            <w:vAlign w:val="center"/>
            <w:hideMark/>
          </w:tcPr>
          <w:p w14:paraId="701A0231" w14:textId="297E49AD"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Temperzone</w:t>
            </w:r>
          </w:p>
        </w:tc>
        <w:tc>
          <w:tcPr>
            <w:tcW w:w="1881" w:type="dxa"/>
            <w:tcBorders>
              <w:top w:val="nil"/>
              <w:left w:val="nil"/>
              <w:bottom w:val="nil"/>
              <w:right w:val="nil"/>
            </w:tcBorders>
            <w:shd w:val="clear" w:color="auto" w:fill="auto"/>
            <w:noWrap/>
            <w:vAlign w:val="center"/>
            <w:hideMark/>
          </w:tcPr>
          <w:p w14:paraId="30D30471" w14:textId="3624E73D"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xml:space="preserve">AC </w:t>
            </w:r>
            <w:r w:rsidR="00F450D7">
              <w:rPr>
                <w:rFonts w:ascii="Calibri" w:hAnsi="Calibri" w:cs="Calibri"/>
                <w:color w:val="000000"/>
                <w:sz w:val="18"/>
                <w:szCs w:val="18"/>
              </w:rPr>
              <w:t>M</w:t>
            </w:r>
            <w:r w:rsidRPr="00F36459">
              <w:rPr>
                <w:rFonts w:ascii="Calibri" w:hAnsi="Calibri" w:cs="Calibri"/>
                <w:color w:val="000000"/>
                <w:sz w:val="18"/>
                <w:szCs w:val="18"/>
              </w:rPr>
              <w:t>fr</w:t>
            </w:r>
          </w:p>
        </w:tc>
        <w:tc>
          <w:tcPr>
            <w:tcW w:w="674" w:type="dxa"/>
            <w:tcBorders>
              <w:top w:val="nil"/>
              <w:left w:val="single" w:sz="4" w:space="0" w:color="auto"/>
              <w:bottom w:val="nil"/>
              <w:right w:val="nil"/>
            </w:tcBorders>
            <w:shd w:val="clear" w:color="auto" w:fill="auto"/>
            <w:noWrap/>
            <w:vAlign w:val="center"/>
            <w:hideMark/>
          </w:tcPr>
          <w:p w14:paraId="2A5E3998" w14:textId="5036AB3C"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7BD44E30" w14:textId="1F4E78AE"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1AC87CB4" w14:textId="44511D8F"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1864C336" w14:textId="35DA2BB6"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6CA19C79" w14:textId="5B9A97FC"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0EFCAE18" w14:textId="3ACFCFC9"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1794" w:type="dxa"/>
            <w:tcBorders>
              <w:top w:val="nil"/>
              <w:left w:val="single" w:sz="4" w:space="0" w:color="auto"/>
              <w:right w:val="single" w:sz="4" w:space="0" w:color="auto"/>
            </w:tcBorders>
            <w:shd w:val="clear" w:color="auto" w:fill="auto"/>
            <w:noWrap/>
            <w:vAlign w:val="center"/>
            <w:hideMark/>
          </w:tcPr>
          <w:p w14:paraId="0EAF83FF" w14:textId="77777777"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p>
        </w:tc>
        <w:tc>
          <w:tcPr>
            <w:tcW w:w="2551" w:type="dxa"/>
            <w:tcBorders>
              <w:top w:val="nil"/>
              <w:left w:val="single" w:sz="4" w:space="0" w:color="auto"/>
              <w:right w:val="single" w:sz="4" w:space="0" w:color="auto"/>
            </w:tcBorders>
            <w:shd w:val="clear" w:color="auto" w:fill="auto"/>
            <w:noWrap/>
            <w:vAlign w:val="center"/>
            <w:hideMark/>
          </w:tcPr>
          <w:p w14:paraId="7E6786BB" w14:textId="4572CC13"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Subject to 4755.2;</w:t>
            </w:r>
          </w:p>
        </w:tc>
        <w:tc>
          <w:tcPr>
            <w:tcW w:w="1134" w:type="dxa"/>
            <w:tcBorders>
              <w:top w:val="nil"/>
              <w:left w:val="single" w:sz="4" w:space="0" w:color="auto"/>
              <w:bottom w:val="nil"/>
              <w:right w:val="single" w:sz="4" w:space="0" w:color="auto"/>
            </w:tcBorders>
            <w:shd w:val="clear" w:color="auto" w:fill="auto"/>
            <w:noWrap/>
            <w:vAlign w:val="center"/>
            <w:hideMark/>
          </w:tcPr>
          <w:p w14:paraId="64A89D81" w14:textId="76ABD009"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r>
      <w:tr w:rsidR="00F36459" w:rsidRPr="00F36459" w14:paraId="08B42818" w14:textId="77777777" w:rsidTr="00F36459">
        <w:trPr>
          <w:trHeight w:val="300"/>
          <w:jc w:val="center"/>
        </w:trPr>
        <w:tc>
          <w:tcPr>
            <w:tcW w:w="1779" w:type="dxa"/>
            <w:tcBorders>
              <w:top w:val="nil"/>
              <w:left w:val="single" w:sz="4" w:space="0" w:color="auto"/>
              <w:bottom w:val="single" w:sz="4" w:space="0" w:color="auto"/>
              <w:right w:val="nil"/>
            </w:tcBorders>
            <w:shd w:val="clear" w:color="auto" w:fill="auto"/>
            <w:noWrap/>
            <w:vAlign w:val="center"/>
            <w:hideMark/>
          </w:tcPr>
          <w:p w14:paraId="6956C83E" w14:textId="47718826"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Transpower</w:t>
            </w:r>
          </w:p>
        </w:tc>
        <w:tc>
          <w:tcPr>
            <w:tcW w:w="1881" w:type="dxa"/>
            <w:tcBorders>
              <w:top w:val="nil"/>
              <w:left w:val="nil"/>
              <w:bottom w:val="nil"/>
              <w:right w:val="nil"/>
            </w:tcBorders>
            <w:shd w:val="clear" w:color="auto" w:fill="auto"/>
            <w:noWrap/>
            <w:vAlign w:val="center"/>
            <w:hideMark/>
          </w:tcPr>
          <w:p w14:paraId="414CE4F0" w14:textId="1579D6D0"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xml:space="preserve">Elec </w:t>
            </w:r>
            <w:proofErr w:type="spellStart"/>
            <w:r w:rsidRPr="00F36459">
              <w:rPr>
                <w:rFonts w:ascii="Calibri" w:hAnsi="Calibri" w:cs="Calibri"/>
                <w:color w:val="000000"/>
                <w:sz w:val="18"/>
                <w:szCs w:val="18"/>
              </w:rPr>
              <w:t>TNSP</w:t>
            </w:r>
            <w:proofErr w:type="spellEnd"/>
          </w:p>
        </w:tc>
        <w:tc>
          <w:tcPr>
            <w:tcW w:w="674" w:type="dxa"/>
            <w:tcBorders>
              <w:top w:val="nil"/>
              <w:left w:val="single" w:sz="4" w:space="0" w:color="auto"/>
              <w:bottom w:val="nil"/>
              <w:right w:val="nil"/>
            </w:tcBorders>
            <w:shd w:val="clear" w:color="auto" w:fill="auto"/>
            <w:noWrap/>
            <w:vAlign w:val="center"/>
            <w:hideMark/>
          </w:tcPr>
          <w:p w14:paraId="3DF7B30A" w14:textId="7621416A"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single" w:sz="4" w:space="0" w:color="auto"/>
            </w:tcBorders>
            <w:shd w:val="clear" w:color="auto" w:fill="auto"/>
            <w:noWrap/>
            <w:vAlign w:val="center"/>
            <w:hideMark/>
          </w:tcPr>
          <w:p w14:paraId="629C5707" w14:textId="09B5C198"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22C3A3ED" w14:textId="07F3E960"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467482A7" w14:textId="238268F0"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674" w:type="dxa"/>
            <w:tcBorders>
              <w:top w:val="nil"/>
              <w:left w:val="nil"/>
              <w:bottom w:val="nil"/>
              <w:right w:val="nil"/>
            </w:tcBorders>
            <w:shd w:val="clear" w:color="auto" w:fill="auto"/>
            <w:noWrap/>
            <w:vAlign w:val="center"/>
            <w:hideMark/>
          </w:tcPr>
          <w:p w14:paraId="7EC52C69" w14:textId="7552B464"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nil"/>
              <w:left w:val="nil"/>
              <w:bottom w:val="nil"/>
              <w:right w:val="single" w:sz="4" w:space="0" w:color="auto"/>
            </w:tcBorders>
            <w:shd w:val="clear" w:color="auto" w:fill="auto"/>
            <w:noWrap/>
            <w:vAlign w:val="center"/>
            <w:hideMark/>
          </w:tcPr>
          <w:p w14:paraId="6D45BFFD" w14:textId="1544CA9F"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27E332E4" w14:textId="15FF8109"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4755</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5224108C" w14:textId="286A2EF0"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E</w:t>
            </w:r>
            <w:r>
              <w:rPr>
                <w:rFonts w:ascii="Calibri" w:hAnsi="Calibri" w:cs="Calibri"/>
                <w:color w:val="000000"/>
                <w:sz w:val="18"/>
                <w:szCs w:val="18"/>
              </w:rPr>
              <w:t xml:space="preserve">lectric Energy Storage Systems </w:t>
            </w:r>
          </w:p>
        </w:tc>
        <w:tc>
          <w:tcPr>
            <w:tcW w:w="1134" w:type="dxa"/>
            <w:tcBorders>
              <w:top w:val="nil"/>
              <w:left w:val="single" w:sz="4" w:space="0" w:color="auto"/>
              <w:bottom w:val="nil"/>
              <w:right w:val="single" w:sz="4" w:space="0" w:color="auto"/>
            </w:tcBorders>
            <w:shd w:val="clear" w:color="auto" w:fill="auto"/>
            <w:noWrap/>
            <w:vAlign w:val="center"/>
            <w:hideMark/>
          </w:tcPr>
          <w:p w14:paraId="4C9B9BC8" w14:textId="04BBD9C2"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Yes</w:t>
            </w:r>
          </w:p>
        </w:tc>
      </w:tr>
      <w:tr w:rsidR="00F36459" w:rsidRPr="00F36459" w14:paraId="7D06F208" w14:textId="77777777" w:rsidTr="00F36459">
        <w:trPr>
          <w:trHeight w:val="300"/>
          <w:jc w:val="center"/>
        </w:trPr>
        <w:tc>
          <w:tcPr>
            <w:tcW w:w="1779" w:type="dxa"/>
            <w:tcBorders>
              <w:top w:val="nil"/>
              <w:left w:val="single" w:sz="4" w:space="0" w:color="auto"/>
              <w:bottom w:val="single" w:sz="4" w:space="0" w:color="auto"/>
              <w:right w:val="nil"/>
            </w:tcBorders>
            <w:shd w:val="clear" w:color="auto" w:fill="auto"/>
            <w:noWrap/>
            <w:vAlign w:val="center"/>
            <w:hideMark/>
          </w:tcPr>
          <w:p w14:paraId="0272CB6F" w14:textId="779543AC"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10</w:t>
            </w:r>
          </w:p>
        </w:tc>
        <w:tc>
          <w:tcPr>
            <w:tcW w:w="1881" w:type="dxa"/>
            <w:tcBorders>
              <w:top w:val="single" w:sz="4" w:space="0" w:color="auto"/>
              <w:left w:val="nil"/>
              <w:bottom w:val="single" w:sz="4" w:space="0" w:color="auto"/>
              <w:right w:val="nil"/>
            </w:tcBorders>
            <w:shd w:val="clear" w:color="auto" w:fill="auto"/>
            <w:noWrap/>
            <w:vAlign w:val="center"/>
            <w:hideMark/>
          </w:tcPr>
          <w:p w14:paraId="08F302F9" w14:textId="2321B22C" w:rsidR="00F36459" w:rsidRPr="00F36459" w:rsidRDefault="00F36459" w:rsidP="00F36459">
            <w:pPr>
              <w:spacing w:after="0" w:line="240" w:lineRule="auto"/>
              <w:rPr>
                <w:rFonts w:ascii="Calibri" w:eastAsia="Times New Roman" w:hAnsi="Calibri" w:cs="Calibri"/>
                <w:color w:val="000000"/>
                <w:sz w:val="18"/>
                <w:szCs w:val="18"/>
                <w:lang w:val="en-AU" w:eastAsia="en-AU"/>
              </w:rPr>
            </w:pPr>
            <w:r>
              <w:rPr>
                <w:rFonts w:ascii="Calibri" w:eastAsia="Times New Roman" w:hAnsi="Calibri" w:cs="Calibri"/>
                <w:color w:val="000000"/>
                <w:sz w:val="18"/>
                <w:szCs w:val="18"/>
                <w:lang w:val="en-AU" w:eastAsia="en-AU"/>
              </w:rPr>
              <w:t>Unconditional</w:t>
            </w:r>
          </w:p>
        </w:tc>
        <w:tc>
          <w:tcPr>
            <w:tcW w:w="674" w:type="dxa"/>
            <w:tcBorders>
              <w:top w:val="single" w:sz="4" w:space="0" w:color="auto"/>
              <w:left w:val="single" w:sz="4" w:space="0" w:color="auto"/>
              <w:bottom w:val="single" w:sz="4" w:space="0" w:color="auto"/>
              <w:right w:val="nil"/>
            </w:tcBorders>
            <w:shd w:val="clear" w:color="auto" w:fill="auto"/>
            <w:noWrap/>
            <w:vAlign w:val="center"/>
            <w:hideMark/>
          </w:tcPr>
          <w:p w14:paraId="6DC5ACED" w14:textId="09EFE3C4"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5</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387DFD9" w14:textId="7F646EDA"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single" w:sz="4" w:space="0" w:color="auto"/>
              <w:left w:val="nil"/>
              <w:bottom w:val="single" w:sz="4" w:space="0" w:color="auto"/>
              <w:right w:val="nil"/>
            </w:tcBorders>
            <w:shd w:val="clear" w:color="auto" w:fill="auto"/>
            <w:noWrap/>
            <w:vAlign w:val="center"/>
            <w:hideMark/>
          </w:tcPr>
          <w:p w14:paraId="1EA357C8" w14:textId="7C7C5686"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7B6B6639" w14:textId="1131A679"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0</w:t>
            </w:r>
          </w:p>
        </w:tc>
        <w:tc>
          <w:tcPr>
            <w:tcW w:w="674" w:type="dxa"/>
            <w:tcBorders>
              <w:top w:val="single" w:sz="4" w:space="0" w:color="auto"/>
              <w:left w:val="nil"/>
              <w:bottom w:val="single" w:sz="4" w:space="0" w:color="auto"/>
              <w:right w:val="nil"/>
            </w:tcBorders>
            <w:shd w:val="clear" w:color="auto" w:fill="auto"/>
            <w:noWrap/>
            <w:vAlign w:val="center"/>
            <w:hideMark/>
          </w:tcPr>
          <w:p w14:paraId="623D9F5A" w14:textId="0927DA21"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5</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71172944" w14:textId="5474FD0B"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1</w:t>
            </w:r>
          </w:p>
        </w:tc>
        <w:tc>
          <w:tcPr>
            <w:tcW w:w="1794" w:type="dxa"/>
            <w:tcBorders>
              <w:top w:val="single" w:sz="4" w:space="0" w:color="auto"/>
              <w:left w:val="nil"/>
              <w:bottom w:val="single" w:sz="4" w:space="0" w:color="auto"/>
              <w:right w:val="single" w:sz="4" w:space="0" w:color="auto"/>
            </w:tcBorders>
            <w:shd w:val="clear" w:color="auto" w:fill="auto"/>
            <w:noWrap/>
            <w:vAlign w:val="center"/>
            <w:hideMark/>
          </w:tcPr>
          <w:p w14:paraId="20971349" w14:textId="0A13B2B7" w:rsidR="00F36459" w:rsidRPr="00F36459" w:rsidRDefault="00F36459" w:rsidP="00F36459">
            <w:pPr>
              <w:spacing w:after="0" w:line="240" w:lineRule="auto"/>
              <w:jc w:val="center"/>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5</w:t>
            </w:r>
          </w:p>
        </w:tc>
        <w:tc>
          <w:tcPr>
            <w:tcW w:w="2551" w:type="dxa"/>
            <w:tcBorders>
              <w:top w:val="single" w:sz="4" w:space="0" w:color="auto"/>
              <w:left w:val="single" w:sz="4" w:space="0" w:color="auto"/>
              <w:bottom w:val="single" w:sz="4" w:space="0" w:color="auto"/>
              <w:right w:val="nil"/>
            </w:tcBorders>
            <w:shd w:val="clear" w:color="auto" w:fill="auto"/>
            <w:noWrap/>
            <w:vAlign w:val="center"/>
            <w:hideMark/>
          </w:tcPr>
          <w:p w14:paraId="5ECB9B7A" w14:textId="30BBDC04"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88DDB" w14:textId="0474AEE4" w:rsidR="00F36459" w:rsidRPr="00F36459" w:rsidRDefault="00F36459" w:rsidP="00F36459">
            <w:pPr>
              <w:spacing w:after="0" w:line="240" w:lineRule="auto"/>
              <w:rPr>
                <w:rFonts w:ascii="Calibri" w:eastAsia="Times New Roman" w:hAnsi="Calibri" w:cs="Calibri"/>
                <w:color w:val="000000"/>
                <w:sz w:val="18"/>
                <w:szCs w:val="18"/>
                <w:lang w:val="en-AU" w:eastAsia="en-AU"/>
              </w:rPr>
            </w:pPr>
            <w:r w:rsidRPr="00F36459">
              <w:rPr>
                <w:rFonts w:ascii="Calibri" w:hAnsi="Calibri" w:cs="Calibri"/>
                <w:color w:val="000000"/>
                <w:sz w:val="18"/>
                <w:szCs w:val="18"/>
              </w:rPr>
              <w:t>6</w:t>
            </w:r>
          </w:p>
        </w:tc>
      </w:tr>
    </w:tbl>
    <w:p w14:paraId="19C22845" w14:textId="77777777" w:rsidR="006140E0" w:rsidRDefault="006140E0" w:rsidP="00A37634">
      <w:pPr>
        <w:spacing w:after="120" w:line="276" w:lineRule="auto"/>
        <w:rPr>
          <w:rFonts w:ascii="Calibri" w:eastAsia="Calibri" w:hAnsi="Calibri" w:cs="Calibri"/>
          <w:szCs w:val="20"/>
          <w:lang w:val="en-AU"/>
        </w:rPr>
      </w:pPr>
    </w:p>
    <w:p w14:paraId="4B5F68D8" w14:textId="77777777" w:rsidR="006140E0" w:rsidRDefault="006140E0" w:rsidP="00A37634">
      <w:pPr>
        <w:spacing w:after="120" w:line="276" w:lineRule="auto"/>
        <w:rPr>
          <w:rFonts w:ascii="Calibri" w:eastAsia="Calibri" w:hAnsi="Calibri" w:cs="Calibri"/>
          <w:szCs w:val="20"/>
          <w:lang w:val="en-AU"/>
        </w:rPr>
      </w:pPr>
    </w:p>
    <w:p w14:paraId="50A4E7C0" w14:textId="77777777" w:rsidR="006140E0" w:rsidRDefault="006140E0" w:rsidP="00A37634">
      <w:pPr>
        <w:spacing w:after="120" w:line="276" w:lineRule="auto"/>
        <w:rPr>
          <w:rFonts w:ascii="Calibri" w:eastAsia="Calibri" w:hAnsi="Calibri" w:cs="Calibri"/>
          <w:szCs w:val="20"/>
          <w:lang w:val="en-AU"/>
        </w:rPr>
      </w:pPr>
    </w:p>
    <w:p w14:paraId="101CF1D1" w14:textId="77777777" w:rsidR="006140E0" w:rsidRDefault="006140E0" w:rsidP="00A37634">
      <w:pPr>
        <w:spacing w:after="120" w:line="276" w:lineRule="auto"/>
        <w:rPr>
          <w:rFonts w:ascii="Calibri" w:eastAsia="Calibri" w:hAnsi="Calibri" w:cs="Calibri"/>
          <w:szCs w:val="20"/>
          <w:lang w:val="en-AU"/>
        </w:rPr>
      </w:pPr>
    </w:p>
    <w:p w14:paraId="54F47CCE" w14:textId="77777777" w:rsidR="006140E0" w:rsidRDefault="006140E0" w:rsidP="00A37634">
      <w:pPr>
        <w:spacing w:after="120" w:line="276" w:lineRule="auto"/>
        <w:rPr>
          <w:rFonts w:ascii="Calibri" w:eastAsia="Calibri" w:hAnsi="Calibri" w:cs="Calibri"/>
          <w:szCs w:val="20"/>
          <w:lang w:val="en-AU"/>
        </w:rPr>
      </w:pPr>
    </w:p>
    <w:p w14:paraId="32E7A3D5" w14:textId="77777777" w:rsidR="006140E0" w:rsidRDefault="006140E0" w:rsidP="00A37634">
      <w:pPr>
        <w:spacing w:after="120" w:line="276" w:lineRule="auto"/>
        <w:rPr>
          <w:rFonts w:ascii="Calibri" w:eastAsia="Calibri" w:hAnsi="Calibri" w:cs="Calibri"/>
          <w:szCs w:val="20"/>
          <w:lang w:val="en-AU"/>
        </w:rPr>
      </w:pPr>
    </w:p>
    <w:p w14:paraId="3900542E" w14:textId="77777777" w:rsidR="006140E0" w:rsidRDefault="006140E0" w:rsidP="00A37634">
      <w:pPr>
        <w:spacing w:after="120" w:line="276" w:lineRule="auto"/>
        <w:rPr>
          <w:rFonts w:ascii="Calibri" w:eastAsia="Calibri" w:hAnsi="Calibri" w:cs="Calibri"/>
          <w:szCs w:val="20"/>
          <w:lang w:val="en-AU"/>
        </w:rPr>
      </w:pPr>
    </w:p>
    <w:p w14:paraId="07E24E44" w14:textId="77777777" w:rsidR="006140E0" w:rsidRDefault="006140E0" w:rsidP="00A37634">
      <w:pPr>
        <w:spacing w:after="120" w:line="276" w:lineRule="auto"/>
        <w:rPr>
          <w:rFonts w:ascii="Calibri" w:eastAsia="Calibri" w:hAnsi="Calibri" w:cs="Calibri"/>
          <w:szCs w:val="20"/>
          <w:lang w:val="en-AU"/>
        </w:rPr>
      </w:pPr>
    </w:p>
    <w:p w14:paraId="4CCCDC0A" w14:textId="77777777" w:rsidR="006140E0" w:rsidRDefault="006140E0" w:rsidP="00A37634">
      <w:pPr>
        <w:spacing w:after="120" w:line="276" w:lineRule="auto"/>
        <w:rPr>
          <w:rFonts w:ascii="Calibri" w:eastAsia="Calibri" w:hAnsi="Calibri" w:cs="Calibri"/>
          <w:szCs w:val="20"/>
          <w:lang w:val="en-AU"/>
        </w:rPr>
      </w:pPr>
    </w:p>
    <w:p w14:paraId="41A1AFAE" w14:textId="77777777" w:rsidR="006140E0" w:rsidRDefault="006140E0" w:rsidP="00A37634">
      <w:pPr>
        <w:spacing w:after="120" w:line="276" w:lineRule="auto"/>
        <w:rPr>
          <w:rFonts w:ascii="Calibri" w:eastAsia="Calibri" w:hAnsi="Calibri" w:cs="Calibri"/>
          <w:szCs w:val="20"/>
          <w:lang w:val="en-AU"/>
        </w:rPr>
      </w:pPr>
    </w:p>
    <w:p w14:paraId="3424DFD0" w14:textId="77777777" w:rsidR="006140E0" w:rsidRDefault="006140E0" w:rsidP="00A37634">
      <w:pPr>
        <w:spacing w:after="120" w:line="276" w:lineRule="auto"/>
        <w:rPr>
          <w:rFonts w:ascii="Calibri" w:eastAsia="Calibri" w:hAnsi="Calibri" w:cs="Calibri"/>
          <w:szCs w:val="20"/>
          <w:lang w:val="en-AU"/>
        </w:rPr>
        <w:sectPr w:rsidR="006140E0" w:rsidSect="00541269">
          <w:pgSz w:w="16838" w:h="11906" w:orient="landscape" w:code="9"/>
          <w:pgMar w:top="1138" w:right="1276" w:bottom="1138" w:left="1699" w:header="576" w:footer="720" w:gutter="0"/>
          <w:cols w:space="708"/>
          <w:titlePg/>
          <w:docGrid w:linePitch="360"/>
        </w:sectPr>
      </w:pPr>
    </w:p>
    <w:p w14:paraId="2E680F76" w14:textId="3919B4D9" w:rsidR="00A37634" w:rsidRPr="00A37634" w:rsidRDefault="00A37634" w:rsidP="00A37634">
      <w:pPr>
        <w:keepNext/>
        <w:keepLines/>
        <w:pageBreakBefore/>
        <w:spacing w:before="200" w:after="600" w:line="240" w:lineRule="auto"/>
        <w:outlineLvl w:val="1"/>
        <w:rPr>
          <w:rFonts w:ascii="Calibri" w:eastAsia="Times New Roman" w:hAnsi="Calibri" w:cs="Calibri"/>
          <w:b/>
          <w:bCs/>
          <w:color w:val="ED1B24"/>
          <w:sz w:val="50"/>
          <w:szCs w:val="50"/>
          <w:lang w:val="en-AU"/>
        </w:rPr>
      </w:pPr>
      <w:bookmarkStart w:id="149" w:name="_Toc22485222"/>
      <w:r w:rsidRPr="00A37634">
        <w:rPr>
          <w:rFonts w:ascii="Calibri" w:eastAsia="Times New Roman" w:hAnsi="Calibri" w:cs="Calibri"/>
          <w:b/>
          <w:bCs/>
          <w:color w:val="ED1B24"/>
          <w:sz w:val="50"/>
          <w:szCs w:val="50"/>
          <w:lang w:val="en-AU"/>
        </w:rPr>
        <w:lastRenderedPageBreak/>
        <w:t xml:space="preserve">Appendix </w:t>
      </w:r>
      <w:r w:rsidR="00C515A0">
        <w:rPr>
          <w:rFonts w:ascii="Calibri" w:eastAsia="Times New Roman" w:hAnsi="Calibri" w:cs="Calibri"/>
          <w:b/>
          <w:bCs/>
          <w:color w:val="ED1B24"/>
          <w:sz w:val="50"/>
          <w:szCs w:val="50"/>
          <w:lang w:val="en-AU"/>
        </w:rPr>
        <w:t>2</w:t>
      </w:r>
      <w:r w:rsidRPr="00A37634">
        <w:rPr>
          <w:rFonts w:ascii="Calibri" w:eastAsia="Times New Roman" w:hAnsi="Calibri" w:cs="Calibri"/>
          <w:b/>
          <w:bCs/>
          <w:color w:val="ED1B24"/>
          <w:sz w:val="50"/>
          <w:szCs w:val="50"/>
          <w:lang w:val="en-AU"/>
        </w:rPr>
        <w:t xml:space="preserve"> Costs and Benefits</w:t>
      </w:r>
      <w:bookmarkEnd w:id="149"/>
    </w:p>
    <w:p w14:paraId="39BDF5DB" w14:textId="77777777" w:rsidR="000A656B" w:rsidRPr="00A37634" w:rsidRDefault="000A656B" w:rsidP="000A656B">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ACCC Retail Electricity Pricing Inquiry identified four main services that demand response can provide: </w:t>
      </w:r>
    </w:p>
    <w:p w14:paraId="478DA43B" w14:textId="77777777" w:rsidR="000A656B" w:rsidRPr="00A37634" w:rsidRDefault="000A656B" w:rsidP="00FF17C7">
      <w:pPr>
        <w:numPr>
          <w:ilvl w:val="0"/>
          <w:numId w:val="3"/>
        </w:numPr>
        <w:spacing w:before="120" w:after="120" w:line="278"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“network demand response—employed to manage peak demand within a particular transmission or distribution network, or localised part of a network </w:t>
      </w:r>
    </w:p>
    <w:p w14:paraId="1FE244D3" w14:textId="77777777" w:rsidR="000A656B" w:rsidRPr="00A37634" w:rsidRDefault="000A656B" w:rsidP="00FF17C7">
      <w:pPr>
        <w:numPr>
          <w:ilvl w:val="0"/>
          <w:numId w:val="3"/>
        </w:numPr>
        <w:spacing w:before="120" w:after="120" w:line="278"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wholesale demand response—used to reduce the quantity of electricity bought in the wholesale market, either to reduce prices, to help market participants manage their contract market positions, or defer investment in new generation capacity </w:t>
      </w:r>
    </w:p>
    <w:p w14:paraId="467720E1" w14:textId="77777777" w:rsidR="000A656B" w:rsidRPr="00A37634" w:rsidRDefault="000A656B" w:rsidP="00FF17C7">
      <w:pPr>
        <w:numPr>
          <w:ilvl w:val="0"/>
          <w:numId w:val="3"/>
        </w:numPr>
        <w:spacing w:before="120" w:after="120" w:line="278" w:lineRule="auto"/>
        <w:contextualSpacing/>
        <w:rPr>
          <w:rFonts w:ascii="Calibri" w:eastAsia="Calibri" w:hAnsi="Calibri" w:cs="Calibri"/>
          <w:szCs w:val="20"/>
          <w:lang w:val="en-AU"/>
        </w:rPr>
      </w:pPr>
      <w:r w:rsidRPr="00A37634">
        <w:rPr>
          <w:rFonts w:ascii="Calibri" w:eastAsia="Calibri" w:hAnsi="Calibri" w:cs="Calibri"/>
          <w:szCs w:val="20"/>
          <w:lang w:val="en-AU"/>
        </w:rPr>
        <w:t xml:space="preserve">ancillary services demand response—sourced by the system operator to maintain grid frequency within its technical operating range </w:t>
      </w:r>
    </w:p>
    <w:p w14:paraId="6335237D" w14:textId="77777777" w:rsidR="000A656B" w:rsidRPr="00A37634" w:rsidRDefault="000A656B" w:rsidP="00FF17C7">
      <w:pPr>
        <w:numPr>
          <w:ilvl w:val="0"/>
          <w:numId w:val="3"/>
        </w:numPr>
        <w:spacing w:before="120" w:after="120" w:line="278" w:lineRule="auto"/>
        <w:contextualSpacing/>
        <w:rPr>
          <w:rFonts w:ascii="Calibri" w:eastAsia="Calibri" w:hAnsi="Calibri" w:cs="Calibri"/>
          <w:szCs w:val="20"/>
          <w:lang w:val="en-AU"/>
        </w:rPr>
      </w:pPr>
      <w:r w:rsidRPr="00A37634">
        <w:rPr>
          <w:rFonts w:ascii="Calibri" w:eastAsia="Calibri" w:hAnsi="Calibri" w:cs="Calibri"/>
          <w:szCs w:val="20"/>
          <w:lang w:val="en-AU"/>
        </w:rPr>
        <w:t>emergency demand response—sourced by the system operator when there are predicted supply shortfalls to avoid involuntary load shedding.”</w:t>
      </w:r>
      <w:r w:rsidRPr="00A37634">
        <w:rPr>
          <w:rFonts w:ascii="Calibri" w:eastAsia="Calibri" w:hAnsi="Calibri" w:cs="Calibri"/>
          <w:szCs w:val="20"/>
          <w:vertAlign w:val="superscript"/>
          <w:lang w:val="en-AU"/>
        </w:rPr>
        <w:footnoteReference w:id="93"/>
      </w:r>
      <w:r w:rsidRPr="00A37634">
        <w:rPr>
          <w:rFonts w:ascii="Calibri" w:eastAsia="Calibri" w:hAnsi="Calibri" w:cs="Calibri"/>
          <w:szCs w:val="20"/>
          <w:lang w:val="en-AU"/>
        </w:rPr>
        <w:t xml:space="preserve"> </w:t>
      </w:r>
    </w:p>
    <w:p w14:paraId="6C5C584B" w14:textId="77777777" w:rsidR="00A37634" w:rsidRPr="00FE444D" w:rsidRDefault="00A37634" w:rsidP="008E7146">
      <w:pPr>
        <w:spacing w:before="240" w:after="120" w:line="276" w:lineRule="auto"/>
        <w:rPr>
          <w:rFonts w:ascii="Calibri" w:eastAsia="Calibri" w:hAnsi="Calibri" w:cs="Calibri"/>
          <w:szCs w:val="20"/>
          <w:lang w:val="en-AU"/>
        </w:rPr>
      </w:pPr>
      <w:r w:rsidRPr="00FE444D">
        <w:rPr>
          <w:rFonts w:ascii="Calibri" w:eastAsia="Calibri" w:hAnsi="Calibri" w:cs="Calibri"/>
          <w:szCs w:val="20"/>
          <w:lang w:val="en-AU"/>
        </w:rPr>
        <w:t xml:space="preserve">The only option likely to lead to the installation of a critical mass of smart appliances within a predictable </w:t>
      </w:r>
      <w:proofErr w:type="gramStart"/>
      <w:r w:rsidRPr="00FE444D">
        <w:rPr>
          <w:rFonts w:ascii="Calibri" w:eastAsia="Calibri" w:hAnsi="Calibri" w:cs="Calibri"/>
          <w:szCs w:val="20"/>
          <w:lang w:val="en-AU"/>
        </w:rPr>
        <w:t>time period</w:t>
      </w:r>
      <w:proofErr w:type="gramEnd"/>
      <w:r w:rsidRPr="00FE444D">
        <w:rPr>
          <w:rFonts w:ascii="Calibri" w:eastAsia="Calibri" w:hAnsi="Calibri" w:cs="Calibri"/>
          <w:szCs w:val="20"/>
          <w:lang w:val="en-AU"/>
        </w:rPr>
        <w:t xml:space="preserve"> is Option 3 – requiring mandatory compliance with AS/NZS 4755 for all products sold after a given date. Therefore, this is the only option for which costs and benefits can be projected, and compared with the BAU case. For the purposes of cost-benefit modelling it is assumed that:</w:t>
      </w:r>
    </w:p>
    <w:p w14:paraId="588048E7" w14:textId="286C7385" w:rsidR="00FE444D" w:rsidRDefault="00A37634" w:rsidP="00FF17C7">
      <w:pPr>
        <w:numPr>
          <w:ilvl w:val="0"/>
          <w:numId w:val="5"/>
        </w:numPr>
        <w:spacing w:before="120" w:after="120" w:line="278" w:lineRule="auto"/>
        <w:contextualSpacing/>
        <w:rPr>
          <w:rFonts w:ascii="Calibri" w:eastAsia="Cambria" w:hAnsi="Calibri" w:cs="Calibri"/>
          <w:lang w:val="en-AU"/>
        </w:rPr>
      </w:pPr>
      <w:r w:rsidRPr="00A37634">
        <w:rPr>
          <w:rFonts w:ascii="Calibri" w:eastAsia="Cambria" w:hAnsi="Calibri" w:cs="Calibri"/>
          <w:lang w:val="en-AU"/>
        </w:rPr>
        <w:t xml:space="preserve">An intention to proceed is announced </w:t>
      </w:r>
      <w:r w:rsidR="00FE444D">
        <w:rPr>
          <w:rFonts w:ascii="Calibri" w:eastAsia="Cambria" w:hAnsi="Calibri" w:cs="Calibri"/>
          <w:lang w:val="en-AU"/>
        </w:rPr>
        <w:t xml:space="preserve">in early </w:t>
      </w:r>
      <w:r w:rsidRPr="00A37634">
        <w:rPr>
          <w:rFonts w:ascii="Calibri" w:eastAsia="Cambria" w:hAnsi="Calibri" w:cs="Calibri"/>
          <w:lang w:val="en-AU"/>
        </w:rPr>
        <w:t>20</w:t>
      </w:r>
      <w:r w:rsidR="00FE444D">
        <w:rPr>
          <w:rFonts w:ascii="Calibri" w:eastAsia="Cambria" w:hAnsi="Calibri" w:cs="Calibri"/>
          <w:lang w:val="en-AU"/>
        </w:rPr>
        <w:t>20</w:t>
      </w:r>
      <w:r w:rsidRPr="00A37634">
        <w:rPr>
          <w:rFonts w:ascii="Calibri" w:eastAsia="Cambria" w:hAnsi="Calibri" w:cs="Calibri"/>
          <w:lang w:val="en-AU"/>
        </w:rPr>
        <w:t>; and</w:t>
      </w:r>
    </w:p>
    <w:p w14:paraId="1A498548" w14:textId="6461232A" w:rsidR="00FE444D" w:rsidRDefault="00FE444D" w:rsidP="00FF17C7">
      <w:pPr>
        <w:numPr>
          <w:ilvl w:val="0"/>
          <w:numId w:val="5"/>
        </w:numPr>
        <w:spacing w:before="120" w:after="120" w:line="278" w:lineRule="auto"/>
        <w:contextualSpacing/>
        <w:rPr>
          <w:rFonts w:ascii="Calibri" w:eastAsia="Cambria" w:hAnsi="Calibri" w:cs="Calibri"/>
          <w:lang w:val="en-AU"/>
        </w:rPr>
      </w:pPr>
      <w:r>
        <w:rPr>
          <w:rFonts w:ascii="Calibri" w:eastAsia="Cambria" w:hAnsi="Calibri" w:cs="Calibri"/>
          <w:lang w:val="en-AU"/>
        </w:rPr>
        <w:t>For air conditioners and water heaters: compliance required from July 2023</w:t>
      </w:r>
      <w:r w:rsidR="00126174">
        <w:rPr>
          <w:rFonts w:ascii="Calibri" w:eastAsia="Cambria" w:hAnsi="Calibri" w:cs="Calibri"/>
          <w:lang w:val="en-AU"/>
        </w:rPr>
        <w:t xml:space="preserve"> (</w:t>
      </w:r>
      <w:r w:rsidR="00126174" w:rsidRPr="00126174">
        <w:rPr>
          <w:rStyle w:val="FigreferenceChar"/>
        </w:rPr>
        <w:fldChar w:fldCharType="begin"/>
      </w:r>
      <w:r w:rsidR="00126174" w:rsidRPr="00126174">
        <w:rPr>
          <w:rStyle w:val="FigreferenceChar"/>
        </w:rPr>
        <w:instrText xml:space="preserve"> REF _Ref22137111 \h </w:instrText>
      </w:r>
      <w:r w:rsidR="00126174">
        <w:rPr>
          <w:rStyle w:val="FigreferenceChar"/>
        </w:rPr>
        <w:instrText xml:space="preserve"> \* MERGEFORMAT </w:instrText>
      </w:r>
      <w:r w:rsidR="00126174" w:rsidRPr="00126174">
        <w:rPr>
          <w:rStyle w:val="FigreferenceChar"/>
        </w:rPr>
      </w:r>
      <w:r w:rsidR="00126174" w:rsidRPr="00126174">
        <w:rPr>
          <w:rStyle w:val="FigreferenceChar"/>
        </w:rPr>
        <w:fldChar w:fldCharType="separate"/>
      </w:r>
      <w:r w:rsidR="006B22A7" w:rsidRPr="006B22A7">
        <w:rPr>
          <w:rStyle w:val="FigreferenceChar"/>
        </w:rPr>
        <w:t>Figure 13</w:t>
      </w:r>
      <w:r w:rsidR="00126174" w:rsidRPr="00126174">
        <w:rPr>
          <w:rStyle w:val="FigreferenceChar"/>
        </w:rPr>
        <w:fldChar w:fldCharType="end"/>
      </w:r>
      <w:r w:rsidR="00126174">
        <w:rPr>
          <w:rFonts w:ascii="Calibri" w:eastAsia="Cambria" w:hAnsi="Calibri" w:cs="Calibri"/>
          <w:lang w:val="en-AU"/>
        </w:rPr>
        <w:t>)</w:t>
      </w:r>
    </w:p>
    <w:p w14:paraId="2DB41E39" w14:textId="3C8449F4" w:rsidR="00A37634" w:rsidRPr="00A37634" w:rsidRDefault="00FE444D" w:rsidP="00FF17C7">
      <w:pPr>
        <w:numPr>
          <w:ilvl w:val="0"/>
          <w:numId w:val="5"/>
        </w:numPr>
        <w:spacing w:before="120" w:after="120" w:line="278" w:lineRule="auto"/>
        <w:contextualSpacing/>
        <w:rPr>
          <w:rFonts w:ascii="Calibri" w:eastAsia="Cambria" w:hAnsi="Calibri" w:cs="Calibri"/>
          <w:lang w:val="en-AU"/>
        </w:rPr>
      </w:pPr>
      <w:r>
        <w:rPr>
          <w:rFonts w:ascii="Calibri" w:eastAsia="Cambria" w:hAnsi="Calibri" w:cs="Calibri"/>
          <w:lang w:val="en-AU"/>
        </w:rPr>
        <w:t>For pool pump controllers and EV chargers: compliance required from July 2024.</w:t>
      </w:r>
    </w:p>
    <w:p w14:paraId="0BB69C18" w14:textId="19A12CDD" w:rsidR="00FE444D" w:rsidRDefault="00FE444D" w:rsidP="005A520F">
      <w:pPr>
        <w:spacing w:before="240" w:after="120" w:line="276" w:lineRule="auto"/>
        <w:rPr>
          <w:rFonts w:ascii="Calibri" w:eastAsia="Calibri" w:hAnsi="Calibri" w:cs="Calibri"/>
          <w:szCs w:val="20"/>
          <w:lang w:val="en-AU"/>
        </w:rPr>
      </w:pPr>
      <w:r w:rsidRPr="00FE444D">
        <w:rPr>
          <w:rFonts w:ascii="Calibri" w:eastAsia="Calibri" w:hAnsi="Calibri" w:cs="Calibri"/>
          <w:szCs w:val="20"/>
          <w:lang w:val="en-AU"/>
        </w:rPr>
        <w:t xml:space="preserve">Experience from the introduction of </w:t>
      </w:r>
      <w:r>
        <w:rPr>
          <w:rFonts w:ascii="Calibri" w:eastAsia="Calibri" w:hAnsi="Calibri" w:cs="Calibri"/>
          <w:szCs w:val="20"/>
          <w:lang w:val="en-AU"/>
        </w:rPr>
        <w:t xml:space="preserve">appliance </w:t>
      </w:r>
      <w:r w:rsidRPr="00FE444D">
        <w:rPr>
          <w:rFonts w:ascii="Calibri" w:eastAsia="Calibri" w:hAnsi="Calibri" w:cs="Calibri"/>
          <w:szCs w:val="20"/>
          <w:lang w:val="en-AU"/>
        </w:rPr>
        <w:t xml:space="preserve">MEPS indicates that compliance begins to ramp up well before the mandatory compliance date, since manufacturers need to </w:t>
      </w:r>
      <w:r>
        <w:rPr>
          <w:rFonts w:ascii="Calibri" w:eastAsia="Calibri" w:hAnsi="Calibri" w:cs="Calibri"/>
          <w:szCs w:val="20"/>
          <w:lang w:val="en-AU"/>
        </w:rPr>
        <w:t xml:space="preserve">introduce </w:t>
      </w:r>
      <w:r w:rsidRPr="00FE444D">
        <w:rPr>
          <w:rFonts w:ascii="Calibri" w:eastAsia="Calibri" w:hAnsi="Calibri" w:cs="Calibri"/>
          <w:szCs w:val="20"/>
          <w:lang w:val="en-AU"/>
        </w:rPr>
        <w:t xml:space="preserve">compliant models progressively rather than all at the same time. </w:t>
      </w:r>
    </w:p>
    <w:p w14:paraId="5742DB9F" w14:textId="591A8DEB" w:rsidR="005A520F" w:rsidRDefault="005A520F" w:rsidP="005A520F">
      <w:pPr>
        <w:spacing w:before="240" w:after="120" w:line="276" w:lineRule="auto"/>
        <w:rPr>
          <w:rFonts w:ascii="Calibri" w:eastAsia="Calibri" w:hAnsi="Calibri" w:cs="Calibri"/>
          <w:szCs w:val="20"/>
          <w:lang w:val="en-AU"/>
        </w:rPr>
      </w:pPr>
    </w:p>
    <w:p w14:paraId="6AC36329" w14:textId="7ABE322C" w:rsidR="005A520F" w:rsidRDefault="005A520F" w:rsidP="005A520F">
      <w:pPr>
        <w:spacing w:before="240" w:after="120" w:line="276" w:lineRule="auto"/>
        <w:rPr>
          <w:rFonts w:ascii="Calibri" w:eastAsia="Calibri" w:hAnsi="Calibri" w:cs="Calibri"/>
          <w:szCs w:val="20"/>
          <w:lang w:val="en-AU"/>
        </w:rPr>
      </w:pPr>
    </w:p>
    <w:p w14:paraId="6D97C4A8" w14:textId="4442BD2D" w:rsidR="005A520F" w:rsidRDefault="005A520F" w:rsidP="005A520F">
      <w:pPr>
        <w:spacing w:before="240" w:after="120" w:line="276" w:lineRule="auto"/>
        <w:rPr>
          <w:rFonts w:ascii="Calibri" w:eastAsia="Calibri" w:hAnsi="Calibri" w:cs="Calibri"/>
          <w:szCs w:val="20"/>
          <w:lang w:val="en-AU"/>
        </w:rPr>
      </w:pPr>
    </w:p>
    <w:p w14:paraId="4F6034E6" w14:textId="73A8A048" w:rsidR="005A520F" w:rsidRDefault="005A520F" w:rsidP="005A520F">
      <w:pPr>
        <w:spacing w:before="240" w:after="120" w:line="276" w:lineRule="auto"/>
        <w:rPr>
          <w:rFonts w:ascii="Calibri" w:eastAsia="Calibri" w:hAnsi="Calibri" w:cs="Calibri"/>
          <w:szCs w:val="20"/>
          <w:lang w:val="en-AU"/>
        </w:rPr>
      </w:pPr>
    </w:p>
    <w:p w14:paraId="2719DE5F" w14:textId="312EF8D9" w:rsidR="005A520F" w:rsidRDefault="005A520F" w:rsidP="005A520F">
      <w:pPr>
        <w:spacing w:before="240" w:after="120" w:line="276" w:lineRule="auto"/>
        <w:rPr>
          <w:rFonts w:ascii="Calibri" w:eastAsia="Calibri" w:hAnsi="Calibri" w:cs="Calibri"/>
          <w:szCs w:val="20"/>
          <w:lang w:val="en-AU"/>
        </w:rPr>
      </w:pPr>
    </w:p>
    <w:p w14:paraId="720D5CF8" w14:textId="09AE5749" w:rsidR="005A520F" w:rsidRDefault="005A520F" w:rsidP="005A520F">
      <w:pPr>
        <w:spacing w:before="240" w:after="120" w:line="276" w:lineRule="auto"/>
        <w:rPr>
          <w:rFonts w:ascii="Calibri" w:eastAsia="Calibri" w:hAnsi="Calibri" w:cs="Calibri"/>
          <w:szCs w:val="20"/>
          <w:lang w:val="en-AU"/>
        </w:rPr>
      </w:pPr>
    </w:p>
    <w:p w14:paraId="00573F99" w14:textId="7BA83E96" w:rsidR="005A520F" w:rsidRDefault="005A520F" w:rsidP="005A520F">
      <w:pPr>
        <w:spacing w:before="240" w:after="120" w:line="276" w:lineRule="auto"/>
        <w:rPr>
          <w:rFonts w:ascii="Calibri" w:eastAsia="Calibri" w:hAnsi="Calibri" w:cs="Calibri"/>
          <w:szCs w:val="20"/>
          <w:lang w:val="en-AU"/>
        </w:rPr>
      </w:pPr>
    </w:p>
    <w:p w14:paraId="0075F802" w14:textId="636E6CE9" w:rsidR="005A520F" w:rsidRDefault="005A520F" w:rsidP="005A520F">
      <w:pPr>
        <w:spacing w:before="240" w:after="120" w:line="276" w:lineRule="auto"/>
        <w:rPr>
          <w:rFonts w:ascii="Calibri" w:eastAsia="Calibri" w:hAnsi="Calibri" w:cs="Calibri"/>
          <w:szCs w:val="20"/>
          <w:lang w:val="en-AU"/>
        </w:rPr>
      </w:pPr>
    </w:p>
    <w:p w14:paraId="1E5503A2" w14:textId="77777777" w:rsidR="005A520F" w:rsidRDefault="005A520F" w:rsidP="008E7146">
      <w:pPr>
        <w:spacing w:before="240" w:after="120" w:line="276" w:lineRule="auto"/>
        <w:rPr>
          <w:rFonts w:ascii="Calibri" w:eastAsia="Calibri" w:hAnsi="Calibri" w:cs="Calibri"/>
          <w:szCs w:val="20"/>
          <w:lang w:val="en-AU"/>
        </w:rPr>
      </w:pPr>
    </w:p>
    <w:p w14:paraId="09746C09" w14:textId="7854B75A" w:rsidR="00126174" w:rsidRPr="00126174" w:rsidRDefault="00126174" w:rsidP="00126174">
      <w:pPr>
        <w:spacing w:before="240" w:after="120" w:line="240" w:lineRule="auto"/>
        <w:jc w:val="center"/>
        <w:rPr>
          <w:rFonts w:ascii="Calibri" w:eastAsia="Cambria" w:hAnsi="Calibri" w:cs="Calibri"/>
          <w:b/>
          <w:bCs/>
          <w:sz w:val="20"/>
          <w:szCs w:val="16"/>
          <w:lang w:val="en-AU"/>
        </w:rPr>
      </w:pPr>
      <w:bookmarkStart w:id="150" w:name="_Ref22137111"/>
      <w:bookmarkStart w:id="151" w:name="_Toc22488526"/>
      <w:r w:rsidRPr="00126174">
        <w:rPr>
          <w:rFonts w:ascii="Calibri" w:eastAsia="Cambria" w:hAnsi="Calibri" w:cs="Calibri"/>
          <w:b/>
          <w:bCs/>
          <w:sz w:val="20"/>
          <w:szCs w:val="16"/>
          <w:lang w:val="en-AU"/>
        </w:rPr>
        <w:lastRenderedPageBreak/>
        <w:t xml:space="preserve">Figure </w:t>
      </w:r>
      <w:r w:rsidRPr="00126174">
        <w:rPr>
          <w:rFonts w:ascii="Calibri" w:eastAsia="Cambria" w:hAnsi="Calibri" w:cs="Calibri"/>
          <w:b/>
          <w:bCs/>
          <w:sz w:val="20"/>
          <w:szCs w:val="16"/>
          <w:lang w:val="en-AU"/>
        </w:rPr>
        <w:fldChar w:fldCharType="begin"/>
      </w:r>
      <w:r w:rsidRPr="00126174">
        <w:rPr>
          <w:rFonts w:ascii="Calibri" w:eastAsia="Cambria" w:hAnsi="Calibri" w:cs="Calibri"/>
          <w:b/>
          <w:bCs/>
          <w:sz w:val="20"/>
          <w:szCs w:val="16"/>
          <w:lang w:val="en-AU"/>
        </w:rPr>
        <w:instrText xml:space="preserve"> SEQ Figure \* ARABIC </w:instrText>
      </w:r>
      <w:r w:rsidRPr="00126174">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13</w:t>
      </w:r>
      <w:r w:rsidRPr="00126174">
        <w:rPr>
          <w:rFonts w:ascii="Calibri" w:eastAsia="Cambria" w:hAnsi="Calibri" w:cs="Calibri"/>
          <w:b/>
          <w:bCs/>
          <w:sz w:val="20"/>
          <w:szCs w:val="16"/>
          <w:lang w:val="en-AU"/>
        </w:rPr>
        <w:fldChar w:fldCharType="end"/>
      </w:r>
      <w:bookmarkEnd w:id="150"/>
      <w:r w:rsidRPr="00126174">
        <w:rPr>
          <w:rFonts w:ascii="Calibri" w:eastAsia="Cambria" w:hAnsi="Calibri" w:cs="Calibri"/>
          <w:b/>
          <w:bCs/>
          <w:sz w:val="20"/>
          <w:szCs w:val="16"/>
          <w:lang w:val="en-AU"/>
        </w:rPr>
        <w:t xml:space="preserve"> Projected Rates of Compliance with AS/NZS 4755, Air Conditioners (BAU and WM)</w:t>
      </w:r>
      <w:bookmarkEnd w:id="151"/>
      <w:r w:rsidRPr="00126174">
        <w:rPr>
          <w:rFonts w:ascii="Calibri" w:eastAsia="Cambria" w:hAnsi="Calibri" w:cs="Calibri"/>
          <w:b/>
          <w:bCs/>
          <w:sz w:val="20"/>
          <w:szCs w:val="16"/>
          <w:lang w:val="en-AU"/>
        </w:rPr>
        <w:t xml:space="preserve"> </w:t>
      </w:r>
    </w:p>
    <w:p w14:paraId="14B094EC" w14:textId="7F6455E1" w:rsidR="00126174" w:rsidRDefault="00126174" w:rsidP="00126174">
      <w:pPr>
        <w:jc w:val="center"/>
      </w:pPr>
      <w:r>
        <w:rPr>
          <w:noProof/>
          <w:lang w:val="en-AU" w:eastAsia="en-AU"/>
        </w:rPr>
        <w:drawing>
          <wp:inline distT="0" distB="0" distL="0" distR="0" wp14:anchorId="5F28592A" wp14:editId="6236F44A">
            <wp:extent cx="4098148" cy="2978591"/>
            <wp:effectExtent l="19050" t="19050" r="1714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9188" cy="2993883"/>
                    </a:xfrm>
                    <a:prstGeom prst="rect">
                      <a:avLst/>
                    </a:prstGeom>
                    <a:noFill/>
                    <a:ln>
                      <a:solidFill>
                        <a:schemeClr val="tx1"/>
                      </a:solidFill>
                    </a:ln>
                  </pic:spPr>
                </pic:pic>
              </a:graphicData>
            </a:graphic>
          </wp:inline>
        </w:drawing>
      </w:r>
    </w:p>
    <w:p w14:paraId="04162B29" w14:textId="600E992C" w:rsidR="000A656B" w:rsidRPr="000A656B" w:rsidRDefault="000A656B" w:rsidP="000A656B">
      <w:pPr>
        <w:keepNext/>
        <w:keepLines/>
        <w:spacing w:before="240" w:after="240" w:line="278" w:lineRule="auto"/>
        <w:outlineLvl w:val="4"/>
        <w:rPr>
          <w:rFonts w:ascii="Calibri" w:eastAsia="Times New Roman" w:hAnsi="Calibri" w:cs="Calibri"/>
          <w:b/>
          <w:color w:val="FF0000"/>
          <w:sz w:val="28"/>
          <w:lang w:val="en-AU"/>
        </w:rPr>
      </w:pPr>
      <w:r w:rsidRPr="000A656B">
        <w:rPr>
          <w:rFonts w:ascii="Calibri" w:eastAsia="Times New Roman" w:hAnsi="Calibri" w:cs="Calibri"/>
          <w:b/>
          <w:color w:val="FF0000"/>
          <w:sz w:val="28"/>
          <w:lang w:val="en-AU"/>
        </w:rPr>
        <w:t xml:space="preserve">Value of Network </w:t>
      </w:r>
      <w:r w:rsidR="00B303A7">
        <w:rPr>
          <w:rFonts w:ascii="Calibri" w:eastAsia="Times New Roman" w:hAnsi="Calibri" w:cs="Calibri"/>
          <w:b/>
          <w:color w:val="FF0000"/>
          <w:sz w:val="28"/>
          <w:lang w:val="en-AU"/>
        </w:rPr>
        <w:t>Benefits</w:t>
      </w:r>
      <w:r w:rsidRPr="000A656B">
        <w:rPr>
          <w:rFonts w:ascii="Calibri" w:eastAsia="Times New Roman" w:hAnsi="Calibri" w:cs="Calibri"/>
          <w:b/>
          <w:color w:val="FF0000"/>
          <w:sz w:val="28"/>
          <w:lang w:val="en-AU"/>
        </w:rPr>
        <w:t xml:space="preserve"> </w:t>
      </w:r>
    </w:p>
    <w:p w14:paraId="454CCB62" w14:textId="35E3ED5F" w:rsidR="00FE444D" w:rsidRPr="00FE444D" w:rsidRDefault="00A37634" w:rsidP="00A37634">
      <w:pPr>
        <w:spacing w:before="120" w:after="120" w:line="276" w:lineRule="auto"/>
        <w:rPr>
          <w:rFonts w:ascii="Calibri" w:eastAsia="Calibri" w:hAnsi="Calibri" w:cs="Calibri"/>
          <w:szCs w:val="20"/>
          <w:lang w:val="en-AU"/>
        </w:rPr>
      </w:pPr>
      <w:r w:rsidRPr="00FE444D">
        <w:rPr>
          <w:rFonts w:ascii="Calibri" w:eastAsia="Calibri" w:hAnsi="Calibri" w:cs="Calibri"/>
          <w:szCs w:val="20"/>
          <w:lang w:val="en-AU"/>
        </w:rPr>
        <w:t xml:space="preserve">Whenever an air conditioner or any other appliance is connected to the network, there must be sufficient capital investment in both network and generation capacity to </w:t>
      </w:r>
      <w:r w:rsidR="0066781C">
        <w:rPr>
          <w:rFonts w:ascii="Calibri" w:eastAsia="Calibri" w:hAnsi="Calibri" w:cs="Calibri"/>
          <w:szCs w:val="20"/>
          <w:lang w:val="en-AU"/>
        </w:rPr>
        <w:t xml:space="preserve">meet </w:t>
      </w:r>
      <w:r w:rsidRPr="00FE444D">
        <w:rPr>
          <w:rFonts w:ascii="Calibri" w:eastAsia="Calibri" w:hAnsi="Calibri" w:cs="Calibri"/>
          <w:szCs w:val="20"/>
          <w:lang w:val="en-AU"/>
        </w:rPr>
        <w:t xml:space="preserve">its projected contribution to peak demand, if security of supply criteria </w:t>
      </w:r>
      <w:proofErr w:type="gramStart"/>
      <w:r w:rsidRPr="00FE444D">
        <w:rPr>
          <w:rFonts w:ascii="Calibri" w:eastAsia="Calibri" w:hAnsi="Calibri" w:cs="Calibri"/>
          <w:szCs w:val="20"/>
          <w:lang w:val="en-AU"/>
        </w:rPr>
        <w:t>are</w:t>
      </w:r>
      <w:proofErr w:type="gramEnd"/>
      <w:r w:rsidRPr="00FE444D">
        <w:rPr>
          <w:rFonts w:ascii="Calibri" w:eastAsia="Calibri" w:hAnsi="Calibri" w:cs="Calibri"/>
          <w:szCs w:val="20"/>
          <w:lang w:val="en-AU"/>
        </w:rPr>
        <w:t xml:space="preserve"> to be maintained. This cost is not borne directly by the appliance purchaser at the time of purchase, but is </w:t>
      </w:r>
      <w:r w:rsidR="0066781C">
        <w:rPr>
          <w:rFonts w:ascii="Calibri" w:eastAsia="Calibri" w:hAnsi="Calibri" w:cs="Calibri"/>
          <w:szCs w:val="20"/>
          <w:lang w:val="en-AU"/>
        </w:rPr>
        <w:t xml:space="preserve">in effect </w:t>
      </w:r>
      <w:r w:rsidRPr="00FE444D">
        <w:rPr>
          <w:rFonts w:ascii="Calibri" w:eastAsia="Calibri" w:hAnsi="Calibri" w:cs="Calibri"/>
          <w:szCs w:val="20"/>
          <w:lang w:val="en-AU"/>
        </w:rPr>
        <w:t>anticipated by the network operator (as part of its capital and infrastructure planning</w:t>
      </w:r>
      <w:r w:rsidR="0066781C">
        <w:rPr>
          <w:rFonts w:ascii="Calibri" w:eastAsia="Calibri" w:hAnsi="Calibri" w:cs="Calibri"/>
          <w:szCs w:val="20"/>
          <w:lang w:val="en-AU"/>
        </w:rPr>
        <w:t>, for which it seeks revenue approval from the AER</w:t>
      </w:r>
      <w:r w:rsidRPr="00FE444D">
        <w:rPr>
          <w:rFonts w:ascii="Calibri" w:eastAsia="Calibri" w:hAnsi="Calibri" w:cs="Calibri"/>
          <w:szCs w:val="20"/>
          <w:lang w:val="en-AU"/>
        </w:rPr>
        <w:t>)</w:t>
      </w:r>
      <w:r w:rsidR="0066781C">
        <w:rPr>
          <w:rFonts w:ascii="Calibri" w:eastAsia="Calibri" w:hAnsi="Calibri" w:cs="Calibri"/>
          <w:szCs w:val="20"/>
          <w:lang w:val="en-AU"/>
        </w:rPr>
        <w:t xml:space="preserve">. The </w:t>
      </w:r>
      <w:r w:rsidRPr="00FE444D">
        <w:rPr>
          <w:rFonts w:ascii="Calibri" w:eastAsia="Calibri" w:hAnsi="Calibri" w:cs="Calibri"/>
          <w:szCs w:val="20"/>
          <w:lang w:val="en-AU"/>
        </w:rPr>
        <w:t xml:space="preserve">costs are </w:t>
      </w:r>
      <w:r w:rsidR="0066781C">
        <w:rPr>
          <w:rFonts w:ascii="Calibri" w:eastAsia="Calibri" w:hAnsi="Calibri" w:cs="Calibri"/>
          <w:szCs w:val="20"/>
          <w:lang w:val="en-AU"/>
        </w:rPr>
        <w:t xml:space="preserve">then </w:t>
      </w:r>
      <w:r w:rsidRPr="00FE444D">
        <w:rPr>
          <w:rFonts w:ascii="Calibri" w:eastAsia="Calibri" w:hAnsi="Calibri" w:cs="Calibri"/>
          <w:szCs w:val="20"/>
          <w:lang w:val="en-AU"/>
        </w:rPr>
        <w:t xml:space="preserve">either recovered from all consumers without differentiation or, if there are price-reflective tariffs, there is a greater contribution from those </w:t>
      </w:r>
      <w:proofErr w:type="gramStart"/>
      <w:r w:rsidRPr="00FE444D">
        <w:rPr>
          <w:rFonts w:ascii="Calibri" w:eastAsia="Calibri" w:hAnsi="Calibri" w:cs="Calibri"/>
          <w:szCs w:val="20"/>
          <w:lang w:val="en-AU"/>
        </w:rPr>
        <w:t>actually imposing</w:t>
      </w:r>
      <w:proofErr w:type="gramEnd"/>
      <w:r w:rsidRPr="00FE444D">
        <w:rPr>
          <w:rFonts w:ascii="Calibri" w:eastAsia="Calibri" w:hAnsi="Calibri" w:cs="Calibri"/>
          <w:szCs w:val="20"/>
          <w:lang w:val="en-AU"/>
        </w:rPr>
        <w:t xml:space="preserve"> the costs. </w:t>
      </w:r>
    </w:p>
    <w:p w14:paraId="661A69E1" w14:textId="70EE08EE" w:rsidR="00A37634" w:rsidRDefault="00A37634" w:rsidP="00A37634">
      <w:pPr>
        <w:spacing w:before="120" w:after="120" w:line="276" w:lineRule="auto"/>
        <w:rPr>
          <w:rFonts w:ascii="Calibri" w:eastAsia="Calibri" w:hAnsi="Calibri" w:cs="Calibri"/>
          <w:szCs w:val="20"/>
          <w:lang w:val="en-AU"/>
        </w:rPr>
      </w:pPr>
      <w:r w:rsidRPr="00FE444D">
        <w:rPr>
          <w:rFonts w:ascii="Calibri" w:eastAsia="Calibri" w:hAnsi="Calibri" w:cs="Calibri"/>
          <w:szCs w:val="20"/>
          <w:lang w:val="en-AU"/>
        </w:rPr>
        <w:t>The marginal cost of meeting an expected 1 k</w:t>
      </w:r>
      <w:r w:rsidR="00093F92">
        <w:rPr>
          <w:rFonts w:ascii="Calibri" w:eastAsia="Calibri" w:hAnsi="Calibri" w:cs="Calibri"/>
          <w:szCs w:val="20"/>
          <w:lang w:val="en-AU"/>
        </w:rPr>
        <w:t xml:space="preserve">W </w:t>
      </w:r>
      <w:r w:rsidRPr="00FE444D">
        <w:rPr>
          <w:rFonts w:ascii="Calibri" w:eastAsia="Calibri" w:hAnsi="Calibri" w:cs="Calibri"/>
          <w:szCs w:val="20"/>
          <w:lang w:val="en-AU"/>
        </w:rPr>
        <w:t xml:space="preserve">increase in peak demand </w:t>
      </w:r>
      <w:r w:rsidR="0066781C">
        <w:rPr>
          <w:rFonts w:ascii="Calibri" w:eastAsia="Calibri" w:hAnsi="Calibri" w:cs="Calibri"/>
          <w:szCs w:val="20"/>
          <w:lang w:val="en-AU"/>
        </w:rPr>
        <w:t xml:space="preserve">in each state </w:t>
      </w:r>
      <w:r w:rsidRPr="00FE444D">
        <w:rPr>
          <w:rFonts w:ascii="Calibri" w:eastAsia="Calibri" w:hAnsi="Calibri" w:cs="Calibri"/>
          <w:szCs w:val="20"/>
          <w:lang w:val="en-AU"/>
        </w:rPr>
        <w:t xml:space="preserve">has been </w:t>
      </w:r>
      <w:r w:rsidR="0066781C">
        <w:rPr>
          <w:rFonts w:ascii="Calibri" w:eastAsia="Calibri" w:hAnsi="Calibri" w:cs="Calibri"/>
          <w:szCs w:val="20"/>
          <w:lang w:val="en-AU"/>
        </w:rPr>
        <w:t xml:space="preserve">calculated from </w:t>
      </w:r>
      <w:r w:rsidR="0066781C" w:rsidRPr="00FE444D">
        <w:rPr>
          <w:rFonts w:ascii="Calibri" w:eastAsia="Calibri" w:hAnsi="Calibri" w:cs="Calibri"/>
          <w:szCs w:val="20"/>
          <w:lang w:val="en-AU"/>
        </w:rPr>
        <w:t xml:space="preserve">the data </w:t>
      </w:r>
      <w:r w:rsidR="0066781C">
        <w:rPr>
          <w:rFonts w:ascii="Calibri" w:eastAsia="Calibri" w:hAnsi="Calibri" w:cs="Calibri"/>
          <w:szCs w:val="20"/>
          <w:lang w:val="en-AU"/>
        </w:rPr>
        <w:t xml:space="preserve">submitted </w:t>
      </w:r>
      <w:r w:rsidR="0066781C" w:rsidRPr="00FE444D">
        <w:rPr>
          <w:rFonts w:ascii="Calibri" w:eastAsia="Calibri" w:hAnsi="Calibri" w:cs="Calibri"/>
          <w:szCs w:val="20"/>
          <w:lang w:val="en-AU"/>
        </w:rPr>
        <w:t>by DNSPs for the current round of AER distributor price determinations</w:t>
      </w:r>
      <w:r w:rsidR="0066781C">
        <w:rPr>
          <w:rFonts w:ascii="Calibri" w:eastAsia="Calibri" w:hAnsi="Calibri" w:cs="Calibri"/>
          <w:szCs w:val="20"/>
          <w:lang w:val="en-AU"/>
        </w:rPr>
        <w:t xml:space="preserve"> (</w:t>
      </w:r>
      <w:r w:rsidRPr="00FE444D">
        <w:rPr>
          <w:rFonts w:ascii="Calibri" w:eastAsia="Calibri" w:hAnsi="Calibri" w:cs="Calibri"/>
          <w:szCs w:val="20"/>
          <w:lang w:val="en-AU"/>
        </w:rPr>
        <w:fldChar w:fldCharType="begin"/>
      </w:r>
      <w:r w:rsidRPr="00FE444D">
        <w:rPr>
          <w:rFonts w:ascii="Calibri" w:eastAsia="Calibri" w:hAnsi="Calibri" w:cs="Calibri"/>
          <w:szCs w:val="20"/>
          <w:lang w:val="en-AU"/>
        </w:rPr>
        <w:instrText xml:space="preserve"> REF _Ref327025099 \h  \* MERGEFORMAT </w:instrText>
      </w:r>
      <w:r w:rsidRPr="00FE444D">
        <w:rPr>
          <w:rFonts w:ascii="Calibri" w:eastAsia="Calibri" w:hAnsi="Calibri" w:cs="Calibri"/>
          <w:szCs w:val="20"/>
          <w:lang w:val="en-AU"/>
        </w:rPr>
      </w:r>
      <w:r w:rsidRPr="00FE444D">
        <w:rPr>
          <w:rFonts w:ascii="Calibri" w:eastAsia="Calibri" w:hAnsi="Calibri" w:cs="Calibri"/>
          <w:szCs w:val="20"/>
          <w:lang w:val="en-AU"/>
        </w:rPr>
        <w:fldChar w:fldCharType="separate"/>
      </w:r>
      <w:r w:rsidR="006B22A7" w:rsidRPr="006B22A7">
        <w:rPr>
          <w:rFonts w:ascii="Calibri" w:eastAsia="Calibri" w:hAnsi="Calibri" w:cs="Calibri"/>
          <w:szCs w:val="20"/>
          <w:lang w:val="en-AU"/>
        </w:rPr>
        <w:t>Table 28</w:t>
      </w:r>
      <w:r w:rsidRPr="00FE444D">
        <w:rPr>
          <w:rFonts w:ascii="Calibri" w:eastAsia="Calibri" w:hAnsi="Calibri" w:cs="Calibri"/>
          <w:szCs w:val="20"/>
          <w:lang w:val="en-AU"/>
        </w:rPr>
        <w:fldChar w:fldCharType="end"/>
      </w:r>
      <w:r w:rsidR="0066781C">
        <w:rPr>
          <w:rFonts w:ascii="Calibri" w:eastAsia="Calibri" w:hAnsi="Calibri" w:cs="Calibri"/>
          <w:szCs w:val="20"/>
          <w:lang w:val="en-AU"/>
        </w:rPr>
        <w:t>).</w:t>
      </w:r>
      <w:r w:rsidRPr="00FE444D">
        <w:rPr>
          <w:rFonts w:ascii="Calibri" w:eastAsia="Calibri" w:hAnsi="Calibri" w:cs="Calibri"/>
          <w:szCs w:val="20"/>
          <w:lang w:val="en-AU"/>
        </w:rPr>
        <w:t xml:space="preserve"> </w:t>
      </w:r>
    </w:p>
    <w:p w14:paraId="76D991D6" w14:textId="13BCB6DB" w:rsidR="005A520F" w:rsidRDefault="005A520F" w:rsidP="00A37634">
      <w:pPr>
        <w:spacing w:before="120" w:after="120" w:line="276" w:lineRule="auto"/>
        <w:rPr>
          <w:rFonts w:ascii="Calibri" w:eastAsia="Calibri" w:hAnsi="Calibri" w:cs="Calibri"/>
          <w:szCs w:val="20"/>
          <w:lang w:val="en-AU"/>
        </w:rPr>
      </w:pPr>
    </w:p>
    <w:p w14:paraId="49BFA9A1" w14:textId="6CF1049E" w:rsidR="005A520F" w:rsidRDefault="005A520F" w:rsidP="00A37634">
      <w:pPr>
        <w:spacing w:before="120" w:after="120" w:line="276" w:lineRule="auto"/>
        <w:rPr>
          <w:rFonts w:ascii="Calibri" w:eastAsia="Calibri" w:hAnsi="Calibri" w:cs="Calibri"/>
          <w:szCs w:val="20"/>
          <w:lang w:val="en-AU"/>
        </w:rPr>
      </w:pPr>
    </w:p>
    <w:p w14:paraId="754B1084" w14:textId="3B250F24" w:rsidR="005A520F" w:rsidRDefault="005A520F" w:rsidP="00A37634">
      <w:pPr>
        <w:spacing w:before="120" w:after="120" w:line="276" w:lineRule="auto"/>
        <w:rPr>
          <w:rFonts w:ascii="Calibri" w:eastAsia="Calibri" w:hAnsi="Calibri" w:cs="Calibri"/>
          <w:szCs w:val="20"/>
          <w:lang w:val="en-AU"/>
        </w:rPr>
      </w:pPr>
    </w:p>
    <w:p w14:paraId="17C29D64" w14:textId="08FD75A3" w:rsidR="005A520F" w:rsidRDefault="005A520F" w:rsidP="00A37634">
      <w:pPr>
        <w:spacing w:before="120" w:after="120" w:line="276" w:lineRule="auto"/>
        <w:rPr>
          <w:rFonts w:ascii="Calibri" w:eastAsia="Calibri" w:hAnsi="Calibri" w:cs="Calibri"/>
          <w:szCs w:val="20"/>
          <w:lang w:val="en-AU"/>
        </w:rPr>
      </w:pPr>
    </w:p>
    <w:p w14:paraId="7E969972" w14:textId="238935D4" w:rsidR="005A520F" w:rsidRDefault="005A520F" w:rsidP="00A37634">
      <w:pPr>
        <w:spacing w:before="120" w:after="120" w:line="276" w:lineRule="auto"/>
        <w:rPr>
          <w:rFonts w:ascii="Calibri" w:eastAsia="Calibri" w:hAnsi="Calibri" w:cs="Calibri"/>
          <w:szCs w:val="20"/>
          <w:lang w:val="en-AU"/>
        </w:rPr>
      </w:pPr>
    </w:p>
    <w:p w14:paraId="61E2DC7B" w14:textId="2F9599C1" w:rsidR="005A520F" w:rsidRDefault="005A520F" w:rsidP="00A37634">
      <w:pPr>
        <w:spacing w:before="120" w:after="120" w:line="276" w:lineRule="auto"/>
        <w:rPr>
          <w:rFonts w:ascii="Calibri" w:eastAsia="Calibri" w:hAnsi="Calibri" w:cs="Calibri"/>
          <w:szCs w:val="20"/>
          <w:lang w:val="en-AU"/>
        </w:rPr>
      </w:pPr>
    </w:p>
    <w:p w14:paraId="193851E4" w14:textId="335FB9D5" w:rsidR="005A520F" w:rsidRDefault="005A520F" w:rsidP="00A37634">
      <w:pPr>
        <w:spacing w:before="120" w:after="120" w:line="276" w:lineRule="auto"/>
        <w:rPr>
          <w:rFonts w:ascii="Calibri" w:eastAsia="Calibri" w:hAnsi="Calibri" w:cs="Calibri"/>
          <w:szCs w:val="20"/>
          <w:lang w:val="en-AU"/>
        </w:rPr>
      </w:pPr>
    </w:p>
    <w:p w14:paraId="7A68F040" w14:textId="633B1398" w:rsidR="005A520F" w:rsidRDefault="005A520F" w:rsidP="00A37634">
      <w:pPr>
        <w:spacing w:before="120" w:after="120" w:line="276" w:lineRule="auto"/>
        <w:rPr>
          <w:rFonts w:ascii="Calibri" w:eastAsia="Calibri" w:hAnsi="Calibri" w:cs="Calibri"/>
          <w:szCs w:val="20"/>
          <w:lang w:val="en-AU"/>
        </w:rPr>
      </w:pPr>
    </w:p>
    <w:p w14:paraId="6C6BA43A" w14:textId="270B27F4" w:rsidR="005A520F" w:rsidRDefault="005A520F" w:rsidP="00A37634">
      <w:pPr>
        <w:spacing w:before="120" w:after="120" w:line="276" w:lineRule="auto"/>
        <w:rPr>
          <w:rFonts w:ascii="Calibri" w:eastAsia="Calibri" w:hAnsi="Calibri" w:cs="Calibri"/>
          <w:szCs w:val="20"/>
          <w:lang w:val="en-AU"/>
        </w:rPr>
      </w:pPr>
    </w:p>
    <w:p w14:paraId="72087256" w14:textId="32B52FC7" w:rsidR="005A520F" w:rsidRDefault="005A520F" w:rsidP="00A37634">
      <w:pPr>
        <w:spacing w:before="120" w:after="120" w:line="276" w:lineRule="auto"/>
        <w:rPr>
          <w:rFonts w:ascii="Calibri" w:eastAsia="Calibri" w:hAnsi="Calibri" w:cs="Calibri"/>
          <w:szCs w:val="20"/>
          <w:lang w:val="en-AU"/>
        </w:rPr>
      </w:pPr>
    </w:p>
    <w:p w14:paraId="6BF6AEF2" w14:textId="77777777" w:rsidR="005A520F" w:rsidRPr="00A37634" w:rsidRDefault="005A520F" w:rsidP="00A37634">
      <w:pPr>
        <w:spacing w:before="120" w:after="120" w:line="276" w:lineRule="auto"/>
        <w:rPr>
          <w:rFonts w:ascii="Calibri" w:eastAsia="Cambria" w:hAnsi="Calibri" w:cs="Calibri"/>
          <w:sz w:val="19"/>
          <w:szCs w:val="24"/>
          <w:lang w:val="en-AU"/>
        </w:rPr>
      </w:pPr>
    </w:p>
    <w:p w14:paraId="1E5CBA67" w14:textId="19E1CFF2"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52" w:name="_Ref327025099"/>
      <w:bookmarkStart w:id="153" w:name="_Toc333183012"/>
      <w:bookmarkStart w:id="154" w:name="_Toc369633224"/>
      <w:bookmarkStart w:id="155" w:name="_Toc11360598"/>
      <w:bookmarkStart w:id="156" w:name="_Toc22486970"/>
      <w:r w:rsidRPr="00A37634">
        <w:rPr>
          <w:rFonts w:ascii="Calibri" w:eastAsia="Cambria" w:hAnsi="Calibri" w:cs="Calibri"/>
          <w:b/>
          <w:bCs/>
          <w:sz w:val="20"/>
          <w:szCs w:val="16"/>
          <w:lang w:val="en-AU"/>
        </w:rPr>
        <w:lastRenderedPageBreak/>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B1ACD">
        <w:rPr>
          <w:rFonts w:ascii="Calibri" w:eastAsia="Cambria" w:hAnsi="Calibri" w:cs="Calibri"/>
          <w:b/>
          <w:bCs/>
          <w:noProof/>
          <w:sz w:val="20"/>
          <w:szCs w:val="16"/>
          <w:lang w:val="en-AU"/>
        </w:rPr>
        <w:t>26</w:t>
      </w:r>
      <w:r w:rsidRPr="00A37634">
        <w:rPr>
          <w:rFonts w:ascii="Calibri" w:eastAsia="Cambria" w:hAnsi="Calibri" w:cs="Calibri"/>
          <w:b/>
          <w:bCs/>
          <w:noProof/>
          <w:sz w:val="20"/>
          <w:szCs w:val="16"/>
          <w:lang w:val="en-AU"/>
        </w:rPr>
        <w:fldChar w:fldCharType="end"/>
      </w:r>
      <w:bookmarkEnd w:id="152"/>
      <w:r w:rsidRPr="00A37634">
        <w:rPr>
          <w:rFonts w:ascii="Calibri" w:eastAsia="Cambria" w:hAnsi="Calibri" w:cs="Calibri"/>
          <w:b/>
          <w:bCs/>
          <w:sz w:val="20"/>
          <w:szCs w:val="16"/>
          <w:lang w:val="en-AU"/>
        </w:rPr>
        <w:t>. Estimated investment required per marginal peak load kW</w:t>
      </w:r>
      <w:bookmarkEnd w:id="153"/>
      <w:bookmarkEnd w:id="154"/>
      <w:bookmarkEnd w:id="155"/>
      <w:bookmarkEnd w:id="156"/>
      <w:r w:rsidRPr="00A37634">
        <w:rPr>
          <w:rFonts w:ascii="Calibri" w:eastAsia="Cambria" w:hAnsi="Calibri" w:cs="Calibri"/>
          <w:b/>
          <w:bCs/>
          <w:sz w:val="20"/>
          <w:szCs w:val="16"/>
          <w:lang w:val="en-AU"/>
        </w:rPr>
        <w:t xml:space="preserve"> </w:t>
      </w:r>
    </w:p>
    <w:tbl>
      <w:tblPr>
        <w:tblW w:w="7577" w:type="dxa"/>
        <w:jc w:val="center"/>
        <w:tblCellMar>
          <w:left w:w="0" w:type="dxa"/>
          <w:right w:w="0" w:type="dxa"/>
        </w:tblCellMar>
        <w:tblLook w:val="0000" w:firstRow="0" w:lastRow="0" w:firstColumn="0" w:lastColumn="0" w:noHBand="0" w:noVBand="0"/>
      </w:tblPr>
      <w:tblGrid>
        <w:gridCol w:w="1502"/>
        <w:gridCol w:w="1363"/>
        <w:gridCol w:w="1178"/>
        <w:gridCol w:w="1178"/>
        <w:gridCol w:w="1178"/>
        <w:gridCol w:w="1178"/>
      </w:tblGrid>
      <w:tr w:rsidR="00F640DA" w:rsidRPr="00A37634" w14:paraId="5A3A6661" w14:textId="4DA75921" w:rsidTr="00F640DA">
        <w:trPr>
          <w:cantSplit/>
          <w:trHeight w:val="391"/>
          <w:tblHeader/>
          <w:jc w:val="center"/>
        </w:trPr>
        <w:tc>
          <w:tcPr>
            <w:tcW w:w="1502" w:type="dxa"/>
            <w:tcBorders>
              <w:top w:val="single" w:sz="4" w:space="0" w:color="auto"/>
              <w:left w:val="single" w:sz="4" w:space="0" w:color="auto"/>
              <w:bottom w:val="single" w:sz="4" w:space="0" w:color="auto"/>
              <w:right w:val="single" w:sz="4" w:space="0" w:color="auto"/>
            </w:tcBorders>
            <w:noWrap/>
            <w:vAlign w:val="bottom"/>
          </w:tcPr>
          <w:p w14:paraId="6667B6D7" w14:textId="77777777" w:rsidR="00F640DA" w:rsidRPr="00A37634" w:rsidRDefault="00F640DA" w:rsidP="00A37634">
            <w:pPr>
              <w:spacing w:before="60" w:after="60" w:line="240" w:lineRule="auto"/>
              <w:jc w:val="center"/>
              <w:rPr>
                <w:rFonts w:ascii="Calibri" w:eastAsia="Times New Roman" w:hAnsi="Calibri" w:cs="Calibri"/>
                <w:b/>
                <w:sz w:val="15"/>
                <w:szCs w:val="14"/>
                <w:lang w:val="en-AU"/>
              </w:rPr>
            </w:pPr>
          </w:p>
        </w:tc>
        <w:tc>
          <w:tcPr>
            <w:tcW w:w="1363" w:type="dxa"/>
            <w:tcBorders>
              <w:top w:val="single" w:sz="4" w:space="0" w:color="auto"/>
              <w:bottom w:val="single" w:sz="4" w:space="0" w:color="auto"/>
            </w:tcBorders>
          </w:tcPr>
          <w:p w14:paraId="70D066D4" w14:textId="68CB021A" w:rsidR="00F640DA" w:rsidRPr="00A37634" w:rsidRDefault="00F640DA" w:rsidP="00A37634">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$/kW (a)</w:t>
            </w:r>
          </w:p>
        </w:tc>
        <w:tc>
          <w:tcPr>
            <w:tcW w:w="1178" w:type="dxa"/>
            <w:tcBorders>
              <w:top w:val="single" w:sz="4" w:space="0" w:color="auto"/>
              <w:bottom w:val="single" w:sz="4" w:space="0" w:color="auto"/>
            </w:tcBorders>
          </w:tcPr>
          <w:p w14:paraId="5B155165" w14:textId="35A58E5A" w:rsidR="00F640DA" w:rsidRPr="00A37634" w:rsidRDefault="00F640DA" w:rsidP="00A37634">
            <w:pPr>
              <w:spacing w:before="60" w:after="60" w:line="240" w:lineRule="auto"/>
              <w:jc w:val="center"/>
              <w:rPr>
                <w:rFonts w:ascii="Calibri" w:eastAsia="Times New Roman" w:hAnsi="Calibri" w:cs="Calibri"/>
                <w:b/>
                <w:sz w:val="15"/>
                <w:szCs w:val="14"/>
                <w:lang w:val="en-AU"/>
              </w:rPr>
            </w:pPr>
            <w:r>
              <w:rPr>
                <w:rFonts w:ascii="Calibri" w:eastAsia="Times New Roman" w:hAnsi="Calibri" w:cs="Calibri"/>
                <w:b/>
                <w:sz w:val="15"/>
                <w:szCs w:val="14"/>
                <w:lang w:val="en-AU"/>
              </w:rPr>
              <w:t xml:space="preserve">5-yr growth in  </w:t>
            </w:r>
            <w:r>
              <w:rPr>
                <w:rFonts w:ascii="Calibri" w:eastAsia="Times New Roman" w:hAnsi="Calibri" w:cs="Calibri"/>
                <w:b/>
                <w:sz w:val="15"/>
                <w:szCs w:val="14"/>
                <w:lang w:val="en-AU"/>
              </w:rPr>
              <w:br/>
              <w:t>network SMD(b)</w:t>
            </w:r>
          </w:p>
        </w:tc>
        <w:tc>
          <w:tcPr>
            <w:tcW w:w="1178" w:type="dxa"/>
            <w:tcBorders>
              <w:top w:val="single" w:sz="4" w:space="0" w:color="auto"/>
              <w:bottom w:val="single" w:sz="4" w:space="0" w:color="auto"/>
              <w:right w:val="single" w:sz="4" w:space="0" w:color="auto"/>
            </w:tcBorders>
          </w:tcPr>
          <w:p w14:paraId="65DFEAAA" w14:textId="7EA2AA56" w:rsidR="00F640DA" w:rsidRPr="00A37634" w:rsidRDefault="00F640DA" w:rsidP="00F640DA">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Period of</w:t>
            </w:r>
            <w:r>
              <w:rPr>
                <w:rFonts w:ascii="Calibri" w:eastAsia="Times New Roman" w:hAnsi="Calibri" w:cs="Calibri"/>
                <w:b/>
                <w:sz w:val="15"/>
                <w:szCs w:val="14"/>
                <w:lang w:val="en-AU"/>
              </w:rPr>
              <w:br/>
            </w:r>
            <w:r w:rsidRPr="00A37634">
              <w:rPr>
                <w:rFonts w:ascii="Calibri" w:eastAsia="Times New Roman" w:hAnsi="Calibri" w:cs="Calibri"/>
                <w:b/>
                <w:sz w:val="15"/>
                <w:szCs w:val="14"/>
                <w:lang w:val="en-AU"/>
              </w:rPr>
              <w:t xml:space="preserve">Determination  </w:t>
            </w:r>
          </w:p>
        </w:tc>
        <w:tc>
          <w:tcPr>
            <w:tcW w:w="1178" w:type="dxa"/>
            <w:tcBorders>
              <w:top w:val="single" w:sz="4" w:space="0" w:color="auto"/>
              <w:bottom w:val="single" w:sz="4" w:space="0" w:color="auto"/>
            </w:tcBorders>
          </w:tcPr>
          <w:p w14:paraId="6387C7E6" w14:textId="669349AA" w:rsidR="00F640DA" w:rsidRPr="00A37634" w:rsidRDefault="00F640DA" w:rsidP="00A37634">
            <w:pPr>
              <w:spacing w:before="60" w:after="60" w:line="240" w:lineRule="auto"/>
              <w:jc w:val="center"/>
              <w:rPr>
                <w:rFonts w:ascii="Calibri" w:eastAsia="Times New Roman" w:hAnsi="Calibri" w:cs="Calibri"/>
                <w:b/>
                <w:sz w:val="15"/>
                <w:szCs w:val="14"/>
                <w:lang w:val="en-AU"/>
              </w:rPr>
            </w:pPr>
            <w:r>
              <w:rPr>
                <w:rFonts w:ascii="Calibri" w:eastAsia="Times New Roman" w:hAnsi="Calibri" w:cs="Calibri"/>
                <w:b/>
                <w:sz w:val="15"/>
                <w:szCs w:val="14"/>
                <w:lang w:val="en-AU"/>
              </w:rPr>
              <w:t xml:space="preserve">Previous </w:t>
            </w:r>
            <w:r>
              <w:rPr>
                <w:rFonts w:ascii="Calibri" w:eastAsia="Times New Roman" w:hAnsi="Calibri" w:cs="Calibri"/>
                <w:b/>
                <w:sz w:val="15"/>
                <w:szCs w:val="14"/>
                <w:lang w:val="en-AU"/>
              </w:rPr>
              <w:br/>
              <w:t>$/kW (c)</w:t>
            </w:r>
          </w:p>
        </w:tc>
        <w:tc>
          <w:tcPr>
            <w:tcW w:w="1178" w:type="dxa"/>
            <w:tcBorders>
              <w:top w:val="single" w:sz="4" w:space="0" w:color="auto"/>
              <w:bottom w:val="single" w:sz="4" w:space="0" w:color="auto"/>
              <w:right w:val="single" w:sz="4" w:space="0" w:color="auto"/>
            </w:tcBorders>
          </w:tcPr>
          <w:p w14:paraId="28132028" w14:textId="23297DED" w:rsidR="00F640DA" w:rsidRPr="00A37634" w:rsidRDefault="00F640DA" w:rsidP="00F640DA">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Period of</w:t>
            </w:r>
            <w:r>
              <w:rPr>
                <w:rFonts w:ascii="Calibri" w:eastAsia="Times New Roman" w:hAnsi="Calibri" w:cs="Calibri"/>
                <w:b/>
                <w:sz w:val="15"/>
                <w:szCs w:val="14"/>
                <w:lang w:val="en-AU"/>
              </w:rPr>
              <w:br/>
            </w:r>
            <w:r w:rsidRPr="00A37634">
              <w:rPr>
                <w:rFonts w:ascii="Calibri" w:eastAsia="Times New Roman" w:hAnsi="Calibri" w:cs="Calibri"/>
                <w:b/>
                <w:sz w:val="15"/>
                <w:szCs w:val="14"/>
                <w:lang w:val="en-AU"/>
              </w:rPr>
              <w:t xml:space="preserve">Determination  </w:t>
            </w:r>
          </w:p>
        </w:tc>
      </w:tr>
      <w:tr w:rsidR="00F640DA" w:rsidRPr="00A37634" w14:paraId="77B6D6C8" w14:textId="00C557DB" w:rsidTr="00F640DA">
        <w:trPr>
          <w:trHeight w:val="255"/>
          <w:jc w:val="center"/>
        </w:trPr>
        <w:tc>
          <w:tcPr>
            <w:tcW w:w="1502" w:type="dxa"/>
            <w:tcBorders>
              <w:top w:val="single" w:sz="4" w:space="0" w:color="auto"/>
              <w:left w:val="single" w:sz="4" w:space="0" w:color="auto"/>
              <w:bottom w:val="nil"/>
              <w:right w:val="single" w:sz="4" w:space="0" w:color="auto"/>
            </w:tcBorders>
            <w:noWrap/>
            <w:vAlign w:val="bottom"/>
          </w:tcPr>
          <w:p w14:paraId="0D76834A" w14:textId="77777777" w:rsidR="00F640DA" w:rsidRPr="00A37634" w:rsidRDefault="00F640DA" w:rsidP="006924AD">
            <w:pPr>
              <w:tabs>
                <w:tab w:val="left" w:pos="3293"/>
              </w:tabs>
              <w:spacing w:before="60" w:after="60" w:line="240" w:lineRule="auto"/>
              <w:ind w:left="35"/>
              <w:rPr>
                <w:rFonts w:ascii="Calibri" w:eastAsia="Arial Unicode MS" w:hAnsi="Calibri" w:cs="Calibri"/>
                <w:sz w:val="16"/>
                <w:szCs w:val="16"/>
                <w:lang w:val="en-AU"/>
              </w:rPr>
            </w:pPr>
            <w:r w:rsidRPr="00A37634">
              <w:rPr>
                <w:rFonts w:ascii="Calibri" w:eastAsia="Times New Roman" w:hAnsi="Calibri" w:cs="Calibri"/>
                <w:sz w:val="16"/>
                <w:szCs w:val="16"/>
                <w:lang w:val="en-AU"/>
              </w:rPr>
              <w:t>NSW</w:t>
            </w:r>
          </w:p>
        </w:tc>
        <w:tc>
          <w:tcPr>
            <w:tcW w:w="1363" w:type="dxa"/>
            <w:tcBorders>
              <w:top w:val="single" w:sz="4" w:space="0" w:color="auto"/>
              <w:left w:val="single" w:sz="4" w:space="0" w:color="auto"/>
              <w:bottom w:val="nil"/>
            </w:tcBorders>
            <w:shd w:val="clear" w:color="auto" w:fill="auto"/>
            <w:vAlign w:val="bottom"/>
          </w:tcPr>
          <w:p w14:paraId="16975E84" w14:textId="61CB7682"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1017</w:t>
            </w:r>
          </w:p>
        </w:tc>
        <w:tc>
          <w:tcPr>
            <w:tcW w:w="0" w:type="auto"/>
            <w:tcBorders>
              <w:top w:val="single" w:sz="4" w:space="0" w:color="auto"/>
              <w:bottom w:val="nil"/>
            </w:tcBorders>
          </w:tcPr>
          <w:p w14:paraId="4FD5032F" w14:textId="4E6C7C2F"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1059</w:t>
            </w:r>
          </w:p>
        </w:tc>
        <w:tc>
          <w:tcPr>
            <w:tcW w:w="0" w:type="auto"/>
            <w:tcBorders>
              <w:top w:val="single" w:sz="4" w:space="0" w:color="auto"/>
              <w:bottom w:val="nil"/>
              <w:right w:val="single" w:sz="4" w:space="0" w:color="auto"/>
            </w:tcBorders>
            <w:shd w:val="clear" w:color="auto" w:fill="auto"/>
            <w:vAlign w:val="bottom"/>
          </w:tcPr>
          <w:p w14:paraId="1CB21AB2" w14:textId="5BE0882D"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2020-24</w:t>
            </w:r>
          </w:p>
        </w:tc>
        <w:tc>
          <w:tcPr>
            <w:tcW w:w="0" w:type="auto"/>
            <w:tcBorders>
              <w:top w:val="single" w:sz="4" w:space="0" w:color="auto"/>
              <w:left w:val="single" w:sz="4" w:space="0" w:color="auto"/>
              <w:bottom w:val="nil"/>
            </w:tcBorders>
          </w:tcPr>
          <w:p w14:paraId="634501E6" w14:textId="1DAC9B8C"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3076</w:t>
            </w:r>
          </w:p>
        </w:tc>
        <w:tc>
          <w:tcPr>
            <w:tcW w:w="0" w:type="auto"/>
            <w:tcBorders>
              <w:top w:val="single" w:sz="4" w:space="0" w:color="auto"/>
              <w:bottom w:val="nil"/>
              <w:right w:val="single" w:sz="4" w:space="0" w:color="auto"/>
            </w:tcBorders>
          </w:tcPr>
          <w:p w14:paraId="2DC81E50" w14:textId="71DAE0BA"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2011-15</w:t>
            </w:r>
          </w:p>
        </w:tc>
      </w:tr>
      <w:tr w:rsidR="00F640DA" w:rsidRPr="00A37634" w14:paraId="6FB22B1E" w14:textId="713FADEA" w:rsidTr="00F640DA">
        <w:trPr>
          <w:trHeight w:val="255"/>
          <w:jc w:val="center"/>
        </w:trPr>
        <w:tc>
          <w:tcPr>
            <w:tcW w:w="1502" w:type="dxa"/>
            <w:tcBorders>
              <w:top w:val="nil"/>
              <w:left w:val="single" w:sz="4" w:space="0" w:color="auto"/>
              <w:bottom w:val="nil"/>
              <w:right w:val="single" w:sz="4" w:space="0" w:color="auto"/>
            </w:tcBorders>
            <w:noWrap/>
            <w:vAlign w:val="bottom"/>
          </w:tcPr>
          <w:p w14:paraId="3C5AB8BB" w14:textId="77777777" w:rsidR="00F640DA" w:rsidRPr="00A37634" w:rsidRDefault="00F640DA" w:rsidP="006924AD">
            <w:pPr>
              <w:tabs>
                <w:tab w:val="left" w:pos="3293"/>
              </w:tabs>
              <w:spacing w:before="60" w:after="60" w:line="240" w:lineRule="auto"/>
              <w:ind w:left="35"/>
              <w:rPr>
                <w:rFonts w:ascii="Calibri" w:eastAsia="Arial Unicode MS" w:hAnsi="Calibri" w:cs="Calibri"/>
                <w:sz w:val="16"/>
                <w:szCs w:val="16"/>
                <w:lang w:val="en-AU"/>
              </w:rPr>
            </w:pPr>
            <w:r w:rsidRPr="00A37634">
              <w:rPr>
                <w:rFonts w:ascii="Calibri" w:eastAsia="Times New Roman" w:hAnsi="Calibri" w:cs="Calibri"/>
                <w:sz w:val="16"/>
                <w:szCs w:val="16"/>
                <w:lang w:val="en-AU"/>
              </w:rPr>
              <w:t>Vic</w:t>
            </w:r>
          </w:p>
        </w:tc>
        <w:tc>
          <w:tcPr>
            <w:tcW w:w="1363" w:type="dxa"/>
            <w:tcBorders>
              <w:top w:val="nil"/>
              <w:left w:val="single" w:sz="4" w:space="0" w:color="auto"/>
              <w:bottom w:val="nil"/>
            </w:tcBorders>
            <w:shd w:val="clear" w:color="auto" w:fill="auto"/>
            <w:vAlign w:val="bottom"/>
          </w:tcPr>
          <w:p w14:paraId="7F6DC45B" w14:textId="4F8873F6"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1050</w:t>
            </w:r>
          </w:p>
        </w:tc>
        <w:tc>
          <w:tcPr>
            <w:tcW w:w="0" w:type="auto"/>
            <w:tcBorders>
              <w:top w:val="nil"/>
              <w:bottom w:val="nil"/>
            </w:tcBorders>
          </w:tcPr>
          <w:p w14:paraId="1405AE31" w14:textId="2372E63D"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997</w:t>
            </w:r>
          </w:p>
        </w:tc>
        <w:tc>
          <w:tcPr>
            <w:tcW w:w="0" w:type="auto"/>
            <w:tcBorders>
              <w:top w:val="nil"/>
              <w:bottom w:val="nil"/>
              <w:right w:val="single" w:sz="4" w:space="0" w:color="auto"/>
            </w:tcBorders>
            <w:shd w:val="clear" w:color="auto" w:fill="auto"/>
            <w:vAlign w:val="bottom"/>
          </w:tcPr>
          <w:p w14:paraId="7530E445" w14:textId="39E7FDF0"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2016-20</w:t>
            </w:r>
          </w:p>
        </w:tc>
        <w:tc>
          <w:tcPr>
            <w:tcW w:w="0" w:type="auto"/>
            <w:tcBorders>
              <w:top w:val="nil"/>
              <w:left w:val="single" w:sz="4" w:space="0" w:color="auto"/>
              <w:bottom w:val="nil"/>
            </w:tcBorders>
          </w:tcPr>
          <w:p w14:paraId="23D86362" w14:textId="5AA509CB"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787</w:t>
            </w:r>
          </w:p>
        </w:tc>
        <w:tc>
          <w:tcPr>
            <w:tcW w:w="0" w:type="auto"/>
            <w:tcBorders>
              <w:top w:val="nil"/>
              <w:bottom w:val="nil"/>
              <w:right w:val="single" w:sz="4" w:space="0" w:color="auto"/>
            </w:tcBorders>
          </w:tcPr>
          <w:p w14:paraId="32FFE0F5" w14:textId="4C0C0857"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2011-15</w:t>
            </w:r>
          </w:p>
        </w:tc>
      </w:tr>
      <w:tr w:rsidR="00F640DA" w:rsidRPr="00A37634" w14:paraId="2717EBF4" w14:textId="1D65EB4D" w:rsidTr="00F640DA">
        <w:trPr>
          <w:trHeight w:val="255"/>
          <w:jc w:val="center"/>
        </w:trPr>
        <w:tc>
          <w:tcPr>
            <w:tcW w:w="1502" w:type="dxa"/>
            <w:tcBorders>
              <w:top w:val="nil"/>
              <w:left w:val="single" w:sz="4" w:space="0" w:color="auto"/>
              <w:bottom w:val="nil"/>
              <w:right w:val="single" w:sz="4" w:space="0" w:color="auto"/>
            </w:tcBorders>
            <w:noWrap/>
            <w:vAlign w:val="bottom"/>
          </w:tcPr>
          <w:p w14:paraId="212D0813" w14:textId="77777777" w:rsidR="00F640DA" w:rsidRPr="00A37634" w:rsidRDefault="00F640DA" w:rsidP="006924AD">
            <w:pPr>
              <w:tabs>
                <w:tab w:val="left" w:pos="3293"/>
              </w:tabs>
              <w:spacing w:before="60" w:after="60" w:line="240" w:lineRule="auto"/>
              <w:ind w:left="35"/>
              <w:rPr>
                <w:rFonts w:ascii="Calibri" w:eastAsia="Arial Unicode MS" w:hAnsi="Calibri" w:cs="Calibri"/>
                <w:sz w:val="16"/>
                <w:szCs w:val="16"/>
                <w:lang w:val="en-AU"/>
              </w:rPr>
            </w:pPr>
            <w:r w:rsidRPr="00A37634">
              <w:rPr>
                <w:rFonts w:ascii="Calibri" w:eastAsia="Times New Roman" w:hAnsi="Calibri" w:cs="Calibri"/>
                <w:sz w:val="16"/>
                <w:szCs w:val="16"/>
                <w:lang w:val="en-AU"/>
              </w:rPr>
              <w:t>Qld</w:t>
            </w:r>
          </w:p>
        </w:tc>
        <w:tc>
          <w:tcPr>
            <w:tcW w:w="1363" w:type="dxa"/>
            <w:tcBorders>
              <w:top w:val="nil"/>
              <w:left w:val="single" w:sz="4" w:space="0" w:color="auto"/>
              <w:bottom w:val="nil"/>
            </w:tcBorders>
            <w:shd w:val="clear" w:color="auto" w:fill="auto"/>
            <w:vAlign w:val="bottom"/>
          </w:tcPr>
          <w:p w14:paraId="579B8336" w14:textId="5B8AEF94"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3614</w:t>
            </w:r>
          </w:p>
        </w:tc>
        <w:tc>
          <w:tcPr>
            <w:tcW w:w="0" w:type="auto"/>
            <w:tcBorders>
              <w:top w:val="nil"/>
              <w:bottom w:val="nil"/>
            </w:tcBorders>
          </w:tcPr>
          <w:p w14:paraId="276E6CA6" w14:textId="7B8431F1"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190</w:t>
            </w:r>
          </w:p>
        </w:tc>
        <w:tc>
          <w:tcPr>
            <w:tcW w:w="0" w:type="auto"/>
            <w:tcBorders>
              <w:top w:val="nil"/>
              <w:bottom w:val="nil"/>
              <w:right w:val="single" w:sz="4" w:space="0" w:color="auto"/>
            </w:tcBorders>
            <w:shd w:val="clear" w:color="auto" w:fill="auto"/>
            <w:vAlign w:val="bottom"/>
          </w:tcPr>
          <w:p w14:paraId="041B51A5" w14:textId="38F844A6"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2021-25</w:t>
            </w:r>
          </w:p>
        </w:tc>
        <w:tc>
          <w:tcPr>
            <w:tcW w:w="0" w:type="auto"/>
            <w:tcBorders>
              <w:top w:val="nil"/>
              <w:left w:val="single" w:sz="4" w:space="0" w:color="auto"/>
              <w:bottom w:val="nil"/>
            </w:tcBorders>
          </w:tcPr>
          <w:p w14:paraId="48C57686" w14:textId="2454B700"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3503</w:t>
            </w:r>
          </w:p>
        </w:tc>
        <w:tc>
          <w:tcPr>
            <w:tcW w:w="0" w:type="auto"/>
            <w:tcBorders>
              <w:top w:val="nil"/>
              <w:bottom w:val="nil"/>
              <w:right w:val="single" w:sz="4" w:space="0" w:color="auto"/>
            </w:tcBorders>
          </w:tcPr>
          <w:p w14:paraId="6A00A9B5" w14:textId="08DC5219"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2011-15</w:t>
            </w:r>
          </w:p>
        </w:tc>
      </w:tr>
      <w:tr w:rsidR="00F640DA" w:rsidRPr="00A37634" w14:paraId="79B9C49E" w14:textId="367B828F" w:rsidTr="00F640DA">
        <w:trPr>
          <w:trHeight w:val="255"/>
          <w:jc w:val="center"/>
        </w:trPr>
        <w:tc>
          <w:tcPr>
            <w:tcW w:w="1502" w:type="dxa"/>
            <w:tcBorders>
              <w:top w:val="nil"/>
              <w:left w:val="single" w:sz="4" w:space="0" w:color="auto"/>
              <w:bottom w:val="nil"/>
              <w:right w:val="single" w:sz="4" w:space="0" w:color="auto"/>
            </w:tcBorders>
            <w:noWrap/>
            <w:vAlign w:val="bottom"/>
          </w:tcPr>
          <w:p w14:paraId="5BC3AE48" w14:textId="77777777" w:rsidR="00F640DA" w:rsidRPr="00A37634" w:rsidRDefault="00F640DA" w:rsidP="006924AD">
            <w:pPr>
              <w:tabs>
                <w:tab w:val="left" w:pos="3293"/>
              </w:tabs>
              <w:spacing w:before="60" w:after="60" w:line="240" w:lineRule="auto"/>
              <w:ind w:left="35"/>
              <w:rPr>
                <w:rFonts w:ascii="Calibri" w:eastAsia="Arial Unicode MS" w:hAnsi="Calibri" w:cs="Calibri"/>
                <w:sz w:val="16"/>
                <w:szCs w:val="16"/>
                <w:lang w:val="en-AU"/>
              </w:rPr>
            </w:pPr>
            <w:r w:rsidRPr="00A37634">
              <w:rPr>
                <w:rFonts w:ascii="Calibri" w:eastAsia="Times New Roman" w:hAnsi="Calibri" w:cs="Calibri"/>
                <w:sz w:val="16"/>
                <w:szCs w:val="16"/>
                <w:lang w:val="en-AU"/>
              </w:rPr>
              <w:t>SA</w:t>
            </w:r>
          </w:p>
        </w:tc>
        <w:tc>
          <w:tcPr>
            <w:tcW w:w="1363" w:type="dxa"/>
            <w:tcBorders>
              <w:top w:val="nil"/>
              <w:left w:val="single" w:sz="4" w:space="0" w:color="auto"/>
              <w:bottom w:val="nil"/>
            </w:tcBorders>
            <w:shd w:val="clear" w:color="auto" w:fill="auto"/>
            <w:vAlign w:val="bottom"/>
          </w:tcPr>
          <w:p w14:paraId="7D01D44C" w14:textId="6D0E8260"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625</w:t>
            </w:r>
          </w:p>
        </w:tc>
        <w:tc>
          <w:tcPr>
            <w:tcW w:w="0" w:type="auto"/>
            <w:tcBorders>
              <w:top w:val="nil"/>
              <w:bottom w:val="nil"/>
            </w:tcBorders>
          </w:tcPr>
          <w:p w14:paraId="1BF5131D" w14:textId="6635D7A7"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77</w:t>
            </w:r>
          </w:p>
        </w:tc>
        <w:tc>
          <w:tcPr>
            <w:tcW w:w="0" w:type="auto"/>
            <w:tcBorders>
              <w:top w:val="nil"/>
              <w:bottom w:val="nil"/>
              <w:right w:val="single" w:sz="4" w:space="0" w:color="auto"/>
            </w:tcBorders>
            <w:shd w:val="clear" w:color="auto" w:fill="auto"/>
            <w:vAlign w:val="bottom"/>
          </w:tcPr>
          <w:p w14:paraId="6010A5E9" w14:textId="524AD5B3"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2021-25</w:t>
            </w:r>
          </w:p>
        </w:tc>
        <w:tc>
          <w:tcPr>
            <w:tcW w:w="0" w:type="auto"/>
            <w:tcBorders>
              <w:top w:val="nil"/>
              <w:left w:val="single" w:sz="4" w:space="0" w:color="auto"/>
              <w:bottom w:val="nil"/>
            </w:tcBorders>
          </w:tcPr>
          <w:p w14:paraId="4CB5B175" w14:textId="6E3CF559"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2391</w:t>
            </w:r>
          </w:p>
        </w:tc>
        <w:tc>
          <w:tcPr>
            <w:tcW w:w="0" w:type="auto"/>
            <w:tcBorders>
              <w:top w:val="nil"/>
              <w:bottom w:val="nil"/>
              <w:right w:val="single" w:sz="4" w:space="0" w:color="auto"/>
            </w:tcBorders>
          </w:tcPr>
          <w:p w14:paraId="3B4C80D1" w14:textId="62D9FE2A"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2011-15</w:t>
            </w:r>
          </w:p>
        </w:tc>
      </w:tr>
      <w:tr w:rsidR="00F640DA" w:rsidRPr="00A37634" w14:paraId="2A36208F" w14:textId="00F695BD" w:rsidTr="00F640DA">
        <w:trPr>
          <w:trHeight w:val="255"/>
          <w:jc w:val="center"/>
        </w:trPr>
        <w:tc>
          <w:tcPr>
            <w:tcW w:w="1502" w:type="dxa"/>
            <w:tcBorders>
              <w:top w:val="nil"/>
              <w:left w:val="single" w:sz="4" w:space="0" w:color="auto"/>
              <w:bottom w:val="nil"/>
              <w:right w:val="single" w:sz="4" w:space="0" w:color="auto"/>
            </w:tcBorders>
            <w:noWrap/>
            <w:vAlign w:val="bottom"/>
          </w:tcPr>
          <w:p w14:paraId="66B8CD98" w14:textId="77777777" w:rsidR="00F640DA" w:rsidRPr="00A37634" w:rsidRDefault="00F640DA" w:rsidP="006924AD">
            <w:pPr>
              <w:tabs>
                <w:tab w:val="left" w:pos="3293"/>
              </w:tabs>
              <w:spacing w:before="60" w:after="60" w:line="240" w:lineRule="auto"/>
              <w:ind w:left="35"/>
              <w:rPr>
                <w:rFonts w:ascii="Calibri" w:eastAsia="Arial Unicode MS" w:hAnsi="Calibri" w:cs="Calibri"/>
                <w:sz w:val="16"/>
                <w:szCs w:val="16"/>
                <w:lang w:val="en-AU"/>
              </w:rPr>
            </w:pPr>
            <w:r w:rsidRPr="00A37634">
              <w:rPr>
                <w:rFonts w:ascii="Calibri" w:eastAsia="Times New Roman" w:hAnsi="Calibri" w:cs="Calibri"/>
                <w:sz w:val="16"/>
                <w:szCs w:val="16"/>
                <w:lang w:val="en-AU"/>
              </w:rPr>
              <w:t>WA</w:t>
            </w:r>
          </w:p>
        </w:tc>
        <w:tc>
          <w:tcPr>
            <w:tcW w:w="1363" w:type="dxa"/>
            <w:tcBorders>
              <w:top w:val="nil"/>
              <w:left w:val="single" w:sz="4" w:space="0" w:color="auto"/>
              <w:bottom w:val="nil"/>
            </w:tcBorders>
            <w:shd w:val="clear" w:color="auto" w:fill="auto"/>
            <w:vAlign w:val="bottom"/>
          </w:tcPr>
          <w:p w14:paraId="5AB42525" w14:textId="5701F1CF"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3080</w:t>
            </w:r>
          </w:p>
        </w:tc>
        <w:tc>
          <w:tcPr>
            <w:tcW w:w="0" w:type="auto"/>
            <w:tcBorders>
              <w:top w:val="nil"/>
              <w:bottom w:val="nil"/>
            </w:tcBorders>
          </w:tcPr>
          <w:p w14:paraId="0A5C4A87" w14:textId="42152192"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100</w:t>
            </w:r>
          </w:p>
        </w:tc>
        <w:tc>
          <w:tcPr>
            <w:tcW w:w="0" w:type="auto"/>
            <w:tcBorders>
              <w:top w:val="nil"/>
              <w:bottom w:val="nil"/>
              <w:right w:val="single" w:sz="4" w:space="0" w:color="auto"/>
            </w:tcBorders>
            <w:shd w:val="clear" w:color="auto" w:fill="auto"/>
            <w:vAlign w:val="bottom"/>
          </w:tcPr>
          <w:p w14:paraId="6688D3E7" w14:textId="23EB0645"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2019-24</w:t>
            </w:r>
          </w:p>
        </w:tc>
        <w:tc>
          <w:tcPr>
            <w:tcW w:w="0" w:type="auto"/>
            <w:tcBorders>
              <w:top w:val="nil"/>
              <w:left w:val="single" w:sz="4" w:space="0" w:color="auto"/>
              <w:bottom w:val="nil"/>
            </w:tcBorders>
          </w:tcPr>
          <w:p w14:paraId="63FC2089" w14:textId="3564FDD4"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3163</w:t>
            </w:r>
          </w:p>
        </w:tc>
        <w:tc>
          <w:tcPr>
            <w:tcW w:w="0" w:type="auto"/>
            <w:tcBorders>
              <w:top w:val="nil"/>
              <w:bottom w:val="nil"/>
              <w:right w:val="single" w:sz="4" w:space="0" w:color="auto"/>
            </w:tcBorders>
          </w:tcPr>
          <w:p w14:paraId="0EDB35E6" w14:textId="7409286A"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NA</w:t>
            </w:r>
          </w:p>
        </w:tc>
      </w:tr>
      <w:tr w:rsidR="00F640DA" w:rsidRPr="00A37634" w14:paraId="2C8C49FE" w14:textId="0AAF81EA" w:rsidTr="00F640DA">
        <w:trPr>
          <w:trHeight w:val="255"/>
          <w:jc w:val="center"/>
        </w:trPr>
        <w:tc>
          <w:tcPr>
            <w:tcW w:w="1502" w:type="dxa"/>
            <w:tcBorders>
              <w:top w:val="nil"/>
              <w:left w:val="single" w:sz="4" w:space="0" w:color="auto"/>
              <w:bottom w:val="nil"/>
              <w:right w:val="single" w:sz="4" w:space="0" w:color="auto"/>
            </w:tcBorders>
            <w:noWrap/>
            <w:vAlign w:val="bottom"/>
          </w:tcPr>
          <w:p w14:paraId="798BD281" w14:textId="77777777" w:rsidR="00F640DA" w:rsidRPr="00A37634" w:rsidRDefault="00F640DA" w:rsidP="006924AD">
            <w:pPr>
              <w:tabs>
                <w:tab w:val="left" w:pos="3293"/>
              </w:tabs>
              <w:spacing w:before="60" w:after="60" w:line="240" w:lineRule="auto"/>
              <w:ind w:left="35"/>
              <w:rPr>
                <w:rFonts w:ascii="Calibri" w:eastAsia="Arial Unicode MS" w:hAnsi="Calibri" w:cs="Calibri"/>
                <w:sz w:val="16"/>
                <w:szCs w:val="16"/>
                <w:lang w:val="en-AU"/>
              </w:rPr>
            </w:pPr>
            <w:r w:rsidRPr="00A37634">
              <w:rPr>
                <w:rFonts w:ascii="Calibri" w:eastAsia="Times New Roman" w:hAnsi="Calibri" w:cs="Calibri"/>
                <w:sz w:val="16"/>
                <w:szCs w:val="16"/>
                <w:lang w:val="en-AU"/>
              </w:rPr>
              <w:t>Tas</w:t>
            </w:r>
          </w:p>
        </w:tc>
        <w:tc>
          <w:tcPr>
            <w:tcW w:w="1363" w:type="dxa"/>
            <w:tcBorders>
              <w:top w:val="nil"/>
              <w:left w:val="single" w:sz="4" w:space="0" w:color="auto"/>
              <w:bottom w:val="nil"/>
            </w:tcBorders>
            <w:shd w:val="clear" w:color="auto" w:fill="auto"/>
            <w:vAlign w:val="bottom"/>
          </w:tcPr>
          <w:p w14:paraId="0417A6CA" w14:textId="0B2CB193"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1925</w:t>
            </w:r>
          </w:p>
        </w:tc>
        <w:tc>
          <w:tcPr>
            <w:tcW w:w="0" w:type="auto"/>
            <w:tcBorders>
              <w:top w:val="nil"/>
              <w:bottom w:val="nil"/>
            </w:tcBorders>
          </w:tcPr>
          <w:p w14:paraId="56B3D6C5" w14:textId="3B83EB95"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25</w:t>
            </w:r>
          </w:p>
        </w:tc>
        <w:tc>
          <w:tcPr>
            <w:tcW w:w="0" w:type="auto"/>
            <w:tcBorders>
              <w:top w:val="nil"/>
              <w:bottom w:val="nil"/>
              <w:right w:val="single" w:sz="4" w:space="0" w:color="auto"/>
            </w:tcBorders>
            <w:shd w:val="clear" w:color="auto" w:fill="auto"/>
            <w:vAlign w:val="bottom"/>
          </w:tcPr>
          <w:p w14:paraId="762CB798" w14:textId="11A3DF22"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2019-24</w:t>
            </w:r>
          </w:p>
        </w:tc>
        <w:tc>
          <w:tcPr>
            <w:tcW w:w="0" w:type="auto"/>
            <w:tcBorders>
              <w:top w:val="nil"/>
              <w:left w:val="single" w:sz="4" w:space="0" w:color="auto"/>
              <w:bottom w:val="nil"/>
            </w:tcBorders>
          </w:tcPr>
          <w:p w14:paraId="74475567" w14:textId="575DD491"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508</w:t>
            </w:r>
          </w:p>
        </w:tc>
        <w:tc>
          <w:tcPr>
            <w:tcW w:w="0" w:type="auto"/>
            <w:tcBorders>
              <w:top w:val="nil"/>
              <w:bottom w:val="nil"/>
              <w:right w:val="single" w:sz="4" w:space="0" w:color="auto"/>
            </w:tcBorders>
          </w:tcPr>
          <w:p w14:paraId="0A17A652" w14:textId="38AC8BC8"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2013-17</w:t>
            </w:r>
          </w:p>
        </w:tc>
      </w:tr>
      <w:tr w:rsidR="00F640DA" w:rsidRPr="00A37634" w14:paraId="1CC91465" w14:textId="48544B61" w:rsidTr="00F640DA">
        <w:trPr>
          <w:trHeight w:val="255"/>
          <w:jc w:val="center"/>
        </w:trPr>
        <w:tc>
          <w:tcPr>
            <w:tcW w:w="1502" w:type="dxa"/>
            <w:tcBorders>
              <w:top w:val="nil"/>
              <w:left w:val="single" w:sz="4" w:space="0" w:color="auto"/>
              <w:bottom w:val="nil"/>
              <w:right w:val="single" w:sz="4" w:space="0" w:color="auto"/>
            </w:tcBorders>
            <w:noWrap/>
            <w:vAlign w:val="bottom"/>
          </w:tcPr>
          <w:p w14:paraId="1CFF4DD9" w14:textId="77777777" w:rsidR="00F640DA" w:rsidRPr="00A37634" w:rsidRDefault="00F640DA" w:rsidP="006924AD">
            <w:pPr>
              <w:tabs>
                <w:tab w:val="left" w:pos="3293"/>
              </w:tabs>
              <w:spacing w:before="60" w:after="60" w:line="240" w:lineRule="auto"/>
              <w:ind w:left="35"/>
              <w:rPr>
                <w:rFonts w:ascii="Calibri" w:eastAsia="Arial Unicode MS" w:hAnsi="Calibri" w:cs="Calibri"/>
                <w:sz w:val="16"/>
                <w:szCs w:val="16"/>
                <w:lang w:val="en-AU"/>
              </w:rPr>
            </w:pPr>
            <w:r w:rsidRPr="00A37634">
              <w:rPr>
                <w:rFonts w:ascii="Calibri" w:eastAsia="Times New Roman" w:hAnsi="Calibri" w:cs="Calibri"/>
                <w:sz w:val="16"/>
                <w:szCs w:val="16"/>
                <w:lang w:val="en-AU"/>
              </w:rPr>
              <w:t>ACT</w:t>
            </w:r>
          </w:p>
        </w:tc>
        <w:tc>
          <w:tcPr>
            <w:tcW w:w="1363" w:type="dxa"/>
            <w:tcBorders>
              <w:top w:val="nil"/>
              <w:left w:val="single" w:sz="4" w:space="0" w:color="auto"/>
              <w:bottom w:val="nil"/>
            </w:tcBorders>
            <w:shd w:val="clear" w:color="auto" w:fill="auto"/>
            <w:vAlign w:val="bottom"/>
          </w:tcPr>
          <w:p w14:paraId="095A36A2" w14:textId="7E912425"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203</w:t>
            </w:r>
            <w:r>
              <w:rPr>
                <w:rFonts w:ascii="Calibri" w:eastAsia="Times New Roman" w:hAnsi="Calibri" w:cs="Calibri"/>
                <w:sz w:val="16"/>
                <w:szCs w:val="16"/>
                <w:lang w:val="en-AU"/>
              </w:rPr>
              <w:t xml:space="preserve"> (d)</w:t>
            </w:r>
          </w:p>
        </w:tc>
        <w:tc>
          <w:tcPr>
            <w:tcW w:w="0" w:type="auto"/>
            <w:tcBorders>
              <w:top w:val="nil"/>
              <w:bottom w:val="nil"/>
            </w:tcBorders>
          </w:tcPr>
          <w:p w14:paraId="46084DBD" w14:textId="445E9A1D"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0</w:t>
            </w:r>
          </w:p>
        </w:tc>
        <w:tc>
          <w:tcPr>
            <w:tcW w:w="0" w:type="auto"/>
            <w:tcBorders>
              <w:top w:val="nil"/>
              <w:bottom w:val="nil"/>
              <w:right w:val="single" w:sz="4" w:space="0" w:color="auto"/>
            </w:tcBorders>
            <w:shd w:val="clear" w:color="auto" w:fill="auto"/>
            <w:vAlign w:val="bottom"/>
          </w:tcPr>
          <w:p w14:paraId="3DBD288A" w14:textId="4C431EFA"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2019-24</w:t>
            </w:r>
          </w:p>
        </w:tc>
        <w:tc>
          <w:tcPr>
            <w:tcW w:w="0" w:type="auto"/>
            <w:tcBorders>
              <w:top w:val="nil"/>
              <w:left w:val="single" w:sz="4" w:space="0" w:color="auto"/>
              <w:bottom w:val="nil"/>
            </w:tcBorders>
          </w:tcPr>
          <w:p w14:paraId="0CEC7E91" w14:textId="244D80D1"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1506</w:t>
            </w:r>
          </w:p>
        </w:tc>
        <w:tc>
          <w:tcPr>
            <w:tcW w:w="0" w:type="auto"/>
            <w:tcBorders>
              <w:top w:val="nil"/>
              <w:bottom w:val="nil"/>
              <w:right w:val="single" w:sz="4" w:space="0" w:color="auto"/>
            </w:tcBorders>
          </w:tcPr>
          <w:p w14:paraId="64DC912E" w14:textId="7426FA5E"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2010-14</w:t>
            </w:r>
          </w:p>
        </w:tc>
      </w:tr>
      <w:tr w:rsidR="00F640DA" w:rsidRPr="00A37634" w14:paraId="6E9530AC" w14:textId="7CBA780F" w:rsidTr="00F640DA">
        <w:trPr>
          <w:trHeight w:val="255"/>
          <w:jc w:val="center"/>
        </w:trPr>
        <w:tc>
          <w:tcPr>
            <w:tcW w:w="1502" w:type="dxa"/>
            <w:tcBorders>
              <w:top w:val="nil"/>
              <w:left w:val="single" w:sz="4" w:space="0" w:color="auto"/>
              <w:bottom w:val="nil"/>
              <w:right w:val="single" w:sz="4" w:space="0" w:color="auto"/>
            </w:tcBorders>
            <w:noWrap/>
            <w:vAlign w:val="bottom"/>
          </w:tcPr>
          <w:p w14:paraId="69202D7F" w14:textId="77777777" w:rsidR="00F640DA" w:rsidRPr="00A37634" w:rsidRDefault="00F640DA" w:rsidP="006924AD">
            <w:pPr>
              <w:tabs>
                <w:tab w:val="left" w:pos="3293"/>
              </w:tabs>
              <w:spacing w:before="60" w:after="60" w:line="240" w:lineRule="auto"/>
              <w:ind w:left="35"/>
              <w:rPr>
                <w:rFonts w:ascii="Calibri" w:eastAsia="Arial Unicode MS" w:hAnsi="Calibri" w:cs="Calibri"/>
                <w:sz w:val="16"/>
                <w:szCs w:val="16"/>
                <w:lang w:val="en-AU"/>
              </w:rPr>
            </w:pPr>
            <w:r w:rsidRPr="00A37634">
              <w:rPr>
                <w:rFonts w:ascii="Calibri" w:eastAsia="Times New Roman" w:hAnsi="Calibri" w:cs="Calibri"/>
                <w:sz w:val="16"/>
                <w:szCs w:val="16"/>
                <w:lang w:val="en-AU"/>
              </w:rPr>
              <w:t>NT</w:t>
            </w:r>
          </w:p>
        </w:tc>
        <w:tc>
          <w:tcPr>
            <w:tcW w:w="1363" w:type="dxa"/>
            <w:tcBorders>
              <w:top w:val="nil"/>
              <w:left w:val="single" w:sz="4" w:space="0" w:color="auto"/>
              <w:bottom w:val="single" w:sz="4" w:space="0" w:color="auto"/>
            </w:tcBorders>
            <w:shd w:val="clear" w:color="auto" w:fill="auto"/>
            <w:vAlign w:val="bottom"/>
          </w:tcPr>
          <w:p w14:paraId="127E53EE" w14:textId="12304F98"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125</w:t>
            </w:r>
            <w:r>
              <w:rPr>
                <w:rFonts w:ascii="Calibri" w:eastAsia="Times New Roman" w:hAnsi="Calibri" w:cs="Calibri"/>
                <w:sz w:val="16"/>
                <w:szCs w:val="16"/>
                <w:lang w:val="en-AU"/>
              </w:rPr>
              <w:t xml:space="preserve"> (e)</w:t>
            </w:r>
          </w:p>
        </w:tc>
        <w:tc>
          <w:tcPr>
            <w:tcW w:w="0" w:type="auto"/>
            <w:tcBorders>
              <w:top w:val="nil"/>
              <w:bottom w:val="single" w:sz="4" w:space="0" w:color="auto"/>
            </w:tcBorders>
          </w:tcPr>
          <w:p w14:paraId="2470A2E4" w14:textId="7C4B10E4"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0</w:t>
            </w:r>
          </w:p>
        </w:tc>
        <w:tc>
          <w:tcPr>
            <w:tcW w:w="0" w:type="auto"/>
            <w:tcBorders>
              <w:top w:val="nil"/>
              <w:bottom w:val="single" w:sz="4" w:space="0" w:color="auto"/>
              <w:right w:val="single" w:sz="4" w:space="0" w:color="auto"/>
            </w:tcBorders>
            <w:shd w:val="clear" w:color="auto" w:fill="auto"/>
            <w:vAlign w:val="bottom"/>
          </w:tcPr>
          <w:p w14:paraId="6F0A0600" w14:textId="479B1B3C"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2019-24</w:t>
            </w:r>
          </w:p>
        </w:tc>
        <w:tc>
          <w:tcPr>
            <w:tcW w:w="0" w:type="auto"/>
            <w:tcBorders>
              <w:top w:val="nil"/>
              <w:left w:val="single" w:sz="4" w:space="0" w:color="auto"/>
              <w:bottom w:val="single" w:sz="4" w:space="0" w:color="auto"/>
            </w:tcBorders>
          </w:tcPr>
          <w:p w14:paraId="51D76246" w14:textId="3B54108A"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3503</w:t>
            </w:r>
          </w:p>
        </w:tc>
        <w:tc>
          <w:tcPr>
            <w:tcW w:w="0" w:type="auto"/>
            <w:tcBorders>
              <w:top w:val="nil"/>
              <w:bottom w:val="single" w:sz="4" w:space="0" w:color="auto"/>
              <w:right w:val="single" w:sz="4" w:space="0" w:color="auto"/>
            </w:tcBorders>
          </w:tcPr>
          <w:p w14:paraId="189CDC4D" w14:textId="7163D709"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NA</w:t>
            </w:r>
          </w:p>
        </w:tc>
      </w:tr>
      <w:tr w:rsidR="00F640DA" w:rsidRPr="00A37634" w14:paraId="74D601D3" w14:textId="54BC2B65" w:rsidTr="00F640DA">
        <w:trPr>
          <w:trHeight w:val="255"/>
          <w:jc w:val="center"/>
        </w:trPr>
        <w:tc>
          <w:tcPr>
            <w:tcW w:w="1502" w:type="dxa"/>
            <w:tcBorders>
              <w:top w:val="single" w:sz="4" w:space="0" w:color="auto"/>
              <w:left w:val="single" w:sz="4" w:space="0" w:color="auto"/>
              <w:bottom w:val="single" w:sz="4" w:space="0" w:color="auto"/>
              <w:right w:val="single" w:sz="4" w:space="0" w:color="auto"/>
            </w:tcBorders>
            <w:noWrap/>
            <w:vAlign w:val="bottom"/>
          </w:tcPr>
          <w:p w14:paraId="6C792E4B" w14:textId="77777777" w:rsidR="00F640DA" w:rsidRPr="00A37634" w:rsidRDefault="00F640DA" w:rsidP="006924AD">
            <w:pPr>
              <w:tabs>
                <w:tab w:val="left" w:pos="3293"/>
              </w:tabs>
              <w:spacing w:before="60" w:after="60" w:line="240" w:lineRule="auto"/>
              <w:ind w:left="35"/>
              <w:rPr>
                <w:rFonts w:ascii="Calibri" w:eastAsia="Times New Roman" w:hAnsi="Calibri" w:cs="Calibri"/>
                <w:sz w:val="16"/>
                <w:szCs w:val="16"/>
                <w:lang w:val="en-AU"/>
              </w:rPr>
            </w:pPr>
            <w:r w:rsidRPr="00A37634">
              <w:rPr>
                <w:rFonts w:ascii="Calibri" w:eastAsia="Times New Roman" w:hAnsi="Calibri" w:cs="Calibri"/>
                <w:sz w:val="16"/>
                <w:szCs w:val="16"/>
                <w:lang w:val="en-AU"/>
              </w:rPr>
              <w:t>NEM – weighted</w:t>
            </w:r>
          </w:p>
        </w:tc>
        <w:tc>
          <w:tcPr>
            <w:tcW w:w="1363" w:type="dxa"/>
            <w:tcBorders>
              <w:top w:val="single" w:sz="4" w:space="0" w:color="auto"/>
              <w:left w:val="nil"/>
              <w:bottom w:val="single" w:sz="4" w:space="0" w:color="auto"/>
              <w:right w:val="nil"/>
            </w:tcBorders>
            <w:shd w:val="clear" w:color="auto" w:fill="auto"/>
            <w:vAlign w:val="bottom"/>
          </w:tcPr>
          <w:p w14:paraId="7FF1DE2A" w14:textId="4C8CF4F0"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1313</w:t>
            </w:r>
          </w:p>
        </w:tc>
        <w:tc>
          <w:tcPr>
            <w:tcW w:w="0" w:type="auto"/>
            <w:tcBorders>
              <w:top w:val="single" w:sz="4" w:space="0" w:color="auto"/>
              <w:left w:val="nil"/>
              <w:bottom w:val="single" w:sz="4" w:space="0" w:color="auto"/>
              <w:right w:val="nil"/>
            </w:tcBorders>
          </w:tcPr>
          <w:p w14:paraId="162A0B53" w14:textId="77777777"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p>
        </w:tc>
        <w:tc>
          <w:tcPr>
            <w:tcW w:w="0" w:type="auto"/>
            <w:tcBorders>
              <w:top w:val="single" w:sz="4" w:space="0" w:color="auto"/>
              <w:left w:val="nil"/>
              <w:bottom w:val="single" w:sz="4" w:space="0" w:color="auto"/>
              <w:right w:val="single" w:sz="4" w:space="0" w:color="auto"/>
            </w:tcBorders>
          </w:tcPr>
          <w:p w14:paraId="2D822519" w14:textId="1025D35B"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p>
        </w:tc>
        <w:tc>
          <w:tcPr>
            <w:tcW w:w="0" w:type="auto"/>
            <w:tcBorders>
              <w:top w:val="single" w:sz="4" w:space="0" w:color="auto"/>
              <w:left w:val="single" w:sz="4" w:space="0" w:color="auto"/>
              <w:bottom w:val="single" w:sz="4" w:space="0" w:color="auto"/>
            </w:tcBorders>
          </w:tcPr>
          <w:p w14:paraId="4CB83853" w14:textId="0380110D"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r w:rsidRPr="006924AD">
              <w:rPr>
                <w:rFonts w:ascii="Calibri" w:eastAsia="Times New Roman" w:hAnsi="Calibri" w:cs="Calibri"/>
                <w:sz w:val="16"/>
                <w:szCs w:val="16"/>
                <w:lang w:val="en-AU"/>
              </w:rPr>
              <w:t>2502</w:t>
            </w:r>
          </w:p>
        </w:tc>
        <w:tc>
          <w:tcPr>
            <w:tcW w:w="0" w:type="auto"/>
            <w:tcBorders>
              <w:top w:val="single" w:sz="4" w:space="0" w:color="auto"/>
              <w:bottom w:val="single" w:sz="4" w:space="0" w:color="auto"/>
              <w:right w:val="single" w:sz="4" w:space="0" w:color="auto"/>
            </w:tcBorders>
          </w:tcPr>
          <w:p w14:paraId="51D9AF16" w14:textId="4EE1EFC5" w:rsidR="00F640DA" w:rsidRPr="00A37634" w:rsidRDefault="00F640DA" w:rsidP="006924AD">
            <w:pPr>
              <w:tabs>
                <w:tab w:val="left" w:pos="3293"/>
              </w:tabs>
              <w:spacing w:before="60" w:after="60" w:line="240" w:lineRule="auto"/>
              <w:ind w:left="35"/>
              <w:jc w:val="center"/>
              <w:rPr>
                <w:rFonts w:ascii="Calibri" w:eastAsia="Times New Roman" w:hAnsi="Calibri" w:cs="Calibri"/>
                <w:sz w:val="16"/>
                <w:szCs w:val="16"/>
                <w:lang w:val="en-AU"/>
              </w:rPr>
            </w:pPr>
          </w:p>
        </w:tc>
      </w:tr>
      <w:tr w:rsidR="00F640DA" w:rsidRPr="00A37634" w14:paraId="54E65E59" w14:textId="271EC053" w:rsidTr="00F640DA">
        <w:trPr>
          <w:trHeight w:val="255"/>
          <w:jc w:val="center"/>
        </w:trPr>
        <w:tc>
          <w:tcPr>
            <w:tcW w:w="1502" w:type="dxa"/>
            <w:tcBorders>
              <w:top w:val="single" w:sz="4" w:space="0" w:color="auto"/>
              <w:left w:val="single" w:sz="4" w:space="0" w:color="auto"/>
              <w:bottom w:val="single" w:sz="4" w:space="0" w:color="auto"/>
              <w:right w:val="single" w:sz="4" w:space="0" w:color="auto"/>
            </w:tcBorders>
            <w:noWrap/>
            <w:vAlign w:val="bottom"/>
          </w:tcPr>
          <w:p w14:paraId="5111025F" w14:textId="77777777" w:rsidR="00F640DA" w:rsidRPr="00A37634" w:rsidRDefault="00F640DA" w:rsidP="00A37634">
            <w:pPr>
              <w:tabs>
                <w:tab w:val="left" w:pos="3293"/>
              </w:tabs>
              <w:spacing w:before="60" w:after="60" w:line="240" w:lineRule="auto"/>
              <w:ind w:left="35"/>
              <w:rPr>
                <w:rFonts w:ascii="Calibri" w:eastAsia="Times New Roman" w:hAnsi="Calibri" w:cs="Calibri"/>
                <w:sz w:val="16"/>
                <w:szCs w:val="16"/>
                <w:lang w:val="en-AU"/>
              </w:rPr>
            </w:pPr>
            <w:r w:rsidRPr="00A37634">
              <w:rPr>
                <w:rFonts w:ascii="Calibri" w:eastAsia="Times New Roman" w:hAnsi="Calibri" w:cs="Calibri"/>
                <w:sz w:val="16"/>
                <w:szCs w:val="16"/>
                <w:lang w:val="en-AU"/>
              </w:rPr>
              <w:t>NZ</w:t>
            </w:r>
          </w:p>
        </w:tc>
        <w:tc>
          <w:tcPr>
            <w:tcW w:w="1363" w:type="dxa"/>
            <w:tcBorders>
              <w:top w:val="nil"/>
              <w:left w:val="nil"/>
              <w:bottom w:val="single" w:sz="4" w:space="0" w:color="auto"/>
              <w:right w:val="nil"/>
            </w:tcBorders>
            <w:shd w:val="clear" w:color="auto" w:fill="auto"/>
            <w:vAlign w:val="bottom"/>
          </w:tcPr>
          <w:p w14:paraId="1494E722" w14:textId="192D198D" w:rsidR="00F640DA" w:rsidRPr="00A37634" w:rsidDel="0092190F" w:rsidRDefault="00F640DA"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1942</w:t>
            </w:r>
            <w:r w:rsidR="00A44EBF">
              <w:rPr>
                <w:rFonts w:ascii="Calibri" w:eastAsia="Times New Roman" w:hAnsi="Calibri" w:cs="Calibri"/>
                <w:sz w:val="16"/>
                <w:szCs w:val="16"/>
                <w:lang w:val="en-AU"/>
              </w:rPr>
              <w:t xml:space="preserve"> (g)</w:t>
            </w:r>
          </w:p>
        </w:tc>
        <w:tc>
          <w:tcPr>
            <w:tcW w:w="0" w:type="auto"/>
            <w:tcBorders>
              <w:top w:val="nil"/>
              <w:left w:val="nil"/>
              <w:bottom w:val="single" w:sz="4" w:space="0" w:color="auto"/>
              <w:right w:val="nil"/>
            </w:tcBorders>
          </w:tcPr>
          <w:p w14:paraId="55CDDE52" w14:textId="628DBAE1" w:rsidR="00F640DA" w:rsidRPr="00A37634" w:rsidRDefault="0066781C" w:rsidP="00A37634">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NA</w:t>
            </w:r>
          </w:p>
        </w:tc>
        <w:tc>
          <w:tcPr>
            <w:tcW w:w="0" w:type="auto"/>
            <w:tcBorders>
              <w:top w:val="nil"/>
              <w:left w:val="nil"/>
              <w:bottom w:val="single" w:sz="4" w:space="0" w:color="auto"/>
              <w:right w:val="single" w:sz="4" w:space="0" w:color="auto"/>
            </w:tcBorders>
          </w:tcPr>
          <w:p w14:paraId="5CA8DAFF" w14:textId="717ABD0E" w:rsidR="00F640DA" w:rsidRPr="00A37634" w:rsidRDefault="00F640DA" w:rsidP="00A37634">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NA</w:t>
            </w:r>
          </w:p>
        </w:tc>
        <w:tc>
          <w:tcPr>
            <w:tcW w:w="0" w:type="auto"/>
            <w:tcBorders>
              <w:top w:val="single" w:sz="4" w:space="0" w:color="auto"/>
              <w:left w:val="nil"/>
              <w:bottom w:val="single" w:sz="4" w:space="0" w:color="auto"/>
              <w:right w:val="nil"/>
            </w:tcBorders>
          </w:tcPr>
          <w:p w14:paraId="3AFD95E5" w14:textId="31D7A2CD" w:rsidR="00F640DA" w:rsidRPr="00A37634" w:rsidRDefault="00F640DA" w:rsidP="00A37634">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NA</w:t>
            </w:r>
          </w:p>
        </w:tc>
        <w:tc>
          <w:tcPr>
            <w:tcW w:w="0" w:type="auto"/>
            <w:tcBorders>
              <w:top w:val="single" w:sz="4" w:space="0" w:color="auto"/>
              <w:left w:val="nil"/>
              <w:bottom w:val="single" w:sz="4" w:space="0" w:color="auto"/>
              <w:right w:val="single" w:sz="4" w:space="0" w:color="auto"/>
            </w:tcBorders>
          </w:tcPr>
          <w:p w14:paraId="61C5081E" w14:textId="719C1339" w:rsidR="00F640DA" w:rsidRPr="00A37634" w:rsidRDefault="00F640DA" w:rsidP="00A37634">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NA</w:t>
            </w:r>
          </w:p>
        </w:tc>
      </w:tr>
    </w:tbl>
    <w:p w14:paraId="24BE63E3" w14:textId="007B384F" w:rsidR="00A37634" w:rsidRPr="00A37634" w:rsidRDefault="00A37634" w:rsidP="00A37634">
      <w:pPr>
        <w:spacing w:after="0" w:line="278" w:lineRule="auto"/>
        <w:ind w:left="851" w:right="850"/>
        <w:jc w:val="center"/>
        <w:rPr>
          <w:rFonts w:ascii="Calibri" w:eastAsia="Cambria" w:hAnsi="Calibri" w:cs="Calibri"/>
          <w:sz w:val="16"/>
          <w:szCs w:val="24"/>
          <w:lang w:val="en-AU"/>
        </w:rPr>
      </w:pPr>
      <w:r w:rsidRPr="00A37634">
        <w:rPr>
          <w:rFonts w:ascii="Calibri" w:eastAsia="Cambria" w:hAnsi="Calibri" w:cs="Calibri"/>
          <w:sz w:val="16"/>
          <w:szCs w:val="24"/>
          <w:lang w:val="en-AU"/>
        </w:rPr>
        <w:t xml:space="preserve">(a) Includes 25% allowance over </w:t>
      </w:r>
      <w:r w:rsidR="002E52C3">
        <w:rPr>
          <w:rFonts w:ascii="Calibri" w:eastAsia="Cambria" w:hAnsi="Calibri" w:cs="Calibri"/>
          <w:sz w:val="16"/>
          <w:szCs w:val="24"/>
          <w:lang w:val="en-AU"/>
        </w:rPr>
        <w:t xml:space="preserve">marginal </w:t>
      </w:r>
      <w:r w:rsidRPr="00A37634">
        <w:rPr>
          <w:rFonts w:ascii="Calibri" w:eastAsia="Cambria" w:hAnsi="Calibri" w:cs="Calibri"/>
          <w:sz w:val="16"/>
          <w:szCs w:val="24"/>
          <w:lang w:val="en-AU"/>
        </w:rPr>
        <w:t xml:space="preserve">distribution </w:t>
      </w:r>
      <w:r w:rsidR="002E52C3">
        <w:rPr>
          <w:rFonts w:ascii="Calibri" w:eastAsia="Cambria" w:hAnsi="Calibri" w:cs="Calibri"/>
          <w:sz w:val="16"/>
          <w:szCs w:val="24"/>
          <w:lang w:val="en-AU"/>
        </w:rPr>
        <w:t xml:space="preserve">capex </w:t>
      </w:r>
      <w:r w:rsidRPr="00A37634">
        <w:rPr>
          <w:rFonts w:ascii="Calibri" w:eastAsia="Cambria" w:hAnsi="Calibri" w:cs="Calibri"/>
          <w:sz w:val="16"/>
          <w:szCs w:val="24"/>
          <w:lang w:val="en-AU"/>
        </w:rPr>
        <w:t>for transmission and generation investment.</w:t>
      </w:r>
      <w:r w:rsidR="006924AD">
        <w:rPr>
          <w:rFonts w:ascii="Calibri" w:eastAsia="Cambria" w:hAnsi="Calibri" w:cs="Calibri"/>
          <w:sz w:val="16"/>
          <w:szCs w:val="24"/>
          <w:lang w:val="en-AU"/>
        </w:rPr>
        <w:t xml:space="preserve"> </w:t>
      </w:r>
      <w:r w:rsidR="00F640DA">
        <w:rPr>
          <w:rFonts w:ascii="Calibri" w:eastAsia="Cambria" w:hAnsi="Calibri" w:cs="Calibri"/>
          <w:sz w:val="16"/>
          <w:szCs w:val="24"/>
          <w:lang w:val="en-AU"/>
        </w:rPr>
        <w:t xml:space="preserve">(b) Sum of each DNSP’s projected growth in SMD </w:t>
      </w:r>
      <w:r w:rsidR="006924AD">
        <w:rPr>
          <w:rFonts w:ascii="Calibri" w:eastAsia="Cambria" w:hAnsi="Calibri" w:cs="Calibri"/>
          <w:sz w:val="16"/>
          <w:szCs w:val="24"/>
          <w:lang w:val="en-AU"/>
        </w:rPr>
        <w:t>(</w:t>
      </w:r>
      <w:r w:rsidR="00F640DA">
        <w:rPr>
          <w:rFonts w:ascii="Calibri" w:eastAsia="Cambria" w:hAnsi="Calibri" w:cs="Calibri"/>
          <w:sz w:val="16"/>
          <w:szCs w:val="24"/>
          <w:lang w:val="en-AU"/>
        </w:rPr>
        <w:t>c</w:t>
      </w:r>
      <w:r w:rsidR="006924AD">
        <w:rPr>
          <w:rFonts w:ascii="Calibri" w:eastAsia="Cambria" w:hAnsi="Calibri" w:cs="Calibri"/>
          <w:sz w:val="16"/>
          <w:szCs w:val="24"/>
          <w:lang w:val="en-AU"/>
        </w:rPr>
        <w:t xml:space="preserve">) </w:t>
      </w:r>
      <w:r w:rsidR="002E52C3">
        <w:rPr>
          <w:rFonts w:ascii="Calibri" w:eastAsia="Cambria" w:hAnsi="Calibri" w:cs="Calibri"/>
          <w:sz w:val="16"/>
          <w:szCs w:val="24"/>
          <w:lang w:val="en-AU"/>
        </w:rPr>
        <w:t xml:space="preserve">E3 (2014). </w:t>
      </w:r>
      <w:r w:rsidR="006924AD" w:rsidRPr="00A37634">
        <w:rPr>
          <w:rFonts w:ascii="Calibri" w:eastAsia="Cambria" w:hAnsi="Calibri" w:cs="Calibri"/>
          <w:sz w:val="16"/>
          <w:szCs w:val="24"/>
          <w:lang w:val="en-AU"/>
        </w:rPr>
        <w:t xml:space="preserve"> Includes </w:t>
      </w:r>
      <w:r w:rsidR="006924AD">
        <w:rPr>
          <w:rFonts w:ascii="Calibri" w:eastAsia="Cambria" w:hAnsi="Calibri" w:cs="Calibri"/>
          <w:sz w:val="16"/>
          <w:szCs w:val="24"/>
          <w:lang w:val="en-AU"/>
        </w:rPr>
        <w:t>3</w:t>
      </w:r>
      <w:r w:rsidR="006924AD" w:rsidRPr="00A37634">
        <w:rPr>
          <w:rFonts w:ascii="Calibri" w:eastAsia="Cambria" w:hAnsi="Calibri" w:cs="Calibri"/>
          <w:sz w:val="16"/>
          <w:szCs w:val="24"/>
          <w:lang w:val="en-AU"/>
        </w:rPr>
        <w:t>5% allowance over distribution cost for transmission and generation investment.</w:t>
      </w:r>
      <w:r w:rsidR="002E52C3">
        <w:rPr>
          <w:rFonts w:ascii="Calibri" w:eastAsia="Cambria" w:hAnsi="Calibri" w:cs="Calibri"/>
          <w:sz w:val="16"/>
          <w:szCs w:val="24"/>
          <w:lang w:val="en-AU"/>
        </w:rPr>
        <w:t xml:space="preserve"> (</w:t>
      </w:r>
      <w:r w:rsidR="00F640DA">
        <w:rPr>
          <w:rFonts w:ascii="Calibri" w:eastAsia="Cambria" w:hAnsi="Calibri" w:cs="Calibri"/>
          <w:sz w:val="16"/>
          <w:szCs w:val="24"/>
          <w:lang w:val="en-AU"/>
        </w:rPr>
        <w:t>d</w:t>
      </w:r>
      <w:r w:rsidR="002E52C3">
        <w:rPr>
          <w:rFonts w:ascii="Calibri" w:eastAsia="Cambria" w:hAnsi="Calibri" w:cs="Calibri"/>
          <w:sz w:val="16"/>
          <w:szCs w:val="24"/>
          <w:lang w:val="en-AU"/>
        </w:rPr>
        <w:t xml:space="preserve"> No load growth, but marginal transmissions cost set equal to NSW. (</w:t>
      </w:r>
      <w:r w:rsidR="00F640DA">
        <w:rPr>
          <w:rFonts w:ascii="Calibri" w:eastAsia="Cambria" w:hAnsi="Calibri" w:cs="Calibri"/>
          <w:sz w:val="16"/>
          <w:szCs w:val="24"/>
          <w:lang w:val="en-AU"/>
        </w:rPr>
        <w:t>e</w:t>
      </w:r>
      <w:r w:rsidR="002E52C3">
        <w:rPr>
          <w:rFonts w:ascii="Calibri" w:eastAsia="Cambria" w:hAnsi="Calibri" w:cs="Calibri"/>
          <w:sz w:val="16"/>
          <w:szCs w:val="24"/>
          <w:lang w:val="en-AU"/>
        </w:rPr>
        <w:t xml:space="preserve">) </w:t>
      </w:r>
      <w:r w:rsidR="002E52C3" w:rsidRPr="002E52C3">
        <w:rPr>
          <w:rFonts w:ascii="Calibri" w:eastAsia="Cambria" w:hAnsi="Calibri" w:cs="Calibri"/>
          <w:sz w:val="16"/>
          <w:szCs w:val="24"/>
          <w:lang w:val="en-AU"/>
        </w:rPr>
        <w:t xml:space="preserve">No load growth, but marginal transmissions cost set equal to </w:t>
      </w:r>
      <w:r w:rsidR="002E52C3">
        <w:rPr>
          <w:rFonts w:ascii="Calibri" w:eastAsia="Cambria" w:hAnsi="Calibri" w:cs="Calibri"/>
          <w:sz w:val="16"/>
          <w:szCs w:val="24"/>
          <w:lang w:val="en-AU"/>
        </w:rPr>
        <w:t>SA</w:t>
      </w:r>
      <w:r w:rsidR="002E52C3" w:rsidRPr="002E52C3">
        <w:rPr>
          <w:rFonts w:ascii="Calibri" w:eastAsia="Cambria" w:hAnsi="Calibri" w:cs="Calibri"/>
          <w:sz w:val="16"/>
          <w:szCs w:val="24"/>
          <w:lang w:val="en-AU"/>
        </w:rPr>
        <w:t>.</w:t>
      </w:r>
      <w:r w:rsidR="00A44EBF">
        <w:rPr>
          <w:rFonts w:ascii="Calibri" w:eastAsia="Cambria" w:hAnsi="Calibri" w:cs="Calibri"/>
          <w:sz w:val="16"/>
          <w:szCs w:val="24"/>
          <w:lang w:val="en-AU"/>
        </w:rPr>
        <w:t xml:space="preserve"> (g) Based on EECA, personal communication. </w:t>
      </w:r>
    </w:p>
    <w:p w14:paraId="71C31645" w14:textId="6F203260" w:rsidR="005E35BA" w:rsidRDefault="0066781C" w:rsidP="008E7146">
      <w:pPr>
        <w:pStyle w:val="Figreference"/>
        <w:spacing w:before="240"/>
      </w:pPr>
      <w:r>
        <w:t xml:space="preserve">The 5-year growth in </w:t>
      </w:r>
      <w:r w:rsidR="00D73BD6">
        <w:t>Summer Maximum Demand (</w:t>
      </w:r>
      <w:r>
        <w:t>SMD</w:t>
      </w:r>
      <w:r w:rsidR="00D73BD6">
        <w:t>)</w:t>
      </w:r>
      <w:r>
        <w:t xml:space="preserve"> is the sum of the </w:t>
      </w:r>
      <w:r w:rsidR="00A44EBF">
        <w:t xml:space="preserve">increases in SMD of the 5-year forecasting period </w:t>
      </w:r>
      <w:r>
        <w:t>projected by each DNSP in that jurisdiction (</w:t>
      </w:r>
      <w:r w:rsidR="00A44EBF">
        <w:t xml:space="preserve">NSW has 3 DNSPs, Victoria has 5, Queensland has 2, </w:t>
      </w:r>
      <w:r>
        <w:t xml:space="preserve">SA, NT and ACT </w:t>
      </w:r>
      <w:r w:rsidR="00A44EBF">
        <w:t xml:space="preserve">have one, and the WA values are for the South West Interconnected System </w:t>
      </w:r>
      <w:r w:rsidR="005A520F">
        <w:t>(</w:t>
      </w:r>
      <w:r w:rsidR="00A44EBF">
        <w:t>SWIS</w:t>
      </w:r>
      <w:r w:rsidR="005A520F">
        <w:t>)</w:t>
      </w:r>
      <w:r w:rsidR="00A44EBF">
        <w:t xml:space="preserve">). In multi-DNSP states, the </w:t>
      </w:r>
      <w:r w:rsidR="005A520F">
        <w:t>five</w:t>
      </w:r>
      <w:r w:rsidR="00A44EBF">
        <w:t xml:space="preserve">-year growth in SMD projected by AEMO over the same period is significantly lower than the sums of DNSP </w:t>
      </w:r>
      <w:r w:rsidR="00A44EBF" w:rsidRPr="00A44EBF">
        <w:t xml:space="preserve">growth projections in </w:t>
      </w:r>
      <w:r w:rsidR="00A44EBF" w:rsidRPr="00A44EBF">
        <w:fldChar w:fldCharType="begin"/>
      </w:r>
      <w:r w:rsidR="00A44EBF" w:rsidRPr="00A44EBF">
        <w:instrText xml:space="preserve"> REF _Ref327025099 \h  \* MERGEFORMAT </w:instrText>
      </w:r>
      <w:r w:rsidR="00A44EBF" w:rsidRPr="00A44EBF">
        <w:fldChar w:fldCharType="separate"/>
      </w:r>
      <w:r w:rsidR="006B22A7" w:rsidRPr="006B22A7">
        <w:t xml:space="preserve">Table </w:t>
      </w:r>
      <w:r w:rsidR="006B22A7" w:rsidRPr="006B22A7">
        <w:rPr>
          <w:noProof/>
        </w:rPr>
        <w:t>28</w:t>
      </w:r>
      <w:r w:rsidR="00A44EBF" w:rsidRPr="00A44EBF">
        <w:fldChar w:fldCharType="end"/>
      </w:r>
      <w:r w:rsidR="00A44EBF" w:rsidRPr="00A44EBF">
        <w:t xml:space="preserve">, because </w:t>
      </w:r>
      <w:r w:rsidR="00A44EBF">
        <w:t xml:space="preserve">the peak demands on each network occur at different times. However, each network </w:t>
      </w:r>
      <w:proofErr w:type="gramStart"/>
      <w:r w:rsidR="00A44EBF">
        <w:t>has to</w:t>
      </w:r>
      <w:proofErr w:type="gramEnd"/>
      <w:r w:rsidR="00A44EBF">
        <w:t xml:space="preserve"> </w:t>
      </w:r>
      <w:r w:rsidR="005E35BA">
        <w:t xml:space="preserve">plan to </w:t>
      </w:r>
      <w:r w:rsidR="00A44EBF">
        <w:t xml:space="preserve">accommodate its own peak demand, so </w:t>
      </w:r>
      <w:r w:rsidR="005E35BA">
        <w:t>t</w:t>
      </w:r>
      <w:r w:rsidR="00A44EBF">
        <w:t>hat is the best measure of the marginal cost.</w:t>
      </w:r>
    </w:p>
    <w:p w14:paraId="00DE5799" w14:textId="08B7073A" w:rsidR="0066781C" w:rsidRPr="00A44EBF" w:rsidRDefault="005E35BA" w:rsidP="00A44EBF">
      <w:pPr>
        <w:pStyle w:val="Figreference"/>
      </w:pPr>
      <w:r>
        <w:t xml:space="preserve">In the same </w:t>
      </w:r>
      <w:proofErr w:type="gramStart"/>
      <w:r>
        <w:t>way</w:t>
      </w:r>
      <w:proofErr w:type="gramEnd"/>
      <w:r>
        <w:t xml:space="preserve"> as different DNSPs have different marginal $/kVA costs, so different regions and individual substations within DNSP networks also have different marginal cost. In areas with spare capacity and/or low load growth, the marginal cost of more load is zero.  In other </w:t>
      </w:r>
      <w:r w:rsidR="00D14FC3">
        <w:t>areas,</w:t>
      </w:r>
      <w:r>
        <w:t xml:space="preserve"> the costs are well above the average. It is expected that although the rate of growth in the distribution of DR-capable appliances will be </w:t>
      </w:r>
      <w:proofErr w:type="gramStart"/>
      <w:r>
        <w:t>fairly even</w:t>
      </w:r>
      <w:proofErr w:type="gramEnd"/>
      <w:r>
        <w:t xml:space="preserve">, since it will be determined by appliance replacement and purchase rates, there will higher rates of activation in areas subject to network stress. DNSPs running DR programs will concentrate their consumer recruitment efforts there, or offer higher incentives to independent DRSPs for activations in those areas. </w:t>
      </w:r>
      <w:r w:rsidR="00EF296F">
        <w:t xml:space="preserve">(Electricity retailers will have less spatially-determined DR incentive structures). </w:t>
      </w:r>
    </w:p>
    <w:p w14:paraId="1F32A503" w14:textId="527D2466" w:rsidR="00093F92" w:rsidRPr="006924AD" w:rsidRDefault="00093F92" w:rsidP="00093F92">
      <w:pPr>
        <w:spacing w:before="120" w:after="120" w:line="276" w:lineRule="auto"/>
        <w:rPr>
          <w:rFonts w:ascii="Calibri" w:eastAsia="Calibri" w:hAnsi="Calibri" w:cs="Calibri"/>
          <w:szCs w:val="20"/>
          <w:lang w:val="en-AU"/>
        </w:rPr>
      </w:pPr>
      <w:r w:rsidRPr="00FE444D">
        <w:rPr>
          <w:rFonts w:ascii="Calibri" w:eastAsia="Calibri" w:hAnsi="Calibri" w:cs="Calibri"/>
          <w:szCs w:val="20"/>
          <w:lang w:val="en-AU"/>
        </w:rPr>
        <w:t>The weighted average</w:t>
      </w:r>
      <w:r w:rsidRPr="006924AD">
        <w:rPr>
          <w:rFonts w:ascii="Calibri" w:eastAsia="Calibri" w:hAnsi="Calibri" w:cs="Calibri"/>
          <w:szCs w:val="20"/>
          <w:lang w:val="en-AU"/>
        </w:rPr>
        <w:t xml:space="preserve"> $/kW for the NEM is about </w:t>
      </w:r>
      <w:r w:rsidR="002E52C3">
        <w:rPr>
          <w:rFonts w:ascii="Calibri" w:eastAsia="Calibri" w:hAnsi="Calibri" w:cs="Calibri"/>
          <w:szCs w:val="20"/>
          <w:lang w:val="en-AU"/>
        </w:rPr>
        <w:t>48</w:t>
      </w:r>
      <w:r w:rsidRPr="006924AD">
        <w:rPr>
          <w:rFonts w:ascii="Calibri" w:eastAsia="Calibri" w:hAnsi="Calibri" w:cs="Calibri"/>
          <w:szCs w:val="20"/>
          <w:lang w:val="en-AU"/>
        </w:rPr>
        <w:t xml:space="preserve">% lower than in the 2013 Consultation RIS. The previous round of determinations led to historically high network costs and retail prices. The latest round of determinations has seen a moderation of </w:t>
      </w:r>
      <w:r w:rsidR="002E52C3">
        <w:rPr>
          <w:rFonts w:ascii="Calibri" w:eastAsia="Calibri" w:hAnsi="Calibri" w:cs="Calibri"/>
          <w:szCs w:val="20"/>
          <w:lang w:val="en-AU"/>
        </w:rPr>
        <w:t>project</w:t>
      </w:r>
      <w:r w:rsidR="00AB55F6">
        <w:rPr>
          <w:rFonts w:ascii="Calibri" w:eastAsia="Calibri" w:hAnsi="Calibri" w:cs="Calibri"/>
          <w:szCs w:val="20"/>
          <w:lang w:val="en-AU"/>
        </w:rPr>
        <w:t>e</w:t>
      </w:r>
      <w:r w:rsidR="002E52C3">
        <w:rPr>
          <w:rFonts w:ascii="Calibri" w:eastAsia="Calibri" w:hAnsi="Calibri" w:cs="Calibri"/>
          <w:szCs w:val="20"/>
          <w:lang w:val="en-AU"/>
        </w:rPr>
        <w:t xml:space="preserve">d </w:t>
      </w:r>
      <w:r w:rsidR="00AB55F6">
        <w:rPr>
          <w:rFonts w:ascii="Calibri" w:eastAsia="Calibri" w:hAnsi="Calibri" w:cs="Calibri"/>
          <w:szCs w:val="20"/>
          <w:lang w:val="en-AU"/>
        </w:rPr>
        <w:t xml:space="preserve">peak </w:t>
      </w:r>
      <w:r w:rsidR="002E52C3">
        <w:rPr>
          <w:rFonts w:ascii="Calibri" w:eastAsia="Calibri" w:hAnsi="Calibri" w:cs="Calibri"/>
          <w:szCs w:val="20"/>
          <w:lang w:val="en-AU"/>
        </w:rPr>
        <w:t xml:space="preserve">demand growth and </w:t>
      </w:r>
      <w:r w:rsidRPr="006924AD">
        <w:rPr>
          <w:rFonts w:ascii="Calibri" w:eastAsia="Calibri" w:hAnsi="Calibri" w:cs="Calibri"/>
          <w:szCs w:val="20"/>
          <w:lang w:val="en-AU"/>
        </w:rPr>
        <w:t xml:space="preserve">network </w:t>
      </w:r>
      <w:r w:rsidR="00EF296F" w:rsidRPr="006924AD">
        <w:rPr>
          <w:rFonts w:ascii="Calibri" w:eastAsia="Calibri" w:hAnsi="Calibri" w:cs="Calibri"/>
          <w:szCs w:val="20"/>
          <w:lang w:val="en-AU"/>
        </w:rPr>
        <w:t xml:space="preserve">augmentation capex </w:t>
      </w:r>
      <w:r w:rsidRPr="006924AD">
        <w:rPr>
          <w:rFonts w:ascii="Calibri" w:eastAsia="Calibri" w:hAnsi="Calibri" w:cs="Calibri"/>
          <w:szCs w:val="20"/>
          <w:lang w:val="en-AU"/>
        </w:rPr>
        <w:t xml:space="preserve">in </w:t>
      </w:r>
      <w:r w:rsidR="002E52C3">
        <w:rPr>
          <w:rFonts w:ascii="Calibri" w:eastAsia="Calibri" w:hAnsi="Calibri" w:cs="Calibri"/>
          <w:szCs w:val="20"/>
          <w:lang w:val="en-AU"/>
        </w:rPr>
        <w:t xml:space="preserve">most NEM regions, </w:t>
      </w:r>
      <w:r w:rsidRPr="006924AD">
        <w:rPr>
          <w:rFonts w:ascii="Calibri" w:eastAsia="Calibri" w:hAnsi="Calibri" w:cs="Calibri"/>
          <w:szCs w:val="20"/>
          <w:lang w:val="en-AU"/>
        </w:rPr>
        <w:t xml:space="preserve">although other </w:t>
      </w:r>
      <w:r w:rsidR="00EF296F" w:rsidRPr="006924AD">
        <w:rPr>
          <w:rFonts w:ascii="Calibri" w:eastAsia="Calibri" w:hAnsi="Calibri" w:cs="Calibri"/>
          <w:szCs w:val="20"/>
          <w:lang w:val="en-AU"/>
        </w:rPr>
        <w:t xml:space="preserve">capex </w:t>
      </w:r>
      <w:r w:rsidRPr="006924AD">
        <w:rPr>
          <w:rFonts w:ascii="Calibri" w:eastAsia="Calibri" w:hAnsi="Calibri" w:cs="Calibri"/>
          <w:szCs w:val="20"/>
          <w:lang w:val="en-AU"/>
        </w:rPr>
        <w:t xml:space="preserve">claims not directly related to demand growth remain high. </w:t>
      </w:r>
    </w:p>
    <w:p w14:paraId="370AAFFE" w14:textId="61A7A4CB" w:rsidR="00A37634" w:rsidRDefault="00A37634" w:rsidP="006924AD">
      <w:pPr>
        <w:spacing w:before="120" w:after="120" w:line="276" w:lineRule="auto"/>
        <w:rPr>
          <w:rFonts w:ascii="Calibri" w:eastAsia="Calibri" w:hAnsi="Calibri" w:cs="Calibri"/>
          <w:szCs w:val="20"/>
          <w:lang w:val="en-AU"/>
        </w:rPr>
      </w:pPr>
      <w:r w:rsidRPr="006924AD">
        <w:rPr>
          <w:rFonts w:ascii="Calibri" w:eastAsia="Calibri" w:hAnsi="Calibri" w:cs="Calibri"/>
          <w:szCs w:val="20"/>
          <w:lang w:val="en-AU"/>
        </w:rPr>
        <w:fldChar w:fldCharType="begin"/>
      </w:r>
      <w:r w:rsidRPr="006924AD">
        <w:rPr>
          <w:rFonts w:ascii="Calibri" w:eastAsia="Calibri" w:hAnsi="Calibri" w:cs="Calibri"/>
          <w:szCs w:val="20"/>
          <w:lang w:val="en-AU"/>
        </w:rPr>
        <w:instrText xml:space="preserve"> REF _Ref277589877 \h  \* MERGEFORMAT </w:instrText>
      </w:r>
      <w:r w:rsidRPr="006924AD">
        <w:rPr>
          <w:rFonts w:ascii="Calibri" w:eastAsia="Calibri" w:hAnsi="Calibri" w:cs="Calibri"/>
          <w:szCs w:val="20"/>
          <w:lang w:val="en-AU"/>
        </w:rPr>
      </w:r>
      <w:r w:rsidRPr="006924AD">
        <w:rPr>
          <w:rFonts w:ascii="Calibri" w:eastAsia="Calibri" w:hAnsi="Calibri" w:cs="Calibri"/>
          <w:szCs w:val="20"/>
          <w:lang w:val="en-AU"/>
        </w:rPr>
        <w:fldChar w:fldCharType="separate"/>
      </w:r>
      <w:r w:rsidR="006B22A7" w:rsidRPr="006B22A7">
        <w:rPr>
          <w:rFonts w:ascii="Calibri" w:eastAsia="Calibri" w:hAnsi="Calibri" w:cs="Calibri"/>
          <w:szCs w:val="20"/>
          <w:lang w:val="en-AU"/>
        </w:rPr>
        <w:t>Table 29</w:t>
      </w:r>
      <w:r w:rsidRPr="006924AD">
        <w:rPr>
          <w:rFonts w:ascii="Calibri" w:eastAsia="Calibri" w:hAnsi="Calibri" w:cs="Calibri"/>
          <w:szCs w:val="20"/>
          <w:lang w:val="en-AU"/>
        </w:rPr>
        <w:fldChar w:fldCharType="end"/>
      </w:r>
      <w:r w:rsidRPr="006924AD">
        <w:rPr>
          <w:rFonts w:ascii="Calibri" w:eastAsia="Calibri" w:hAnsi="Calibri" w:cs="Calibri"/>
          <w:szCs w:val="20"/>
          <w:lang w:val="en-AU"/>
        </w:rPr>
        <w:t xml:space="preserve"> indicates the load reduction available from each individual appliance participating in a DR program, and the capital cost that needs to be invested in the electricity supply network to meet the diversified peak demand contribution of each appliance. This ranges from an average of $1,</w:t>
      </w:r>
      <w:r w:rsidR="00EF296F">
        <w:rPr>
          <w:rFonts w:ascii="Calibri" w:eastAsia="Calibri" w:hAnsi="Calibri" w:cs="Calibri"/>
          <w:szCs w:val="20"/>
          <w:lang w:val="en-AU"/>
        </w:rPr>
        <w:t>170</w:t>
      </w:r>
      <w:r w:rsidRPr="006924AD">
        <w:rPr>
          <w:rFonts w:ascii="Calibri" w:eastAsia="Calibri" w:hAnsi="Calibri" w:cs="Calibri"/>
          <w:szCs w:val="20"/>
          <w:lang w:val="en-AU"/>
        </w:rPr>
        <w:t xml:space="preserve"> for an air conditioner about $</w:t>
      </w:r>
      <w:r w:rsidR="00EF296F">
        <w:rPr>
          <w:rFonts w:ascii="Calibri" w:eastAsia="Calibri" w:hAnsi="Calibri" w:cs="Calibri"/>
          <w:szCs w:val="20"/>
          <w:lang w:val="en-AU"/>
        </w:rPr>
        <w:t>130</w:t>
      </w:r>
      <w:r w:rsidRPr="006924AD">
        <w:rPr>
          <w:rFonts w:ascii="Calibri" w:eastAsia="Calibri" w:hAnsi="Calibri" w:cs="Calibri"/>
          <w:szCs w:val="20"/>
          <w:lang w:val="en-AU"/>
        </w:rPr>
        <w:t xml:space="preserve"> for a</w:t>
      </w:r>
      <w:r w:rsidR="00EF296F">
        <w:rPr>
          <w:rFonts w:ascii="Calibri" w:eastAsia="Calibri" w:hAnsi="Calibri" w:cs="Calibri"/>
          <w:szCs w:val="20"/>
          <w:lang w:val="en-AU"/>
        </w:rPr>
        <w:t xml:space="preserve"> large water heater.</w:t>
      </w:r>
    </w:p>
    <w:p w14:paraId="7769F528" w14:textId="1352611C" w:rsidR="005A520F" w:rsidRDefault="005A520F" w:rsidP="006924AD">
      <w:pPr>
        <w:spacing w:before="120" w:after="120" w:line="276" w:lineRule="auto"/>
        <w:rPr>
          <w:rFonts w:ascii="Calibri" w:eastAsia="Calibri" w:hAnsi="Calibri" w:cs="Calibri"/>
          <w:szCs w:val="20"/>
          <w:lang w:val="en-AU"/>
        </w:rPr>
      </w:pPr>
    </w:p>
    <w:p w14:paraId="5A6428F1" w14:textId="77777777" w:rsidR="005A520F" w:rsidRPr="006924AD" w:rsidRDefault="005A520F" w:rsidP="006924AD">
      <w:pPr>
        <w:spacing w:before="120" w:after="120" w:line="276" w:lineRule="auto"/>
        <w:rPr>
          <w:rFonts w:ascii="Calibri" w:eastAsia="Calibri" w:hAnsi="Calibri" w:cs="Calibri"/>
          <w:szCs w:val="20"/>
          <w:lang w:val="en-AU"/>
        </w:rPr>
      </w:pPr>
    </w:p>
    <w:p w14:paraId="300E636A" w14:textId="4991D9C4"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57" w:name="_Ref277589877"/>
      <w:bookmarkStart w:id="158" w:name="_Toc333183013"/>
      <w:bookmarkStart w:id="159" w:name="_Toc369633225"/>
      <w:bookmarkStart w:id="160" w:name="_Toc11360599"/>
      <w:bookmarkStart w:id="161" w:name="_Toc22486971"/>
      <w:r w:rsidRPr="00A37634">
        <w:rPr>
          <w:rFonts w:ascii="Calibri" w:eastAsia="Cambria" w:hAnsi="Calibri" w:cs="Calibri"/>
          <w:b/>
          <w:bCs/>
          <w:sz w:val="20"/>
          <w:szCs w:val="16"/>
          <w:lang w:val="en-AU"/>
        </w:rPr>
        <w:lastRenderedPageBreak/>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B1ACD">
        <w:rPr>
          <w:rFonts w:ascii="Calibri" w:eastAsia="Cambria" w:hAnsi="Calibri" w:cs="Calibri"/>
          <w:b/>
          <w:bCs/>
          <w:noProof/>
          <w:sz w:val="20"/>
          <w:szCs w:val="16"/>
          <w:lang w:val="en-AU"/>
        </w:rPr>
        <w:t>27</w:t>
      </w:r>
      <w:r w:rsidRPr="00A37634">
        <w:rPr>
          <w:rFonts w:ascii="Calibri" w:eastAsia="Cambria" w:hAnsi="Calibri" w:cs="Calibri"/>
          <w:b/>
          <w:bCs/>
          <w:noProof/>
          <w:sz w:val="20"/>
          <w:szCs w:val="16"/>
          <w:lang w:val="en-AU"/>
        </w:rPr>
        <w:fldChar w:fldCharType="end"/>
      </w:r>
      <w:bookmarkEnd w:id="157"/>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Load reduction available from participating appliances</w:t>
      </w:r>
      <w:bookmarkEnd w:id="158"/>
      <w:bookmarkEnd w:id="159"/>
      <w:bookmarkEnd w:id="160"/>
      <w:bookmarkEnd w:id="16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80"/>
        <w:gridCol w:w="1427"/>
        <w:gridCol w:w="1644"/>
        <w:gridCol w:w="1645"/>
        <w:gridCol w:w="1644"/>
        <w:gridCol w:w="1578"/>
      </w:tblGrid>
      <w:tr w:rsidR="00A37634" w:rsidRPr="00A37634" w14:paraId="6888035C" w14:textId="77777777" w:rsidTr="007C7289">
        <w:trPr>
          <w:cantSplit/>
          <w:tblHeader/>
          <w:jc w:val="center"/>
        </w:trPr>
        <w:tc>
          <w:tcPr>
            <w:tcW w:w="1980" w:type="dxa"/>
          </w:tcPr>
          <w:p w14:paraId="33089F91" w14:textId="77777777" w:rsidR="00A37634" w:rsidRPr="00A37634" w:rsidRDefault="00A37634" w:rsidP="00A37634">
            <w:pPr>
              <w:spacing w:before="60" w:after="60" w:line="240" w:lineRule="auto"/>
              <w:jc w:val="center"/>
              <w:rPr>
                <w:rFonts w:ascii="Calibri" w:eastAsia="Times New Roman" w:hAnsi="Calibri" w:cs="Calibri"/>
                <w:b/>
                <w:sz w:val="15"/>
                <w:szCs w:val="14"/>
                <w:lang w:val="en-AU"/>
              </w:rPr>
            </w:pPr>
          </w:p>
        </w:tc>
        <w:tc>
          <w:tcPr>
            <w:tcW w:w="1427" w:type="dxa"/>
          </w:tcPr>
          <w:p w14:paraId="6CDE5125" w14:textId="77777777" w:rsidR="00A37634" w:rsidRPr="00A37634" w:rsidRDefault="00A37634" w:rsidP="00A37634">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 xml:space="preserve">Average kW (electric) at full load </w:t>
            </w:r>
            <w:r w:rsidRPr="00A37634">
              <w:rPr>
                <w:rFonts w:ascii="Calibri" w:eastAsia="Times New Roman" w:hAnsi="Calibri" w:cs="Calibri"/>
                <w:b/>
                <w:sz w:val="15"/>
                <w:szCs w:val="14"/>
                <w:lang w:val="en-AU"/>
              </w:rPr>
              <w:br/>
            </w:r>
          </w:p>
        </w:tc>
        <w:tc>
          <w:tcPr>
            <w:tcW w:w="1644" w:type="dxa"/>
          </w:tcPr>
          <w:p w14:paraId="27DBDF9F" w14:textId="3A3FF9AF" w:rsidR="00A37634" w:rsidRPr="00A37634" w:rsidRDefault="00A37634" w:rsidP="00A37634">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 xml:space="preserve">% </w:t>
            </w:r>
            <w:r w:rsidR="00CB3E08">
              <w:rPr>
                <w:rFonts w:ascii="Calibri" w:eastAsia="Times New Roman" w:hAnsi="Calibri" w:cs="Calibri"/>
                <w:b/>
                <w:sz w:val="15"/>
                <w:szCs w:val="14"/>
                <w:lang w:val="en-AU"/>
              </w:rPr>
              <w:t xml:space="preserve">powered and </w:t>
            </w:r>
            <w:r w:rsidRPr="00A37634">
              <w:rPr>
                <w:rFonts w:ascii="Calibri" w:eastAsia="Times New Roman" w:hAnsi="Calibri" w:cs="Calibri"/>
                <w:b/>
                <w:sz w:val="15"/>
                <w:szCs w:val="14"/>
                <w:lang w:val="en-AU"/>
              </w:rPr>
              <w:t xml:space="preserve">operating at </w:t>
            </w:r>
            <w:r w:rsidRPr="00A37634">
              <w:rPr>
                <w:rFonts w:ascii="Calibri" w:eastAsia="Times New Roman" w:hAnsi="Calibri" w:cs="Calibri"/>
                <w:b/>
                <w:sz w:val="15"/>
                <w:szCs w:val="14"/>
                <w:lang w:val="en-AU"/>
              </w:rPr>
              <w:br/>
            </w:r>
            <w:r w:rsidR="00CB3E08">
              <w:rPr>
                <w:rFonts w:ascii="Calibri" w:eastAsia="Times New Roman" w:hAnsi="Calibri" w:cs="Calibri"/>
                <w:b/>
                <w:sz w:val="15"/>
                <w:szCs w:val="14"/>
                <w:lang w:val="en-AU"/>
              </w:rPr>
              <w:t>S</w:t>
            </w:r>
            <w:r w:rsidRPr="00A37634">
              <w:rPr>
                <w:rFonts w:ascii="Calibri" w:eastAsia="Times New Roman" w:hAnsi="Calibri" w:cs="Calibri"/>
                <w:b/>
                <w:sz w:val="15"/>
                <w:szCs w:val="14"/>
                <w:lang w:val="en-AU"/>
              </w:rPr>
              <w:t>MD</w:t>
            </w:r>
            <w:r w:rsidR="00CB3E08">
              <w:rPr>
                <w:rFonts w:ascii="Calibri" w:eastAsia="Times New Roman" w:hAnsi="Calibri" w:cs="Calibri"/>
                <w:b/>
                <w:sz w:val="15"/>
                <w:szCs w:val="14"/>
                <w:lang w:val="en-AU"/>
              </w:rPr>
              <w:t xml:space="preserve"> </w:t>
            </w:r>
            <w:r w:rsidR="00AB55F6">
              <w:rPr>
                <w:rFonts w:ascii="Calibri" w:eastAsia="Times New Roman" w:hAnsi="Calibri" w:cs="Calibri"/>
                <w:b/>
                <w:sz w:val="15"/>
                <w:szCs w:val="14"/>
                <w:lang w:val="en-AU"/>
              </w:rPr>
              <w:t>(diversity)</w:t>
            </w:r>
          </w:p>
        </w:tc>
        <w:tc>
          <w:tcPr>
            <w:tcW w:w="1645" w:type="dxa"/>
          </w:tcPr>
          <w:p w14:paraId="391E8EE2" w14:textId="01BD3AAC" w:rsidR="00A37634" w:rsidRPr="00A37634" w:rsidRDefault="00A37634" w:rsidP="00A37634">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 xml:space="preserve">Diversified kW per unit </w:t>
            </w:r>
            <w:r w:rsidR="00AB55F6">
              <w:rPr>
                <w:rFonts w:ascii="Calibri" w:eastAsia="Times New Roman" w:hAnsi="Calibri" w:cs="Calibri"/>
                <w:b/>
                <w:sz w:val="15"/>
                <w:szCs w:val="14"/>
                <w:lang w:val="en-AU"/>
              </w:rPr>
              <w:t xml:space="preserve">at time of peak demand </w:t>
            </w:r>
            <w:r w:rsidRPr="00A37634">
              <w:rPr>
                <w:rFonts w:ascii="Calibri" w:eastAsia="Times New Roman" w:hAnsi="Calibri" w:cs="Calibri"/>
                <w:b/>
                <w:sz w:val="15"/>
                <w:szCs w:val="14"/>
                <w:lang w:val="en-AU"/>
              </w:rPr>
              <w:t>2020</w:t>
            </w:r>
          </w:p>
        </w:tc>
        <w:tc>
          <w:tcPr>
            <w:tcW w:w="1644" w:type="dxa"/>
          </w:tcPr>
          <w:p w14:paraId="645C4FD0" w14:textId="5EC9AF24" w:rsidR="00A37634" w:rsidRPr="00A37634" w:rsidRDefault="00A37634" w:rsidP="00A37634">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 xml:space="preserve">Capital investment to accommodate </w:t>
            </w:r>
            <w:r w:rsidR="00AB55F6">
              <w:rPr>
                <w:rFonts w:ascii="Calibri" w:eastAsia="Times New Roman" w:hAnsi="Calibri" w:cs="Calibri"/>
                <w:b/>
                <w:sz w:val="15"/>
                <w:szCs w:val="14"/>
                <w:lang w:val="en-AU"/>
              </w:rPr>
              <w:t>each unit</w:t>
            </w:r>
            <w:r w:rsidRPr="00A37634">
              <w:rPr>
                <w:rFonts w:ascii="Calibri" w:eastAsia="Times New Roman" w:hAnsi="Calibri" w:cs="Calibri"/>
                <w:b/>
                <w:sz w:val="15"/>
                <w:szCs w:val="14"/>
                <w:lang w:val="en-AU"/>
              </w:rPr>
              <w:t>, 2020 (a)</w:t>
            </w:r>
          </w:p>
        </w:tc>
        <w:tc>
          <w:tcPr>
            <w:tcW w:w="1578" w:type="dxa"/>
          </w:tcPr>
          <w:p w14:paraId="446EC4FD" w14:textId="77777777" w:rsidR="00A37634" w:rsidRPr="00A37634" w:rsidRDefault="00A37634" w:rsidP="00A37634">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Average controllable kW per activated unit available in 2020</w:t>
            </w:r>
          </w:p>
        </w:tc>
      </w:tr>
      <w:tr w:rsidR="00A37634" w:rsidRPr="00A37634" w14:paraId="7509733C" w14:textId="77777777" w:rsidTr="007C7289">
        <w:trPr>
          <w:jc w:val="center"/>
        </w:trPr>
        <w:tc>
          <w:tcPr>
            <w:tcW w:w="1980" w:type="dxa"/>
          </w:tcPr>
          <w:p w14:paraId="44F5DE60" w14:textId="77777777" w:rsidR="00A37634" w:rsidRPr="00A37634" w:rsidRDefault="00A37634" w:rsidP="00A37634">
            <w:pPr>
              <w:tabs>
                <w:tab w:val="left" w:pos="3293"/>
              </w:tabs>
              <w:spacing w:before="60" w:after="60" w:line="240" w:lineRule="auto"/>
              <w:ind w:left="35"/>
              <w:rPr>
                <w:rFonts w:ascii="Calibri" w:eastAsia="Times New Roman" w:hAnsi="Calibri" w:cs="Calibri"/>
                <w:sz w:val="16"/>
                <w:szCs w:val="16"/>
                <w:lang w:val="en-AU"/>
              </w:rPr>
            </w:pPr>
            <w:r w:rsidRPr="00A37634">
              <w:rPr>
                <w:rFonts w:ascii="Calibri" w:eastAsia="Times New Roman" w:hAnsi="Calibri" w:cs="Calibri"/>
                <w:sz w:val="16"/>
                <w:szCs w:val="16"/>
                <w:lang w:val="en-AU"/>
              </w:rPr>
              <w:t>All air conds (weighted average of all categories)</w:t>
            </w:r>
          </w:p>
        </w:tc>
        <w:tc>
          <w:tcPr>
            <w:tcW w:w="1427" w:type="dxa"/>
          </w:tcPr>
          <w:p w14:paraId="2760EFAE"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1.27 (Cooling)</w:t>
            </w:r>
            <w:r w:rsidRPr="00A37634">
              <w:rPr>
                <w:rFonts w:ascii="Calibri" w:eastAsia="Times New Roman" w:hAnsi="Calibri" w:cs="Calibri"/>
                <w:sz w:val="16"/>
                <w:szCs w:val="16"/>
                <w:lang w:val="en-AU"/>
              </w:rPr>
              <w:br/>
              <w:t>1.33 (Heating)</w:t>
            </w:r>
          </w:p>
        </w:tc>
        <w:tc>
          <w:tcPr>
            <w:tcW w:w="1644" w:type="dxa"/>
          </w:tcPr>
          <w:p w14:paraId="4CD7A1C7" w14:textId="39638764"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70% at 2020 SMD</w:t>
            </w:r>
            <w:r w:rsidRPr="00A37634">
              <w:rPr>
                <w:rFonts w:ascii="Calibri" w:eastAsia="Times New Roman" w:hAnsi="Calibri" w:cs="Calibri"/>
                <w:sz w:val="16"/>
                <w:szCs w:val="16"/>
                <w:lang w:val="en-AU"/>
              </w:rPr>
              <w:br/>
              <w:t>80% at 203</w:t>
            </w:r>
            <w:r w:rsidR="002E52C3">
              <w:rPr>
                <w:rFonts w:ascii="Calibri" w:eastAsia="Times New Roman" w:hAnsi="Calibri" w:cs="Calibri"/>
                <w:sz w:val="16"/>
                <w:szCs w:val="16"/>
                <w:lang w:val="en-AU"/>
              </w:rPr>
              <w:t>6</w:t>
            </w:r>
            <w:r w:rsidRPr="00A37634">
              <w:rPr>
                <w:rFonts w:ascii="Calibri" w:eastAsia="Times New Roman" w:hAnsi="Calibri" w:cs="Calibri"/>
                <w:sz w:val="16"/>
                <w:szCs w:val="16"/>
                <w:lang w:val="en-AU"/>
              </w:rPr>
              <w:t xml:space="preserve"> SMD</w:t>
            </w:r>
          </w:p>
        </w:tc>
        <w:tc>
          <w:tcPr>
            <w:tcW w:w="1645" w:type="dxa"/>
          </w:tcPr>
          <w:p w14:paraId="076638A5" w14:textId="55F0015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SMD 0.</w:t>
            </w:r>
            <w:r w:rsidR="00AB55F6">
              <w:rPr>
                <w:rFonts w:ascii="Calibri" w:eastAsia="Times New Roman" w:hAnsi="Calibri" w:cs="Calibri"/>
                <w:sz w:val="16"/>
                <w:szCs w:val="16"/>
                <w:lang w:val="en-AU"/>
              </w:rPr>
              <w:t>89</w:t>
            </w:r>
            <w:r w:rsidRPr="00A37634">
              <w:rPr>
                <w:rFonts w:ascii="Calibri" w:eastAsia="Times New Roman" w:hAnsi="Calibri" w:cs="Calibri"/>
                <w:sz w:val="16"/>
                <w:szCs w:val="16"/>
                <w:lang w:val="en-AU"/>
              </w:rPr>
              <w:br/>
              <w:t>WMD 0.93</w:t>
            </w:r>
          </w:p>
        </w:tc>
        <w:tc>
          <w:tcPr>
            <w:tcW w:w="1644" w:type="dxa"/>
          </w:tcPr>
          <w:p w14:paraId="7797D440" w14:textId="480CB218"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$ 1,</w:t>
            </w:r>
            <w:r w:rsidR="00AB55F6">
              <w:rPr>
                <w:rFonts w:ascii="Calibri" w:eastAsia="Times New Roman" w:hAnsi="Calibri" w:cs="Calibri"/>
                <w:sz w:val="16"/>
                <w:szCs w:val="16"/>
                <w:lang w:val="en-AU"/>
              </w:rPr>
              <w:t>170</w:t>
            </w:r>
          </w:p>
        </w:tc>
        <w:tc>
          <w:tcPr>
            <w:tcW w:w="1578" w:type="dxa"/>
          </w:tcPr>
          <w:p w14:paraId="16B691F0"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SMD 0.45 (b)</w:t>
            </w:r>
            <w:r w:rsidRPr="00A37634">
              <w:rPr>
                <w:rFonts w:ascii="Calibri" w:eastAsia="Times New Roman" w:hAnsi="Calibri" w:cs="Calibri"/>
                <w:sz w:val="16"/>
                <w:szCs w:val="16"/>
                <w:lang w:val="en-AU"/>
              </w:rPr>
              <w:br/>
              <w:t>WMD 0.47</w:t>
            </w:r>
          </w:p>
        </w:tc>
      </w:tr>
      <w:tr w:rsidR="00A37634" w:rsidRPr="00A37634" w14:paraId="5C16EDF1" w14:textId="77777777" w:rsidTr="007C7289">
        <w:trPr>
          <w:jc w:val="center"/>
        </w:trPr>
        <w:tc>
          <w:tcPr>
            <w:tcW w:w="1980" w:type="dxa"/>
          </w:tcPr>
          <w:p w14:paraId="0696B6D7" w14:textId="77777777" w:rsidR="00A37634" w:rsidRPr="00A37634" w:rsidRDefault="00A37634" w:rsidP="00A37634">
            <w:pPr>
              <w:tabs>
                <w:tab w:val="left" w:pos="3293"/>
              </w:tabs>
              <w:spacing w:before="60" w:after="60" w:line="240" w:lineRule="auto"/>
              <w:ind w:left="35"/>
              <w:rPr>
                <w:rFonts w:ascii="Calibri" w:eastAsia="Times New Roman" w:hAnsi="Calibri" w:cs="Calibri"/>
                <w:sz w:val="16"/>
                <w:szCs w:val="16"/>
                <w:lang w:val="en-AU"/>
              </w:rPr>
            </w:pPr>
            <w:r w:rsidRPr="00A37634">
              <w:rPr>
                <w:rFonts w:ascii="Calibri" w:eastAsia="Times New Roman" w:hAnsi="Calibri" w:cs="Calibri"/>
                <w:sz w:val="16"/>
                <w:szCs w:val="16"/>
                <w:lang w:val="en-AU"/>
              </w:rPr>
              <w:t>Pool pumps switched by controllers</w:t>
            </w:r>
          </w:p>
        </w:tc>
        <w:tc>
          <w:tcPr>
            <w:tcW w:w="1427" w:type="dxa"/>
          </w:tcPr>
          <w:p w14:paraId="5EF11B43"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0.9</w:t>
            </w:r>
          </w:p>
        </w:tc>
        <w:tc>
          <w:tcPr>
            <w:tcW w:w="1644" w:type="dxa"/>
          </w:tcPr>
          <w:p w14:paraId="62AFCC47"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50%</w:t>
            </w:r>
          </w:p>
        </w:tc>
        <w:tc>
          <w:tcPr>
            <w:tcW w:w="1645" w:type="dxa"/>
          </w:tcPr>
          <w:p w14:paraId="0D3CB210"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SMD 0.45</w:t>
            </w:r>
          </w:p>
        </w:tc>
        <w:tc>
          <w:tcPr>
            <w:tcW w:w="1644" w:type="dxa"/>
          </w:tcPr>
          <w:p w14:paraId="6C87C35C" w14:textId="6B6CBAE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 xml:space="preserve">$ </w:t>
            </w:r>
            <w:r w:rsidR="00AB55F6">
              <w:rPr>
                <w:rFonts w:ascii="Calibri" w:eastAsia="Times New Roman" w:hAnsi="Calibri" w:cs="Calibri"/>
                <w:sz w:val="16"/>
                <w:szCs w:val="16"/>
                <w:lang w:val="en-AU"/>
              </w:rPr>
              <w:t>590</w:t>
            </w:r>
          </w:p>
        </w:tc>
        <w:tc>
          <w:tcPr>
            <w:tcW w:w="1578" w:type="dxa"/>
          </w:tcPr>
          <w:p w14:paraId="2F5E9F6D"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SMD 0.9 (c)</w:t>
            </w:r>
          </w:p>
        </w:tc>
      </w:tr>
      <w:tr w:rsidR="00A37634" w:rsidRPr="00A37634" w14:paraId="13970795" w14:textId="77777777" w:rsidTr="007C7289">
        <w:trPr>
          <w:jc w:val="center"/>
        </w:trPr>
        <w:tc>
          <w:tcPr>
            <w:tcW w:w="1980" w:type="dxa"/>
          </w:tcPr>
          <w:p w14:paraId="76B30C1E" w14:textId="77777777" w:rsidR="00A37634" w:rsidRPr="00A37634" w:rsidRDefault="00A37634" w:rsidP="00A37634">
            <w:pPr>
              <w:tabs>
                <w:tab w:val="left" w:pos="3293"/>
              </w:tabs>
              <w:spacing w:before="60" w:after="60" w:line="240" w:lineRule="auto"/>
              <w:ind w:left="35"/>
              <w:rPr>
                <w:rFonts w:ascii="Calibri" w:eastAsia="Times New Roman" w:hAnsi="Calibri" w:cs="Calibri"/>
                <w:sz w:val="16"/>
                <w:szCs w:val="16"/>
                <w:lang w:val="en-AU"/>
              </w:rPr>
            </w:pPr>
            <w:r w:rsidRPr="00A37634">
              <w:rPr>
                <w:rFonts w:ascii="Calibri" w:eastAsia="Times New Roman" w:hAnsi="Calibri" w:cs="Calibri"/>
                <w:sz w:val="16"/>
                <w:szCs w:val="16"/>
                <w:lang w:val="en-AU"/>
              </w:rPr>
              <w:t xml:space="preserve">Electric storage water heaters – small </w:t>
            </w:r>
          </w:p>
        </w:tc>
        <w:tc>
          <w:tcPr>
            <w:tcW w:w="1427" w:type="dxa"/>
          </w:tcPr>
          <w:p w14:paraId="4DE4C55F" w14:textId="22A9AB91" w:rsidR="00A37634" w:rsidRPr="00A37634" w:rsidRDefault="00AB55F6" w:rsidP="00A37634">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3.6</w:t>
            </w:r>
          </w:p>
        </w:tc>
        <w:tc>
          <w:tcPr>
            <w:tcW w:w="1644" w:type="dxa"/>
          </w:tcPr>
          <w:p w14:paraId="5C74ABB2" w14:textId="1A1F1F31"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100%</w:t>
            </w:r>
            <w:r w:rsidR="00AB55F6">
              <w:rPr>
                <w:rFonts w:ascii="Calibri" w:eastAsia="Times New Roman" w:hAnsi="Calibri" w:cs="Calibri"/>
                <w:sz w:val="16"/>
                <w:szCs w:val="16"/>
                <w:lang w:val="en-AU"/>
              </w:rPr>
              <w:t xml:space="preserve"> powered, but not all heating</w:t>
            </w:r>
          </w:p>
        </w:tc>
        <w:tc>
          <w:tcPr>
            <w:tcW w:w="1645" w:type="dxa"/>
          </w:tcPr>
          <w:p w14:paraId="02EBB1DF" w14:textId="090B581C"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SMD 0.4</w:t>
            </w:r>
            <w:r w:rsidR="00C14B94">
              <w:rPr>
                <w:rFonts w:ascii="Calibri" w:eastAsia="Times New Roman" w:hAnsi="Calibri" w:cs="Calibri"/>
                <w:sz w:val="16"/>
                <w:szCs w:val="16"/>
                <w:lang w:val="en-AU"/>
              </w:rPr>
              <w:t xml:space="preserve"> (d)</w:t>
            </w:r>
            <w:r w:rsidRPr="00A37634">
              <w:rPr>
                <w:rFonts w:ascii="Calibri" w:eastAsia="Times New Roman" w:hAnsi="Calibri" w:cs="Calibri"/>
                <w:sz w:val="16"/>
                <w:szCs w:val="16"/>
                <w:lang w:val="en-AU"/>
              </w:rPr>
              <w:br/>
              <w:t>WMD 0.6</w:t>
            </w:r>
            <w:r w:rsidR="00C14B94">
              <w:rPr>
                <w:rFonts w:ascii="Calibri" w:eastAsia="Times New Roman" w:hAnsi="Calibri" w:cs="Calibri"/>
                <w:sz w:val="16"/>
                <w:szCs w:val="16"/>
                <w:lang w:val="en-AU"/>
              </w:rPr>
              <w:t>(d)</w:t>
            </w:r>
          </w:p>
        </w:tc>
        <w:tc>
          <w:tcPr>
            <w:tcW w:w="1644" w:type="dxa"/>
          </w:tcPr>
          <w:p w14:paraId="27136233" w14:textId="2759FCAA"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 xml:space="preserve">$ </w:t>
            </w:r>
            <w:r w:rsidR="00CB3E08">
              <w:rPr>
                <w:rFonts w:ascii="Calibri" w:eastAsia="Times New Roman" w:hAnsi="Calibri" w:cs="Calibri"/>
                <w:sz w:val="16"/>
                <w:szCs w:val="16"/>
                <w:lang w:val="en-AU"/>
              </w:rPr>
              <w:t>525</w:t>
            </w:r>
          </w:p>
        </w:tc>
        <w:tc>
          <w:tcPr>
            <w:tcW w:w="1578" w:type="dxa"/>
          </w:tcPr>
          <w:p w14:paraId="2DAAFC1F" w14:textId="03E7BADD"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 xml:space="preserve">SMD 0.4 </w:t>
            </w:r>
            <w:r w:rsidR="00C14B94">
              <w:rPr>
                <w:rFonts w:ascii="Calibri" w:eastAsia="Times New Roman" w:hAnsi="Calibri" w:cs="Calibri"/>
                <w:sz w:val="16"/>
                <w:szCs w:val="16"/>
                <w:lang w:val="en-AU"/>
              </w:rPr>
              <w:t>(c)</w:t>
            </w:r>
            <w:r w:rsidRPr="00A37634">
              <w:rPr>
                <w:rFonts w:ascii="Calibri" w:eastAsia="Times New Roman" w:hAnsi="Calibri" w:cs="Calibri"/>
                <w:sz w:val="16"/>
                <w:szCs w:val="16"/>
                <w:lang w:val="en-AU"/>
              </w:rPr>
              <w:br/>
              <w:t>WMD 0.6</w:t>
            </w:r>
            <w:r w:rsidR="00C14B94">
              <w:rPr>
                <w:rFonts w:ascii="Calibri" w:eastAsia="Times New Roman" w:hAnsi="Calibri" w:cs="Calibri"/>
                <w:sz w:val="16"/>
                <w:szCs w:val="16"/>
                <w:lang w:val="en-AU"/>
              </w:rPr>
              <w:t xml:space="preserve"> (c)</w:t>
            </w:r>
          </w:p>
        </w:tc>
      </w:tr>
      <w:tr w:rsidR="00A37634" w:rsidRPr="00A37634" w14:paraId="00E05D28" w14:textId="77777777" w:rsidTr="007C7289">
        <w:trPr>
          <w:jc w:val="center"/>
        </w:trPr>
        <w:tc>
          <w:tcPr>
            <w:tcW w:w="1980" w:type="dxa"/>
          </w:tcPr>
          <w:p w14:paraId="240A9C33" w14:textId="77777777" w:rsidR="00A37634" w:rsidRPr="00A37634" w:rsidRDefault="00A37634" w:rsidP="00A37634">
            <w:pPr>
              <w:tabs>
                <w:tab w:val="left" w:pos="3293"/>
              </w:tabs>
              <w:spacing w:before="60" w:after="60" w:line="240" w:lineRule="auto"/>
              <w:ind w:left="35"/>
              <w:rPr>
                <w:rFonts w:ascii="Calibri" w:eastAsia="Times New Roman" w:hAnsi="Calibri" w:cs="Calibri"/>
                <w:sz w:val="16"/>
                <w:szCs w:val="16"/>
                <w:lang w:val="en-AU"/>
              </w:rPr>
            </w:pPr>
            <w:r w:rsidRPr="00A37634">
              <w:rPr>
                <w:rFonts w:ascii="Calibri" w:eastAsia="Times New Roman" w:hAnsi="Calibri" w:cs="Calibri"/>
                <w:sz w:val="16"/>
                <w:szCs w:val="16"/>
                <w:lang w:val="en-AU"/>
              </w:rPr>
              <w:t>Electric storage water heaters – large</w:t>
            </w:r>
          </w:p>
        </w:tc>
        <w:tc>
          <w:tcPr>
            <w:tcW w:w="1427" w:type="dxa"/>
          </w:tcPr>
          <w:p w14:paraId="4617056D"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3.6</w:t>
            </w:r>
          </w:p>
        </w:tc>
        <w:tc>
          <w:tcPr>
            <w:tcW w:w="1644" w:type="dxa"/>
          </w:tcPr>
          <w:p w14:paraId="7C380993" w14:textId="71C33B35" w:rsidR="00A37634" w:rsidRPr="00A37634" w:rsidRDefault="00AB55F6" w:rsidP="00A37634">
            <w:pPr>
              <w:tabs>
                <w:tab w:val="left" w:pos="3293"/>
              </w:tabs>
              <w:spacing w:before="60" w:after="60" w:line="240" w:lineRule="auto"/>
              <w:ind w:left="35"/>
              <w:jc w:val="center"/>
              <w:rPr>
                <w:rFonts w:ascii="Calibri" w:eastAsia="Times New Roman" w:hAnsi="Calibri" w:cs="Calibri"/>
                <w:sz w:val="16"/>
                <w:szCs w:val="16"/>
                <w:lang w:val="en-AU"/>
              </w:rPr>
            </w:pPr>
            <w:r>
              <w:rPr>
                <w:rFonts w:ascii="Calibri" w:eastAsia="Times New Roman" w:hAnsi="Calibri" w:cs="Calibri"/>
                <w:sz w:val="16"/>
                <w:szCs w:val="16"/>
                <w:lang w:val="en-AU"/>
              </w:rPr>
              <w:t>16</w:t>
            </w:r>
            <w:r w:rsidR="00A37634" w:rsidRPr="00A37634">
              <w:rPr>
                <w:rFonts w:ascii="Calibri" w:eastAsia="Times New Roman" w:hAnsi="Calibri" w:cs="Calibri"/>
                <w:sz w:val="16"/>
                <w:szCs w:val="16"/>
                <w:lang w:val="en-AU"/>
              </w:rPr>
              <w:t>%</w:t>
            </w:r>
            <w:r>
              <w:rPr>
                <w:rFonts w:ascii="Calibri" w:eastAsia="Times New Roman" w:hAnsi="Calibri" w:cs="Calibri"/>
                <w:sz w:val="16"/>
                <w:szCs w:val="16"/>
                <w:lang w:val="en-AU"/>
              </w:rPr>
              <w:t xml:space="preserve"> powered, rest on</w:t>
            </w:r>
            <w:r w:rsidR="00CB3E08">
              <w:rPr>
                <w:rFonts w:ascii="Calibri" w:eastAsia="Times New Roman" w:hAnsi="Calibri" w:cs="Calibri"/>
                <w:sz w:val="16"/>
                <w:szCs w:val="16"/>
                <w:lang w:val="en-AU"/>
              </w:rPr>
              <w:t xml:space="preserve"> restricted tariffs</w:t>
            </w:r>
            <w:r>
              <w:rPr>
                <w:rFonts w:ascii="Calibri" w:eastAsia="Times New Roman" w:hAnsi="Calibri" w:cs="Calibri"/>
                <w:sz w:val="16"/>
                <w:szCs w:val="16"/>
                <w:lang w:val="en-AU"/>
              </w:rPr>
              <w:t xml:space="preserve"> </w:t>
            </w:r>
          </w:p>
        </w:tc>
        <w:tc>
          <w:tcPr>
            <w:tcW w:w="1645" w:type="dxa"/>
          </w:tcPr>
          <w:p w14:paraId="0CD44A96" w14:textId="71FFFBA0"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SMD 0.</w:t>
            </w:r>
            <w:r w:rsidR="00CB3E08">
              <w:rPr>
                <w:rFonts w:ascii="Calibri" w:eastAsia="Times New Roman" w:hAnsi="Calibri" w:cs="Calibri"/>
                <w:sz w:val="16"/>
                <w:szCs w:val="16"/>
                <w:lang w:val="en-AU"/>
              </w:rPr>
              <w:t>1</w:t>
            </w:r>
            <w:r w:rsidR="00C14B94">
              <w:rPr>
                <w:rFonts w:ascii="Calibri" w:eastAsia="Times New Roman" w:hAnsi="Calibri" w:cs="Calibri"/>
                <w:sz w:val="16"/>
                <w:szCs w:val="16"/>
                <w:lang w:val="en-AU"/>
              </w:rPr>
              <w:t xml:space="preserve"> (e)</w:t>
            </w:r>
            <w:r w:rsidRPr="00A37634">
              <w:rPr>
                <w:rFonts w:ascii="Calibri" w:eastAsia="Times New Roman" w:hAnsi="Calibri" w:cs="Calibri"/>
                <w:sz w:val="16"/>
                <w:szCs w:val="16"/>
                <w:lang w:val="en-AU"/>
              </w:rPr>
              <w:br/>
              <w:t>WMD 0.</w:t>
            </w:r>
            <w:r w:rsidR="00CB3E08">
              <w:rPr>
                <w:rFonts w:ascii="Calibri" w:eastAsia="Times New Roman" w:hAnsi="Calibri" w:cs="Calibri"/>
                <w:sz w:val="16"/>
                <w:szCs w:val="16"/>
                <w:lang w:val="en-AU"/>
              </w:rPr>
              <w:t>3</w:t>
            </w:r>
            <w:r w:rsidR="00C14B94">
              <w:rPr>
                <w:rFonts w:ascii="Calibri" w:eastAsia="Times New Roman" w:hAnsi="Calibri" w:cs="Calibri"/>
                <w:sz w:val="16"/>
                <w:szCs w:val="16"/>
                <w:lang w:val="en-AU"/>
              </w:rPr>
              <w:t xml:space="preserve"> (e)</w:t>
            </w:r>
          </w:p>
        </w:tc>
        <w:tc>
          <w:tcPr>
            <w:tcW w:w="1644" w:type="dxa"/>
          </w:tcPr>
          <w:p w14:paraId="473E0B79" w14:textId="7334B68A"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 xml:space="preserve">$ </w:t>
            </w:r>
            <w:r w:rsidR="00CB3E08">
              <w:rPr>
                <w:rFonts w:ascii="Calibri" w:eastAsia="Times New Roman" w:hAnsi="Calibri" w:cs="Calibri"/>
                <w:sz w:val="16"/>
                <w:szCs w:val="16"/>
                <w:lang w:val="en-AU"/>
              </w:rPr>
              <w:t>130</w:t>
            </w:r>
          </w:p>
        </w:tc>
        <w:tc>
          <w:tcPr>
            <w:tcW w:w="1578" w:type="dxa"/>
          </w:tcPr>
          <w:p w14:paraId="324AF687" w14:textId="1CFF205F"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SMD 0.</w:t>
            </w:r>
            <w:r w:rsidR="00C14B94">
              <w:rPr>
                <w:rFonts w:ascii="Calibri" w:eastAsia="Times New Roman" w:hAnsi="Calibri" w:cs="Calibri"/>
                <w:sz w:val="16"/>
                <w:szCs w:val="16"/>
                <w:lang w:val="en-AU"/>
              </w:rPr>
              <w:t>1</w:t>
            </w:r>
            <w:r w:rsidRPr="00A37634">
              <w:rPr>
                <w:rFonts w:ascii="Calibri" w:eastAsia="Times New Roman" w:hAnsi="Calibri" w:cs="Calibri"/>
                <w:sz w:val="16"/>
                <w:szCs w:val="16"/>
                <w:lang w:val="en-AU"/>
              </w:rPr>
              <w:t xml:space="preserve"> (</w:t>
            </w:r>
            <w:r w:rsidR="00C14B94">
              <w:rPr>
                <w:rFonts w:ascii="Calibri" w:eastAsia="Times New Roman" w:hAnsi="Calibri" w:cs="Calibri"/>
                <w:sz w:val="16"/>
                <w:szCs w:val="16"/>
                <w:lang w:val="en-AU"/>
              </w:rPr>
              <w:t>c</w:t>
            </w:r>
            <w:r w:rsidRPr="00A37634">
              <w:rPr>
                <w:rFonts w:ascii="Calibri" w:eastAsia="Times New Roman" w:hAnsi="Calibri" w:cs="Calibri"/>
                <w:sz w:val="16"/>
                <w:szCs w:val="16"/>
                <w:lang w:val="en-AU"/>
              </w:rPr>
              <w:t>)</w:t>
            </w:r>
            <w:r w:rsidRPr="00A37634">
              <w:rPr>
                <w:rFonts w:ascii="Calibri" w:eastAsia="Times New Roman" w:hAnsi="Calibri" w:cs="Calibri"/>
                <w:sz w:val="16"/>
                <w:szCs w:val="16"/>
                <w:lang w:val="en-AU"/>
              </w:rPr>
              <w:br/>
              <w:t>WMD 0.</w:t>
            </w:r>
            <w:r w:rsidR="00C14B94">
              <w:rPr>
                <w:rFonts w:ascii="Calibri" w:eastAsia="Times New Roman" w:hAnsi="Calibri" w:cs="Calibri"/>
                <w:sz w:val="16"/>
                <w:szCs w:val="16"/>
                <w:lang w:val="en-AU"/>
              </w:rPr>
              <w:t xml:space="preserve">3 (c) </w:t>
            </w:r>
          </w:p>
        </w:tc>
      </w:tr>
      <w:tr w:rsidR="00A37634" w:rsidRPr="00A37634" w14:paraId="44787BE7" w14:textId="77777777" w:rsidTr="007C7289">
        <w:trPr>
          <w:jc w:val="center"/>
        </w:trPr>
        <w:tc>
          <w:tcPr>
            <w:tcW w:w="1980" w:type="dxa"/>
          </w:tcPr>
          <w:p w14:paraId="3A627F47" w14:textId="77777777" w:rsidR="00A37634" w:rsidRPr="00A37634" w:rsidRDefault="00A37634" w:rsidP="00A37634">
            <w:pPr>
              <w:tabs>
                <w:tab w:val="left" w:pos="3293"/>
              </w:tabs>
              <w:spacing w:before="60" w:after="60" w:line="240" w:lineRule="auto"/>
              <w:ind w:left="35"/>
              <w:rPr>
                <w:rFonts w:ascii="Calibri" w:eastAsia="Times New Roman" w:hAnsi="Calibri" w:cs="Calibri"/>
                <w:sz w:val="16"/>
                <w:szCs w:val="16"/>
                <w:lang w:val="en-AU"/>
              </w:rPr>
            </w:pPr>
            <w:r w:rsidRPr="00A37634">
              <w:rPr>
                <w:rFonts w:ascii="Calibri" w:eastAsia="Times New Roman" w:hAnsi="Calibri" w:cs="Calibri"/>
                <w:sz w:val="16"/>
                <w:szCs w:val="16"/>
                <w:lang w:val="en-AU"/>
              </w:rPr>
              <w:t>EV Chargers</w:t>
            </w:r>
          </w:p>
        </w:tc>
        <w:tc>
          <w:tcPr>
            <w:tcW w:w="1427" w:type="dxa"/>
          </w:tcPr>
          <w:p w14:paraId="6FB9A607" w14:textId="7777777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9.6</w:t>
            </w:r>
          </w:p>
        </w:tc>
        <w:tc>
          <w:tcPr>
            <w:tcW w:w="1644" w:type="dxa"/>
          </w:tcPr>
          <w:p w14:paraId="40233AAD" w14:textId="75A8896A"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100%</w:t>
            </w:r>
            <w:r w:rsidR="00CB3E08">
              <w:rPr>
                <w:rFonts w:ascii="Calibri" w:eastAsia="Times New Roman" w:hAnsi="Calibri" w:cs="Calibri"/>
                <w:sz w:val="16"/>
                <w:szCs w:val="16"/>
                <w:lang w:val="en-AU"/>
              </w:rPr>
              <w:t xml:space="preserve"> powered, but not all charging</w:t>
            </w:r>
          </w:p>
        </w:tc>
        <w:tc>
          <w:tcPr>
            <w:tcW w:w="1645" w:type="dxa"/>
          </w:tcPr>
          <w:p w14:paraId="228EDA7D" w14:textId="2C177F07"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SMD 0.2</w:t>
            </w:r>
            <w:r w:rsidR="00C14B94">
              <w:rPr>
                <w:rFonts w:ascii="Calibri" w:eastAsia="Times New Roman" w:hAnsi="Calibri" w:cs="Calibri"/>
                <w:sz w:val="16"/>
                <w:szCs w:val="16"/>
                <w:lang w:val="en-AU"/>
              </w:rPr>
              <w:t>6 (</w:t>
            </w:r>
            <w:proofErr w:type="gramStart"/>
            <w:r w:rsidR="00C14B94">
              <w:rPr>
                <w:rFonts w:ascii="Calibri" w:eastAsia="Times New Roman" w:hAnsi="Calibri" w:cs="Calibri"/>
                <w:sz w:val="16"/>
                <w:szCs w:val="16"/>
                <w:lang w:val="en-AU"/>
              </w:rPr>
              <w:t>2020)(</w:t>
            </w:r>
            <w:proofErr w:type="gramEnd"/>
            <w:r w:rsidR="00C14B94">
              <w:rPr>
                <w:rFonts w:ascii="Calibri" w:eastAsia="Times New Roman" w:hAnsi="Calibri" w:cs="Calibri"/>
                <w:sz w:val="16"/>
                <w:szCs w:val="16"/>
                <w:lang w:val="en-AU"/>
              </w:rPr>
              <w:t>f)</w:t>
            </w:r>
            <w:r w:rsidR="00C14B94">
              <w:rPr>
                <w:rFonts w:ascii="Calibri" w:eastAsia="Times New Roman" w:hAnsi="Calibri" w:cs="Calibri"/>
                <w:sz w:val="16"/>
                <w:szCs w:val="16"/>
                <w:lang w:val="en-AU"/>
              </w:rPr>
              <w:br/>
              <w:t>SMD 0.57 (2036)(f)</w:t>
            </w:r>
          </w:p>
        </w:tc>
        <w:tc>
          <w:tcPr>
            <w:tcW w:w="1644" w:type="dxa"/>
          </w:tcPr>
          <w:p w14:paraId="5D60A681" w14:textId="7940558A"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 xml:space="preserve">$ </w:t>
            </w:r>
            <w:r w:rsidR="00EF296F">
              <w:rPr>
                <w:rFonts w:ascii="Calibri" w:eastAsia="Times New Roman" w:hAnsi="Calibri" w:cs="Calibri"/>
                <w:sz w:val="16"/>
                <w:szCs w:val="16"/>
                <w:lang w:val="en-AU"/>
              </w:rPr>
              <w:t>75</w:t>
            </w:r>
            <w:r w:rsidR="00C14B94">
              <w:rPr>
                <w:rFonts w:ascii="Calibri" w:eastAsia="Times New Roman" w:hAnsi="Calibri" w:cs="Calibri"/>
                <w:sz w:val="16"/>
                <w:szCs w:val="16"/>
                <w:lang w:val="en-AU"/>
              </w:rPr>
              <w:t>0</w:t>
            </w:r>
          </w:p>
        </w:tc>
        <w:tc>
          <w:tcPr>
            <w:tcW w:w="1578" w:type="dxa"/>
          </w:tcPr>
          <w:p w14:paraId="5FE08C70" w14:textId="6C594CD1" w:rsidR="00A37634" w:rsidRPr="00A37634" w:rsidRDefault="00A37634" w:rsidP="00A37634">
            <w:pPr>
              <w:tabs>
                <w:tab w:val="left" w:pos="3293"/>
              </w:tabs>
              <w:spacing w:before="60" w:after="60" w:line="240" w:lineRule="auto"/>
              <w:ind w:left="35"/>
              <w:jc w:val="center"/>
              <w:rPr>
                <w:rFonts w:ascii="Calibri" w:eastAsia="Times New Roman" w:hAnsi="Calibri" w:cs="Calibri"/>
                <w:sz w:val="16"/>
                <w:szCs w:val="16"/>
                <w:lang w:val="en-AU"/>
              </w:rPr>
            </w:pPr>
            <w:r w:rsidRPr="00A37634">
              <w:rPr>
                <w:rFonts w:ascii="Calibri" w:eastAsia="Times New Roman" w:hAnsi="Calibri" w:cs="Calibri"/>
                <w:sz w:val="16"/>
                <w:szCs w:val="16"/>
                <w:lang w:val="en-AU"/>
              </w:rPr>
              <w:t>SMD 0.</w:t>
            </w:r>
            <w:r w:rsidR="00C14B94">
              <w:rPr>
                <w:rFonts w:ascii="Calibri" w:eastAsia="Times New Roman" w:hAnsi="Calibri" w:cs="Calibri"/>
                <w:sz w:val="16"/>
                <w:szCs w:val="16"/>
                <w:lang w:val="en-AU"/>
              </w:rPr>
              <w:t>26</w:t>
            </w:r>
          </w:p>
        </w:tc>
      </w:tr>
    </w:tbl>
    <w:p w14:paraId="5D36373D" w14:textId="5AC500CD"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mbria" w:hAnsi="Calibri" w:cs="Calibri"/>
          <w:sz w:val="16"/>
          <w:szCs w:val="16"/>
          <w:lang w:val="en-AU"/>
        </w:rPr>
        <w:t xml:space="preserve">(a) Average $/peak kW in NEM region multiplied by average </w:t>
      </w:r>
      <w:r w:rsidR="00AB55F6">
        <w:rPr>
          <w:rFonts w:ascii="Calibri" w:eastAsia="Cambria" w:hAnsi="Calibri" w:cs="Calibri"/>
          <w:sz w:val="16"/>
          <w:szCs w:val="16"/>
          <w:lang w:val="en-AU"/>
        </w:rPr>
        <w:t>diversified kW/unit</w:t>
      </w:r>
      <w:r w:rsidRPr="00A37634">
        <w:rPr>
          <w:rFonts w:ascii="Calibri" w:eastAsia="Cambria" w:hAnsi="Calibri" w:cs="Calibri"/>
          <w:sz w:val="16"/>
          <w:szCs w:val="16"/>
          <w:lang w:val="en-AU"/>
        </w:rPr>
        <w:t xml:space="preserve"> at SMD. (b) At DRM 2 - limited to 50% of reference load during DR events. (c) DRM1 during DR events (d) Water heaters on uncontrolled tariffs. (e) Includes water heaters on 16-hr heating tariffs topping up during peak periods. (f) Includes diversification factors  </w:t>
      </w:r>
    </w:p>
    <w:p w14:paraId="03F215B3" w14:textId="3BBF3E33" w:rsidR="00A37634" w:rsidRPr="00A37634" w:rsidRDefault="00A37634" w:rsidP="00A37634">
      <w:pPr>
        <w:spacing w:before="240" w:after="120" w:line="278" w:lineRule="auto"/>
        <w:rPr>
          <w:rFonts w:ascii="Calibri" w:eastAsia="Cambria" w:hAnsi="Calibri" w:cs="Calibri"/>
          <w:lang w:val="en-AU"/>
        </w:rPr>
      </w:pPr>
      <w:r w:rsidRPr="00A37634">
        <w:rPr>
          <w:rFonts w:ascii="Calibri" w:eastAsia="Cambria" w:hAnsi="Calibri" w:cs="Calibri"/>
          <w:lang w:val="en-AU"/>
        </w:rPr>
        <w:t>The estimates of diversified curtailable kW per activated AC can be tested against field monitoring</w:t>
      </w:r>
      <w:r w:rsidR="00AB55F6">
        <w:rPr>
          <w:rFonts w:ascii="Calibri" w:eastAsia="Cambria" w:hAnsi="Calibri" w:cs="Calibri"/>
          <w:lang w:val="en-AU"/>
        </w:rPr>
        <w:t xml:space="preserve">.  </w:t>
      </w:r>
      <w:r w:rsidR="00C14B94">
        <w:rPr>
          <w:rFonts w:ascii="Calibri" w:eastAsia="Cambria" w:hAnsi="Calibri" w:cs="Calibri"/>
          <w:lang w:val="en-AU"/>
        </w:rPr>
        <w:t xml:space="preserve">Energex </w:t>
      </w:r>
      <w:r w:rsidR="007A42EC">
        <w:rPr>
          <w:rFonts w:ascii="Calibri" w:eastAsia="Cambria" w:hAnsi="Calibri" w:cs="Calibri"/>
          <w:lang w:val="en-AU"/>
        </w:rPr>
        <w:t xml:space="preserve">(2014) </w:t>
      </w:r>
      <w:r w:rsidR="00C14B94">
        <w:rPr>
          <w:rFonts w:ascii="Calibri" w:eastAsia="Cambria" w:hAnsi="Calibri" w:cs="Calibri"/>
          <w:lang w:val="en-AU"/>
        </w:rPr>
        <w:t xml:space="preserve">reported on </w:t>
      </w:r>
      <w:r w:rsidRPr="00A37634">
        <w:rPr>
          <w:rFonts w:ascii="Calibri" w:eastAsia="Cambria" w:hAnsi="Calibri" w:cs="Calibri"/>
          <w:lang w:val="en-AU"/>
        </w:rPr>
        <w:t xml:space="preserve">44 AS/NZS 4755.3.1-compliant </w:t>
      </w:r>
      <w:r w:rsidR="005A520F">
        <w:rPr>
          <w:rFonts w:ascii="Calibri" w:eastAsia="Cambria" w:hAnsi="Calibri" w:cs="Calibri"/>
          <w:lang w:val="en-AU"/>
        </w:rPr>
        <w:t>ACs</w:t>
      </w:r>
      <w:r w:rsidRPr="00A37634">
        <w:rPr>
          <w:rFonts w:ascii="Calibri" w:eastAsia="Cambria" w:hAnsi="Calibri" w:cs="Calibri"/>
          <w:lang w:val="en-AU"/>
        </w:rPr>
        <w:t xml:space="preserve"> participating in </w:t>
      </w:r>
      <w:r w:rsidR="00C14B94">
        <w:rPr>
          <w:rFonts w:ascii="Calibri" w:eastAsia="Cambria" w:hAnsi="Calibri" w:cs="Calibri"/>
          <w:lang w:val="en-AU"/>
        </w:rPr>
        <w:t xml:space="preserve">its </w:t>
      </w:r>
      <w:r w:rsidRPr="00A37634">
        <w:rPr>
          <w:rFonts w:ascii="Calibri" w:eastAsia="Cambria" w:hAnsi="Calibri" w:cs="Calibri"/>
          <w:lang w:val="en-AU"/>
        </w:rPr>
        <w:t>PeakSmart program during a DRM3 event</w:t>
      </w:r>
      <w:r w:rsidR="00EF296F">
        <w:rPr>
          <w:rFonts w:ascii="Calibri" w:eastAsia="Cambria" w:hAnsi="Calibri" w:cs="Calibri"/>
          <w:lang w:val="en-AU"/>
        </w:rPr>
        <w:t xml:space="preserve"> (calling for 25% load reduction) in </w:t>
      </w:r>
      <w:r w:rsidRPr="00A37634">
        <w:rPr>
          <w:rFonts w:ascii="Calibri" w:eastAsia="Cambria" w:hAnsi="Calibri" w:cs="Calibri"/>
          <w:lang w:val="en-AU"/>
        </w:rPr>
        <w:t>2014</w:t>
      </w:r>
      <w:r w:rsidR="00EF296F">
        <w:rPr>
          <w:rFonts w:ascii="Calibri" w:eastAsia="Cambria" w:hAnsi="Calibri" w:cs="Calibri"/>
          <w:lang w:val="en-AU"/>
        </w:rPr>
        <w:t>:</w:t>
      </w:r>
      <w:r w:rsidRPr="00A37634">
        <w:rPr>
          <w:rFonts w:ascii="Calibri" w:eastAsia="Cambria" w:hAnsi="Calibri" w:cs="Calibri"/>
          <w:lang w:val="en-AU"/>
        </w:rPr>
        <w:t xml:space="preserve">  </w:t>
      </w:r>
    </w:p>
    <w:p w14:paraId="79373523" w14:textId="77777777" w:rsidR="00A37634" w:rsidRPr="00A37634" w:rsidRDefault="00A37634" w:rsidP="00FF17C7">
      <w:pPr>
        <w:numPr>
          <w:ilvl w:val="0"/>
          <w:numId w:val="12"/>
        </w:numPr>
        <w:spacing w:before="120" w:after="120" w:line="278" w:lineRule="auto"/>
        <w:contextualSpacing/>
        <w:rPr>
          <w:rFonts w:ascii="Calibri" w:eastAsia="Cambria" w:hAnsi="Calibri" w:cs="Calibri"/>
          <w:lang w:val="en-AU"/>
        </w:rPr>
      </w:pPr>
      <w:r w:rsidRPr="00A37634">
        <w:rPr>
          <w:rFonts w:ascii="Calibri" w:eastAsia="Cambria" w:hAnsi="Calibri" w:cs="Calibri"/>
          <w:lang w:val="en-AU"/>
        </w:rPr>
        <w:t>40 units received the instruction (i.e. 90% communications success rate);</w:t>
      </w:r>
    </w:p>
    <w:p w14:paraId="55FE79FF" w14:textId="77777777" w:rsidR="00A37634" w:rsidRPr="00A37634" w:rsidRDefault="00A37634" w:rsidP="00FF17C7">
      <w:pPr>
        <w:numPr>
          <w:ilvl w:val="0"/>
          <w:numId w:val="12"/>
        </w:numPr>
        <w:spacing w:before="120" w:after="120" w:line="278" w:lineRule="auto"/>
        <w:contextualSpacing/>
        <w:rPr>
          <w:rFonts w:ascii="Calibri" w:eastAsia="Cambria" w:hAnsi="Calibri" w:cs="Calibri"/>
          <w:lang w:val="en-AU"/>
        </w:rPr>
      </w:pPr>
      <w:r w:rsidRPr="00A37634">
        <w:rPr>
          <w:rFonts w:ascii="Calibri" w:eastAsia="Cambria" w:hAnsi="Calibri" w:cs="Calibri"/>
          <w:lang w:val="en-AU"/>
        </w:rPr>
        <w:t>20 were off at the time;</w:t>
      </w:r>
    </w:p>
    <w:p w14:paraId="1E9B1643" w14:textId="197271AC" w:rsidR="00A37634" w:rsidRPr="00A37634" w:rsidRDefault="00A37634" w:rsidP="00FF17C7">
      <w:pPr>
        <w:numPr>
          <w:ilvl w:val="0"/>
          <w:numId w:val="12"/>
        </w:numPr>
        <w:spacing w:before="120" w:after="120" w:line="278" w:lineRule="auto"/>
        <w:contextualSpacing/>
        <w:rPr>
          <w:rFonts w:ascii="Calibri" w:eastAsia="Cambria" w:hAnsi="Calibri" w:cs="Calibri"/>
          <w:lang w:val="en-AU"/>
        </w:rPr>
      </w:pPr>
      <w:r w:rsidRPr="00A37634">
        <w:rPr>
          <w:rFonts w:ascii="Calibri" w:eastAsia="Cambria" w:hAnsi="Calibri" w:cs="Calibri"/>
          <w:lang w:val="en-AU"/>
        </w:rPr>
        <w:t>10 were running under the reference power level and so did not deliver load reductions</w:t>
      </w:r>
      <w:r w:rsidR="00EF296F">
        <w:rPr>
          <w:rStyle w:val="FootnoteReference"/>
          <w:rFonts w:ascii="Calibri" w:eastAsia="Cambria" w:hAnsi="Calibri" w:cs="Calibri"/>
          <w:lang w:val="en-AU"/>
        </w:rPr>
        <w:footnoteReference w:id="94"/>
      </w:r>
      <w:r w:rsidRPr="00A37634">
        <w:rPr>
          <w:rFonts w:ascii="Calibri" w:eastAsia="Cambria" w:hAnsi="Calibri" w:cs="Calibri"/>
          <w:lang w:val="en-AU"/>
        </w:rPr>
        <w:t>;</w:t>
      </w:r>
    </w:p>
    <w:p w14:paraId="3EB1CE06" w14:textId="77777777" w:rsidR="00A37634" w:rsidRPr="00A37634" w:rsidRDefault="00A37634" w:rsidP="00FF17C7">
      <w:pPr>
        <w:numPr>
          <w:ilvl w:val="0"/>
          <w:numId w:val="12"/>
        </w:numPr>
        <w:spacing w:before="120" w:after="120" w:line="278" w:lineRule="auto"/>
        <w:contextualSpacing/>
        <w:rPr>
          <w:rFonts w:ascii="Calibri" w:eastAsia="Cambria" w:hAnsi="Calibri" w:cs="Calibri"/>
          <w:lang w:val="en-AU"/>
        </w:rPr>
      </w:pPr>
      <w:r w:rsidRPr="00A37634">
        <w:rPr>
          <w:rFonts w:ascii="Calibri" w:eastAsia="Cambria" w:hAnsi="Calibri" w:cs="Calibri"/>
          <w:lang w:val="en-AU"/>
        </w:rPr>
        <w:t xml:space="preserve">10 were running above the reference power level and delivered a total of 10kW load reduction (1.0 kW/unit for those 10 units, or 0.5 kW per unit for the 20 units that were operating at the time). </w:t>
      </w:r>
    </w:p>
    <w:p w14:paraId="649B31AD" w14:textId="38B3EE47" w:rsidR="00C14B94" w:rsidRDefault="00A37634" w:rsidP="008E7146">
      <w:pPr>
        <w:spacing w:before="240" w:after="120" w:line="278" w:lineRule="auto"/>
        <w:rPr>
          <w:rFonts w:ascii="Calibri" w:eastAsia="Cambria" w:hAnsi="Calibri" w:cs="Calibri"/>
          <w:lang w:val="en-AU"/>
        </w:rPr>
      </w:pPr>
      <w:r w:rsidRPr="00A37634">
        <w:rPr>
          <w:rFonts w:ascii="Calibri" w:eastAsia="Cambria" w:hAnsi="Calibri" w:cs="Calibri"/>
          <w:lang w:val="en-AU"/>
        </w:rPr>
        <w:t>DRM2 would produce greater load reductions than DRM</w:t>
      </w:r>
      <w:r w:rsidR="00AA4ECE">
        <w:rPr>
          <w:rFonts w:ascii="Calibri" w:eastAsia="Cambria" w:hAnsi="Calibri" w:cs="Calibri"/>
          <w:lang w:val="en-AU"/>
        </w:rPr>
        <w:t xml:space="preserve"> </w:t>
      </w:r>
      <w:r w:rsidRPr="00A37634">
        <w:rPr>
          <w:rFonts w:ascii="Calibri" w:eastAsia="Cambria" w:hAnsi="Calibri" w:cs="Calibri"/>
          <w:lang w:val="en-AU"/>
        </w:rPr>
        <w:t>3</w:t>
      </w:r>
      <w:r w:rsidR="00EF296F">
        <w:rPr>
          <w:rFonts w:ascii="Calibri" w:eastAsia="Cambria" w:hAnsi="Calibri" w:cs="Calibri"/>
          <w:lang w:val="en-AU"/>
        </w:rPr>
        <w:t>.</w:t>
      </w:r>
      <w:r w:rsidRPr="00A37634">
        <w:rPr>
          <w:rFonts w:ascii="Calibri" w:eastAsia="Cambria" w:hAnsi="Calibri" w:cs="Calibri"/>
          <w:lang w:val="en-AU"/>
        </w:rPr>
        <w:t xml:space="preserve"> </w:t>
      </w:r>
      <w:r w:rsidR="00C14B94">
        <w:rPr>
          <w:rFonts w:ascii="Calibri" w:eastAsia="Cambria" w:hAnsi="Calibri" w:cs="Calibri"/>
          <w:lang w:val="en-AU"/>
        </w:rPr>
        <w:t>Ausgrid</w:t>
      </w:r>
      <w:r w:rsidR="007A42EC">
        <w:rPr>
          <w:rFonts w:ascii="Calibri" w:eastAsia="Cambria" w:hAnsi="Calibri" w:cs="Calibri"/>
          <w:lang w:val="en-AU"/>
        </w:rPr>
        <w:t>’s</w:t>
      </w:r>
      <w:r w:rsidR="00C14B94">
        <w:rPr>
          <w:rFonts w:ascii="Calibri" w:eastAsia="Cambria" w:hAnsi="Calibri" w:cs="Calibri"/>
          <w:lang w:val="en-AU"/>
        </w:rPr>
        <w:t xml:space="preserve"> </w:t>
      </w:r>
      <w:r w:rsidR="00C74EC2">
        <w:rPr>
          <w:rFonts w:ascii="Calibri" w:eastAsia="Cambria" w:hAnsi="Calibri" w:cs="Calibri"/>
          <w:lang w:val="en-AU"/>
        </w:rPr>
        <w:t>“Coolsaver” trials</w:t>
      </w:r>
      <w:r w:rsidR="007A42EC">
        <w:rPr>
          <w:rFonts w:ascii="Calibri" w:eastAsia="Cambria" w:hAnsi="Calibri" w:cs="Calibri"/>
          <w:lang w:val="en-AU"/>
        </w:rPr>
        <w:t xml:space="preserve"> on the NSW Central Coast in in 2016/17, </w:t>
      </w:r>
      <w:r w:rsidR="00C74EC2">
        <w:rPr>
          <w:rFonts w:ascii="Calibri" w:eastAsia="Cambria" w:hAnsi="Calibri" w:cs="Calibri"/>
          <w:lang w:val="en-AU"/>
        </w:rPr>
        <w:t>with over 100 particip</w:t>
      </w:r>
      <w:r w:rsidR="007A42EC">
        <w:rPr>
          <w:rFonts w:ascii="Calibri" w:eastAsia="Cambria" w:hAnsi="Calibri" w:cs="Calibri"/>
          <w:lang w:val="en-AU"/>
        </w:rPr>
        <w:t xml:space="preserve">ating </w:t>
      </w:r>
      <w:r w:rsidR="00EF296F">
        <w:rPr>
          <w:rFonts w:ascii="Calibri" w:eastAsia="Cambria" w:hAnsi="Calibri" w:cs="Calibri"/>
          <w:lang w:val="en-AU"/>
        </w:rPr>
        <w:t xml:space="preserve">AS/NZS 4755 </w:t>
      </w:r>
      <w:r w:rsidR="007A42EC">
        <w:rPr>
          <w:rFonts w:ascii="Calibri" w:eastAsia="Cambria" w:hAnsi="Calibri" w:cs="Calibri"/>
          <w:lang w:val="en-AU"/>
        </w:rPr>
        <w:t xml:space="preserve">air conditioners, reported that DRM2 </w:t>
      </w:r>
      <w:r w:rsidR="007A42EC" w:rsidRPr="007A42EC">
        <w:rPr>
          <w:rFonts w:ascii="Calibri" w:eastAsia="Cambria" w:hAnsi="Calibri" w:cs="Calibri"/>
          <w:lang w:val="en-AU"/>
        </w:rPr>
        <w:t>activation</w:t>
      </w:r>
      <w:r w:rsidR="007A42EC">
        <w:rPr>
          <w:rFonts w:ascii="Calibri" w:eastAsia="Cambria" w:hAnsi="Calibri" w:cs="Calibri"/>
          <w:lang w:val="en-AU"/>
        </w:rPr>
        <w:t>s</w:t>
      </w:r>
      <w:r w:rsidR="007A42EC" w:rsidRPr="007A42EC">
        <w:rPr>
          <w:rFonts w:ascii="Calibri" w:eastAsia="Cambria" w:hAnsi="Calibri" w:cs="Calibri"/>
          <w:lang w:val="en-AU"/>
        </w:rPr>
        <w:t xml:space="preserve"> decreased the average customer </w:t>
      </w:r>
      <w:r w:rsidR="007A42EC">
        <w:rPr>
          <w:rFonts w:ascii="Calibri" w:eastAsia="Cambria" w:hAnsi="Calibri" w:cs="Calibri"/>
          <w:lang w:val="en-AU"/>
        </w:rPr>
        <w:t xml:space="preserve">load </w:t>
      </w:r>
      <w:r w:rsidR="007A42EC" w:rsidRPr="007A42EC">
        <w:rPr>
          <w:rFonts w:ascii="Calibri" w:eastAsia="Cambria" w:hAnsi="Calibri" w:cs="Calibri"/>
          <w:lang w:val="en-AU"/>
        </w:rPr>
        <w:t>by around 1.5</w:t>
      </w:r>
      <w:r w:rsidR="007A42EC">
        <w:rPr>
          <w:rFonts w:ascii="Calibri" w:eastAsia="Cambria" w:hAnsi="Calibri" w:cs="Calibri"/>
          <w:lang w:val="en-AU"/>
        </w:rPr>
        <w:t xml:space="preserve"> </w:t>
      </w:r>
      <w:r w:rsidR="007A42EC" w:rsidRPr="007A42EC">
        <w:rPr>
          <w:rFonts w:ascii="Calibri" w:eastAsia="Cambria" w:hAnsi="Calibri" w:cs="Calibri"/>
          <w:lang w:val="en-AU"/>
        </w:rPr>
        <w:t xml:space="preserve">kW whereas </w:t>
      </w:r>
      <w:r w:rsidR="007A42EC">
        <w:rPr>
          <w:rFonts w:ascii="Calibri" w:eastAsia="Cambria" w:hAnsi="Calibri" w:cs="Calibri"/>
          <w:lang w:val="en-AU"/>
        </w:rPr>
        <w:t xml:space="preserve">DRM 3 decreased </w:t>
      </w:r>
      <w:r w:rsidR="007A42EC" w:rsidRPr="007A42EC">
        <w:rPr>
          <w:rFonts w:ascii="Calibri" w:eastAsia="Cambria" w:hAnsi="Calibri" w:cs="Calibri"/>
          <w:lang w:val="en-AU"/>
        </w:rPr>
        <w:t xml:space="preserve">the load initially </w:t>
      </w:r>
      <w:r w:rsidR="00EF296F">
        <w:rPr>
          <w:rFonts w:ascii="Calibri" w:eastAsia="Cambria" w:hAnsi="Calibri" w:cs="Calibri"/>
          <w:lang w:val="en-AU"/>
        </w:rPr>
        <w:t xml:space="preserve">by </w:t>
      </w:r>
      <w:r w:rsidR="007A42EC" w:rsidRPr="007A42EC">
        <w:rPr>
          <w:rFonts w:ascii="Calibri" w:eastAsia="Cambria" w:hAnsi="Calibri" w:cs="Calibri"/>
          <w:lang w:val="en-AU"/>
        </w:rPr>
        <w:t>around 1.0</w:t>
      </w:r>
      <w:r w:rsidR="007A42EC">
        <w:rPr>
          <w:rFonts w:ascii="Calibri" w:eastAsia="Cambria" w:hAnsi="Calibri" w:cs="Calibri"/>
          <w:lang w:val="en-AU"/>
        </w:rPr>
        <w:t xml:space="preserve"> </w:t>
      </w:r>
      <w:r w:rsidR="007A42EC" w:rsidRPr="007A42EC">
        <w:rPr>
          <w:rFonts w:ascii="Calibri" w:eastAsia="Cambria" w:hAnsi="Calibri" w:cs="Calibri"/>
          <w:lang w:val="en-AU"/>
        </w:rPr>
        <w:t xml:space="preserve">kW </w:t>
      </w:r>
      <w:r w:rsidR="007A42EC">
        <w:rPr>
          <w:rFonts w:ascii="Calibri" w:eastAsia="Cambria" w:hAnsi="Calibri" w:cs="Calibri"/>
          <w:lang w:val="en-AU"/>
        </w:rPr>
        <w:t xml:space="preserve">(Ausgrid 2017). </w:t>
      </w:r>
    </w:p>
    <w:p w14:paraId="247CD377" w14:textId="17A50E24" w:rsidR="007A42EC" w:rsidRDefault="007A42EC" w:rsidP="007A42EC">
      <w:pPr>
        <w:spacing w:before="120" w:after="120" w:line="278" w:lineRule="auto"/>
        <w:jc w:val="both"/>
        <w:rPr>
          <w:rFonts w:ascii="Calibri" w:eastAsia="Cambria" w:hAnsi="Calibri" w:cs="Calibri"/>
          <w:lang w:val="en-AU"/>
        </w:rPr>
      </w:pPr>
      <w:r>
        <w:rPr>
          <w:rFonts w:ascii="Calibri" w:eastAsia="Cambria" w:hAnsi="Calibri" w:cs="Calibri"/>
          <w:lang w:val="en-AU"/>
        </w:rPr>
        <w:t>More recen</w:t>
      </w:r>
      <w:r w:rsidR="00915BCA">
        <w:rPr>
          <w:rFonts w:ascii="Calibri" w:eastAsia="Cambria" w:hAnsi="Calibri" w:cs="Calibri"/>
          <w:lang w:val="en-AU"/>
        </w:rPr>
        <w:t>t trials by other utilities have returned reductions of 1.6 to 1.8 kW during DRM3 events, but it was thought this could have been due to incorrect configuration in some air conditioners, leading to a</w:t>
      </w:r>
      <w:r w:rsidR="00EF296F">
        <w:rPr>
          <w:rFonts w:ascii="Calibri" w:eastAsia="Cambria" w:hAnsi="Calibri" w:cs="Calibri"/>
          <w:lang w:val="en-AU"/>
        </w:rPr>
        <w:t xml:space="preserve"> </w:t>
      </w:r>
      <w:r w:rsidR="00915BCA">
        <w:rPr>
          <w:rFonts w:ascii="Calibri" w:eastAsia="Cambria" w:hAnsi="Calibri" w:cs="Calibri"/>
          <w:lang w:val="en-AU"/>
        </w:rPr>
        <w:t>DRM1 respo</w:t>
      </w:r>
      <w:r w:rsidR="00EF296F">
        <w:rPr>
          <w:rFonts w:ascii="Calibri" w:eastAsia="Cambria" w:hAnsi="Calibri" w:cs="Calibri"/>
          <w:lang w:val="en-AU"/>
        </w:rPr>
        <w:t>n</w:t>
      </w:r>
      <w:r w:rsidR="00915BCA">
        <w:rPr>
          <w:rFonts w:ascii="Calibri" w:eastAsia="Cambria" w:hAnsi="Calibri" w:cs="Calibri"/>
          <w:lang w:val="en-AU"/>
        </w:rPr>
        <w:t xml:space="preserve">se </w:t>
      </w:r>
      <w:r w:rsidR="000A656B">
        <w:rPr>
          <w:rFonts w:ascii="Calibri" w:eastAsia="Cambria" w:hAnsi="Calibri" w:cs="Calibri"/>
          <w:lang w:val="en-AU"/>
        </w:rPr>
        <w:t xml:space="preserve">(no load) </w:t>
      </w:r>
      <w:r w:rsidR="00915BCA">
        <w:rPr>
          <w:rFonts w:ascii="Calibri" w:eastAsia="Cambria" w:hAnsi="Calibri" w:cs="Calibri"/>
          <w:lang w:val="en-AU"/>
        </w:rPr>
        <w:t xml:space="preserve">to a DRM3 signal. It was estimated that a correct DRM3 response by all </w:t>
      </w:r>
      <w:r w:rsidR="005A520F">
        <w:rPr>
          <w:rFonts w:ascii="Calibri" w:eastAsia="Cambria" w:hAnsi="Calibri" w:cs="Calibri"/>
          <w:lang w:val="en-AU"/>
        </w:rPr>
        <w:t>ACs</w:t>
      </w:r>
      <w:r w:rsidR="00915BCA">
        <w:rPr>
          <w:rFonts w:ascii="Calibri" w:eastAsia="Cambria" w:hAnsi="Calibri" w:cs="Calibri"/>
          <w:lang w:val="en-AU"/>
        </w:rPr>
        <w:t xml:space="preserve"> would have led to a </w:t>
      </w:r>
      <w:r w:rsidR="000A656B">
        <w:rPr>
          <w:rFonts w:ascii="Calibri" w:eastAsia="Cambria" w:hAnsi="Calibri" w:cs="Calibri"/>
          <w:lang w:val="en-AU"/>
        </w:rPr>
        <w:t xml:space="preserve">0.6 kW </w:t>
      </w:r>
      <w:r w:rsidR="00915BCA">
        <w:rPr>
          <w:rFonts w:ascii="Calibri" w:eastAsia="Cambria" w:hAnsi="Calibri" w:cs="Calibri"/>
          <w:lang w:val="en-AU"/>
        </w:rPr>
        <w:t>reduction</w:t>
      </w:r>
      <w:r w:rsidR="000A656B">
        <w:rPr>
          <w:rFonts w:ascii="Calibri" w:eastAsia="Cambria" w:hAnsi="Calibri" w:cs="Calibri"/>
          <w:lang w:val="en-AU"/>
        </w:rPr>
        <w:t>, indicating that the</w:t>
      </w:r>
      <w:r w:rsidR="00915BCA">
        <w:rPr>
          <w:rFonts w:ascii="Calibri" w:eastAsia="Cambria" w:hAnsi="Calibri" w:cs="Calibri"/>
          <w:lang w:val="en-AU"/>
        </w:rPr>
        <w:t xml:space="preserve"> DRM 2 estimate in </w:t>
      </w:r>
      <w:r w:rsidR="00915BCA" w:rsidRPr="005E35BA">
        <w:rPr>
          <w:rStyle w:val="FigreferenceChar"/>
        </w:rPr>
        <w:fldChar w:fldCharType="begin"/>
      </w:r>
      <w:r w:rsidR="00915BCA" w:rsidRPr="005E35BA">
        <w:rPr>
          <w:rStyle w:val="FigreferenceChar"/>
        </w:rPr>
        <w:instrText xml:space="preserve"> REF _Ref277589877 \h </w:instrText>
      </w:r>
      <w:r w:rsidR="005E35BA">
        <w:rPr>
          <w:rStyle w:val="FigreferenceChar"/>
        </w:rPr>
        <w:instrText xml:space="preserve"> \* MERGEFORMAT </w:instrText>
      </w:r>
      <w:r w:rsidR="00915BCA" w:rsidRPr="005E35BA">
        <w:rPr>
          <w:rStyle w:val="FigreferenceChar"/>
        </w:rPr>
      </w:r>
      <w:r w:rsidR="00915BCA" w:rsidRPr="005E35BA">
        <w:rPr>
          <w:rStyle w:val="FigreferenceChar"/>
        </w:rPr>
        <w:fldChar w:fldCharType="separate"/>
      </w:r>
      <w:r w:rsidR="006B22A7" w:rsidRPr="006B22A7">
        <w:rPr>
          <w:rStyle w:val="FigreferenceChar"/>
        </w:rPr>
        <w:t>Table 29</w:t>
      </w:r>
      <w:r w:rsidR="00915BCA" w:rsidRPr="005E35BA">
        <w:rPr>
          <w:rStyle w:val="FigreferenceChar"/>
        </w:rPr>
        <w:fldChar w:fldCharType="end"/>
      </w:r>
      <w:r w:rsidR="000A656B">
        <w:rPr>
          <w:rStyle w:val="FigreferenceChar"/>
        </w:rPr>
        <w:t xml:space="preserve"> is conservative</w:t>
      </w:r>
      <w:r w:rsidR="00915BCA">
        <w:rPr>
          <w:rFonts w:ascii="Calibri" w:eastAsia="Cambria" w:hAnsi="Calibri" w:cs="Calibri"/>
          <w:lang w:val="en-AU"/>
        </w:rPr>
        <w:t>.</w:t>
      </w:r>
    </w:p>
    <w:p w14:paraId="28CECC15" w14:textId="2A752FB2" w:rsidR="000A656B" w:rsidRPr="008E7146" w:rsidRDefault="000A656B" w:rsidP="008E7146">
      <w:pPr>
        <w:keepNext/>
        <w:keepLines/>
        <w:spacing w:before="240" w:after="240" w:line="278" w:lineRule="auto"/>
        <w:outlineLvl w:val="4"/>
        <w:rPr>
          <w:rFonts w:ascii="Calibri" w:eastAsia="Times New Roman" w:hAnsi="Calibri" w:cs="Calibri"/>
          <w:b/>
          <w:color w:val="FF0000"/>
          <w:sz w:val="28"/>
          <w:lang w:val="en-AU"/>
        </w:rPr>
      </w:pPr>
      <w:r w:rsidRPr="008E7146">
        <w:rPr>
          <w:rFonts w:ascii="Calibri" w:eastAsia="Times New Roman" w:hAnsi="Calibri" w:cs="Calibri"/>
          <w:b/>
          <w:color w:val="FF0000"/>
          <w:sz w:val="28"/>
          <w:lang w:val="en-AU"/>
        </w:rPr>
        <w:t>Other Benefits</w:t>
      </w:r>
    </w:p>
    <w:p w14:paraId="2DE80A77" w14:textId="30A79A14" w:rsidR="000A656B" w:rsidRPr="00A37634" w:rsidRDefault="000A656B" w:rsidP="000A656B">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benefits of wholesale price reductions are captured by </w:t>
      </w:r>
      <w:proofErr w:type="gramStart"/>
      <w:r w:rsidRPr="00A37634">
        <w:rPr>
          <w:rFonts w:ascii="Calibri" w:eastAsia="Calibri" w:hAnsi="Calibri" w:cs="Calibri"/>
          <w:szCs w:val="20"/>
          <w:lang w:val="en-AU"/>
        </w:rPr>
        <w:t>assuming that</w:t>
      </w:r>
      <w:proofErr w:type="gramEnd"/>
      <w:r w:rsidRPr="00A37634">
        <w:rPr>
          <w:rFonts w:ascii="Calibri" w:eastAsia="Calibri" w:hAnsi="Calibri" w:cs="Calibri"/>
          <w:szCs w:val="20"/>
          <w:lang w:val="en-AU"/>
        </w:rPr>
        <w:t xml:space="preserve"> retailers or other DR aggregators can withdraw sufficient load from the market to make it unnecessary for the next-highest cost dispatchable generator (usually gas) to bid into the pool. It is assumed that this would reduce the wholesale price by $100/MWh for about 20 hours each year, to benefit both the DR participants who contribute to the load reduction and all other consumers using electricity over the same </w:t>
      </w:r>
      <w:proofErr w:type="gramStart"/>
      <w:r w:rsidRPr="00A37634">
        <w:rPr>
          <w:rFonts w:ascii="Calibri" w:eastAsia="Calibri" w:hAnsi="Calibri" w:cs="Calibri"/>
          <w:szCs w:val="20"/>
          <w:lang w:val="en-AU"/>
        </w:rPr>
        <w:t>time period</w:t>
      </w:r>
      <w:proofErr w:type="gramEnd"/>
      <w:r w:rsidRPr="00A37634">
        <w:rPr>
          <w:rFonts w:ascii="Calibri" w:eastAsia="Calibri" w:hAnsi="Calibri" w:cs="Calibri"/>
          <w:szCs w:val="20"/>
          <w:lang w:val="en-AU"/>
        </w:rPr>
        <w:t xml:space="preserve">. The wholesale demand </w:t>
      </w:r>
      <w:r w:rsidRPr="00A37634">
        <w:rPr>
          <w:rFonts w:ascii="Calibri" w:eastAsia="Calibri" w:hAnsi="Calibri" w:cs="Calibri"/>
          <w:szCs w:val="20"/>
          <w:lang w:val="en-AU"/>
        </w:rPr>
        <w:lastRenderedPageBreak/>
        <w:t>response mechanism rule changes currently being considered by the AEMC</w:t>
      </w:r>
      <w:r w:rsidRPr="00A37634">
        <w:rPr>
          <w:rFonts w:ascii="Calibri" w:eastAsia="Calibri" w:hAnsi="Calibri" w:cs="Calibri"/>
          <w:szCs w:val="20"/>
          <w:vertAlign w:val="superscript"/>
          <w:lang w:val="en-AU"/>
        </w:rPr>
        <w:footnoteReference w:id="95"/>
      </w:r>
      <w:r w:rsidRPr="00A37634">
        <w:rPr>
          <w:rFonts w:ascii="Calibri" w:eastAsia="Calibri" w:hAnsi="Calibri" w:cs="Calibri"/>
          <w:szCs w:val="20"/>
          <w:lang w:val="en-AU"/>
        </w:rPr>
        <w:t xml:space="preserve"> would widen the range of actors able to participate in the market in this way. </w:t>
      </w:r>
    </w:p>
    <w:p w14:paraId="39E636C5" w14:textId="321C4662" w:rsidR="000A656B" w:rsidRPr="00A37634" w:rsidRDefault="000A656B" w:rsidP="000A656B">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As the share of non-dispatchable renewable wind and solar generation grows, the time when available supply exceeds demand is increasing. If the grid operator (AEMO) does not </w:t>
      </w:r>
      <w:proofErr w:type="gramStart"/>
      <w:r w:rsidRPr="00A37634">
        <w:rPr>
          <w:rFonts w:ascii="Calibri" w:eastAsia="Calibri" w:hAnsi="Calibri" w:cs="Calibri"/>
          <w:szCs w:val="20"/>
          <w:lang w:val="en-AU"/>
        </w:rPr>
        <w:t>take action</w:t>
      </w:r>
      <w:proofErr w:type="gramEnd"/>
      <w:r w:rsidRPr="00A37634">
        <w:rPr>
          <w:rFonts w:ascii="Calibri" w:eastAsia="Calibri" w:hAnsi="Calibri" w:cs="Calibri"/>
          <w:szCs w:val="20"/>
          <w:lang w:val="en-AU"/>
        </w:rPr>
        <w:t xml:space="preserve"> under these circumstances, or PV inverters do not automatically disconnect, grid voltage and frequency levels will move outside the statutory operating ranges, so risking damage to supply infrastructure and to consumers’ equipment. During “negative price events” (NPE), generators supplying the pool receive no payment and must pay the pool to continue to supply. If there is still insufficient load, they </w:t>
      </w:r>
      <w:proofErr w:type="gramStart"/>
      <w:r w:rsidRPr="00A37634">
        <w:rPr>
          <w:rFonts w:ascii="Calibri" w:eastAsia="Calibri" w:hAnsi="Calibri" w:cs="Calibri"/>
          <w:szCs w:val="20"/>
          <w:lang w:val="en-AU"/>
        </w:rPr>
        <w:t>have to</w:t>
      </w:r>
      <w:proofErr w:type="gramEnd"/>
      <w:r w:rsidRPr="00A37634">
        <w:rPr>
          <w:rFonts w:ascii="Calibri" w:eastAsia="Calibri" w:hAnsi="Calibri" w:cs="Calibri"/>
          <w:szCs w:val="20"/>
          <w:lang w:val="en-AU"/>
        </w:rPr>
        <w:t xml:space="preserve"> reduce output or, in the extreme, disconnect. Generators effectively pay for load to come on during NPEs. The DR value is reflected by estimating the total energy demand that can be presented to the grid by products activated through DRM4, and assigning a value to that energy (see Appendix 1).   </w:t>
      </w:r>
    </w:p>
    <w:p w14:paraId="4FCFFE9B" w14:textId="79BD7998" w:rsidR="000A656B" w:rsidRPr="00A37634" w:rsidRDefault="000A656B" w:rsidP="000A656B">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Emergency response occurs under the opposite conditions – when expected load exceeds the availability of generation capacity. To address this, AEMO has set up a RERT facility.</w:t>
      </w:r>
      <w:r w:rsidRPr="00A37634">
        <w:rPr>
          <w:rFonts w:ascii="Calibri" w:eastAsia="Calibri" w:hAnsi="Calibri" w:cs="Calibri"/>
          <w:szCs w:val="20"/>
          <w:vertAlign w:val="superscript"/>
          <w:lang w:val="en-AU"/>
        </w:rPr>
        <w:footnoteReference w:id="96"/>
      </w:r>
      <w:r w:rsidRPr="00A37634">
        <w:rPr>
          <w:rFonts w:ascii="Calibri" w:eastAsia="Calibri" w:hAnsi="Calibri" w:cs="Calibri"/>
          <w:szCs w:val="20"/>
          <w:lang w:val="en-AU"/>
        </w:rPr>
        <w:t xml:space="preserve"> Parties can contract to supply energy (if they have a standby generator) or reduce load during RERT events, which are typically notified a day ahead. RERT prices are high: for example, RERT events in January 2019 paid $9,800 per MWh to contractors in Victoria and SA over 13.5 hours.</w:t>
      </w:r>
      <w:r w:rsidRPr="00A37634">
        <w:rPr>
          <w:rFonts w:ascii="Calibri" w:eastAsia="Calibri" w:hAnsi="Calibri" w:cs="Calibri"/>
          <w:szCs w:val="20"/>
          <w:vertAlign w:val="superscript"/>
          <w:lang w:val="en-AU"/>
        </w:rPr>
        <w:footnoteReference w:id="97"/>
      </w:r>
      <w:r w:rsidRPr="00A37634">
        <w:rPr>
          <w:rFonts w:ascii="Calibri" w:eastAsia="Calibri" w:hAnsi="Calibri" w:cs="Calibri"/>
          <w:szCs w:val="20"/>
          <w:lang w:val="en-AU"/>
        </w:rPr>
        <w:t xml:space="preserve"> It is assumed that DR aggregators in those states could bid into the RERT market.</w:t>
      </w:r>
    </w:p>
    <w:p w14:paraId="79674E61" w14:textId="77777777" w:rsidR="000A656B" w:rsidRPr="00A37634" w:rsidRDefault="000A656B" w:rsidP="000A656B">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DR could also supply ancillary services to the NEM.</w:t>
      </w:r>
      <w:r w:rsidRPr="00A37634">
        <w:rPr>
          <w:rFonts w:ascii="Calibri" w:eastAsia="Calibri" w:hAnsi="Calibri" w:cs="Calibri"/>
          <w:szCs w:val="20"/>
          <w:vertAlign w:val="superscript"/>
          <w:lang w:val="en-AU"/>
        </w:rPr>
        <w:footnoteReference w:id="98"/>
      </w:r>
      <w:r w:rsidRPr="00A37634">
        <w:rPr>
          <w:rFonts w:ascii="Calibri" w:eastAsia="Calibri" w:hAnsi="Calibri" w:cs="Calibri"/>
          <w:szCs w:val="20"/>
          <w:lang w:val="en-AU"/>
        </w:rPr>
        <w:t xml:space="preserve"> The services which best match the capabilities of AS/NZS 4755-compliant products are those frequency and voltage control which require responses within five minutes. The value of such services has not been quantified.  </w:t>
      </w:r>
    </w:p>
    <w:p w14:paraId="0D1AE511" w14:textId="049D110D" w:rsidR="000A656B" w:rsidRPr="000A656B" w:rsidRDefault="000A656B" w:rsidP="000A656B">
      <w:pPr>
        <w:keepNext/>
        <w:keepLines/>
        <w:spacing w:before="240" w:after="240" w:line="278" w:lineRule="auto"/>
        <w:outlineLvl w:val="4"/>
        <w:rPr>
          <w:rFonts w:ascii="Calibri" w:eastAsia="Times New Roman" w:hAnsi="Calibri" w:cs="Calibri"/>
          <w:b/>
          <w:color w:val="FF0000"/>
          <w:sz w:val="28"/>
          <w:lang w:val="en-AU"/>
        </w:rPr>
      </w:pPr>
      <w:r>
        <w:rPr>
          <w:rFonts w:ascii="Calibri" w:eastAsia="Times New Roman" w:hAnsi="Calibri" w:cs="Calibri"/>
          <w:b/>
          <w:color w:val="FF0000"/>
          <w:sz w:val="28"/>
          <w:lang w:val="en-AU"/>
        </w:rPr>
        <w:t xml:space="preserve">Value of </w:t>
      </w:r>
      <w:r w:rsidR="005A520F">
        <w:rPr>
          <w:rFonts w:ascii="Calibri" w:eastAsia="Times New Roman" w:hAnsi="Calibri" w:cs="Calibri"/>
          <w:b/>
          <w:color w:val="FF0000"/>
          <w:sz w:val="28"/>
          <w:lang w:val="en-AU"/>
        </w:rPr>
        <w:t>O</w:t>
      </w:r>
      <w:r>
        <w:rPr>
          <w:rFonts w:ascii="Calibri" w:eastAsia="Times New Roman" w:hAnsi="Calibri" w:cs="Calibri"/>
          <w:b/>
          <w:color w:val="FF0000"/>
          <w:sz w:val="28"/>
          <w:lang w:val="en-AU"/>
        </w:rPr>
        <w:t xml:space="preserve">ther </w:t>
      </w:r>
      <w:r w:rsidR="005A520F">
        <w:rPr>
          <w:rFonts w:ascii="Calibri" w:eastAsia="Times New Roman" w:hAnsi="Calibri" w:cs="Calibri"/>
          <w:b/>
          <w:color w:val="FF0000"/>
          <w:sz w:val="28"/>
          <w:lang w:val="en-AU"/>
        </w:rPr>
        <w:t>B</w:t>
      </w:r>
      <w:r>
        <w:rPr>
          <w:rFonts w:ascii="Calibri" w:eastAsia="Times New Roman" w:hAnsi="Calibri" w:cs="Calibri"/>
          <w:b/>
          <w:color w:val="FF0000"/>
          <w:sz w:val="28"/>
          <w:lang w:val="en-AU"/>
        </w:rPr>
        <w:t>enefits</w:t>
      </w:r>
    </w:p>
    <w:p w14:paraId="78E79128" w14:textId="682DE029" w:rsidR="00B303A7" w:rsidRPr="00B303A7" w:rsidRDefault="00B303A7" w:rsidP="00B303A7">
      <w:pPr>
        <w:spacing w:before="120" w:after="120" w:line="278" w:lineRule="auto"/>
        <w:rPr>
          <w:rFonts w:ascii="Calibri" w:eastAsia="Cambria" w:hAnsi="Calibri" w:cs="Calibri"/>
          <w:lang w:val="en-AU"/>
        </w:rPr>
      </w:pPr>
      <w:r w:rsidRPr="00B303A7">
        <w:rPr>
          <w:rFonts w:ascii="Calibri" w:eastAsia="Cambria" w:hAnsi="Calibri" w:cs="Calibri"/>
          <w:lang w:val="en-AU"/>
        </w:rPr>
        <w:t xml:space="preserve">The benefits of wholesale price reductions are captured by </w:t>
      </w:r>
      <w:proofErr w:type="gramStart"/>
      <w:r w:rsidRPr="00B303A7">
        <w:rPr>
          <w:rFonts w:ascii="Calibri" w:eastAsia="Cambria" w:hAnsi="Calibri" w:cs="Calibri"/>
          <w:lang w:val="en-AU"/>
        </w:rPr>
        <w:t>assuming that</w:t>
      </w:r>
      <w:proofErr w:type="gramEnd"/>
      <w:r w:rsidRPr="00B303A7">
        <w:rPr>
          <w:rFonts w:ascii="Calibri" w:eastAsia="Cambria" w:hAnsi="Calibri" w:cs="Calibri"/>
          <w:lang w:val="en-AU"/>
        </w:rPr>
        <w:t xml:space="preserve"> retailers or other DR aggregators can withdraw sufficient load from the market to make it unnecessary for the next-highest cost dispatchable generator (usually gas) to bid into the pool. It is assumed that this would reduce the wholesale price by $100/MWh for about 20 hours each year, to benefit both the DR participants who contribute to the load reduction and all other consumers using electricity over the same </w:t>
      </w:r>
      <w:proofErr w:type="gramStart"/>
      <w:r w:rsidRPr="00B303A7">
        <w:rPr>
          <w:rFonts w:ascii="Calibri" w:eastAsia="Cambria" w:hAnsi="Calibri" w:cs="Calibri"/>
          <w:lang w:val="en-AU"/>
        </w:rPr>
        <w:t>time period</w:t>
      </w:r>
      <w:proofErr w:type="gramEnd"/>
      <w:r w:rsidRPr="00B303A7">
        <w:rPr>
          <w:rFonts w:ascii="Calibri" w:eastAsia="Cambria" w:hAnsi="Calibri" w:cs="Calibri"/>
          <w:lang w:val="en-AU"/>
        </w:rPr>
        <w:t xml:space="preserve">. The wholesale demand response mechanism rule changes currently being considered by the AEMC would widen the range of actors able to participate in the market in this way. </w:t>
      </w:r>
    </w:p>
    <w:p w14:paraId="66B8ABBB" w14:textId="18A3CAF6" w:rsidR="00B303A7" w:rsidRPr="00B303A7" w:rsidRDefault="00B303A7" w:rsidP="00B303A7">
      <w:pPr>
        <w:spacing w:before="120" w:after="120" w:line="278" w:lineRule="auto"/>
        <w:rPr>
          <w:rFonts w:ascii="Calibri" w:eastAsia="Cambria" w:hAnsi="Calibri" w:cs="Calibri"/>
          <w:lang w:val="en-AU"/>
        </w:rPr>
      </w:pPr>
      <w:r w:rsidRPr="00B303A7">
        <w:rPr>
          <w:rFonts w:ascii="Calibri" w:eastAsia="Cambria" w:hAnsi="Calibri" w:cs="Calibri"/>
          <w:lang w:val="en-AU"/>
        </w:rPr>
        <w:t xml:space="preserve">As the share of non-dispatchable renewable wind and solar generation grows, the time when available supply exceeds demand is increasing. If the grid operator (AEMO) does not </w:t>
      </w:r>
      <w:proofErr w:type="gramStart"/>
      <w:r w:rsidRPr="00B303A7">
        <w:rPr>
          <w:rFonts w:ascii="Calibri" w:eastAsia="Cambria" w:hAnsi="Calibri" w:cs="Calibri"/>
          <w:lang w:val="en-AU"/>
        </w:rPr>
        <w:t>take action</w:t>
      </w:r>
      <w:proofErr w:type="gramEnd"/>
      <w:r w:rsidRPr="00B303A7">
        <w:rPr>
          <w:rFonts w:ascii="Calibri" w:eastAsia="Cambria" w:hAnsi="Calibri" w:cs="Calibri"/>
          <w:lang w:val="en-AU"/>
        </w:rPr>
        <w:t xml:space="preserve"> under these circumstances, or PV inverters do not automatically disconnect, grid voltage and frequency levels will move outside the statutory operating ranges, so risking damage to supply infrastructure and to consumers’ equipment. During “negative price events” (NPE), generators supplying the pool receive no payment and must pay the pool to continue to supply. If there is still insufficient load, they </w:t>
      </w:r>
      <w:proofErr w:type="gramStart"/>
      <w:r w:rsidRPr="00B303A7">
        <w:rPr>
          <w:rFonts w:ascii="Calibri" w:eastAsia="Cambria" w:hAnsi="Calibri" w:cs="Calibri"/>
          <w:lang w:val="en-AU"/>
        </w:rPr>
        <w:t>have to</w:t>
      </w:r>
      <w:proofErr w:type="gramEnd"/>
      <w:r w:rsidRPr="00B303A7">
        <w:rPr>
          <w:rFonts w:ascii="Calibri" w:eastAsia="Cambria" w:hAnsi="Calibri" w:cs="Calibri"/>
          <w:lang w:val="en-AU"/>
        </w:rPr>
        <w:t xml:space="preserve"> reduce output or, in the extreme, disconnect. Generators effectively pay for load to come on during NPEs. The DR value is </w:t>
      </w:r>
      <w:r w:rsidRPr="00B303A7">
        <w:rPr>
          <w:rFonts w:ascii="Calibri" w:eastAsia="Cambria" w:hAnsi="Calibri" w:cs="Calibri"/>
          <w:lang w:val="en-AU"/>
        </w:rPr>
        <w:lastRenderedPageBreak/>
        <w:t xml:space="preserve">reflected by estimating the total energy demand that can be presented to the grid by products activated through DRM4, and assigning a value to that energy.   </w:t>
      </w:r>
    </w:p>
    <w:p w14:paraId="55A11D0B" w14:textId="16D0B5BF" w:rsidR="00B303A7" w:rsidRPr="00B303A7" w:rsidRDefault="00B303A7" w:rsidP="00B303A7">
      <w:pPr>
        <w:spacing w:before="120" w:after="120" w:line="278" w:lineRule="auto"/>
        <w:rPr>
          <w:rFonts w:ascii="Calibri" w:eastAsia="Cambria" w:hAnsi="Calibri" w:cs="Calibri"/>
          <w:lang w:val="en-AU"/>
        </w:rPr>
      </w:pPr>
      <w:r w:rsidRPr="00B303A7">
        <w:rPr>
          <w:rFonts w:ascii="Calibri" w:eastAsia="Cambria" w:hAnsi="Calibri" w:cs="Calibri"/>
          <w:lang w:val="en-AU"/>
        </w:rPr>
        <w:t>Emergency response occurs under the opposite conditions – when expected load exceeds the availability of generation capacity. To address this, AEMO has set up a RERT facility. Parties can contract to supply energy (if they have a standby generator) or reduce load during RERT events, which are typically notified a day ahead. RERT prices are high: for example, RERT events in January 2019 paid $9,800 per MWh to contractors in Victoria and SA over 13.5 hours. It is assumed that DR aggregators in those states could bid into the RERT market.</w:t>
      </w:r>
    </w:p>
    <w:p w14:paraId="3BAB4578" w14:textId="5FD92F82" w:rsidR="00B303A7" w:rsidRDefault="00B303A7" w:rsidP="00B303A7">
      <w:pPr>
        <w:spacing w:before="120" w:after="120" w:line="278" w:lineRule="auto"/>
        <w:rPr>
          <w:rFonts w:ascii="Calibri" w:eastAsia="Cambria" w:hAnsi="Calibri" w:cs="Calibri"/>
          <w:lang w:val="en-AU"/>
        </w:rPr>
      </w:pPr>
      <w:r w:rsidRPr="00B303A7">
        <w:rPr>
          <w:rFonts w:ascii="Calibri" w:eastAsia="Cambria" w:hAnsi="Calibri" w:cs="Calibri"/>
          <w:lang w:val="en-AU"/>
        </w:rPr>
        <w:t xml:space="preserve">DR could also supply ancillary services to the NEM. The services which best match the capabilities of AS/NZS 4755-compliant products are those frequency and voltage control which require responses within five minutes. The value of such services has not been quantified.  </w:t>
      </w:r>
    </w:p>
    <w:p w14:paraId="320B092C" w14:textId="005B6C3E" w:rsidR="00B303A7" w:rsidRPr="00B303A7" w:rsidRDefault="00F23C30" w:rsidP="00B303A7">
      <w:pPr>
        <w:keepNext/>
        <w:keepLines/>
        <w:spacing w:before="240" w:after="240" w:line="278" w:lineRule="auto"/>
        <w:outlineLvl w:val="4"/>
        <w:rPr>
          <w:rFonts w:ascii="Calibri" w:eastAsia="Times New Roman" w:hAnsi="Calibri" w:cs="Calibri"/>
          <w:b/>
          <w:color w:val="FF0000"/>
          <w:sz w:val="28"/>
          <w:lang w:val="en-AU"/>
        </w:rPr>
      </w:pPr>
      <w:r>
        <w:rPr>
          <w:rFonts w:ascii="Calibri" w:eastAsia="Times New Roman" w:hAnsi="Calibri" w:cs="Calibri"/>
          <w:b/>
          <w:color w:val="FF0000"/>
          <w:sz w:val="28"/>
          <w:lang w:val="en-AU"/>
        </w:rPr>
        <w:t xml:space="preserve">Present Value of Net </w:t>
      </w:r>
      <w:r w:rsidR="00B303A7" w:rsidRPr="00B303A7">
        <w:rPr>
          <w:rFonts w:ascii="Calibri" w:eastAsia="Times New Roman" w:hAnsi="Calibri" w:cs="Calibri"/>
          <w:b/>
          <w:color w:val="FF0000"/>
          <w:sz w:val="28"/>
          <w:lang w:val="en-AU"/>
        </w:rPr>
        <w:t>Benefits</w:t>
      </w:r>
    </w:p>
    <w:p w14:paraId="4639932C" w14:textId="4D8B0776"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The economic benefit that would be created by the proposal comes from the gross values created by the reduction in the real costs of the physical infrastructure needed to meet peak demand, compared to BAU, and the other system benefits identified in </w:t>
      </w:r>
      <w:r w:rsidRPr="005E35BA">
        <w:rPr>
          <w:rStyle w:val="FigreferenceChar"/>
        </w:rPr>
        <w:fldChar w:fldCharType="begin"/>
      </w:r>
      <w:r w:rsidRPr="005E35BA">
        <w:rPr>
          <w:rStyle w:val="FigreferenceChar"/>
        </w:rPr>
        <w:instrText xml:space="preserve"> REF _Ref276550999 \h  \* MERGEFORMAT </w:instrText>
      </w:r>
      <w:r w:rsidRPr="005E35BA">
        <w:rPr>
          <w:rStyle w:val="FigreferenceChar"/>
        </w:rPr>
      </w:r>
      <w:r w:rsidRPr="005E35BA">
        <w:rPr>
          <w:rStyle w:val="FigreferenceChar"/>
        </w:rPr>
        <w:fldChar w:fldCharType="separate"/>
      </w:r>
      <w:r w:rsidR="006B22A7" w:rsidRPr="006B22A7">
        <w:rPr>
          <w:rStyle w:val="FigreferenceChar"/>
        </w:rPr>
        <w:t>Table 30</w:t>
      </w:r>
      <w:r w:rsidRPr="005E35BA">
        <w:rPr>
          <w:rStyle w:val="FigreferenceChar"/>
        </w:rPr>
        <w:fldChar w:fldCharType="end"/>
      </w:r>
      <w:r w:rsidRPr="00A37634">
        <w:rPr>
          <w:rFonts w:ascii="Calibri" w:eastAsia="Cambria" w:hAnsi="Calibri" w:cs="Calibri"/>
          <w:lang w:val="en-AU"/>
        </w:rPr>
        <w:t>. The quantum of net benefit is the difference between the sum of these values and the cost of establishing and operating the DR programs.</w:t>
      </w:r>
    </w:p>
    <w:p w14:paraId="29CFD468" w14:textId="206C8821"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The timing and allocation of net benefits among customers is up to the electricity utilities or DRSPs. The full net benefits could be passed on to all electricity consumers equally in the form of tariff reductions. Alternatively, a share of the benefits could be distributed in the form of cash incentives for DR contract participants</w:t>
      </w:r>
      <w:r w:rsidR="00B303A7">
        <w:rPr>
          <w:rFonts w:ascii="Calibri" w:eastAsia="Cambria" w:hAnsi="Calibri" w:cs="Calibri"/>
          <w:lang w:val="en-AU"/>
        </w:rPr>
        <w:t xml:space="preserve"> (at the time of activation</w:t>
      </w:r>
      <w:r w:rsidR="00F23C30">
        <w:rPr>
          <w:rFonts w:ascii="Calibri" w:eastAsia="Cambria" w:hAnsi="Calibri" w:cs="Calibri"/>
          <w:lang w:val="en-AU"/>
        </w:rPr>
        <w:t xml:space="preserve">, </w:t>
      </w:r>
      <w:r w:rsidR="00B303A7">
        <w:rPr>
          <w:rFonts w:ascii="Calibri" w:eastAsia="Cambria" w:hAnsi="Calibri" w:cs="Calibri"/>
          <w:lang w:val="en-AU"/>
        </w:rPr>
        <w:t>per</w:t>
      </w:r>
      <w:r w:rsidR="00F23C30">
        <w:rPr>
          <w:rFonts w:ascii="Calibri" w:eastAsia="Cambria" w:hAnsi="Calibri" w:cs="Calibri"/>
          <w:lang w:val="en-AU"/>
        </w:rPr>
        <w:t xml:space="preserve"> DR event or both)</w:t>
      </w:r>
      <w:r w:rsidRPr="00A37634">
        <w:rPr>
          <w:rFonts w:ascii="Calibri" w:eastAsia="Cambria" w:hAnsi="Calibri" w:cs="Calibri"/>
          <w:lang w:val="en-AU"/>
        </w:rPr>
        <w:t xml:space="preserve">, so reducing the pool available for tariff or bill reductions. </w:t>
      </w:r>
    </w:p>
    <w:p w14:paraId="25144FF5" w14:textId="77777777"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Contracts would have to be designed so that the favourable tariffs or other incentives offered would be sufficient to motivate householders to participate. It is up to the DRSPs to devise the right balance of incentives to achieve the necessary participation rates. </w:t>
      </w:r>
    </w:p>
    <w:p w14:paraId="174C29FF" w14:textId="77777777"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The timing of costs and benefits is modelled as follows:</w:t>
      </w:r>
    </w:p>
    <w:p w14:paraId="5FF3D3C2" w14:textId="77777777" w:rsidR="00A37634" w:rsidRPr="00A37634" w:rsidRDefault="00A37634" w:rsidP="00FF17C7">
      <w:pPr>
        <w:numPr>
          <w:ilvl w:val="0"/>
          <w:numId w:val="6"/>
        </w:numPr>
        <w:spacing w:before="120" w:after="120" w:line="240" w:lineRule="auto"/>
        <w:rPr>
          <w:rFonts w:ascii="Calibri" w:eastAsia="Cambria" w:hAnsi="Calibri" w:cs="Calibri"/>
          <w:lang w:val="en-AU"/>
        </w:rPr>
      </w:pPr>
      <w:r w:rsidRPr="00A37634">
        <w:rPr>
          <w:rFonts w:ascii="Calibri" w:eastAsia="Cambria" w:hAnsi="Calibri" w:cs="Calibri"/>
          <w:lang w:val="en-AU"/>
        </w:rPr>
        <w:t>The additional costs which DR-capability adds to the price of appliances is borne by consumers in the year in which those appliances are purchased;</w:t>
      </w:r>
    </w:p>
    <w:p w14:paraId="280F9531" w14:textId="12080F3E" w:rsidR="00A37634" w:rsidRPr="00A37634" w:rsidRDefault="00A37634" w:rsidP="00FF17C7">
      <w:pPr>
        <w:numPr>
          <w:ilvl w:val="0"/>
          <w:numId w:val="6"/>
        </w:numPr>
        <w:spacing w:before="120" w:after="120" w:line="240" w:lineRule="auto"/>
        <w:rPr>
          <w:rFonts w:ascii="Calibri" w:eastAsia="Cambria" w:hAnsi="Calibri" w:cs="Calibri"/>
          <w:lang w:val="en-AU"/>
        </w:rPr>
      </w:pPr>
      <w:r w:rsidRPr="00A37634">
        <w:rPr>
          <w:rFonts w:ascii="Calibri" w:eastAsia="Cambria" w:hAnsi="Calibri" w:cs="Calibri"/>
          <w:lang w:val="en-AU"/>
        </w:rPr>
        <w:t>The activation costs are incurred in the year the DR capability is activated and the consumer joins a D</w:t>
      </w:r>
      <w:r w:rsidR="00F23C30">
        <w:rPr>
          <w:rFonts w:ascii="Calibri" w:eastAsia="Cambria" w:hAnsi="Calibri" w:cs="Calibri"/>
          <w:lang w:val="en-AU"/>
        </w:rPr>
        <w:t>R</w:t>
      </w:r>
      <w:r w:rsidRPr="00A37634">
        <w:rPr>
          <w:rFonts w:ascii="Calibri" w:eastAsia="Cambria" w:hAnsi="Calibri" w:cs="Calibri"/>
          <w:lang w:val="en-AU"/>
        </w:rPr>
        <w:t xml:space="preserve"> program (assumed to occur simultaneously). This may be at the time of appliance purchase or later. Activation costs will </w:t>
      </w:r>
      <w:r w:rsidR="00F23C30">
        <w:rPr>
          <w:rFonts w:ascii="Calibri" w:eastAsia="Cambria" w:hAnsi="Calibri" w:cs="Calibri"/>
          <w:lang w:val="en-AU"/>
        </w:rPr>
        <w:t xml:space="preserve">generally </w:t>
      </w:r>
      <w:r w:rsidRPr="00A37634">
        <w:rPr>
          <w:rFonts w:ascii="Calibri" w:eastAsia="Cambria" w:hAnsi="Calibri" w:cs="Calibri"/>
          <w:lang w:val="en-AU"/>
        </w:rPr>
        <w:t xml:space="preserve">be lower at the time of installation, because no extra service call </w:t>
      </w:r>
      <w:r w:rsidR="00F23C30">
        <w:rPr>
          <w:rFonts w:ascii="Calibri" w:eastAsia="Cambria" w:hAnsi="Calibri" w:cs="Calibri"/>
          <w:lang w:val="en-AU"/>
        </w:rPr>
        <w:t xml:space="preserve">will be </w:t>
      </w:r>
      <w:r w:rsidRPr="00A37634">
        <w:rPr>
          <w:rFonts w:ascii="Calibri" w:eastAsia="Cambria" w:hAnsi="Calibri" w:cs="Calibri"/>
          <w:lang w:val="en-AU"/>
        </w:rPr>
        <w:t>necessary</w:t>
      </w:r>
      <w:r w:rsidR="00F23C30">
        <w:rPr>
          <w:rFonts w:ascii="Calibri" w:eastAsia="Cambria" w:hAnsi="Calibri" w:cs="Calibri"/>
          <w:lang w:val="en-AU"/>
        </w:rPr>
        <w:t xml:space="preserve"> (for AS 4755.2 products, remote activation without a service call may also be possible)</w:t>
      </w:r>
      <w:r w:rsidRPr="00A37634">
        <w:rPr>
          <w:rFonts w:ascii="Calibri" w:eastAsia="Cambria" w:hAnsi="Calibri" w:cs="Calibri"/>
          <w:lang w:val="en-AU"/>
        </w:rPr>
        <w:t xml:space="preserve">; </w:t>
      </w:r>
    </w:p>
    <w:p w14:paraId="78DB38DD" w14:textId="5C155BAE" w:rsidR="00A37634" w:rsidRPr="00A37634" w:rsidRDefault="00A37634" w:rsidP="00FF17C7">
      <w:pPr>
        <w:numPr>
          <w:ilvl w:val="0"/>
          <w:numId w:val="6"/>
        </w:numPr>
        <w:spacing w:before="120" w:after="120" w:line="240" w:lineRule="auto"/>
        <w:rPr>
          <w:rFonts w:ascii="Calibri" w:eastAsia="Cambria" w:hAnsi="Calibri" w:cs="Calibri"/>
          <w:lang w:val="en-AU"/>
        </w:rPr>
      </w:pPr>
      <w:r w:rsidRPr="00A37634">
        <w:rPr>
          <w:rFonts w:ascii="Calibri" w:eastAsia="Cambria" w:hAnsi="Calibri" w:cs="Calibri"/>
          <w:lang w:val="en-AU"/>
        </w:rPr>
        <w:t xml:space="preserve">The benefit of avoiding infrastructure investment to meet future maximum demand (after accounting for the diversity of the load under control) accrues in the year that the appliance is activated; </w:t>
      </w:r>
      <w:r w:rsidR="005A520F">
        <w:rPr>
          <w:rFonts w:ascii="Calibri" w:eastAsia="Cambria" w:hAnsi="Calibri" w:cs="Calibri"/>
          <w:lang w:val="en-AU"/>
        </w:rPr>
        <w:t>and</w:t>
      </w:r>
    </w:p>
    <w:p w14:paraId="0D215BBE" w14:textId="01B3731E" w:rsidR="00A37634" w:rsidRDefault="00A37634" w:rsidP="00FF17C7">
      <w:pPr>
        <w:numPr>
          <w:ilvl w:val="0"/>
          <w:numId w:val="6"/>
        </w:numPr>
        <w:spacing w:before="120" w:after="120" w:line="240" w:lineRule="auto"/>
        <w:rPr>
          <w:rFonts w:ascii="Calibri" w:eastAsia="Cambria" w:hAnsi="Calibri" w:cs="Calibri"/>
          <w:lang w:val="en-AU"/>
        </w:rPr>
      </w:pPr>
      <w:r w:rsidRPr="00A37634">
        <w:rPr>
          <w:rFonts w:ascii="Calibri" w:eastAsia="Cambria" w:hAnsi="Calibri" w:cs="Calibri"/>
          <w:lang w:val="en-AU"/>
        </w:rPr>
        <w:t xml:space="preserve">The value of other benefits (wholesale price reductions, load shifts and bidding DR into the </w:t>
      </w:r>
      <w:r w:rsidR="00F23C30">
        <w:rPr>
          <w:rFonts w:ascii="Calibri" w:eastAsia="Cambria" w:hAnsi="Calibri" w:cs="Calibri"/>
          <w:lang w:val="en-AU"/>
        </w:rPr>
        <w:t xml:space="preserve">RERT </w:t>
      </w:r>
      <w:r w:rsidRPr="00A37634">
        <w:rPr>
          <w:rFonts w:ascii="Calibri" w:eastAsia="Cambria" w:hAnsi="Calibri" w:cs="Calibri"/>
          <w:lang w:val="en-AU"/>
        </w:rPr>
        <w:t xml:space="preserve">market) accrue in each year that DR is </w:t>
      </w:r>
      <w:r w:rsidR="00F23C30">
        <w:rPr>
          <w:rFonts w:ascii="Calibri" w:eastAsia="Cambria" w:hAnsi="Calibri" w:cs="Calibri"/>
          <w:lang w:val="en-AU"/>
        </w:rPr>
        <w:t xml:space="preserve">exercised </w:t>
      </w:r>
      <w:r w:rsidRPr="00A37634">
        <w:rPr>
          <w:rFonts w:ascii="Calibri" w:eastAsia="Cambria" w:hAnsi="Calibri" w:cs="Calibri"/>
          <w:lang w:val="en-AU"/>
        </w:rPr>
        <w:t xml:space="preserve">for that purposes, and depend on the number of hours invoked. </w:t>
      </w:r>
    </w:p>
    <w:p w14:paraId="69CAF444" w14:textId="2A00873D" w:rsidR="00EF296F" w:rsidRDefault="00B303A7" w:rsidP="00EF296F">
      <w:pPr>
        <w:rPr>
          <w:lang w:val="en-AU"/>
        </w:rPr>
      </w:pPr>
      <w:r w:rsidRPr="00B303A7">
        <w:rPr>
          <w:lang w:val="en-AU"/>
        </w:rPr>
        <w:t xml:space="preserve">The </w:t>
      </w:r>
      <w:r w:rsidR="005A520F">
        <w:rPr>
          <w:lang w:val="en-AU"/>
        </w:rPr>
        <w:t xml:space="preserve">NPV </w:t>
      </w:r>
      <w:r w:rsidRPr="00B303A7">
        <w:rPr>
          <w:lang w:val="en-AU"/>
        </w:rPr>
        <w:t>(at June 20</w:t>
      </w:r>
      <w:r w:rsidR="00F23C30">
        <w:rPr>
          <w:lang w:val="en-AU"/>
        </w:rPr>
        <w:t>20</w:t>
      </w:r>
      <w:r w:rsidRPr="00B303A7">
        <w:rPr>
          <w:lang w:val="en-AU"/>
        </w:rPr>
        <w:t>, i.e. the start of FY 202</w:t>
      </w:r>
      <w:r w:rsidR="00F23C30">
        <w:rPr>
          <w:lang w:val="en-AU"/>
        </w:rPr>
        <w:t>1</w:t>
      </w:r>
      <w:r w:rsidRPr="00B303A7">
        <w:rPr>
          <w:lang w:val="en-AU"/>
        </w:rPr>
        <w:t xml:space="preserve">) of the stream of future costs and benefits </w:t>
      </w:r>
      <w:r w:rsidR="00F23C30">
        <w:rPr>
          <w:lang w:val="en-AU"/>
        </w:rPr>
        <w:t xml:space="preserve">accruing over the period 2020-2036 </w:t>
      </w:r>
      <w:r w:rsidRPr="00B303A7">
        <w:rPr>
          <w:lang w:val="en-AU"/>
        </w:rPr>
        <w:t>is then calculated using the range of discount rates specified by the Office of Best Practice Regulation (OBPR): 7%</w:t>
      </w:r>
      <w:r w:rsidR="00F23C30">
        <w:rPr>
          <w:lang w:val="en-AU"/>
        </w:rPr>
        <w:t xml:space="preserve">, with sensitivity testing at </w:t>
      </w:r>
      <w:r w:rsidRPr="00B303A7">
        <w:rPr>
          <w:lang w:val="en-AU"/>
        </w:rPr>
        <w:t>3% and 10%.</w:t>
      </w:r>
      <w:r w:rsidR="00F23C30">
        <w:rPr>
          <w:lang w:val="en-AU"/>
        </w:rPr>
        <w:t xml:space="preserve"> For New Zealand, the central discount rate is 6%. </w:t>
      </w:r>
    </w:p>
    <w:p w14:paraId="55F7557A" w14:textId="615C872E" w:rsidR="00B303A7" w:rsidRPr="00A37634" w:rsidRDefault="00B303A7" w:rsidP="00F23C30">
      <w:pPr>
        <w:spacing w:before="120" w:after="120" w:line="278" w:lineRule="auto"/>
        <w:rPr>
          <w:lang w:val="en-AU"/>
        </w:rPr>
      </w:pPr>
      <w:r w:rsidRPr="00A37634">
        <w:rPr>
          <w:rFonts w:ascii="Calibri" w:eastAsia="Cambria" w:hAnsi="Calibri" w:cs="Calibri"/>
          <w:lang w:val="en-AU"/>
        </w:rPr>
        <w:lastRenderedPageBreak/>
        <w:t>Some studies treat the value of avoided investment in infrastructure as an annual benefit</w:t>
      </w:r>
      <w:r w:rsidRPr="00A37634">
        <w:rPr>
          <w:rFonts w:ascii="Calibri" w:eastAsia="Cambria" w:hAnsi="Calibri" w:cs="Calibri"/>
          <w:vertAlign w:val="superscript"/>
          <w:lang w:val="en-AU"/>
        </w:rPr>
        <w:footnoteReference w:id="99"/>
      </w:r>
      <w:r w:rsidRPr="00A37634">
        <w:rPr>
          <w:rFonts w:ascii="Calibri" w:eastAsia="Cambria" w:hAnsi="Calibri" w:cs="Calibri"/>
          <w:lang w:val="en-AU"/>
        </w:rPr>
        <w:t xml:space="preserve"> but the two approaches are essentially equivalent, once allowance is made for discount rates and the duration of the impact of the investment-avoiding measure. It is necessary to assume that the effect of the demand-side investment-avoiding strategy is accurately projected and that it is implemented as planned – just as it is necessary to assume the same for supply-side infrastructure investments. </w:t>
      </w:r>
    </w:p>
    <w:p w14:paraId="53C93966" w14:textId="7C60BD76" w:rsidR="00A37634" w:rsidRPr="00A37634" w:rsidRDefault="00A37634" w:rsidP="00A37634">
      <w:pPr>
        <w:spacing w:before="120" w:after="120" w:line="240" w:lineRule="auto"/>
        <w:jc w:val="center"/>
        <w:rPr>
          <w:rFonts w:ascii="Calibri" w:eastAsia="Cambria" w:hAnsi="Calibri" w:cs="Calibri"/>
          <w:b/>
          <w:bCs/>
          <w:sz w:val="20"/>
          <w:szCs w:val="16"/>
          <w:lang w:val="en-AU"/>
        </w:rPr>
      </w:pPr>
      <w:bookmarkStart w:id="162" w:name="_Ref276550999"/>
      <w:bookmarkStart w:id="163" w:name="_Toc333183010"/>
      <w:bookmarkStart w:id="164" w:name="_Toc369633222"/>
      <w:bookmarkStart w:id="165" w:name="_Toc11360596"/>
      <w:bookmarkStart w:id="166" w:name="_Toc22486972"/>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B1ACD">
        <w:rPr>
          <w:rFonts w:ascii="Calibri" w:eastAsia="Cambria" w:hAnsi="Calibri" w:cs="Calibri"/>
          <w:b/>
          <w:bCs/>
          <w:noProof/>
          <w:sz w:val="20"/>
          <w:szCs w:val="16"/>
          <w:lang w:val="en-AU"/>
        </w:rPr>
        <w:t>28</w:t>
      </w:r>
      <w:r w:rsidRPr="00A37634">
        <w:rPr>
          <w:rFonts w:ascii="Calibri" w:eastAsia="Cambria" w:hAnsi="Calibri" w:cs="Calibri"/>
          <w:b/>
          <w:bCs/>
          <w:noProof/>
          <w:sz w:val="20"/>
          <w:szCs w:val="16"/>
          <w:lang w:val="en-AU"/>
        </w:rPr>
        <w:fldChar w:fldCharType="end"/>
      </w:r>
      <w:bookmarkEnd w:id="162"/>
      <w:r w:rsidRPr="00A37634">
        <w:rPr>
          <w:rFonts w:ascii="Calibri" w:eastAsia="Cambria" w:hAnsi="Calibri" w:cs="Calibri"/>
          <w:b/>
          <w:bCs/>
          <w:sz w:val="20"/>
          <w:szCs w:val="16"/>
          <w:lang w:val="en-AU"/>
        </w:rPr>
        <w:t>. Demand response costs and benefits quantified in this RIS</w:t>
      </w:r>
      <w:bookmarkEnd w:id="163"/>
      <w:bookmarkEnd w:id="164"/>
      <w:bookmarkEnd w:id="165"/>
      <w:bookmarkEnd w:id="166"/>
    </w:p>
    <w:tbl>
      <w:tblPr>
        <w:tblW w:w="5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5"/>
        <w:gridCol w:w="900"/>
        <w:gridCol w:w="900"/>
        <w:gridCol w:w="907"/>
        <w:gridCol w:w="900"/>
        <w:gridCol w:w="900"/>
        <w:gridCol w:w="900"/>
        <w:gridCol w:w="900"/>
        <w:gridCol w:w="900"/>
        <w:gridCol w:w="900"/>
        <w:gridCol w:w="856"/>
        <w:gridCol w:w="849"/>
      </w:tblGrid>
      <w:tr w:rsidR="00A37634" w:rsidRPr="00A37634" w14:paraId="74F6D3DD" w14:textId="77777777" w:rsidTr="007C7289">
        <w:trPr>
          <w:cantSplit/>
          <w:tblHeader/>
          <w:jc w:val="center"/>
        </w:trPr>
        <w:tc>
          <w:tcPr>
            <w:tcW w:w="563" w:type="pct"/>
            <w:tcMar>
              <w:left w:w="57" w:type="dxa"/>
              <w:right w:w="57" w:type="dxa"/>
            </w:tcMar>
          </w:tcPr>
          <w:p w14:paraId="69ABF2CA" w14:textId="77777777" w:rsidR="00A37634" w:rsidRPr="00A37634" w:rsidRDefault="00A37634" w:rsidP="00A37634">
            <w:pPr>
              <w:spacing w:before="60" w:after="60" w:line="240" w:lineRule="auto"/>
              <w:rPr>
                <w:rFonts w:ascii="Calibri" w:eastAsia="Times New Roman" w:hAnsi="Calibri" w:cs="Calibri"/>
                <w:b/>
                <w:sz w:val="15"/>
                <w:szCs w:val="14"/>
                <w:lang w:val="en-AU"/>
              </w:rPr>
            </w:pPr>
            <w:r w:rsidRPr="00A37634">
              <w:rPr>
                <w:rFonts w:ascii="Calibri" w:eastAsia="Times New Roman" w:hAnsi="Calibri" w:cs="Calibri"/>
                <w:b/>
                <w:sz w:val="15"/>
                <w:szCs w:val="14"/>
                <w:lang w:val="en-AU"/>
              </w:rPr>
              <w:t>Electrical Products</w:t>
            </w:r>
          </w:p>
        </w:tc>
        <w:tc>
          <w:tcPr>
            <w:tcW w:w="1224" w:type="pct"/>
            <w:gridSpan w:val="3"/>
            <w:tcMar>
              <w:left w:w="57" w:type="dxa"/>
              <w:right w:w="57" w:type="dxa"/>
            </w:tcMar>
          </w:tcPr>
          <w:p w14:paraId="048E2F70" w14:textId="77777777" w:rsidR="00A37634" w:rsidRPr="00A37634" w:rsidRDefault="00A37634" w:rsidP="00A37634">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Costs</w:t>
            </w:r>
          </w:p>
        </w:tc>
        <w:tc>
          <w:tcPr>
            <w:tcW w:w="3212" w:type="pct"/>
            <w:gridSpan w:val="8"/>
          </w:tcPr>
          <w:p w14:paraId="5DBE9F6C" w14:textId="77777777" w:rsidR="00A37634" w:rsidRPr="00A37634" w:rsidRDefault="00A37634" w:rsidP="00A37634">
            <w:pPr>
              <w:spacing w:before="60" w:after="60" w:line="240" w:lineRule="auto"/>
              <w:jc w:val="center"/>
              <w:rPr>
                <w:rFonts w:ascii="Calibri" w:eastAsia="Times New Roman" w:hAnsi="Calibri" w:cs="Calibri"/>
                <w:b/>
                <w:sz w:val="15"/>
                <w:szCs w:val="14"/>
                <w:lang w:val="en-AU"/>
              </w:rPr>
            </w:pPr>
            <w:r w:rsidRPr="00A37634">
              <w:rPr>
                <w:rFonts w:ascii="Calibri" w:eastAsia="Times New Roman" w:hAnsi="Calibri" w:cs="Calibri"/>
                <w:b/>
                <w:sz w:val="15"/>
                <w:szCs w:val="14"/>
                <w:lang w:val="en-AU"/>
              </w:rPr>
              <w:t>Benefits</w:t>
            </w:r>
          </w:p>
        </w:tc>
      </w:tr>
      <w:tr w:rsidR="00A37634" w:rsidRPr="00A37634" w14:paraId="5F09521A" w14:textId="77777777" w:rsidTr="007C7289">
        <w:trPr>
          <w:cantSplit/>
          <w:jc w:val="center"/>
        </w:trPr>
        <w:tc>
          <w:tcPr>
            <w:tcW w:w="563" w:type="pct"/>
            <w:tcMar>
              <w:left w:w="57" w:type="dxa"/>
              <w:right w:w="57" w:type="dxa"/>
            </w:tcMar>
          </w:tcPr>
          <w:p w14:paraId="3C2AB920" w14:textId="77777777" w:rsidR="00A37634" w:rsidRPr="00A37634" w:rsidRDefault="00A37634" w:rsidP="00A37634">
            <w:pPr>
              <w:spacing w:before="60" w:after="60" w:line="240" w:lineRule="auto"/>
              <w:rPr>
                <w:rFonts w:ascii="Calibri" w:eastAsia="Times New Roman" w:hAnsi="Calibri" w:cs="Calibri"/>
                <w:b/>
                <w:sz w:val="18"/>
                <w:szCs w:val="14"/>
                <w:lang w:val="en-AU"/>
              </w:rPr>
            </w:pPr>
          </w:p>
        </w:tc>
        <w:tc>
          <w:tcPr>
            <w:tcW w:w="407" w:type="pct"/>
            <w:tcBorders>
              <w:bottom w:val="single" w:sz="4" w:space="0" w:color="auto"/>
            </w:tcBorders>
            <w:tcMar>
              <w:left w:w="57" w:type="dxa"/>
              <w:right w:w="57" w:type="dxa"/>
            </w:tcMar>
          </w:tcPr>
          <w:p w14:paraId="4E0CD392" w14:textId="77777777"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Interface costs</w:t>
            </w:r>
          </w:p>
        </w:tc>
        <w:tc>
          <w:tcPr>
            <w:tcW w:w="407" w:type="pct"/>
            <w:tcBorders>
              <w:bottom w:val="single" w:sz="4" w:space="0" w:color="auto"/>
            </w:tcBorders>
            <w:tcMar>
              <w:left w:w="57" w:type="dxa"/>
              <w:right w:w="57" w:type="dxa"/>
            </w:tcMar>
          </w:tcPr>
          <w:p w14:paraId="5D1D64CD" w14:textId="0A3A8CE4"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Connection &amp; activation costs</w:t>
            </w:r>
          </w:p>
        </w:tc>
        <w:tc>
          <w:tcPr>
            <w:tcW w:w="410" w:type="pct"/>
            <w:tcBorders>
              <w:bottom w:val="single" w:sz="4" w:space="0" w:color="auto"/>
            </w:tcBorders>
          </w:tcPr>
          <w:p w14:paraId="4BB0E15E" w14:textId="77777777"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Annual cost of servicing part-icipants</w:t>
            </w:r>
          </w:p>
        </w:tc>
        <w:tc>
          <w:tcPr>
            <w:tcW w:w="407" w:type="pct"/>
            <w:tcBorders>
              <w:bottom w:val="single" w:sz="4" w:space="0" w:color="auto"/>
            </w:tcBorders>
            <w:tcMar>
              <w:left w:w="57" w:type="dxa"/>
              <w:right w:w="57" w:type="dxa"/>
            </w:tcMar>
          </w:tcPr>
          <w:p w14:paraId="5BC2A545" w14:textId="77777777"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Reduce summer peak</w:t>
            </w:r>
          </w:p>
        </w:tc>
        <w:tc>
          <w:tcPr>
            <w:tcW w:w="407" w:type="pct"/>
            <w:tcBorders>
              <w:bottom w:val="single" w:sz="4" w:space="0" w:color="auto"/>
            </w:tcBorders>
            <w:tcMar>
              <w:left w:w="57" w:type="dxa"/>
              <w:right w:w="57" w:type="dxa"/>
            </w:tcMar>
          </w:tcPr>
          <w:p w14:paraId="554B24E7" w14:textId="77777777"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Reduce winter peak</w:t>
            </w:r>
            <w:r w:rsidRPr="00A37634">
              <w:rPr>
                <w:rFonts w:ascii="Calibri" w:eastAsia="Times New Roman" w:hAnsi="Calibri" w:cs="Calibri"/>
                <w:b/>
                <w:sz w:val="14"/>
                <w:szCs w:val="14"/>
                <w:lang w:val="en-AU"/>
              </w:rPr>
              <w:br/>
              <w:t>(a)</w:t>
            </w:r>
          </w:p>
        </w:tc>
        <w:tc>
          <w:tcPr>
            <w:tcW w:w="407" w:type="pct"/>
            <w:tcBorders>
              <w:bottom w:val="single" w:sz="4" w:space="0" w:color="auto"/>
            </w:tcBorders>
            <w:tcMar>
              <w:left w:w="57" w:type="dxa"/>
              <w:right w:w="57" w:type="dxa"/>
            </w:tcMar>
          </w:tcPr>
          <w:p w14:paraId="3ED38DC8" w14:textId="77777777"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 xml:space="preserve">Reduce w/sale price to part-icipants </w:t>
            </w:r>
          </w:p>
        </w:tc>
        <w:tc>
          <w:tcPr>
            <w:tcW w:w="407" w:type="pct"/>
            <w:tcBorders>
              <w:bottom w:val="single" w:sz="4" w:space="0" w:color="auto"/>
            </w:tcBorders>
            <w:tcMar>
              <w:left w:w="57" w:type="dxa"/>
              <w:right w:w="57" w:type="dxa"/>
            </w:tcMar>
          </w:tcPr>
          <w:p w14:paraId="54F2FFA8" w14:textId="77777777"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 xml:space="preserve">Reduce </w:t>
            </w:r>
            <w:r w:rsidRPr="00A37634">
              <w:rPr>
                <w:rFonts w:ascii="Calibri" w:eastAsia="Times New Roman" w:hAnsi="Calibri" w:cs="Calibri"/>
                <w:b/>
                <w:sz w:val="14"/>
                <w:szCs w:val="14"/>
                <w:lang w:val="en-AU"/>
              </w:rPr>
              <w:br/>
              <w:t xml:space="preserve">w/sale </w:t>
            </w:r>
            <w:r w:rsidRPr="00A37634">
              <w:rPr>
                <w:rFonts w:ascii="Calibri" w:eastAsia="Times New Roman" w:hAnsi="Calibri" w:cs="Calibri"/>
                <w:b/>
                <w:sz w:val="14"/>
                <w:szCs w:val="14"/>
                <w:lang w:val="en-AU"/>
              </w:rPr>
              <w:br/>
              <w:t>price to other users</w:t>
            </w:r>
          </w:p>
        </w:tc>
        <w:tc>
          <w:tcPr>
            <w:tcW w:w="407" w:type="pct"/>
            <w:tcBorders>
              <w:bottom w:val="single" w:sz="4" w:space="0" w:color="auto"/>
            </w:tcBorders>
            <w:tcMar>
              <w:left w:w="57" w:type="dxa"/>
              <w:right w:w="57" w:type="dxa"/>
            </w:tcMar>
          </w:tcPr>
          <w:p w14:paraId="0946AD3F" w14:textId="4F9A50E0"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Reliability &amp; Emerg-</w:t>
            </w:r>
            <w:r w:rsidRPr="00A37634">
              <w:rPr>
                <w:rFonts w:ascii="Calibri" w:eastAsia="Times New Roman" w:hAnsi="Calibri" w:cs="Calibri"/>
                <w:b/>
                <w:sz w:val="14"/>
                <w:szCs w:val="14"/>
                <w:lang w:val="en-AU"/>
              </w:rPr>
              <w:br/>
              <w:t>ency</w:t>
            </w:r>
            <w:r w:rsidRPr="00A37634">
              <w:rPr>
                <w:rFonts w:ascii="Calibri" w:eastAsia="Times New Roman" w:hAnsi="Calibri" w:cs="Calibri"/>
                <w:b/>
                <w:sz w:val="14"/>
                <w:szCs w:val="14"/>
                <w:lang w:val="en-AU"/>
              </w:rPr>
              <w:br/>
              <w:t>(b)</w:t>
            </w:r>
          </w:p>
        </w:tc>
        <w:tc>
          <w:tcPr>
            <w:tcW w:w="407" w:type="pct"/>
            <w:tcMar>
              <w:left w:w="57" w:type="dxa"/>
              <w:right w:w="57" w:type="dxa"/>
            </w:tcMar>
          </w:tcPr>
          <w:p w14:paraId="7770FBDC" w14:textId="77777777"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Energy storage &amp; time-shift</w:t>
            </w:r>
          </w:p>
        </w:tc>
        <w:tc>
          <w:tcPr>
            <w:tcW w:w="387" w:type="pct"/>
            <w:tcMar>
              <w:left w:w="57" w:type="dxa"/>
              <w:right w:w="57" w:type="dxa"/>
            </w:tcMar>
          </w:tcPr>
          <w:p w14:paraId="447B2D0B" w14:textId="77777777"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Return energy to grid</w:t>
            </w:r>
          </w:p>
        </w:tc>
        <w:tc>
          <w:tcPr>
            <w:tcW w:w="384" w:type="pct"/>
          </w:tcPr>
          <w:p w14:paraId="447BDE3B" w14:textId="6B68C4AE" w:rsidR="00A37634" w:rsidRPr="00A37634" w:rsidRDefault="00A37634" w:rsidP="00A37634">
            <w:pPr>
              <w:spacing w:before="60" w:after="60" w:line="240" w:lineRule="auto"/>
              <w:jc w:val="center"/>
              <w:rPr>
                <w:rFonts w:ascii="Calibri" w:eastAsia="Times New Roman" w:hAnsi="Calibri" w:cs="Calibri"/>
                <w:b/>
                <w:sz w:val="14"/>
                <w:szCs w:val="14"/>
                <w:lang w:val="en-AU"/>
              </w:rPr>
            </w:pPr>
            <w:r w:rsidRPr="00A37634">
              <w:rPr>
                <w:rFonts w:ascii="Calibri" w:eastAsia="Times New Roman" w:hAnsi="Calibri" w:cs="Calibri"/>
                <w:b/>
                <w:sz w:val="14"/>
                <w:szCs w:val="14"/>
                <w:lang w:val="en-AU"/>
              </w:rPr>
              <w:t>User-managed DR with 4755 products</w:t>
            </w:r>
          </w:p>
        </w:tc>
      </w:tr>
      <w:tr w:rsidR="00A37634" w:rsidRPr="00A37634" w14:paraId="537B2705" w14:textId="77777777" w:rsidTr="007C7289">
        <w:trPr>
          <w:jc w:val="center"/>
        </w:trPr>
        <w:tc>
          <w:tcPr>
            <w:tcW w:w="563" w:type="pct"/>
            <w:tcMar>
              <w:left w:w="57" w:type="dxa"/>
              <w:right w:w="57" w:type="dxa"/>
            </w:tcMar>
          </w:tcPr>
          <w:p w14:paraId="039F930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Air conditioners</w:t>
            </w:r>
          </w:p>
        </w:tc>
        <w:tc>
          <w:tcPr>
            <w:tcW w:w="407" w:type="pct"/>
            <w:shd w:val="clear" w:color="auto" w:fill="92D050"/>
            <w:tcMar>
              <w:left w:w="57" w:type="dxa"/>
              <w:right w:w="57" w:type="dxa"/>
            </w:tcMar>
          </w:tcPr>
          <w:p w14:paraId="1BD83662"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50AB01FA"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10" w:type="pct"/>
            <w:shd w:val="clear" w:color="auto" w:fill="92D050"/>
          </w:tcPr>
          <w:p w14:paraId="4B77AC63"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491D2044"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7D6BA36C"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25695475"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54D9C779"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41C644EC"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tcBorders>
              <w:bottom w:val="single" w:sz="4" w:space="0" w:color="auto"/>
            </w:tcBorders>
            <w:tcMar>
              <w:left w:w="57" w:type="dxa"/>
              <w:right w:w="57" w:type="dxa"/>
            </w:tcMar>
          </w:tcPr>
          <w:p w14:paraId="6E4EF503"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NA</w:t>
            </w:r>
          </w:p>
        </w:tc>
        <w:tc>
          <w:tcPr>
            <w:tcW w:w="387" w:type="pct"/>
            <w:tcMar>
              <w:left w:w="57" w:type="dxa"/>
              <w:right w:w="57" w:type="dxa"/>
            </w:tcMar>
          </w:tcPr>
          <w:p w14:paraId="661A67C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NA</w:t>
            </w:r>
          </w:p>
        </w:tc>
        <w:tc>
          <w:tcPr>
            <w:tcW w:w="384" w:type="pct"/>
            <w:shd w:val="clear" w:color="auto" w:fill="FFCC00"/>
          </w:tcPr>
          <w:p w14:paraId="1E0C2885"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 xml:space="preserve">Not </w:t>
            </w:r>
            <w:r w:rsidRPr="00A37634">
              <w:rPr>
                <w:rFonts w:ascii="Calibri" w:eastAsia="Times New Roman" w:hAnsi="Calibri" w:cs="Calibri"/>
                <w:sz w:val="14"/>
                <w:szCs w:val="14"/>
                <w:lang w:val="en-AU"/>
              </w:rPr>
              <w:br/>
              <w:t>quantified</w:t>
            </w:r>
          </w:p>
        </w:tc>
      </w:tr>
      <w:tr w:rsidR="00A37634" w:rsidRPr="00A37634" w14:paraId="7DDF318D" w14:textId="77777777" w:rsidTr="007C7289">
        <w:trPr>
          <w:jc w:val="center"/>
        </w:trPr>
        <w:tc>
          <w:tcPr>
            <w:tcW w:w="563" w:type="pct"/>
            <w:tcMar>
              <w:left w:w="57" w:type="dxa"/>
              <w:right w:w="57" w:type="dxa"/>
            </w:tcMar>
          </w:tcPr>
          <w:p w14:paraId="3694C734"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Pool pump controllers</w:t>
            </w:r>
          </w:p>
        </w:tc>
        <w:tc>
          <w:tcPr>
            <w:tcW w:w="407" w:type="pct"/>
            <w:shd w:val="clear" w:color="auto" w:fill="92D050"/>
            <w:tcMar>
              <w:left w:w="57" w:type="dxa"/>
              <w:right w:w="57" w:type="dxa"/>
            </w:tcMar>
          </w:tcPr>
          <w:p w14:paraId="04AAEE4F"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2C850D10"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10" w:type="pct"/>
            <w:shd w:val="clear" w:color="auto" w:fill="92D050"/>
          </w:tcPr>
          <w:p w14:paraId="0752F9C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15450E6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1546475C"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 xml:space="preserve"> Quantified</w:t>
            </w:r>
          </w:p>
        </w:tc>
        <w:tc>
          <w:tcPr>
            <w:tcW w:w="407" w:type="pct"/>
            <w:shd w:val="clear" w:color="auto" w:fill="92D050"/>
            <w:tcMar>
              <w:left w:w="57" w:type="dxa"/>
              <w:right w:w="57" w:type="dxa"/>
            </w:tcMar>
          </w:tcPr>
          <w:p w14:paraId="442C41E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tcBorders>
              <w:bottom w:val="single" w:sz="4" w:space="0" w:color="auto"/>
            </w:tcBorders>
            <w:shd w:val="clear" w:color="auto" w:fill="92D050"/>
            <w:tcMar>
              <w:left w:w="57" w:type="dxa"/>
              <w:right w:w="57" w:type="dxa"/>
            </w:tcMar>
          </w:tcPr>
          <w:p w14:paraId="70E91E92"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 xml:space="preserve">Quantified </w:t>
            </w:r>
          </w:p>
        </w:tc>
        <w:tc>
          <w:tcPr>
            <w:tcW w:w="407" w:type="pct"/>
            <w:tcBorders>
              <w:bottom w:val="single" w:sz="4" w:space="0" w:color="auto"/>
            </w:tcBorders>
            <w:shd w:val="clear" w:color="auto" w:fill="92D050"/>
            <w:tcMar>
              <w:left w:w="57" w:type="dxa"/>
              <w:right w:w="57" w:type="dxa"/>
            </w:tcMar>
          </w:tcPr>
          <w:p w14:paraId="3A46B735"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br/>
              <w:t>Quantified</w:t>
            </w:r>
          </w:p>
        </w:tc>
        <w:tc>
          <w:tcPr>
            <w:tcW w:w="407" w:type="pct"/>
            <w:tcBorders>
              <w:bottom w:val="single" w:sz="4" w:space="0" w:color="auto"/>
            </w:tcBorders>
            <w:shd w:val="clear" w:color="auto" w:fill="92D050"/>
            <w:tcMar>
              <w:left w:w="57" w:type="dxa"/>
              <w:right w:w="57" w:type="dxa"/>
            </w:tcMar>
          </w:tcPr>
          <w:p w14:paraId="45EF42F2"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387" w:type="pct"/>
            <w:tcMar>
              <w:left w:w="57" w:type="dxa"/>
              <w:right w:w="57" w:type="dxa"/>
            </w:tcMar>
          </w:tcPr>
          <w:p w14:paraId="06E81DD3"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NA</w:t>
            </w:r>
          </w:p>
        </w:tc>
        <w:tc>
          <w:tcPr>
            <w:tcW w:w="384" w:type="pct"/>
            <w:shd w:val="clear" w:color="auto" w:fill="FFCC00"/>
          </w:tcPr>
          <w:p w14:paraId="11CCEE50"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Not quantified</w:t>
            </w:r>
          </w:p>
        </w:tc>
      </w:tr>
      <w:tr w:rsidR="00A37634" w:rsidRPr="00A37634" w14:paraId="5B405035" w14:textId="77777777" w:rsidTr="007C7289">
        <w:trPr>
          <w:jc w:val="center"/>
        </w:trPr>
        <w:tc>
          <w:tcPr>
            <w:tcW w:w="563" w:type="pct"/>
            <w:tcMar>
              <w:left w:w="57" w:type="dxa"/>
              <w:right w:w="57" w:type="dxa"/>
            </w:tcMar>
          </w:tcPr>
          <w:p w14:paraId="767CDACA"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Small electric storage water heaters</w:t>
            </w:r>
          </w:p>
        </w:tc>
        <w:tc>
          <w:tcPr>
            <w:tcW w:w="407" w:type="pct"/>
            <w:shd w:val="clear" w:color="auto" w:fill="92D050"/>
            <w:tcMar>
              <w:left w:w="57" w:type="dxa"/>
              <w:right w:w="57" w:type="dxa"/>
            </w:tcMar>
          </w:tcPr>
          <w:p w14:paraId="2EE27F3B"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4237BA0C"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10" w:type="pct"/>
            <w:shd w:val="clear" w:color="auto" w:fill="92D050"/>
          </w:tcPr>
          <w:p w14:paraId="6EE9405D"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0557201B"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7A776A12"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522D3291"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2AF9D299"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4D10FCF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1FC5713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387" w:type="pct"/>
            <w:tcMar>
              <w:left w:w="57" w:type="dxa"/>
              <w:right w:w="57" w:type="dxa"/>
            </w:tcMar>
          </w:tcPr>
          <w:p w14:paraId="74950A84"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NA</w:t>
            </w:r>
          </w:p>
        </w:tc>
        <w:tc>
          <w:tcPr>
            <w:tcW w:w="384" w:type="pct"/>
            <w:shd w:val="clear" w:color="auto" w:fill="FFCC00"/>
          </w:tcPr>
          <w:p w14:paraId="14C16B5B"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Not quantified</w:t>
            </w:r>
          </w:p>
        </w:tc>
      </w:tr>
      <w:tr w:rsidR="00A37634" w:rsidRPr="00A37634" w14:paraId="396DEA91" w14:textId="77777777" w:rsidTr="007C7289">
        <w:trPr>
          <w:jc w:val="center"/>
        </w:trPr>
        <w:tc>
          <w:tcPr>
            <w:tcW w:w="563" w:type="pct"/>
            <w:tcMar>
              <w:left w:w="57" w:type="dxa"/>
              <w:right w:w="57" w:type="dxa"/>
            </w:tcMar>
          </w:tcPr>
          <w:p w14:paraId="4D51EC6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Large electric storage water heaters</w:t>
            </w:r>
          </w:p>
        </w:tc>
        <w:tc>
          <w:tcPr>
            <w:tcW w:w="407" w:type="pct"/>
            <w:shd w:val="clear" w:color="auto" w:fill="92D050"/>
            <w:tcMar>
              <w:left w:w="57" w:type="dxa"/>
              <w:right w:w="57" w:type="dxa"/>
            </w:tcMar>
          </w:tcPr>
          <w:p w14:paraId="5AE6FB84"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6A4BD775"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10" w:type="pct"/>
            <w:shd w:val="clear" w:color="auto" w:fill="92D050"/>
          </w:tcPr>
          <w:p w14:paraId="7A95A1E8"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59712B8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659FC9C2"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3E0C1103"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6FF56B64"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r w:rsidRPr="00A37634">
              <w:rPr>
                <w:rFonts w:ascii="Calibri" w:eastAsia="Times New Roman" w:hAnsi="Calibri" w:cs="Calibri"/>
                <w:sz w:val="14"/>
                <w:szCs w:val="14"/>
                <w:lang w:val="en-AU"/>
              </w:rPr>
              <w:br/>
            </w:r>
          </w:p>
        </w:tc>
        <w:tc>
          <w:tcPr>
            <w:tcW w:w="407" w:type="pct"/>
            <w:shd w:val="clear" w:color="auto" w:fill="92D050"/>
            <w:tcMar>
              <w:left w:w="57" w:type="dxa"/>
              <w:right w:w="57" w:type="dxa"/>
            </w:tcMar>
          </w:tcPr>
          <w:p w14:paraId="3525CA39"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shd w:val="clear" w:color="auto" w:fill="92D050"/>
            <w:tcMar>
              <w:left w:w="57" w:type="dxa"/>
              <w:right w:w="57" w:type="dxa"/>
            </w:tcMar>
          </w:tcPr>
          <w:p w14:paraId="05CBBFF5"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387" w:type="pct"/>
            <w:tcMar>
              <w:left w:w="57" w:type="dxa"/>
              <w:right w:w="57" w:type="dxa"/>
            </w:tcMar>
          </w:tcPr>
          <w:p w14:paraId="748FC5E9"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NA</w:t>
            </w:r>
          </w:p>
        </w:tc>
        <w:tc>
          <w:tcPr>
            <w:tcW w:w="384" w:type="pct"/>
            <w:shd w:val="clear" w:color="auto" w:fill="FFCC00"/>
          </w:tcPr>
          <w:p w14:paraId="4AA8666B"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Not quantified</w:t>
            </w:r>
          </w:p>
        </w:tc>
      </w:tr>
      <w:tr w:rsidR="00A37634" w:rsidRPr="00A37634" w14:paraId="709E981C" w14:textId="77777777" w:rsidTr="007C7289">
        <w:trPr>
          <w:jc w:val="center"/>
        </w:trPr>
        <w:tc>
          <w:tcPr>
            <w:tcW w:w="563" w:type="pct"/>
            <w:tcBorders>
              <w:bottom w:val="single" w:sz="4" w:space="0" w:color="auto"/>
            </w:tcBorders>
            <w:tcMar>
              <w:left w:w="57" w:type="dxa"/>
              <w:right w:w="57" w:type="dxa"/>
            </w:tcMar>
          </w:tcPr>
          <w:p w14:paraId="48CC9265"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Electric Vehicle charge/discharge</w:t>
            </w:r>
          </w:p>
        </w:tc>
        <w:tc>
          <w:tcPr>
            <w:tcW w:w="407" w:type="pct"/>
            <w:tcBorders>
              <w:bottom w:val="single" w:sz="4" w:space="0" w:color="auto"/>
            </w:tcBorders>
            <w:shd w:val="clear" w:color="auto" w:fill="92D050"/>
            <w:tcMar>
              <w:left w:w="57" w:type="dxa"/>
              <w:right w:w="57" w:type="dxa"/>
            </w:tcMar>
          </w:tcPr>
          <w:p w14:paraId="6B18FEBC"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tcBorders>
              <w:bottom w:val="single" w:sz="4" w:space="0" w:color="auto"/>
            </w:tcBorders>
            <w:shd w:val="clear" w:color="auto" w:fill="92D050"/>
            <w:tcMar>
              <w:left w:w="57" w:type="dxa"/>
              <w:right w:w="57" w:type="dxa"/>
            </w:tcMar>
          </w:tcPr>
          <w:p w14:paraId="38F16E8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10" w:type="pct"/>
            <w:tcBorders>
              <w:bottom w:val="single" w:sz="4" w:space="0" w:color="auto"/>
            </w:tcBorders>
            <w:shd w:val="clear" w:color="auto" w:fill="92D050"/>
          </w:tcPr>
          <w:p w14:paraId="212A112E"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tcBorders>
              <w:bottom w:val="single" w:sz="4" w:space="0" w:color="auto"/>
            </w:tcBorders>
            <w:shd w:val="clear" w:color="auto" w:fill="92D050"/>
            <w:tcMar>
              <w:left w:w="57" w:type="dxa"/>
              <w:right w:w="57" w:type="dxa"/>
            </w:tcMar>
          </w:tcPr>
          <w:p w14:paraId="65E1C6E8"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tcBorders>
              <w:bottom w:val="single" w:sz="4" w:space="0" w:color="auto"/>
            </w:tcBorders>
            <w:shd w:val="clear" w:color="auto" w:fill="92D050"/>
            <w:tcMar>
              <w:left w:w="57" w:type="dxa"/>
              <w:right w:w="57" w:type="dxa"/>
            </w:tcMar>
          </w:tcPr>
          <w:p w14:paraId="2198B123"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tcBorders>
              <w:bottom w:val="single" w:sz="4" w:space="0" w:color="auto"/>
            </w:tcBorders>
            <w:shd w:val="clear" w:color="auto" w:fill="92D050"/>
            <w:tcMar>
              <w:left w:w="57" w:type="dxa"/>
              <w:right w:w="57" w:type="dxa"/>
            </w:tcMar>
          </w:tcPr>
          <w:p w14:paraId="79D0530B"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tcBorders>
              <w:bottom w:val="single" w:sz="4" w:space="0" w:color="auto"/>
            </w:tcBorders>
            <w:shd w:val="clear" w:color="auto" w:fill="92D050"/>
            <w:tcMar>
              <w:left w:w="57" w:type="dxa"/>
              <w:right w:w="57" w:type="dxa"/>
            </w:tcMar>
          </w:tcPr>
          <w:p w14:paraId="480ECA33"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tcBorders>
              <w:bottom w:val="single" w:sz="4" w:space="0" w:color="auto"/>
            </w:tcBorders>
            <w:shd w:val="clear" w:color="auto" w:fill="92D050"/>
            <w:tcMar>
              <w:left w:w="57" w:type="dxa"/>
              <w:right w:w="57" w:type="dxa"/>
            </w:tcMar>
          </w:tcPr>
          <w:p w14:paraId="7A6FF472"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407" w:type="pct"/>
            <w:tcBorders>
              <w:bottom w:val="single" w:sz="4" w:space="0" w:color="auto"/>
            </w:tcBorders>
            <w:shd w:val="clear" w:color="auto" w:fill="92D050"/>
            <w:tcMar>
              <w:left w:w="57" w:type="dxa"/>
              <w:right w:w="57" w:type="dxa"/>
            </w:tcMar>
          </w:tcPr>
          <w:p w14:paraId="3401A529"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Quantified</w:t>
            </w:r>
          </w:p>
        </w:tc>
        <w:tc>
          <w:tcPr>
            <w:tcW w:w="387" w:type="pct"/>
            <w:tcBorders>
              <w:bottom w:val="single" w:sz="4" w:space="0" w:color="auto"/>
            </w:tcBorders>
            <w:shd w:val="clear" w:color="auto" w:fill="FFCC00"/>
            <w:tcMar>
              <w:left w:w="57" w:type="dxa"/>
              <w:right w:w="57" w:type="dxa"/>
            </w:tcMar>
          </w:tcPr>
          <w:p w14:paraId="3E29F787"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 xml:space="preserve">Not quantified </w:t>
            </w:r>
          </w:p>
        </w:tc>
        <w:tc>
          <w:tcPr>
            <w:tcW w:w="384" w:type="pct"/>
            <w:tcBorders>
              <w:bottom w:val="single" w:sz="4" w:space="0" w:color="auto"/>
            </w:tcBorders>
            <w:shd w:val="clear" w:color="auto" w:fill="FFCC00"/>
          </w:tcPr>
          <w:p w14:paraId="6B09C384"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Not quantified</w:t>
            </w:r>
          </w:p>
        </w:tc>
      </w:tr>
      <w:tr w:rsidR="00A37634" w:rsidRPr="00A37634" w14:paraId="347C8848" w14:textId="77777777" w:rsidTr="007C7289">
        <w:trPr>
          <w:jc w:val="center"/>
        </w:trPr>
        <w:tc>
          <w:tcPr>
            <w:tcW w:w="563" w:type="pct"/>
            <w:tcMar>
              <w:left w:w="57" w:type="dxa"/>
              <w:right w:w="57" w:type="dxa"/>
            </w:tcMar>
          </w:tcPr>
          <w:p w14:paraId="0F3E5F70"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Relevant DRMs(b)</w:t>
            </w:r>
          </w:p>
        </w:tc>
        <w:tc>
          <w:tcPr>
            <w:tcW w:w="407" w:type="pct"/>
            <w:tcMar>
              <w:left w:w="57" w:type="dxa"/>
              <w:right w:w="57" w:type="dxa"/>
            </w:tcMar>
          </w:tcPr>
          <w:p w14:paraId="66E00980"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All DRMs</w:t>
            </w:r>
          </w:p>
        </w:tc>
        <w:tc>
          <w:tcPr>
            <w:tcW w:w="407" w:type="pct"/>
            <w:tcMar>
              <w:left w:w="57" w:type="dxa"/>
              <w:right w:w="57" w:type="dxa"/>
            </w:tcMar>
          </w:tcPr>
          <w:p w14:paraId="3BD96E15"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All DRMs</w:t>
            </w:r>
          </w:p>
        </w:tc>
        <w:tc>
          <w:tcPr>
            <w:tcW w:w="410" w:type="pct"/>
          </w:tcPr>
          <w:p w14:paraId="1F60FBC4"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All DRMs</w:t>
            </w:r>
          </w:p>
        </w:tc>
        <w:tc>
          <w:tcPr>
            <w:tcW w:w="407" w:type="pct"/>
            <w:tcMar>
              <w:left w:w="57" w:type="dxa"/>
              <w:right w:w="57" w:type="dxa"/>
            </w:tcMar>
          </w:tcPr>
          <w:p w14:paraId="66A74366"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DRM 1,2,3</w:t>
            </w:r>
          </w:p>
        </w:tc>
        <w:tc>
          <w:tcPr>
            <w:tcW w:w="407" w:type="pct"/>
            <w:tcMar>
              <w:left w:w="57" w:type="dxa"/>
              <w:right w:w="57" w:type="dxa"/>
            </w:tcMar>
          </w:tcPr>
          <w:p w14:paraId="39D19EE9"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DRM 1,2,3</w:t>
            </w:r>
          </w:p>
        </w:tc>
        <w:tc>
          <w:tcPr>
            <w:tcW w:w="407" w:type="pct"/>
            <w:tcMar>
              <w:left w:w="57" w:type="dxa"/>
              <w:right w:w="57" w:type="dxa"/>
            </w:tcMar>
          </w:tcPr>
          <w:p w14:paraId="39CA17FA"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DRM 1,2,3</w:t>
            </w:r>
          </w:p>
        </w:tc>
        <w:tc>
          <w:tcPr>
            <w:tcW w:w="407" w:type="pct"/>
            <w:tcMar>
              <w:left w:w="57" w:type="dxa"/>
              <w:right w:w="57" w:type="dxa"/>
            </w:tcMar>
          </w:tcPr>
          <w:p w14:paraId="1906A8AA"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DRM 1,2,3</w:t>
            </w:r>
          </w:p>
        </w:tc>
        <w:tc>
          <w:tcPr>
            <w:tcW w:w="407" w:type="pct"/>
            <w:tcMar>
              <w:left w:w="57" w:type="dxa"/>
              <w:right w:w="57" w:type="dxa"/>
            </w:tcMar>
          </w:tcPr>
          <w:p w14:paraId="2F81493E"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DRM 1,2,3</w:t>
            </w:r>
          </w:p>
        </w:tc>
        <w:tc>
          <w:tcPr>
            <w:tcW w:w="407" w:type="pct"/>
            <w:tcMar>
              <w:left w:w="57" w:type="dxa"/>
              <w:right w:w="57" w:type="dxa"/>
            </w:tcMar>
          </w:tcPr>
          <w:p w14:paraId="0DE38DF1"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DRM 4</w:t>
            </w:r>
          </w:p>
        </w:tc>
        <w:tc>
          <w:tcPr>
            <w:tcW w:w="387" w:type="pct"/>
            <w:tcMar>
              <w:left w:w="57" w:type="dxa"/>
              <w:right w:w="57" w:type="dxa"/>
            </w:tcMar>
          </w:tcPr>
          <w:p w14:paraId="6DC915CA"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 xml:space="preserve">DRM </w:t>
            </w:r>
            <w:r w:rsidRPr="00A37634">
              <w:rPr>
                <w:rFonts w:ascii="Calibri" w:eastAsia="Times New Roman" w:hAnsi="Calibri" w:cs="Calibri"/>
                <w:sz w:val="14"/>
                <w:szCs w:val="14"/>
                <w:lang w:val="en-AU"/>
              </w:rPr>
              <w:br/>
              <w:t>5,6,7,8</w:t>
            </w:r>
          </w:p>
        </w:tc>
        <w:tc>
          <w:tcPr>
            <w:tcW w:w="384" w:type="pct"/>
          </w:tcPr>
          <w:p w14:paraId="5655CBE9" w14:textId="77777777" w:rsidR="00A37634" w:rsidRPr="00A37634" w:rsidRDefault="00A37634" w:rsidP="00A37634">
            <w:pPr>
              <w:tabs>
                <w:tab w:val="left" w:pos="3293"/>
              </w:tabs>
              <w:spacing w:before="60" w:after="60" w:line="240" w:lineRule="auto"/>
              <w:ind w:left="35"/>
              <w:rPr>
                <w:rFonts w:ascii="Calibri" w:eastAsia="Times New Roman" w:hAnsi="Calibri" w:cs="Calibri"/>
                <w:sz w:val="14"/>
                <w:szCs w:val="14"/>
                <w:lang w:val="en-AU"/>
              </w:rPr>
            </w:pPr>
            <w:r w:rsidRPr="00A37634">
              <w:rPr>
                <w:rFonts w:ascii="Calibri" w:eastAsia="Times New Roman" w:hAnsi="Calibri" w:cs="Calibri"/>
                <w:sz w:val="14"/>
                <w:szCs w:val="14"/>
                <w:lang w:val="en-AU"/>
              </w:rPr>
              <w:t>All DRMs</w:t>
            </w:r>
          </w:p>
        </w:tc>
      </w:tr>
    </w:tbl>
    <w:p w14:paraId="2884F572" w14:textId="77777777"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Green cells indicate quantified benefit. Orange cells indicate possible additional benefits not quantified.</w:t>
      </w:r>
    </w:p>
    <w:p w14:paraId="0FC8CE3D" w14:textId="77777777" w:rsidR="00A37634" w:rsidRPr="00A37634" w:rsidRDefault="00A37634" w:rsidP="00A37634">
      <w:pPr>
        <w:spacing w:after="0" w:line="278" w:lineRule="auto"/>
        <w:jc w:val="center"/>
        <w:rPr>
          <w:rFonts w:ascii="Calibri" w:eastAsia="Cambria" w:hAnsi="Calibri" w:cs="Calibri"/>
          <w:sz w:val="16"/>
          <w:szCs w:val="24"/>
          <w:lang w:val="en-AU"/>
        </w:rPr>
      </w:pPr>
      <w:r w:rsidRPr="00A37634">
        <w:rPr>
          <w:rFonts w:ascii="Calibri" w:eastAsia="Cambria" w:hAnsi="Calibri" w:cs="Calibri"/>
          <w:sz w:val="16"/>
          <w:szCs w:val="24"/>
          <w:lang w:val="en-AU"/>
        </w:rPr>
        <w:t>(a) Benefits to projected winter peak calculated for Tasmania and New Zealand only, since other jurisdictions are summer peaking. (b) Calculated for Victoria and SA only, where RERT contracts have been used.</w:t>
      </w:r>
    </w:p>
    <w:p w14:paraId="590978D0" w14:textId="7150F00C"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The realisation of the projected infrastructure benefits will rely on DNSPs building in the expected impacts of DR programs into their planning (whether they implement the programs themselves or purchase aggregated DR from electricity retailers or other DRSPs). In assessing the timing of benefits, it should be noted that AER determinations are forward</w:t>
      </w:r>
      <w:r w:rsidRPr="00A37634">
        <w:rPr>
          <w:rFonts w:ascii="Calibri" w:eastAsia="Cambria" w:hAnsi="Calibri" w:cs="Calibri"/>
          <w:lang w:val="en-AU"/>
        </w:rPr>
        <w:noBreakHyphen/>
        <w:t xml:space="preserve">looking assessments of the revenue required by DNSPs over the coming 5-year period. Part of the calculation is the projected capital expenditure (CAPEX) required to augment the network to meet projected net increments in peak load in each year of the </w:t>
      </w:r>
      <w:r w:rsidR="005A520F">
        <w:rPr>
          <w:rFonts w:ascii="Calibri" w:eastAsia="Cambria" w:hAnsi="Calibri" w:cs="Calibri"/>
          <w:lang w:val="en-AU"/>
        </w:rPr>
        <w:t>five</w:t>
      </w:r>
      <w:r w:rsidRPr="00A37634">
        <w:rPr>
          <w:rFonts w:ascii="Calibri" w:eastAsia="Cambria" w:hAnsi="Calibri" w:cs="Calibri"/>
          <w:lang w:val="en-AU"/>
        </w:rPr>
        <w:t xml:space="preserve">-year period. The DNSP must </w:t>
      </w:r>
      <w:proofErr w:type="gramStart"/>
      <w:r w:rsidRPr="00A37634">
        <w:rPr>
          <w:rFonts w:ascii="Calibri" w:eastAsia="Cambria" w:hAnsi="Calibri" w:cs="Calibri"/>
          <w:lang w:val="en-AU"/>
        </w:rPr>
        <w:t>make an assessment of</w:t>
      </w:r>
      <w:proofErr w:type="gramEnd"/>
      <w:r w:rsidRPr="00A37634">
        <w:rPr>
          <w:rFonts w:ascii="Calibri" w:eastAsia="Cambria" w:hAnsi="Calibri" w:cs="Calibri"/>
          <w:lang w:val="en-AU"/>
        </w:rPr>
        <w:t xml:space="preserve"> the quantum of load added each year and the shape (whether constant or varying by time of day/season) less the quantum and shape of load retired. For domestic customers, this may be modelled at the population or household level or at the specific appliance stock level (as is the case here). </w:t>
      </w:r>
    </w:p>
    <w:p w14:paraId="5B6CA93D" w14:textId="6781E05B"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If </w:t>
      </w:r>
      <w:r w:rsidR="005A520F">
        <w:rPr>
          <w:rFonts w:ascii="Calibri" w:eastAsia="Cambria" w:hAnsi="Calibri" w:cs="Calibri"/>
          <w:lang w:val="en-AU"/>
        </w:rPr>
        <w:t xml:space="preserve">the </w:t>
      </w:r>
      <w:r w:rsidRPr="00A37634">
        <w:rPr>
          <w:rFonts w:ascii="Calibri" w:eastAsia="Cambria" w:hAnsi="Calibri" w:cs="Calibri"/>
          <w:lang w:val="en-AU"/>
        </w:rPr>
        <w:t xml:space="preserve">COAG Energy Council adopt the proposal </w:t>
      </w:r>
      <w:r w:rsidR="00FE13B1">
        <w:rPr>
          <w:rFonts w:ascii="Calibri" w:eastAsia="Cambria" w:hAnsi="Calibri" w:cs="Calibri"/>
          <w:lang w:val="en-AU"/>
        </w:rPr>
        <w:t>in early 2020</w:t>
      </w:r>
      <w:r w:rsidRPr="00A37634">
        <w:rPr>
          <w:rFonts w:ascii="Calibri" w:eastAsia="Cambria" w:hAnsi="Calibri" w:cs="Calibri"/>
          <w:lang w:val="en-AU"/>
        </w:rPr>
        <w:t xml:space="preserve">, then DNSPs preparing their capital cost projections after that time would be able to project with high confidence the rate of accumulation of DR-capable appliances in their area during the next determination period, and so compare the (much reduced) costs of meeting peak load via a (partial) load control strategy as against a pure infrastructure build strategy. To the extent that the load control strategy leads to a lower capital requirement, the total forward-looking revenue determination would be lower. </w:t>
      </w:r>
    </w:p>
    <w:p w14:paraId="72A575A7" w14:textId="420283E1" w:rsidR="00A37634" w:rsidRPr="00A37634" w:rsidRDefault="00A37634" w:rsidP="00A37634">
      <w:pPr>
        <w:keepNext/>
        <w:keepLines/>
        <w:spacing w:before="240" w:after="240" w:line="278" w:lineRule="auto"/>
        <w:outlineLvl w:val="4"/>
        <w:rPr>
          <w:rFonts w:ascii="Calibri" w:eastAsia="Times New Roman" w:hAnsi="Calibri" w:cs="Calibri"/>
          <w:b/>
          <w:color w:val="FF0000"/>
          <w:sz w:val="28"/>
          <w:lang w:val="en-AU"/>
        </w:rPr>
      </w:pPr>
      <w:r w:rsidRPr="00A37634">
        <w:rPr>
          <w:rFonts w:ascii="Calibri" w:eastAsia="Times New Roman" w:hAnsi="Calibri" w:cs="Calibri"/>
          <w:b/>
          <w:color w:val="FF0000"/>
          <w:sz w:val="28"/>
          <w:lang w:val="en-AU"/>
        </w:rPr>
        <w:lastRenderedPageBreak/>
        <w:t>P</w:t>
      </w:r>
      <w:r w:rsidR="00751A5B">
        <w:rPr>
          <w:rFonts w:ascii="Calibri" w:eastAsia="Times New Roman" w:hAnsi="Calibri" w:cs="Calibri"/>
          <w:b/>
          <w:color w:val="FF0000"/>
          <w:sz w:val="28"/>
          <w:lang w:val="en-AU"/>
        </w:rPr>
        <w:t xml:space="preserve">roduct </w:t>
      </w:r>
      <w:r w:rsidR="0003608D">
        <w:rPr>
          <w:rFonts w:ascii="Calibri" w:eastAsia="Times New Roman" w:hAnsi="Calibri" w:cs="Calibri"/>
          <w:b/>
          <w:color w:val="FF0000"/>
          <w:sz w:val="28"/>
          <w:lang w:val="en-AU"/>
        </w:rPr>
        <w:t xml:space="preserve">Sales Projections and </w:t>
      </w:r>
      <w:r w:rsidR="00751A5B">
        <w:rPr>
          <w:rFonts w:ascii="Calibri" w:eastAsia="Times New Roman" w:hAnsi="Calibri" w:cs="Calibri"/>
          <w:b/>
          <w:color w:val="FF0000"/>
          <w:sz w:val="28"/>
          <w:lang w:val="en-AU"/>
        </w:rPr>
        <w:t>Cost</w:t>
      </w:r>
      <w:r w:rsidR="0003608D">
        <w:rPr>
          <w:rFonts w:ascii="Calibri" w:eastAsia="Times New Roman" w:hAnsi="Calibri" w:cs="Calibri"/>
          <w:b/>
          <w:color w:val="FF0000"/>
          <w:sz w:val="28"/>
          <w:lang w:val="en-AU"/>
        </w:rPr>
        <w:t xml:space="preserve"> Impacts</w:t>
      </w:r>
    </w:p>
    <w:p w14:paraId="3933B775" w14:textId="53BDE1A9" w:rsidR="00751A5B" w:rsidRDefault="00751A5B" w:rsidP="00751A5B">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Adding DR capability to products will impose additional design and manufacturing costs, which will be passed on in every product purchase.</w:t>
      </w:r>
      <w:r w:rsidRPr="00751A5B">
        <w:rPr>
          <w:rFonts w:ascii="Calibri" w:eastAsia="Calibri" w:hAnsi="Calibri" w:cs="Calibri"/>
          <w:szCs w:val="20"/>
          <w:lang w:val="en-AU"/>
        </w:rPr>
        <w:t xml:space="preserve"> </w:t>
      </w:r>
      <w:r w:rsidR="00F32140" w:rsidRPr="00F32140">
        <w:rPr>
          <w:rStyle w:val="FigreferenceChar"/>
        </w:rPr>
        <w:fldChar w:fldCharType="begin"/>
      </w:r>
      <w:r w:rsidR="00F32140" w:rsidRPr="00F32140">
        <w:rPr>
          <w:rStyle w:val="FigreferenceChar"/>
        </w:rPr>
        <w:instrText xml:space="preserve"> REF _Ref13169159 \h </w:instrText>
      </w:r>
      <w:r w:rsidR="00F32140">
        <w:rPr>
          <w:rStyle w:val="FigreferenceChar"/>
        </w:rPr>
        <w:instrText xml:space="preserve"> \* MERGEFORMAT </w:instrText>
      </w:r>
      <w:r w:rsidR="00F32140" w:rsidRPr="00F32140">
        <w:rPr>
          <w:rStyle w:val="FigreferenceChar"/>
        </w:rPr>
      </w:r>
      <w:r w:rsidR="00F32140" w:rsidRPr="00F32140">
        <w:rPr>
          <w:rStyle w:val="FigreferenceChar"/>
        </w:rPr>
        <w:fldChar w:fldCharType="separate"/>
      </w:r>
      <w:r w:rsidR="006B22A7" w:rsidRPr="006B22A7">
        <w:rPr>
          <w:rStyle w:val="FigreferenceChar"/>
        </w:rPr>
        <w:t>Figure 8</w:t>
      </w:r>
      <w:r w:rsidR="00F32140" w:rsidRPr="00F32140">
        <w:rPr>
          <w:rStyle w:val="FigreferenceChar"/>
        </w:rPr>
        <w:fldChar w:fldCharType="end"/>
      </w:r>
      <w:r w:rsidR="00F32140">
        <w:rPr>
          <w:rFonts w:ascii="Calibri" w:eastAsia="Calibri" w:hAnsi="Calibri" w:cs="Calibri"/>
          <w:szCs w:val="20"/>
          <w:lang w:val="en-AU"/>
        </w:rPr>
        <w:t xml:space="preserve"> </w:t>
      </w:r>
      <w:r w:rsidRPr="00A37634">
        <w:rPr>
          <w:rFonts w:ascii="Calibri" w:eastAsia="Calibri" w:hAnsi="Calibri" w:cs="Calibri"/>
          <w:szCs w:val="20"/>
          <w:lang w:val="en-AU"/>
        </w:rPr>
        <w:t>shows estimated increase in appliance purchase prices, ranging from $80 for large water heaters to $</w:t>
      </w:r>
      <w:r>
        <w:rPr>
          <w:rFonts w:ascii="Calibri" w:eastAsia="Calibri" w:hAnsi="Calibri" w:cs="Calibri"/>
          <w:szCs w:val="20"/>
          <w:lang w:val="en-AU"/>
        </w:rPr>
        <w:t>10</w:t>
      </w:r>
      <w:r w:rsidRPr="00A37634">
        <w:rPr>
          <w:rFonts w:ascii="Calibri" w:eastAsia="Calibri" w:hAnsi="Calibri" w:cs="Calibri"/>
          <w:szCs w:val="20"/>
          <w:lang w:val="en-AU"/>
        </w:rPr>
        <w:t xml:space="preserve"> for split unit ACs. </w:t>
      </w:r>
      <w:r>
        <w:rPr>
          <w:rFonts w:ascii="Calibri" w:eastAsia="Calibri" w:hAnsi="Calibri" w:cs="Calibri"/>
          <w:szCs w:val="20"/>
          <w:lang w:val="en-AU"/>
        </w:rPr>
        <w:t>Across all products covered by the proposal, t</w:t>
      </w:r>
      <w:r w:rsidRPr="00A37634">
        <w:rPr>
          <w:rFonts w:ascii="Calibri" w:eastAsia="Calibri" w:hAnsi="Calibri" w:cs="Calibri"/>
          <w:szCs w:val="20"/>
          <w:lang w:val="en-AU"/>
        </w:rPr>
        <w:t xml:space="preserve">he weighted average price increase is </w:t>
      </w:r>
      <w:r>
        <w:rPr>
          <w:rFonts w:ascii="Calibri" w:eastAsia="Calibri" w:hAnsi="Calibri" w:cs="Calibri"/>
          <w:szCs w:val="20"/>
          <w:lang w:val="en-AU"/>
        </w:rPr>
        <w:t xml:space="preserve">about </w:t>
      </w:r>
      <w:r w:rsidRPr="00A37634">
        <w:rPr>
          <w:rFonts w:ascii="Calibri" w:eastAsia="Calibri" w:hAnsi="Calibri" w:cs="Calibri"/>
          <w:szCs w:val="20"/>
          <w:lang w:val="en-AU"/>
        </w:rPr>
        <w:t>$3</w:t>
      </w:r>
      <w:r>
        <w:rPr>
          <w:rFonts w:ascii="Calibri" w:eastAsia="Calibri" w:hAnsi="Calibri" w:cs="Calibri"/>
          <w:szCs w:val="20"/>
          <w:lang w:val="en-AU"/>
        </w:rPr>
        <w:t>1</w:t>
      </w:r>
      <w:r w:rsidRPr="00A37634">
        <w:rPr>
          <w:rFonts w:ascii="Calibri" w:eastAsia="Calibri" w:hAnsi="Calibri" w:cs="Calibri"/>
          <w:szCs w:val="20"/>
          <w:lang w:val="en-AU"/>
        </w:rPr>
        <w:t xml:space="preserve"> per compliant product sold, falling </w:t>
      </w:r>
      <w:r>
        <w:rPr>
          <w:rFonts w:ascii="Calibri" w:eastAsia="Calibri" w:hAnsi="Calibri" w:cs="Calibri"/>
          <w:szCs w:val="20"/>
          <w:lang w:val="en-AU"/>
        </w:rPr>
        <w:t xml:space="preserve">to $25 </w:t>
      </w:r>
      <w:r w:rsidRPr="00A37634">
        <w:rPr>
          <w:rFonts w:ascii="Calibri" w:eastAsia="Calibri" w:hAnsi="Calibri" w:cs="Calibri"/>
          <w:szCs w:val="20"/>
          <w:lang w:val="en-AU"/>
        </w:rPr>
        <w:t>over time as production volumes increase.</w:t>
      </w:r>
    </w:p>
    <w:p w14:paraId="754CFF51" w14:textId="7C88F4F2" w:rsidR="005958CF" w:rsidRDefault="00981692" w:rsidP="00751A5B">
      <w:pPr>
        <w:spacing w:before="120" w:after="120" w:line="276" w:lineRule="auto"/>
        <w:rPr>
          <w:rFonts w:ascii="Calibri" w:eastAsia="Calibri" w:hAnsi="Calibri" w:cs="Calibri"/>
          <w:szCs w:val="20"/>
          <w:lang w:val="en-AU"/>
        </w:rPr>
      </w:pPr>
      <w:r>
        <w:rPr>
          <w:rFonts w:ascii="Calibri" w:eastAsia="Calibri" w:hAnsi="Calibri" w:cs="Calibri"/>
          <w:szCs w:val="20"/>
          <w:lang w:val="en-AU"/>
        </w:rPr>
        <w:t>The total additional costs depend on the number of compliant products that will be purchased.</w:t>
      </w:r>
      <w:r w:rsidR="00756225">
        <w:rPr>
          <w:rFonts w:ascii="Calibri" w:eastAsia="Calibri" w:hAnsi="Calibri" w:cs="Calibri"/>
          <w:szCs w:val="20"/>
          <w:lang w:val="en-AU"/>
        </w:rPr>
        <w:t xml:space="preserve"> </w:t>
      </w:r>
      <w:r w:rsidR="00756225" w:rsidRPr="005958CF">
        <w:rPr>
          <w:rStyle w:val="FigreferenceChar"/>
        </w:rPr>
        <w:fldChar w:fldCharType="begin"/>
      </w:r>
      <w:r w:rsidR="00756225" w:rsidRPr="005958CF">
        <w:rPr>
          <w:rStyle w:val="FigreferenceChar"/>
        </w:rPr>
        <w:instrText xml:space="preserve"> REF _Ref22141363 \h </w:instrText>
      </w:r>
      <w:r w:rsidR="005958CF">
        <w:rPr>
          <w:rStyle w:val="FigreferenceChar"/>
        </w:rPr>
        <w:instrText xml:space="preserve"> \* MERGEFORMAT </w:instrText>
      </w:r>
      <w:r w:rsidR="00756225" w:rsidRPr="005958CF">
        <w:rPr>
          <w:rStyle w:val="FigreferenceChar"/>
        </w:rPr>
      </w:r>
      <w:r w:rsidR="00756225" w:rsidRPr="005958CF">
        <w:rPr>
          <w:rStyle w:val="FigreferenceChar"/>
        </w:rPr>
        <w:fldChar w:fldCharType="separate"/>
      </w:r>
      <w:r w:rsidR="006B22A7" w:rsidRPr="006B22A7">
        <w:rPr>
          <w:rStyle w:val="FigreferenceChar"/>
        </w:rPr>
        <w:t>Figure 14</w:t>
      </w:r>
      <w:r w:rsidR="00756225" w:rsidRPr="005958CF">
        <w:rPr>
          <w:rStyle w:val="FigreferenceChar"/>
        </w:rPr>
        <w:fldChar w:fldCharType="end"/>
      </w:r>
      <w:r w:rsidR="00756225">
        <w:rPr>
          <w:rFonts w:ascii="Calibri" w:eastAsia="Calibri" w:hAnsi="Calibri" w:cs="Calibri"/>
          <w:szCs w:val="20"/>
          <w:lang w:val="en-AU"/>
        </w:rPr>
        <w:t xml:space="preserve"> illustrates the projected number of </w:t>
      </w:r>
      <w:r w:rsidR="005958CF">
        <w:rPr>
          <w:rFonts w:ascii="Calibri" w:eastAsia="Calibri" w:hAnsi="Calibri" w:cs="Calibri"/>
          <w:szCs w:val="20"/>
          <w:lang w:val="en-AU"/>
        </w:rPr>
        <w:t xml:space="preserve">air conditioner sales in each market segments covered by this proposal, and </w:t>
      </w:r>
      <w:r w:rsidR="005958CF" w:rsidRPr="005958CF">
        <w:rPr>
          <w:rStyle w:val="FigreferenceChar"/>
        </w:rPr>
        <w:fldChar w:fldCharType="begin"/>
      </w:r>
      <w:r w:rsidR="005958CF" w:rsidRPr="005958CF">
        <w:rPr>
          <w:rStyle w:val="FigreferenceChar"/>
        </w:rPr>
        <w:instrText xml:space="preserve"> REF _Ref22141650 \h </w:instrText>
      </w:r>
      <w:r w:rsidR="005958CF">
        <w:rPr>
          <w:rStyle w:val="FigreferenceChar"/>
        </w:rPr>
        <w:instrText xml:space="preserve"> \* MERGEFORMAT </w:instrText>
      </w:r>
      <w:r w:rsidR="005958CF" w:rsidRPr="005958CF">
        <w:rPr>
          <w:rStyle w:val="FigreferenceChar"/>
        </w:rPr>
      </w:r>
      <w:r w:rsidR="005958CF" w:rsidRPr="005958CF">
        <w:rPr>
          <w:rStyle w:val="FigreferenceChar"/>
        </w:rPr>
        <w:fldChar w:fldCharType="separate"/>
      </w:r>
      <w:r w:rsidR="006B22A7" w:rsidRPr="006B22A7">
        <w:rPr>
          <w:rStyle w:val="FigreferenceChar"/>
        </w:rPr>
        <w:t>Figure 15</w:t>
      </w:r>
      <w:r w:rsidR="005958CF" w:rsidRPr="005958CF">
        <w:rPr>
          <w:rStyle w:val="FigreferenceChar"/>
        </w:rPr>
        <w:fldChar w:fldCharType="end"/>
      </w:r>
      <w:r w:rsidR="005958CF">
        <w:rPr>
          <w:rFonts w:ascii="Calibri" w:eastAsia="Calibri" w:hAnsi="Calibri" w:cs="Calibri"/>
          <w:szCs w:val="20"/>
          <w:lang w:val="en-AU"/>
        </w:rPr>
        <w:t xml:space="preserve"> illustrates the total new electrical load that will be added by these </w:t>
      </w:r>
      <w:r w:rsidR="00E754C6">
        <w:rPr>
          <w:rFonts w:ascii="Calibri" w:eastAsia="Calibri" w:hAnsi="Calibri" w:cs="Calibri"/>
          <w:szCs w:val="20"/>
          <w:lang w:val="en-AU"/>
        </w:rPr>
        <w:t>ACs</w:t>
      </w:r>
      <w:r w:rsidR="005958CF">
        <w:rPr>
          <w:rFonts w:ascii="Calibri" w:eastAsia="Calibri" w:hAnsi="Calibri" w:cs="Calibri"/>
          <w:szCs w:val="20"/>
          <w:lang w:val="en-AU"/>
        </w:rPr>
        <w:t>. It also shows the electrical load of the units of higher capacity than those covered in the proposal</w:t>
      </w:r>
      <w:r w:rsidR="0003608D">
        <w:rPr>
          <w:rFonts w:ascii="Calibri" w:eastAsia="Calibri" w:hAnsi="Calibri" w:cs="Calibri"/>
          <w:szCs w:val="20"/>
          <w:lang w:val="en-AU"/>
        </w:rPr>
        <w:t>, indicating that the great majority of demand potential is available from products below 20kW cooling capacity.</w:t>
      </w:r>
    </w:p>
    <w:p w14:paraId="026BD805" w14:textId="5EADC95F" w:rsidR="0003608D" w:rsidRDefault="0003608D" w:rsidP="00751A5B">
      <w:pPr>
        <w:spacing w:before="120" w:after="120" w:line="276" w:lineRule="auto"/>
        <w:rPr>
          <w:rFonts w:ascii="Calibri" w:eastAsia="Calibri" w:hAnsi="Calibri" w:cs="Calibri"/>
          <w:szCs w:val="20"/>
          <w:lang w:val="en-AU"/>
        </w:rPr>
      </w:pPr>
      <w:r w:rsidRPr="008420E3">
        <w:rPr>
          <w:rStyle w:val="FigreferenceChar"/>
        </w:rPr>
        <w:fldChar w:fldCharType="begin"/>
      </w:r>
      <w:r w:rsidRPr="008420E3">
        <w:rPr>
          <w:rStyle w:val="FigreferenceChar"/>
        </w:rPr>
        <w:instrText xml:space="preserve"> REF _Ref22199343 \h </w:instrText>
      </w:r>
      <w:r w:rsidR="008420E3">
        <w:rPr>
          <w:rStyle w:val="FigreferenceChar"/>
        </w:rPr>
        <w:instrText xml:space="preserve"> \* MERGEFORMAT </w:instrText>
      </w:r>
      <w:r w:rsidRPr="008420E3">
        <w:rPr>
          <w:rStyle w:val="FigreferenceChar"/>
        </w:rPr>
      </w:r>
      <w:r w:rsidRPr="008420E3">
        <w:rPr>
          <w:rStyle w:val="FigreferenceChar"/>
        </w:rPr>
        <w:fldChar w:fldCharType="separate"/>
      </w:r>
      <w:r w:rsidR="006B22A7" w:rsidRPr="006B22A7">
        <w:rPr>
          <w:rStyle w:val="FigreferenceChar"/>
        </w:rPr>
        <w:t>Figure 16</w:t>
      </w:r>
      <w:r w:rsidRPr="008420E3">
        <w:rPr>
          <w:rStyle w:val="FigreferenceChar"/>
        </w:rPr>
        <w:fldChar w:fldCharType="end"/>
      </w:r>
      <w:r>
        <w:rPr>
          <w:rFonts w:ascii="Calibri" w:eastAsia="Calibri" w:hAnsi="Calibri" w:cs="Calibri"/>
          <w:szCs w:val="20"/>
          <w:lang w:val="en-AU"/>
        </w:rPr>
        <w:t xml:space="preserve"> illustrates the projections of sales of electric storage water heaters in Australia and New Zealand (it excludes heat pump and solar-electric water heaters, which are outside the scope of the proposal). </w:t>
      </w:r>
      <w:r w:rsidRPr="008420E3">
        <w:rPr>
          <w:rStyle w:val="FigreferenceChar"/>
        </w:rPr>
        <w:fldChar w:fldCharType="begin"/>
      </w:r>
      <w:r w:rsidRPr="008420E3">
        <w:rPr>
          <w:rStyle w:val="FigreferenceChar"/>
        </w:rPr>
        <w:instrText xml:space="preserve"> REF _Ref22199516 \h </w:instrText>
      </w:r>
      <w:r w:rsidR="008420E3">
        <w:rPr>
          <w:rStyle w:val="FigreferenceChar"/>
        </w:rPr>
        <w:instrText xml:space="preserve"> \* MERGEFORMAT </w:instrText>
      </w:r>
      <w:r w:rsidRPr="008420E3">
        <w:rPr>
          <w:rStyle w:val="FigreferenceChar"/>
        </w:rPr>
      </w:r>
      <w:r w:rsidRPr="008420E3">
        <w:rPr>
          <w:rStyle w:val="FigreferenceChar"/>
        </w:rPr>
        <w:fldChar w:fldCharType="separate"/>
      </w:r>
      <w:r w:rsidR="006B22A7" w:rsidRPr="006B22A7">
        <w:rPr>
          <w:rStyle w:val="FigreferenceChar"/>
        </w:rPr>
        <w:t>Figure 17</w:t>
      </w:r>
      <w:r w:rsidRPr="008420E3">
        <w:rPr>
          <w:rStyle w:val="FigreferenceChar"/>
        </w:rPr>
        <w:fldChar w:fldCharType="end"/>
      </w:r>
      <w:r>
        <w:rPr>
          <w:rFonts w:ascii="Calibri" w:eastAsia="Calibri" w:hAnsi="Calibri" w:cs="Calibri"/>
          <w:szCs w:val="20"/>
          <w:lang w:val="en-AU"/>
        </w:rPr>
        <w:t xml:space="preserve"> illustrates projected pool pump controller sales by Australian State and Territory (New Zealand does no</w:t>
      </w:r>
      <w:r w:rsidR="00ED1570">
        <w:rPr>
          <w:rFonts w:ascii="Calibri" w:eastAsia="Calibri" w:hAnsi="Calibri" w:cs="Calibri"/>
          <w:szCs w:val="20"/>
          <w:lang w:val="en-AU"/>
        </w:rPr>
        <w:t>t</w:t>
      </w:r>
      <w:r>
        <w:rPr>
          <w:rFonts w:ascii="Calibri" w:eastAsia="Calibri" w:hAnsi="Calibri" w:cs="Calibri"/>
          <w:szCs w:val="20"/>
          <w:lang w:val="en-AU"/>
        </w:rPr>
        <w:t xml:space="preserve"> propose to mandate DR for this product). </w:t>
      </w:r>
    </w:p>
    <w:p w14:paraId="5E130EE1" w14:textId="6AACCDB1" w:rsidR="00ED1570" w:rsidRDefault="00166A2C" w:rsidP="00751A5B">
      <w:pPr>
        <w:spacing w:before="120" w:after="120" w:line="276" w:lineRule="auto"/>
        <w:rPr>
          <w:rFonts w:ascii="Calibri" w:eastAsia="Calibri" w:hAnsi="Calibri" w:cs="Calibri"/>
          <w:szCs w:val="20"/>
          <w:lang w:val="en-AU"/>
        </w:rPr>
      </w:pPr>
      <w:r w:rsidRPr="00990505">
        <w:rPr>
          <w:rStyle w:val="FigreferenceChar"/>
        </w:rPr>
        <w:fldChar w:fldCharType="begin"/>
      </w:r>
      <w:r w:rsidRPr="00990505">
        <w:rPr>
          <w:rStyle w:val="FigreferenceChar"/>
        </w:rPr>
        <w:instrText xml:space="preserve"> REF _Ref22201571 \h </w:instrText>
      </w:r>
      <w:r w:rsidR="00990505">
        <w:rPr>
          <w:rStyle w:val="FigreferenceChar"/>
        </w:rPr>
        <w:instrText xml:space="preserve"> \* MERGEFORMAT </w:instrText>
      </w:r>
      <w:r w:rsidRPr="00990505">
        <w:rPr>
          <w:rStyle w:val="FigreferenceChar"/>
        </w:rPr>
      </w:r>
      <w:r w:rsidRPr="00990505">
        <w:rPr>
          <w:rStyle w:val="FigreferenceChar"/>
        </w:rPr>
        <w:fldChar w:fldCharType="separate"/>
      </w:r>
      <w:r w:rsidR="006B22A7" w:rsidRPr="006B22A7">
        <w:rPr>
          <w:rStyle w:val="FigreferenceChar"/>
        </w:rPr>
        <w:t>Figure 18</w:t>
      </w:r>
      <w:r w:rsidRPr="00990505">
        <w:rPr>
          <w:rStyle w:val="FigreferenceChar"/>
        </w:rPr>
        <w:fldChar w:fldCharType="end"/>
      </w:r>
      <w:r>
        <w:rPr>
          <w:rFonts w:ascii="Calibri" w:eastAsia="Calibri" w:hAnsi="Calibri" w:cs="Calibri"/>
          <w:szCs w:val="20"/>
          <w:lang w:val="en-AU"/>
        </w:rPr>
        <w:t xml:space="preserve"> shows the projected ownership of small </w:t>
      </w:r>
      <w:r w:rsidR="00E754C6">
        <w:rPr>
          <w:rFonts w:ascii="Calibri" w:eastAsia="Calibri" w:hAnsi="Calibri" w:cs="Calibri"/>
          <w:szCs w:val="20"/>
          <w:lang w:val="en-AU"/>
        </w:rPr>
        <w:t xml:space="preserve">EVs </w:t>
      </w:r>
      <w:r>
        <w:rPr>
          <w:rFonts w:ascii="Calibri" w:eastAsia="Calibri" w:hAnsi="Calibri" w:cs="Calibri"/>
          <w:szCs w:val="20"/>
          <w:lang w:val="en-AU"/>
        </w:rPr>
        <w:t xml:space="preserve">per household in Australia and New Zealand. It corresponds to the “moderate intervention” EV uptake scenario published in Energeia (2018). This study was used by AEMO to forecast the impacts of EV charging on peak demand in each </w:t>
      </w:r>
      <w:r w:rsidR="00F42241">
        <w:rPr>
          <w:rFonts w:ascii="Calibri" w:eastAsia="Calibri" w:hAnsi="Calibri" w:cs="Calibri"/>
          <w:szCs w:val="20"/>
          <w:lang w:val="en-AU"/>
        </w:rPr>
        <w:t>N</w:t>
      </w:r>
      <w:r w:rsidR="00A069D7">
        <w:rPr>
          <w:rFonts w:ascii="Calibri" w:eastAsia="Calibri" w:hAnsi="Calibri" w:cs="Calibri"/>
          <w:szCs w:val="20"/>
          <w:lang w:val="en-AU"/>
        </w:rPr>
        <w:t>E</w:t>
      </w:r>
      <w:r w:rsidR="00F42241">
        <w:rPr>
          <w:rFonts w:ascii="Calibri" w:eastAsia="Calibri" w:hAnsi="Calibri" w:cs="Calibri"/>
          <w:szCs w:val="20"/>
          <w:lang w:val="en-AU"/>
        </w:rPr>
        <w:t xml:space="preserve">M </w:t>
      </w:r>
      <w:r>
        <w:rPr>
          <w:rFonts w:ascii="Calibri" w:eastAsia="Calibri" w:hAnsi="Calibri" w:cs="Calibri"/>
          <w:szCs w:val="20"/>
          <w:lang w:val="en-AU"/>
        </w:rPr>
        <w:t>State.</w:t>
      </w:r>
      <w:r>
        <w:rPr>
          <w:rStyle w:val="FootnoteReference"/>
          <w:rFonts w:ascii="Calibri" w:eastAsia="Calibri" w:hAnsi="Calibri" w:cs="Calibri"/>
          <w:szCs w:val="20"/>
          <w:lang w:val="en-AU"/>
        </w:rPr>
        <w:footnoteReference w:id="100"/>
      </w:r>
      <w:r>
        <w:rPr>
          <w:rFonts w:ascii="Calibri" w:eastAsia="Calibri" w:hAnsi="Calibri" w:cs="Calibri"/>
          <w:szCs w:val="20"/>
          <w:lang w:val="en-AU"/>
        </w:rPr>
        <w:t xml:space="preserve"> Dividing the projected EV impact on MD by the number of EVs </w:t>
      </w:r>
      <w:r w:rsidR="00F42241">
        <w:rPr>
          <w:rFonts w:ascii="Calibri" w:eastAsia="Calibri" w:hAnsi="Calibri" w:cs="Calibri"/>
          <w:szCs w:val="20"/>
          <w:lang w:val="en-AU"/>
        </w:rPr>
        <w:t xml:space="preserve">in those States </w:t>
      </w:r>
      <w:r>
        <w:rPr>
          <w:rFonts w:ascii="Calibri" w:eastAsia="Calibri" w:hAnsi="Calibri" w:cs="Calibri"/>
          <w:szCs w:val="20"/>
          <w:lang w:val="en-AU"/>
        </w:rPr>
        <w:t xml:space="preserve">gives an average </w:t>
      </w:r>
      <w:r w:rsidR="00F42241">
        <w:rPr>
          <w:rFonts w:ascii="Calibri" w:eastAsia="Calibri" w:hAnsi="Calibri" w:cs="Calibri"/>
          <w:szCs w:val="20"/>
          <w:lang w:val="en-AU"/>
        </w:rPr>
        <w:t>S</w:t>
      </w:r>
      <w:r>
        <w:rPr>
          <w:rFonts w:ascii="Calibri" w:eastAsia="Calibri" w:hAnsi="Calibri" w:cs="Calibri"/>
          <w:szCs w:val="20"/>
          <w:lang w:val="en-AU"/>
        </w:rPr>
        <w:t>MD contributio</w:t>
      </w:r>
      <w:r w:rsidR="00F42241">
        <w:rPr>
          <w:rFonts w:ascii="Calibri" w:eastAsia="Calibri" w:hAnsi="Calibri" w:cs="Calibri"/>
          <w:szCs w:val="20"/>
          <w:lang w:val="en-AU"/>
        </w:rPr>
        <w:t>n</w:t>
      </w:r>
      <w:r>
        <w:rPr>
          <w:rFonts w:ascii="Calibri" w:eastAsia="Calibri" w:hAnsi="Calibri" w:cs="Calibri"/>
          <w:szCs w:val="20"/>
          <w:lang w:val="en-AU"/>
        </w:rPr>
        <w:t xml:space="preserve"> per EV, as illustrated in </w:t>
      </w:r>
      <w:r w:rsidRPr="00990505">
        <w:rPr>
          <w:rStyle w:val="FigreferenceChar"/>
        </w:rPr>
        <w:fldChar w:fldCharType="begin"/>
      </w:r>
      <w:r w:rsidRPr="00990505">
        <w:rPr>
          <w:rStyle w:val="FigreferenceChar"/>
        </w:rPr>
        <w:instrText xml:space="preserve"> REF _Ref22202109 \h </w:instrText>
      </w:r>
      <w:r w:rsidR="00990505">
        <w:rPr>
          <w:rStyle w:val="FigreferenceChar"/>
        </w:rPr>
        <w:instrText xml:space="preserve"> \* MERGEFORMAT </w:instrText>
      </w:r>
      <w:r w:rsidRPr="00990505">
        <w:rPr>
          <w:rStyle w:val="FigreferenceChar"/>
        </w:rPr>
      </w:r>
      <w:r w:rsidRPr="00990505">
        <w:rPr>
          <w:rStyle w:val="FigreferenceChar"/>
        </w:rPr>
        <w:fldChar w:fldCharType="separate"/>
      </w:r>
      <w:r w:rsidR="006B22A7" w:rsidRPr="006B22A7">
        <w:rPr>
          <w:rStyle w:val="FigreferenceChar"/>
        </w:rPr>
        <w:t>Figure 19</w:t>
      </w:r>
      <w:r w:rsidRPr="00990505">
        <w:rPr>
          <w:rStyle w:val="FigreferenceChar"/>
        </w:rPr>
        <w:fldChar w:fldCharType="end"/>
      </w:r>
      <w:r w:rsidR="00990505">
        <w:rPr>
          <w:rFonts w:ascii="Calibri" w:eastAsia="Calibri" w:hAnsi="Calibri" w:cs="Calibri"/>
          <w:szCs w:val="20"/>
          <w:lang w:val="en-AU"/>
        </w:rPr>
        <w:t xml:space="preserve"> (the New Zealand average is assumed to match Victoria, the ACT average to NSW and the WA and NT averages to SA)</w:t>
      </w:r>
      <w:r>
        <w:rPr>
          <w:rFonts w:ascii="Calibri" w:eastAsia="Calibri" w:hAnsi="Calibri" w:cs="Calibri"/>
          <w:szCs w:val="20"/>
          <w:lang w:val="en-AU"/>
        </w:rPr>
        <w:t xml:space="preserve">. The average contribution per </w:t>
      </w:r>
      <w:r w:rsidR="005F33B6">
        <w:rPr>
          <w:rFonts w:ascii="Calibri" w:eastAsia="Calibri" w:hAnsi="Calibri" w:cs="Calibri"/>
          <w:szCs w:val="20"/>
          <w:lang w:val="en-AU"/>
        </w:rPr>
        <w:t>EV</w:t>
      </w:r>
      <w:bookmarkStart w:id="168" w:name="_GoBack"/>
      <w:bookmarkEnd w:id="168"/>
      <w:r w:rsidR="005F33B6">
        <w:rPr>
          <w:rFonts w:ascii="Calibri" w:eastAsia="Calibri" w:hAnsi="Calibri" w:cs="Calibri"/>
          <w:szCs w:val="20"/>
          <w:lang w:val="en-AU"/>
        </w:rPr>
        <w:t xml:space="preserve"> </w:t>
      </w:r>
      <w:r w:rsidR="00F42241">
        <w:rPr>
          <w:rFonts w:ascii="Calibri" w:eastAsia="Calibri" w:hAnsi="Calibri" w:cs="Calibri"/>
          <w:szCs w:val="20"/>
          <w:lang w:val="en-AU"/>
        </w:rPr>
        <w:t xml:space="preserve">(0.04 in Tasmania to 0.26 kW in Queensland in 2019) </w:t>
      </w:r>
      <w:r>
        <w:rPr>
          <w:rFonts w:ascii="Calibri" w:eastAsia="Calibri" w:hAnsi="Calibri" w:cs="Calibri"/>
          <w:szCs w:val="20"/>
          <w:lang w:val="en-AU"/>
        </w:rPr>
        <w:t xml:space="preserve">is much less than the </w:t>
      </w:r>
      <w:r w:rsidR="00F42241">
        <w:rPr>
          <w:rFonts w:ascii="Calibri" w:eastAsia="Calibri" w:hAnsi="Calibri" w:cs="Calibri"/>
          <w:szCs w:val="20"/>
          <w:lang w:val="en-AU"/>
        </w:rPr>
        <w:t xml:space="preserve">average </w:t>
      </w:r>
      <w:r>
        <w:rPr>
          <w:rFonts w:ascii="Calibri" w:eastAsia="Calibri" w:hAnsi="Calibri" w:cs="Calibri"/>
          <w:szCs w:val="20"/>
          <w:lang w:val="en-AU"/>
        </w:rPr>
        <w:t>residential charge controller capacity (</w:t>
      </w:r>
      <w:r w:rsidR="00F42241">
        <w:rPr>
          <w:rFonts w:ascii="Calibri" w:eastAsia="Calibri" w:hAnsi="Calibri" w:cs="Calibri"/>
          <w:szCs w:val="20"/>
          <w:lang w:val="en-AU"/>
        </w:rPr>
        <w:t>9.6</w:t>
      </w:r>
      <w:r>
        <w:rPr>
          <w:rFonts w:ascii="Calibri" w:eastAsia="Calibri" w:hAnsi="Calibri" w:cs="Calibri"/>
          <w:szCs w:val="20"/>
          <w:lang w:val="en-AU"/>
        </w:rPr>
        <w:t xml:space="preserve"> kW)</w:t>
      </w:r>
      <w:r w:rsidR="00F42241">
        <w:rPr>
          <w:rFonts w:ascii="Calibri" w:eastAsia="Calibri" w:hAnsi="Calibri" w:cs="Calibri"/>
          <w:szCs w:val="20"/>
          <w:lang w:val="en-AU"/>
        </w:rPr>
        <w:t>, because:</w:t>
      </w:r>
      <w:r>
        <w:rPr>
          <w:rFonts w:ascii="Calibri" w:eastAsia="Calibri" w:hAnsi="Calibri" w:cs="Calibri"/>
          <w:szCs w:val="20"/>
          <w:lang w:val="en-AU"/>
        </w:rPr>
        <w:t xml:space="preserve">  </w:t>
      </w:r>
    </w:p>
    <w:p w14:paraId="2302987F" w14:textId="2DB2AD0D" w:rsidR="00981692" w:rsidRPr="00990505" w:rsidRDefault="00F42241" w:rsidP="00FF17C7">
      <w:pPr>
        <w:pStyle w:val="ListParagraph"/>
        <w:numPr>
          <w:ilvl w:val="0"/>
          <w:numId w:val="19"/>
        </w:numPr>
        <w:spacing w:before="120"/>
        <w:rPr>
          <w:rFonts w:eastAsia="Calibri" w:cs="Calibri"/>
        </w:rPr>
      </w:pPr>
      <w:r w:rsidRPr="00990505">
        <w:rPr>
          <w:rFonts w:eastAsia="Calibri" w:cs="Calibri"/>
        </w:rPr>
        <w:t xml:space="preserve">Not all </w:t>
      </w:r>
      <w:r w:rsidR="005F33B6">
        <w:rPr>
          <w:rFonts w:eastAsia="Calibri" w:cs="Calibri"/>
        </w:rPr>
        <w:t xml:space="preserve">EVs </w:t>
      </w:r>
      <w:r w:rsidRPr="00990505">
        <w:rPr>
          <w:rFonts w:eastAsia="Calibri" w:cs="Calibri"/>
        </w:rPr>
        <w:t xml:space="preserve">will be connected to the home chargers and charging at the same time; </w:t>
      </w:r>
      <w:r w:rsidR="005F33B6">
        <w:rPr>
          <w:rFonts w:eastAsia="Calibri" w:cs="Calibri"/>
        </w:rPr>
        <w:t>and</w:t>
      </w:r>
    </w:p>
    <w:p w14:paraId="707BA68D" w14:textId="77777777" w:rsidR="00990505" w:rsidRPr="00990505" w:rsidRDefault="00F42241" w:rsidP="00FF17C7">
      <w:pPr>
        <w:pStyle w:val="ListParagraph"/>
        <w:numPr>
          <w:ilvl w:val="0"/>
          <w:numId w:val="19"/>
        </w:numPr>
        <w:spacing w:before="120"/>
        <w:rPr>
          <w:rFonts w:eastAsia="Calibri" w:cs="Calibri"/>
        </w:rPr>
      </w:pPr>
      <w:r w:rsidRPr="00990505">
        <w:rPr>
          <w:rFonts w:eastAsia="Calibri" w:cs="Calibri"/>
        </w:rPr>
        <w:t>About 22% of the energy to charge small EVs will be supplied by commercial chargers (Energeia 2018, p93/103), presumably during the day and outside peak hours.</w:t>
      </w:r>
    </w:p>
    <w:p w14:paraId="231D3AFE" w14:textId="39214BB8" w:rsidR="00F42241" w:rsidRDefault="00990505" w:rsidP="00751A5B">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As EV numbers rise, do does the probability that some of the charging of each EV will occur during peak periods, so the average kW contribution per EV increases over time. </w:t>
      </w:r>
      <w:r w:rsidR="00F42241">
        <w:rPr>
          <w:rFonts w:ascii="Calibri" w:eastAsia="Calibri" w:hAnsi="Calibri" w:cs="Calibri"/>
          <w:szCs w:val="20"/>
          <w:lang w:val="en-AU"/>
        </w:rPr>
        <w:t xml:space="preserve"> </w:t>
      </w:r>
    </w:p>
    <w:p w14:paraId="1529F020" w14:textId="4113FABC" w:rsidR="00981692" w:rsidRPr="00756225" w:rsidRDefault="00756225" w:rsidP="004258E6">
      <w:pPr>
        <w:pageBreakBefore/>
        <w:spacing w:before="120" w:after="120" w:line="240" w:lineRule="auto"/>
        <w:jc w:val="center"/>
        <w:rPr>
          <w:rFonts w:ascii="Calibri" w:eastAsia="Cambria" w:hAnsi="Calibri" w:cs="Calibri"/>
          <w:b/>
          <w:bCs/>
          <w:sz w:val="20"/>
          <w:szCs w:val="16"/>
          <w:lang w:val="en-AU"/>
        </w:rPr>
      </w:pPr>
      <w:bookmarkStart w:id="169" w:name="_Ref22141363"/>
      <w:bookmarkStart w:id="170" w:name="_Toc22488527"/>
      <w:r w:rsidRPr="00756225">
        <w:rPr>
          <w:rFonts w:ascii="Calibri" w:eastAsia="Cambria" w:hAnsi="Calibri" w:cs="Calibri"/>
          <w:b/>
          <w:bCs/>
          <w:sz w:val="20"/>
          <w:szCs w:val="16"/>
          <w:lang w:val="en-AU"/>
        </w:rPr>
        <w:lastRenderedPageBreak/>
        <w:t xml:space="preserve">Figure </w:t>
      </w:r>
      <w:r w:rsidRPr="00756225">
        <w:rPr>
          <w:rFonts w:ascii="Calibri" w:eastAsia="Cambria" w:hAnsi="Calibri" w:cs="Calibri"/>
          <w:b/>
          <w:bCs/>
          <w:sz w:val="20"/>
          <w:szCs w:val="16"/>
          <w:lang w:val="en-AU"/>
        </w:rPr>
        <w:fldChar w:fldCharType="begin"/>
      </w:r>
      <w:r w:rsidRPr="00756225">
        <w:rPr>
          <w:rFonts w:ascii="Calibri" w:eastAsia="Cambria" w:hAnsi="Calibri" w:cs="Calibri"/>
          <w:b/>
          <w:bCs/>
          <w:sz w:val="20"/>
          <w:szCs w:val="16"/>
          <w:lang w:val="en-AU"/>
        </w:rPr>
        <w:instrText xml:space="preserve"> SEQ Figure \* ARABIC </w:instrText>
      </w:r>
      <w:r w:rsidRPr="00756225">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14</w:t>
      </w:r>
      <w:r w:rsidRPr="00756225">
        <w:rPr>
          <w:rFonts w:ascii="Calibri" w:eastAsia="Cambria" w:hAnsi="Calibri" w:cs="Calibri"/>
          <w:b/>
          <w:bCs/>
          <w:sz w:val="20"/>
          <w:szCs w:val="16"/>
          <w:lang w:val="en-AU"/>
        </w:rPr>
        <w:fldChar w:fldCharType="end"/>
      </w:r>
      <w:bookmarkEnd w:id="169"/>
      <w:r w:rsidRPr="00756225">
        <w:rPr>
          <w:rFonts w:ascii="Calibri" w:eastAsia="Cambria" w:hAnsi="Calibri" w:cs="Calibri"/>
          <w:b/>
          <w:bCs/>
          <w:sz w:val="20"/>
          <w:szCs w:val="16"/>
          <w:lang w:val="en-AU"/>
        </w:rPr>
        <w:t xml:space="preserve"> Projected air conditioner s</w:t>
      </w:r>
      <w:r w:rsidR="005958CF">
        <w:rPr>
          <w:rFonts w:ascii="Calibri" w:eastAsia="Cambria" w:hAnsi="Calibri" w:cs="Calibri"/>
          <w:b/>
          <w:bCs/>
          <w:sz w:val="20"/>
          <w:szCs w:val="16"/>
          <w:lang w:val="en-AU"/>
        </w:rPr>
        <w:t>ales</w:t>
      </w:r>
      <w:r w:rsidRPr="00756225">
        <w:rPr>
          <w:rFonts w:ascii="Calibri" w:eastAsia="Cambria" w:hAnsi="Calibri" w:cs="Calibri"/>
          <w:b/>
          <w:bCs/>
          <w:sz w:val="20"/>
          <w:szCs w:val="16"/>
          <w:lang w:val="en-AU"/>
        </w:rPr>
        <w:t>, Australia</w:t>
      </w:r>
      <w:bookmarkEnd w:id="170"/>
    </w:p>
    <w:p w14:paraId="2FCA6E71" w14:textId="2805959F" w:rsidR="00981692" w:rsidRDefault="00756225" w:rsidP="005958CF">
      <w:pPr>
        <w:spacing w:before="120" w:after="120" w:line="276" w:lineRule="auto"/>
        <w:jc w:val="center"/>
        <w:rPr>
          <w:rFonts w:ascii="Calibri" w:eastAsia="Calibri" w:hAnsi="Calibri" w:cs="Calibri"/>
          <w:szCs w:val="20"/>
          <w:lang w:val="en-AU"/>
        </w:rPr>
      </w:pPr>
      <w:r>
        <w:rPr>
          <w:rFonts w:ascii="Calibri" w:eastAsia="Calibri" w:hAnsi="Calibri" w:cs="Calibri"/>
          <w:noProof/>
          <w:szCs w:val="20"/>
          <w:lang w:val="en-AU" w:eastAsia="en-AU"/>
        </w:rPr>
        <w:drawing>
          <wp:inline distT="0" distB="0" distL="0" distR="0" wp14:anchorId="3A8F771B" wp14:editId="5DD6E590">
            <wp:extent cx="4799440" cy="3484789"/>
            <wp:effectExtent l="19050" t="19050" r="20320"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4604" cy="3488539"/>
                    </a:xfrm>
                    <a:prstGeom prst="rect">
                      <a:avLst/>
                    </a:prstGeom>
                    <a:noFill/>
                    <a:ln>
                      <a:solidFill>
                        <a:schemeClr val="tx1"/>
                      </a:solidFill>
                    </a:ln>
                  </pic:spPr>
                </pic:pic>
              </a:graphicData>
            </a:graphic>
          </wp:inline>
        </w:drawing>
      </w:r>
    </w:p>
    <w:p w14:paraId="787EE755" w14:textId="3DDB035D" w:rsidR="00756225" w:rsidRPr="00756225" w:rsidRDefault="00756225" w:rsidP="00756225">
      <w:pPr>
        <w:spacing w:before="120" w:after="120" w:line="276" w:lineRule="auto"/>
        <w:jc w:val="center"/>
        <w:rPr>
          <w:rFonts w:ascii="Calibri" w:eastAsia="Calibri" w:hAnsi="Calibri" w:cs="Calibri"/>
          <w:sz w:val="18"/>
          <w:szCs w:val="18"/>
          <w:lang w:val="en-AU"/>
        </w:rPr>
      </w:pPr>
      <w:bookmarkStart w:id="171" w:name="_Hlk22141733"/>
      <w:r w:rsidRPr="00756225">
        <w:rPr>
          <w:rFonts w:ascii="Calibri" w:eastAsia="Calibri" w:hAnsi="Calibri" w:cs="Calibri"/>
          <w:sz w:val="18"/>
          <w:szCs w:val="18"/>
          <w:lang w:val="en-AU"/>
        </w:rPr>
        <w:t>Source: AC Stock Sales V2.xlsx</w:t>
      </w:r>
    </w:p>
    <w:bookmarkEnd w:id="171"/>
    <w:p w14:paraId="6B4FA335" w14:textId="77777777" w:rsidR="00756225" w:rsidRDefault="00756225" w:rsidP="00751A5B">
      <w:pPr>
        <w:spacing w:before="120" w:after="120" w:line="276" w:lineRule="auto"/>
        <w:rPr>
          <w:rFonts w:ascii="Calibri" w:eastAsia="Calibri" w:hAnsi="Calibri" w:cs="Calibri"/>
          <w:szCs w:val="20"/>
          <w:lang w:val="en-AU"/>
        </w:rPr>
      </w:pPr>
    </w:p>
    <w:p w14:paraId="6BD7027F" w14:textId="6A34C2A0" w:rsidR="00981692" w:rsidRPr="005958CF" w:rsidRDefault="005958CF" w:rsidP="005958CF">
      <w:pPr>
        <w:spacing w:before="120" w:after="120" w:line="240" w:lineRule="auto"/>
        <w:jc w:val="center"/>
        <w:rPr>
          <w:rFonts w:ascii="Calibri" w:eastAsia="Cambria" w:hAnsi="Calibri" w:cs="Calibri"/>
          <w:b/>
          <w:bCs/>
          <w:sz w:val="20"/>
          <w:szCs w:val="16"/>
          <w:lang w:val="en-AU"/>
        </w:rPr>
      </w:pPr>
      <w:bookmarkStart w:id="172" w:name="_Ref22141650"/>
      <w:bookmarkStart w:id="173" w:name="_Toc22488528"/>
      <w:r w:rsidRPr="005958CF">
        <w:rPr>
          <w:rFonts w:ascii="Calibri" w:eastAsia="Cambria" w:hAnsi="Calibri" w:cs="Calibri"/>
          <w:b/>
          <w:bCs/>
          <w:sz w:val="20"/>
          <w:szCs w:val="16"/>
          <w:lang w:val="en-AU"/>
        </w:rPr>
        <w:t xml:space="preserve">Figure </w:t>
      </w:r>
      <w:r w:rsidRPr="005958CF">
        <w:rPr>
          <w:rFonts w:ascii="Calibri" w:eastAsia="Cambria" w:hAnsi="Calibri" w:cs="Calibri"/>
          <w:b/>
          <w:bCs/>
          <w:sz w:val="20"/>
          <w:szCs w:val="16"/>
          <w:lang w:val="en-AU"/>
        </w:rPr>
        <w:fldChar w:fldCharType="begin"/>
      </w:r>
      <w:r w:rsidRPr="005958CF">
        <w:rPr>
          <w:rFonts w:ascii="Calibri" w:eastAsia="Cambria" w:hAnsi="Calibri" w:cs="Calibri"/>
          <w:b/>
          <w:bCs/>
          <w:sz w:val="20"/>
          <w:szCs w:val="16"/>
          <w:lang w:val="en-AU"/>
        </w:rPr>
        <w:instrText xml:space="preserve"> SEQ Figure \* ARABIC </w:instrText>
      </w:r>
      <w:r w:rsidRPr="005958CF">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15</w:t>
      </w:r>
      <w:r w:rsidRPr="005958CF">
        <w:rPr>
          <w:rFonts w:ascii="Calibri" w:eastAsia="Cambria" w:hAnsi="Calibri" w:cs="Calibri"/>
          <w:b/>
          <w:bCs/>
          <w:sz w:val="20"/>
          <w:szCs w:val="16"/>
          <w:lang w:val="en-AU"/>
        </w:rPr>
        <w:fldChar w:fldCharType="end"/>
      </w:r>
      <w:bookmarkEnd w:id="172"/>
      <w:r w:rsidRPr="005958CF">
        <w:rPr>
          <w:rFonts w:ascii="Calibri" w:eastAsia="Cambria" w:hAnsi="Calibri" w:cs="Calibri"/>
          <w:b/>
          <w:bCs/>
          <w:sz w:val="20"/>
          <w:szCs w:val="16"/>
          <w:lang w:val="en-AU"/>
        </w:rPr>
        <w:t xml:space="preserve"> Projected electrical load of new air conditioners, Australia</w:t>
      </w:r>
      <w:bookmarkEnd w:id="173"/>
    </w:p>
    <w:p w14:paraId="378CB740" w14:textId="4BA288CF" w:rsidR="00756225" w:rsidRDefault="005958CF" w:rsidP="005958CF">
      <w:pPr>
        <w:spacing w:before="120" w:after="120" w:line="276" w:lineRule="auto"/>
        <w:jc w:val="center"/>
        <w:rPr>
          <w:rFonts w:ascii="Calibri" w:eastAsia="Calibri" w:hAnsi="Calibri" w:cs="Calibri"/>
          <w:szCs w:val="20"/>
          <w:lang w:val="en-AU"/>
        </w:rPr>
      </w:pPr>
      <w:r>
        <w:rPr>
          <w:rFonts w:ascii="Calibri" w:eastAsia="Calibri" w:hAnsi="Calibri" w:cs="Calibri"/>
          <w:noProof/>
          <w:szCs w:val="20"/>
          <w:lang w:val="en-AU" w:eastAsia="en-AU"/>
        </w:rPr>
        <w:drawing>
          <wp:inline distT="0" distB="0" distL="0" distR="0" wp14:anchorId="4180418D" wp14:editId="31F56E5F">
            <wp:extent cx="4846941" cy="3519280"/>
            <wp:effectExtent l="19050" t="19050" r="11430"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7385" cy="3534124"/>
                    </a:xfrm>
                    <a:prstGeom prst="rect">
                      <a:avLst/>
                    </a:prstGeom>
                    <a:noFill/>
                    <a:ln>
                      <a:solidFill>
                        <a:schemeClr val="tx1"/>
                      </a:solidFill>
                    </a:ln>
                  </pic:spPr>
                </pic:pic>
              </a:graphicData>
            </a:graphic>
          </wp:inline>
        </w:drawing>
      </w:r>
    </w:p>
    <w:p w14:paraId="23127FFE" w14:textId="6E8BBFE7" w:rsidR="005958CF" w:rsidRPr="00756225" w:rsidRDefault="005958CF" w:rsidP="005958CF">
      <w:pPr>
        <w:spacing w:before="120" w:after="120" w:line="276" w:lineRule="auto"/>
        <w:jc w:val="center"/>
        <w:rPr>
          <w:rFonts w:ascii="Calibri" w:eastAsia="Calibri" w:hAnsi="Calibri" w:cs="Calibri"/>
          <w:sz w:val="18"/>
          <w:szCs w:val="18"/>
          <w:lang w:val="en-AU"/>
        </w:rPr>
      </w:pPr>
      <w:r w:rsidRPr="00756225">
        <w:rPr>
          <w:rFonts w:ascii="Calibri" w:eastAsia="Calibri" w:hAnsi="Calibri" w:cs="Calibri"/>
          <w:sz w:val="18"/>
          <w:szCs w:val="18"/>
          <w:lang w:val="en-AU"/>
        </w:rPr>
        <w:t>Source: AC Stock Sales V2.xlsx</w:t>
      </w:r>
      <w:r>
        <w:rPr>
          <w:rFonts w:ascii="Calibri" w:eastAsia="Calibri" w:hAnsi="Calibri" w:cs="Calibri"/>
          <w:sz w:val="18"/>
          <w:szCs w:val="18"/>
          <w:lang w:val="en-AU"/>
        </w:rPr>
        <w:t xml:space="preserve">. Electrical load at </w:t>
      </w:r>
      <w:r w:rsidR="0003608D">
        <w:rPr>
          <w:rFonts w:ascii="Calibri" w:eastAsia="Calibri" w:hAnsi="Calibri" w:cs="Calibri"/>
          <w:sz w:val="18"/>
          <w:szCs w:val="18"/>
          <w:lang w:val="en-AU"/>
        </w:rPr>
        <w:t xml:space="preserve">MEPS rating cooling </w:t>
      </w:r>
      <w:r>
        <w:rPr>
          <w:rFonts w:ascii="Calibri" w:eastAsia="Calibri" w:hAnsi="Calibri" w:cs="Calibri"/>
          <w:sz w:val="18"/>
          <w:szCs w:val="18"/>
          <w:lang w:val="en-AU"/>
        </w:rPr>
        <w:t xml:space="preserve">capacity. </w:t>
      </w:r>
    </w:p>
    <w:p w14:paraId="73D563DE" w14:textId="77777777" w:rsidR="00FB3768" w:rsidRDefault="00FB3768" w:rsidP="00751A5B">
      <w:pPr>
        <w:spacing w:before="120" w:after="120" w:line="276" w:lineRule="auto"/>
        <w:rPr>
          <w:rFonts w:ascii="Calibri" w:eastAsia="Calibri" w:hAnsi="Calibri" w:cs="Calibri"/>
          <w:szCs w:val="20"/>
          <w:lang w:val="en-AU"/>
        </w:rPr>
      </w:pPr>
    </w:p>
    <w:p w14:paraId="32E40D08" w14:textId="132F708B" w:rsidR="00A14AED" w:rsidRPr="004258E6" w:rsidRDefault="00A14AED" w:rsidP="004258E6">
      <w:pPr>
        <w:spacing w:before="120" w:after="120" w:line="240" w:lineRule="auto"/>
        <w:jc w:val="center"/>
        <w:rPr>
          <w:rFonts w:ascii="Calibri" w:eastAsia="Cambria" w:hAnsi="Calibri" w:cs="Calibri"/>
          <w:b/>
          <w:bCs/>
          <w:sz w:val="20"/>
          <w:szCs w:val="16"/>
          <w:lang w:val="en-AU"/>
        </w:rPr>
      </w:pPr>
      <w:bookmarkStart w:id="174" w:name="_Ref22199343"/>
      <w:bookmarkStart w:id="175" w:name="_Toc22488529"/>
      <w:r w:rsidRPr="004258E6">
        <w:rPr>
          <w:rFonts w:ascii="Calibri" w:eastAsia="Cambria" w:hAnsi="Calibri" w:cs="Calibri"/>
          <w:b/>
          <w:bCs/>
          <w:sz w:val="20"/>
          <w:szCs w:val="16"/>
          <w:lang w:val="en-AU"/>
        </w:rPr>
        <w:lastRenderedPageBreak/>
        <w:t xml:space="preserve">Figure </w:t>
      </w:r>
      <w:r w:rsidRPr="004258E6">
        <w:rPr>
          <w:rFonts w:ascii="Calibri" w:eastAsia="Cambria" w:hAnsi="Calibri" w:cs="Calibri"/>
          <w:b/>
          <w:bCs/>
          <w:sz w:val="20"/>
          <w:szCs w:val="16"/>
          <w:lang w:val="en-AU"/>
        </w:rPr>
        <w:fldChar w:fldCharType="begin"/>
      </w:r>
      <w:r w:rsidRPr="004258E6">
        <w:rPr>
          <w:rFonts w:ascii="Calibri" w:eastAsia="Cambria" w:hAnsi="Calibri" w:cs="Calibri"/>
          <w:b/>
          <w:bCs/>
          <w:sz w:val="20"/>
          <w:szCs w:val="16"/>
          <w:lang w:val="en-AU"/>
        </w:rPr>
        <w:instrText xml:space="preserve"> SEQ Figure \* ARABIC </w:instrText>
      </w:r>
      <w:r w:rsidRPr="004258E6">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16</w:t>
      </w:r>
      <w:r w:rsidRPr="004258E6">
        <w:rPr>
          <w:rFonts w:ascii="Calibri" w:eastAsia="Cambria" w:hAnsi="Calibri" w:cs="Calibri"/>
          <w:b/>
          <w:bCs/>
          <w:sz w:val="20"/>
          <w:szCs w:val="16"/>
          <w:lang w:val="en-AU"/>
        </w:rPr>
        <w:fldChar w:fldCharType="end"/>
      </w:r>
      <w:bookmarkEnd w:id="174"/>
      <w:r w:rsidR="00FB3768" w:rsidRPr="004258E6">
        <w:rPr>
          <w:rFonts w:ascii="Calibri" w:eastAsia="Cambria" w:hAnsi="Calibri" w:cs="Calibri"/>
          <w:b/>
          <w:bCs/>
          <w:sz w:val="20"/>
          <w:szCs w:val="16"/>
          <w:lang w:val="en-AU"/>
        </w:rPr>
        <w:t xml:space="preserve"> Projected Electric Storage Water Heat</w:t>
      </w:r>
      <w:r w:rsidR="004258E6">
        <w:rPr>
          <w:rFonts w:ascii="Calibri" w:eastAsia="Cambria" w:hAnsi="Calibri" w:cs="Calibri"/>
          <w:b/>
          <w:bCs/>
          <w:sz w:val="20"/>
          <w:szCs w:val="16"/>
          <w:lang w:val="en-AU"/>
        </w:rPr>
        <w:t>er</w:t>
      </w:r>
      <w:r w:rsidR="00FB3768" w:rsidRPr="004258E6">
        <w:rPr>
          <w:rFonts w:ascii="Calibri" w:eastAsia="Cambria" w:hAnsi="Calibri" w:cs="Calibri"/>
          <w:b/>
          <w:bCs/>
          <w:sz w:val="20"/>
          <w:szCs w:val="16"/>
          <w:lang w:val="en-AU"/>
        </w:rPr>
        <w:t xml:space="preserve"> Sales, Australia and New Zealand</w:t>
      </w:r>
      <w:bookmarkEnd w:id="175"/>
    </w:p>
    <w:p w14:paraId="6F28BD7A" w14:textId="45A8E25F" w:rsidR="005958CF" w:rsidRDefault="004258E6" w:rsidP="004258E6">
      <w:pPr>
        <w:spacing w:before="120" w:after="120" w:line="276" w:lineRule="auto"/>
        <w:jc w:val="center"/>
        <w:rPr>
          <w:rFonts w:ascii="Calibri" w:eastAsia="Calibri" w:hAnsi="Calibri" w:cs="Calibri"/>
          <w:szCs w:val="20"/>
          <w:lang w:val="en-AU"/>
        </w:rPr>
      </w:pPr>
      <w:r>
        <w:rPr>
          <w:rFonts w:ascii="Calibri" w:eastAsia="Calibri" w:hAnsi="Calibri" w:cs="Calibri"/>
          <w:noProof/>
          <w:szCs w:val="20"/>
          <w:lang w:val="en-AU" w:eastAsia="en-AU"/>
        </w:rPr>
        <w:drawing>
          <wp:inline distT="0" distB="0" distL="0" distR="0" wp14:anchorId="633EC883" wp14:editId="6BF51503">
            <wp:extent cx="4802588" cy="3488291"/>
            <wp:effectExtent l="19050" t="19050" r="1714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9060" cy="3514782"/>
                    </a:xfrm>
                    <a:prstGeom prst="rect">
                      <a:avLst/>
                    </a:prstGeom>
                    <a:noFill/>
                    <a:ln>
                      <a:solidFill>
                        <a:schemeClr val="tx1"/>
                      </a:solidFill>
                    </a:ln>
                  </pic:spPr>
                </pic:pic>
              </a:graphicData>
            </a:graphic>
          </wp:inline>
        </w:drawing>
      </w:r>
    </w:p>
    <w:p w14:paraId="3E46B7A3" w14:textId="5BD17B1E" w:rsidR="00FB3768" w:rsidRPr="004258E6" w:rsidRDefault="004258E6" w:rsidP="004258E6">
      <w:pPr>
        <w:spacing w:before="120" w:after="120" w:line="276" w:lineRule="auto"/>
        <w:jc w:val="center"/>
        <w:rPr>
          <w:rFonts w:ascii="Calibri" w:eastAsia="Calibri" w:hAnsi="Calibri" w:cs="Calibri"/>
          <w:sz w:val="18"/>
          <w:szCs w:val="18"/>
          <w:lang w:val="en-AU"/>
        </w:rPr>
      </w:pPr>
      <w:r w:rsidRPr="004258E6">
        <w:rPr>
          <w:rFonts w:ascii="Calibri" w:eastAsia="Calibri" w:hAnsi="Calibri" w:cs="Calibri"/>
          <w:sz w:val="18"/>
          <w:szCs w:val="18"/>
          <w:lang w:val="en-AU"/>
        </w:rPr>
        <w:t>Source: DR RIS Model 2019 Macro V5.xlsx</w:t>
      </w:r>
    </w:p>
    <w:p w14:paraId="0E6D0CFC" w14:textId="77777777" w:rsidR="004258E6" w:rsidRDefault="004258E6" w:rsidP="00751A5B">
      <w:pPr>
        <w:spacing w:before="120" w:after="120" w:line="276" w:lineRule="auto"/>
        <w:rPr>
          <w:rFonts w:ascii="Calibri" w:eastAsia="Calibri" w:hAnsi="Calibri" w:cs="Calibri"/>
          <w:szCs w:val="20"/>
          <w:lang w:val="en-AU"/>
        </w:rPr>
      </w:pPr>
    </w:p>
    <w:p w14:paraId="5F701509" w14:textId="29B7CCE7" w:rsidR="004258E6" w:rsidRDefault="004258E6" w:rsidP="004258E6">
      <w:pPr>
        <w:spacing w:before="120" w:after="120" w:line="240" w:lineRule="auto"/>
        <w:jc w:val="center"/>
        <w:rPr>
          <w:rFonts w:ascii="Calibri" w:eastAsia="Cambria" w:hAnsi="Calibri" w:cs="Calibri"/>
          <w:b/>
          <w:bCs/>
          <w:sz w:val="20"/>
          <w:szCs w:val="16"/>
          <w:lang w:val="en-AU"/>
        </w:rPr>
      </w:pPr>
      <w:bookmarkStart w:id="176" w:name="_Ref22199516"/>
      <w:bookmarkStart w:id="177" w:name="_Toc22488530"/>
      <w:r w:rsidRPr="004258E6">
        <w:rPr>
          <w:rFonts w:ascii="Calibri" w:eastAsia="Cambria" w:hAnsi="Calibri" w:cs="Calibri"/>
          <w:b/>
          <w:bCs/>
          <w:sz w:val="20"/>
          <w:szCs w:val="16"/>
          <w:lang w:val="en-AU"/>
        </w:rPr>
        <w:t xml:space="preserve">Figure </w:t>
      </w:r>
      <w:r w:rsidRPr="004258E6">
        <w:rPr>
          <w:rFonts w:ascii="Calibri" w:eastAsia="Cambria" w:hAnsi="Calibri" w:cs="Calibri"/>
          <w:b/>
          <w:bCs/>
          <w:sz w:val="20"/>
          <w:szCs w:val="16"/>
          <w:lang w:val="en-AU"/>
        </w:rPr>
        <w:fldChar w:fldCharType="begin"/>
      </w:r>
      <w:r w:rsidRPr="004258E6">
        <w:rPr>
          <w:rFonts w:ascii="Calibri" w:eastAsia="Cambria" w:hAnsi="Calibri" w:cs="Calibri"/>
          <w:b/>
          <w:bCs/>
          <w:sz w:val="20"/>
          <w:szCs w:val="16"/>
          <w:lang w:val="en-AU"/>
        </w:rPr>
        <w:instrText xml:space="preserve"> SEQ Figure \* ARABIC </w:instrText>
      </w:r>
      <w:r w:rsidRPr="004258E6">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17</w:t>
      </w:r>
      <w:r w:rsidRPr="004258E6">
        <w:rPr>
          <w:rFonts w:ascii="Calibri" w:eastAsia="Cambria" w:hAnsi="Calibri" w:cs="Calibri"/>
          <w:b/>
          <w:bCs/>
          <w:sz w:val="20"/>
          <w:szCs w:val="16"/>
          <w:lang w:val="en-AU"/>
        </w:rPr>
        <w:fldChar w:fldCharType="end"/>
      </w:r>
      <w:bookmarkEnd w:id="176"/>
      <w:r w:rsidRPr="004258E6">
        <w:rPr>
          <w:rFonts w:ascii="Calibri" w:eastAsia="Cambria" w:hAnsi="Calibri" w:cs="Calibri"/>
          <w:b/>
          <w:bCs/>
          <w:sz w:val="20"/>
          <w:szCs w:val="16"/>
          <w:lang w:val="en-AU"/>
        </w:rPr>
        <w:t xml:space="preserve"> Projected Pool Pump Controller Sales, Australia</w:t>
      </w:r>
      <w:bookmarkEnd w:id="177"/>
    </w:p>
    <w:p w14:paraId="39AD4310" w14:textId="7C2CD071" w:rsidR="004258E6" w:rsidRDefault="004258E6" w:rsidP="004258E6">
      <w:pPr>
        <w:jc w:val="center"/>
        <w:rPr>
          <w:lang w:val="en-AU"/>
        </w:rPr>
      </w:pPr>
      <w:r>
        <w:rPr>
          <w:noProof/>
          <w:lang w:val="en-AU" w:eastAsia="en-AU"/>
        </w:rPr>
        <w:drawing>
          <wp:inline distT="0" distB="0" distL="0" distR="0" wp14:anchorId="278E0CEC" wp14:editId="12D35E62">
            <wp:extent cx="4751540" cy="3451214"/>
            <wp:effectExtent l="19050" t="19050" r="1143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8267" cy="3463363"/>
                    </a:xfrm>
                    <a:prstGeom prst="rect">
                      <a:avLst/>
                    </a:prstGeom>
                    <a:noFill/>
                    <a:ln>
                      <a:solidFill>
                        <a:schemeClr val="tx1"/>
                      </a:solidFill>
                    </a:ln>
                  </pic:spPr>
                </pic:pic>
              </a:graphicData>
            </a:graphic>
          </wp:inline>
        </w:drawing>
      </w:r>
    </w:p>
    <w:p w14:paraId="4654D56B" w14:textId="77777777" w:rsidR="004258E6" w:rsidRPr="004258E6" w:rsidRDefault="004258E6" w:rsidP="004258E6">
      <w:pPr>
        <w:spacing w:before="120" w:after="120" w:line="276" w:lineRule="auto"/>
        <w:jc w:val="center"/>
        <w:rPr>
          <w:rFonts w:ascii="Calibri" w:eastAsia="Calibri" w:hAnsi="Calibri" w:cs="Calibri"/>
          <w:sz w:val="18"/>
          <w:szCs w:val="18"/>
          <w:lang w:val="en-AU"/>
        </w:rPr>
      </w:pPr>
      <w:r w:rsidRPr="004258E6">
        <w:rPr>
          <w:rFonts w:ascii="Calibri" w:eastAsia="Calibri" w:hAnsi="Calibri" w:cs="Calibri"/>
          <w:sz w:val="18"/>
          <w:szCs w:val="18"/>
          <w:lang w:val="en-AU"/>
        </w:rPr>
        <w:t>Source: DR RIS Model 2019 Macro V5.xlsx</w:t>
      </w:r>
    </w:p>
    <w:p w14:paraId="619BEC95" w14:textId="3F8C406A" w:rsidR="004258E6" w:rsidRDefault="004258E6" w:rsidP="004258E6">
      <w:pPr>
        <w:rPr>
          <w:lang w:val="en-AU"/>
        </w:rPr>
      </w:pPr>
    </w:p>
    <w:p w14:paraId="028FF47C" w14:textId="0F5853A1" w:rsidR="004258E6" w:rsidRPr="004D704B" w:rsidRDefault="004D704B" w:rsidP="004D704B">
      <w:pPr>
        <w:spacing w:before="120" w:after="120" w:line="240" w:lineRule="auto"/>
        <w:jc w:val="center"/>
        <w:rPr>
          <w:rFonts w:ascii="Calibri" w:eastAsia="Cambria" w:hAnsi="Calibri" w:cs="Calibri"/>
          <w:b/>
          <w:bCs/>
          <w:sz w:val="20"/>
          <w:szCs w:val="16"/>
          <w:lang w:val="en-AU"/>
        </w:rPr>
      </w:pPr>
      <w:bookmarkStart w:id="178" w:name="_Ref22201571"/>
      <w:bookmarkStart w:id="179" w:name="_Toc22488531"/>
      <w:r w:rsidRPr="004D704B">
        <w:rPr>
          <w:rFonts w:ascii="Calibri" w:eastAsia="Cambria" w:hAnsi="Calibri" w:cs="Calibri"/>
          <w:b/>
          <w:bCs/>
          <w:sz w:val="20"/>
          <w:szCs w:val="16"/>
          <w:lang w:val="en-AU"/>
        </w:rPr>
        <w:lastRenderedPageBreak/>
        <w:t xml:space="preserve">Figure </w:t>
      </w:r>
      <w:r w:rsidRPr="004D704B">
        <w:rPr>
          <w:rFonts w:ascii="Calibri" w:eastAsia="Cambria" w:hAnsi="Calibri" w:cs="Calibri"/>
          <w:b/>
          <w:bCs/>
          <w:sz w:val="20"/>
          <w:szCs w:val="16"/>
          <w:lang w:val="en-AU"/>
        </w:rPr>
        <w:fldChar w:fldCharType="begin"/>
      </w:r>
      <w:r w:rsidRPr="004D704B">
        <w:rPr>
          <w:rFonts w:ascii="Calibri" w:eastAsia="Cambria" w:hAnsi="Calibri" w:cs="Calibri"/>
          <w:b/>
          <w:bCs/>
          <w:sz w:val="20"/>
          <w:szCs w:val="16"/>
          <w:lang w:val="en-AU"/>
        </w:rPr>
        <w:instrText xml:space="preserve"> SEQ Figure \* ARABIC </w:instrText>
      </w:r>
      <w:r w:rsidRPr="004D704B">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18</w:t>
      </w:r>
      <w:r w:rsidRPr="004D704B">
        <w:rPr>
          <w:rFonts w:ascii="Calibri" w:eastAsia="Cambria" w:hAnsi="Calibri" w:cs="Calibri"/>
          <w:b/>
          <w:bCs/>
          <w:sz w:val="20"/>
          <w:szCs w:val="16"/>
          <w:lang w:val="en-AU"/>
        </w:rPr>
        <w:fldChar w:fldCharType="end"/>
      </w:r>
      <w:bookmarkEnd w:id="178"/>
      <w:r w:rsidRPr="004D704B">
        <w:rPr>
          <w:rFonts w:ascii="Calibri" w:eastAsia="Cambria" w:hAnsi="Calibri" w:cs="Calibri"/>
          <w:b/>
          <w:bCs/>
          <w:sz w:val="20"/>
          <w:szCs w:val="16"/>
          <w:lang w:val="en-AU"/>
        </w:rPr>
        <w:t xml:space="preserve"> Projected Electric Vehicle Ownership per Household</w:t>
      </w:r>
      <w:bookmarkEnd w:id="179"/>
    </w:p>
    <w:p w14:paraId="4ED31A3B" w14:textId="1B003A1A" w:rsidR="00A14AED" w:rsidRDefault="00A14AED" w:rsidP="004D704B">
      <w:pPr>
        <w:spacing w:before="120" w:after="120" w:line="276" w:lineRule="auto"/>
        <w:jc w:val="center"/>
        <w:rPr>
          <w:rFonts w:ascii="Calibri" w:eastAsia="Calibri" w:hAnsi="Calibri" w:cs="Calibri"/>
          <w:szCs w:val="20"/>
          <w:lang w:val="en-AU"/>
        </w:rPr>
      </w:pPr>
      <w:r>
        <w:rPr>
          <w:rFonts w:ascii="Calibri" w:eastAsia="Calibri" w:hAnsi="Calibri" w:cs="Calibri"/>
          <w:noProof/>
          <w:szCs w:val="20"/>
          <w:lang w:val="en-AU" w:eastAsia="en-AU"/>
        </w:rPr>
        <w:drawing>
          <wp:inline distT="0" distB="0" distL="0" distR="0" wp14:anchorId="2CFD6E88" wp14:editId="6A71D7FE">
            <wp:extent cx="4729922" cy="3434314"/>
            <wp:effectExtent l="19050" t="19050" r="1397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38368" cy="3440446"/>
                    </a:xfrm>
                    <a:prstGeom prst="rect">
                      <a:avLst/>
                    </a:prstGeom>
                    <a:noFill/>
                    <a:ln>
                      <a:solidFill>
                        <a:schemeClr val="tx1"/>
                      </a:solidFill>
                    </a:ln>
                  </pic:spPr>
                </pic:pic>
              </a:graphicData>
            </a:graphic>
          </wp:inline>
        </w:drawing>
      </w:r>
    </w:p>
    <w:p w14:paraId="747D63F3" w14:textId="4897F7B5" w:rsidR="005958CF" w:rsidRPr="001A74F5" w:rsidRDefault="004D704B" w:rsidP="001A74F5">
      <w:pPr>
        <w:spacing w:before="120" w:after="120" w:line="276" w:lineRule="auto"/>
        <w:jc w:val="center"/>
        <w:rPr>
          <w:rFonts w:ascii="Calibri" w:eastAsia="Calibri" w:hAnsi="Calibri" w:cs="Calibri"/>
          <w:sz w:val="18"/>
          <w:szCs w:val="18"/>
          <w:lang w:val="en-AU"/>
        </w:rPr>
      </w:pPr>
      <w:r w:rsidRPr="001A74F5">
        <w:rPr>
          <w:rFonts w:ascii="Calibri" w:eastAsia="Calibri" w:hAnsi="Calibri" w:cs="Calibri"/>
          <w:sz w:val="18"/>
          <w:szCs w:val="18"/>
          <w:lang w:val="en-AU"/>
        </w:rPr>
        <w:t xml:space="preserve">Source: Vehicle numbers from Energeia (2018, p82/103) divided by ABS household number projections </w:t>
      </w:r>
    </w:p>
    <w:p w14:paraId="6EB4F53C" w14:textId="6C8FBFE5" w:rsidR="004258E6" w:rsidRDefault="004258E6" w:rsidP="004D704B">
      <w:pPr>
        <w:rPr>
          <w:lang w:val="en-AU"/>
        </w:rPr>
      </w:pPr>
    </w:p>
    <w:p w14:paraId="61C1AB7A" w14:textId="366C0079" w:rsidR="001A74F5" w:rsidRPr="001A74F5" w:rsidRDefault="001A74F5" w:rsidP="001A74F5">
      <w:pPr>
        <w:spacing w:before="120" w:after="120" w:line="240" w:lineRule="auto"/>
        <w:jc w:val="center"/>
        <w:rPr>
          <w:rFonts w:ascii="Calibri" w:eastAsia="Cambria" w:hAnsi="Calibri" w:cs="Calibri"/>
          <w:b/>
          <w:bCs/>
          <w:sz w:val="20"/>
          <w:szCs w:val="16"/>
          <w:lang w:val="en-AU"/>
        </w:rPr>
      </w:pPr>
      <w:bookmarkStart w:id="180" w:name="_Ref22202109"/>
      <w:bookmarkStart w:id="181" w:name="_Toc22488532"/>
      <w:r w:rsidRPr="001A74F5">
        <w:rPr>
          <w:rFonts w:ascii="Calibri" w:eastAsia="Cambria" w:hAnsi="Calibri" w:cs="Calibri"/>
          <w:b/>
          <w:bCs/>
          <w:sz w:val="20"/>
          <w:szCs w:val="16"/>
          <w:lang w:val="en-AU"/>
        </w:rPr>
        <w:t xml:space="preserve">Figure </w:t>
      </w:r>
      <w:r w:rsidRPr="001A74F5">
        <w:rPr>
          <w:rFonts w:ascii="Calibri" w:eastAsia="Cambria" w:hAnsi="Calibri" w:cs="Calibri"/>
          <w:b/>
          <w:bCs/>
          <w:sz w:val="20"/>
          <w:szCs w:val="16"/>
          <w:lang w:val="en-AU"/>
        </w:rPr>
        <w:fldChar w:fldCharType="begin"/>
      </w:r>
      <w:r w:rsidRPr="001A74F5">
        <w:rPr>
          <w:rFonts w:ascii="Calibri" w:eastAsia="Cambria" w:hAnsi="Calibri" w:cs="Calibri"/>
          <w:b/>
          <w:bCs/>
          <w:sz w:val="20"/>
          <w:szCs w:val="16"/>
          <w:lang w:val="en-AU"/>
        </w:rPr>
        <w:instrText xml:space="preserve"> SEQ Figure \* ARABIC </w:instrText>
      </w:r>
      <w:r w:rsidRPr="001A74F5">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19</w:t>
      </w:r>
      <w:r w:rsidRPr="001A74F5">
        <w:rPr>
          <w:rFonts w:ascii="Calibri" w:eastAsia="Cambria" w:hAnsi="Calibri" w:cs="Calibri"/>
          <w:b/>
          <w:bCs/>
          <w:sz w:val="20"/>
          <w:szCs w:val="16"/>
          <w:lang w:val="en-AU"/>
        </w:rPr>
        <w:fldChar w:fldCharType="end"/>
      </w:r>
      <w:bookmarkEnd w:id="180"/>
      <w:r w:rsidRPr="001A74F5">
        <w:rPr>
          <w:rFonts w:ascii="Calibri" w:eastAsia="Cambria" w:hAnsi="Calibri" w:cs="Calibri"/>
          <w:b/>
          <w:bCs/>
          <w:sz w:val="20"/>
          <w:szCs w:val="16"/>
          <w:lang w:val="en-AU"/>
        </w:rPr>
        <w:t xml:space="preserve"> Projected Contribution of each light EV to Maximum Demand</w:t>
      </w:r>
      <w:bookmarkEnd w:id="181"/>
    </w:p>
    <w:p w14:paraId="1659E352" w14:textId="2AD6B438" w:rsidR="001A74F5" w:rsidRPr="001A74F5" w:rsidRDefault="001A74F5" w:rsidP="001A74F5">
      <w:pPr>
        <w:jc w:val="center"/>
      </w:pPr>
      <w:r>
        <w:rPr>
          <w:noProof/>
          <w:lang w:val="en-AU" w:eastAsia="en-AU"/>
        </w:rPr>
        <w:drawing>
          <wp:inline distT="0" distB="0" distL="0" distR="0" wp14:anchorId="6DE911A0" wp14:editId="57E39974">
            <wp:extent cx="4711976" cy="3424730"/>
            <wp:effectExtent l="19050" t="19050" r="1270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7926" cy="3443590"/>
                    </a:xfrm>
                    <a:prstGeom prst="rect">
                      <a:avLst/>
                    </a:prstGeom>
                    <a:noFill/>
                    <a:ln>
                      <a:solidFill>
                        <a:schemeClr val="tx1"/>
                      </a:solidFill>
                    </a:ln>
                  </pic:spPr>
                </pic:pic>
              </a:graphicData>
            </a:graphic>
          </wp:inline>
        </w:drawing>
      </w:r>
    </w:p>
    <w:p w14:paraId="52C86E12" w14:textId="5655AAF3" w:rsidR="001A74F5" w:rsidRPr="001A74F5" w:rsidRDefault="001A74F5" w:rsidP="001A74F5">
      <w:pPr>
        <w:spacing w:before="120" w:after="120" w:line="276" w:lineRule="auto"/>
        <w:jc w:val="center"/>
        <w:rPr>
          <w:rFonts w:ascii="Calibri" w:eastAsia="Calibri" w:hAnsi="Calibri" w:cs="Calibri"/>
          <w:sz w:val="18"/>
          <w:szCs w:val="18"/>
          <w:lang w:val="en-AU"/>
        </w:rPr>
      </w:pPr>
      <w:r w:rsidRPr="001A74F5">
        <w:rPr>
          <w:rFonts w:ascii="Calibri" w:eastAsia="Calibri" w:hAnsi="Calibri" w:cs="Calibri"/>
          <w:sz w:val="18"/>
          <w:szCs w:val="18"/>
          <w:lang w:val="en-AU"/>
        </w:rPr>
        <w:t xml:space="preserve">Source: EV charging impacts on MD (50% POE) projected by AEMO at </w:t>
      </w:r>
      <w:hyperlink r:id="rId38" w:history="1">
        <w:r w:rsidRPr="001A74F5">
          <w:rPr>
            <w:rFonts w:ascii="Calibri" w:eastAsia="Calibri" w:hAnsi="Calibri" w:cs="Calibri"/>
            <w:sz w:val="18"/>
            <w:szCs w:val="18"/>
            <w:lang w:val="en-AU"/>
          </w:rPr>
          <w:t>http://forecasting.aemo.com.au/</w:t>
        </w:r>
      </w:hyperlink>
      <w:r w:rsidRPr="001A74F5">
        <w:rPr>
          <w:rFonts w:ascii="Calibri" w:eastAsia="Calibri" w:hAnsi="Calibri" w:cs="Calibri"/>
          <w:sz w:val="18"/>
          <w:szCs w:val="18"/>
          <w:lang w:val="en-AU"/>
        </w:rPr>
        <w:t xml:space="preserve"> divided by number of EVS</w:t>
      </w:r>
      <w:r w:rsidR="0003608D">
        <w:rPr>
          <w:rFonts w:ascii="Calibri" w:eastAsia="Calibri" w:hAnsi="Calibri" w:cs="Calibri"/>
          <w:sz w:val="18"/>
          <w:szCs w:val="18"/>
          <w:lang w:val="en-AU"/>
        </w:rPr>
        <w:t xml:space="preserve">. Smoothed by linear regression </w:t>
      </w:r>
    </w:p>
    <w:p w14:paraId="61311E0E" w14:textId="77777777" w:rsidR="004D704B" w:rsidRDefault="004D704B" w:rsidP="004D704B">
      <w:pPr>
        <w:rPr>
          <w:lang w:val="en-AU"/>
        </w:rPr>
      </w:pPr>
    </w:p>
    <w:p w14:paraId="76C72C9B" w14:textId="0C6221DE" w:rsidR="00751A5B" w:rsidRPr="00751A5B" w:rsidRDefault="00751A5B" w:rsidP="00751A5B">
      <w:pPr>
        <w:keepNext/>
        <w:keepLines/>
        <w:spacing w:before="240" w:after="240" w:line="278" w:lineRule="auto"/>
        <w:outlineLvl w:val="4"/>
        <w:rPr>
          <w:rFonts w:ascii="Calibri" w:eastAsia="Times New Roman" w:hAnsi="Calibri" w:cs="Calibri"/>
          <w:b/>
          <w:color w:val="FF0000"/>
          <w:sz w:val="28"/>
          <w:lang w:val="en-AU"/>
        </w:rPr>
      </w:pPr>
      <w:r w:rsidRPr="00751A5B">
        <w:rPr>
          <w:rFonts w:ascii="Calibri" w:eastAsia="Times New Roman" w:hAnsi="Calibri" w:cs="Calibri"/>
          <w:b/>
          <w:color w:val="FF0000"/>
          <w:sz w:val="28"/>
          <w:lang w:val="en-AU"/>
        </w:rPr>
        <w:lastRenderedPageBreak/>
        <w:t>Activation Costs</w:t>
      </w:r>
      <w:r w:rsidR="008F378B">
        <w:rPr>
          <w:rFonts w:ascii="Calibri" w:eastAsia="Times New Roman" w:hAnsi="Calibri" w:cs="Calibri"/>
          <w:b/>
          <w:color w:val="FF0000"/>
          <w:sz w:val="28"/>
          <w:lang w:val="en-AU"/>
        </w:rPr>
        <w:t xml:space="preserve"> and Scenarios</w:t>
      </w:r>
      <w:r w:rsidRPr="00751A5B">
        <w:rPr>
          <w:rFonts w:ascii="Calibri" w:eastAsia="Times New Roman" w:hAnsi="Calibri" w:cs="Calibri"/>
          <w:b/>
          <w:color w:val="FF0000"/>
          <w:sz w:val="28"/>
          <w:lang w:val="en-AU"/>
        </w:rPr>
        <w:t xml:space="preserve"> </w:t>
      </w:r>
    </w:p>
    <w:p w14:paraId="47E44B0A" w14:textId="5CD4D1C5" w:rsidR="00541269" w:rsidRPr="00A37634" w:rsidRDefault="008F378B" w:rsidP="00541269">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 xml:space="preserve">The load of a DR-capable appliance does not become </w:t>
      </w:r>
      <w:proofErr w:type="gramStart"/>
      <w:r w:rsidRPr="00A37634">
        <w:rPr>
          <w:rFonts w:ascii="Calibri" w:eastAsia="Calibri" w:hAnsi="Calibri" w:cs="Calibri"/>
          <w:szCs w:val="20"/>
          <w:lang w:val="en-AU"/>
        </w:rPr>
        <w:t>actually controllable</w:t>
      </w:r>
      <w:proofErr w:type="gramEnd"/>
      <w:r w:rsidRPr="00A37634">
        <w:rPr>
          <w:rFonts w:ascii="Calibri" w:eastAsia="Calibri" w:hAnsi="Calibri" w:cs="Calibri"/>
          <w:szCs w:val="20"/>
          <w:lang w:val="en-AU"/>
        </w:rPr>
        <w:t xml:space="preserve"> until it is “activated” and the customer consents to participate in a DLC program.</w:t>
      </w:r>
      <w:r w:rsidRPr="00A37634">
        <w:rPr>
          <w:rFonts w:ascii="Calibri" w:eastAsia="Calibri" w:hAnsi="Calibri" w:cs="Calibri"/>
          <w:szCs w:val="20"/>
          <w:vertAlign w:val="superscript"/>
          <w:lang w:val="en-AU"/>
        </w:rPr>
        <w:footnoteReference w:id="101"/>
      </w:r>
      <w:r w:rsidRPr="00A37634">
        <w:rPr>
          <w:rFonts w:ascii="Calibri" w:eastAsia="Calibri" w:hAnsi="Calibri" w:cs="Calibri"/>
          <w:szCs w:val="20"/>
          <w:lang w:val="en-AU"/>
        </w:rPr>
        <w:t xml:space="preserve"> For products complying with AS/NZS 4755 Part 3, activation requires the installation of a DRED. AS 4755.2-compliant products could connect to the internet using pathways already present in most home, such as WiFi routers or via the mobile phone network (3G/4G/5G standards). Some methods of activation would require a service call, others not. An initial average activation cost of between $120 and $140 has been assumed, declining ov</w:t>
      </w:r>
      <w:r w:rsidR="00541269">
        <w:rPr>
          <w:rFonts w:ascii="Calibri" w:eastAsia="Calibri" w:hAnsi="Calibri" w:cs="Calibri"/>
          <w:szCs w:val="20"/>
          <w:lang w:val="en-AU"/>
        </w:rPr>
        <w:t>er time (</w:t>
      </w:r>
      <w:r w:rsidR="00541269" w:rsidRPr="00541269">
        <w:rPr>
          <w:rStyle w:val="FigreferenceChar"/>
        </w:rPr>
        <w:fldChar w:fldCharType="begin"/>
      </w:r>
      <w:r w:rsidR="00541269" w:rsidRPr="00541269">
        <w:rPr>
          <w:rStyle w:val="FigreferenceChar"/>
        </w:rPr>
        <w:instrText xml:space="preserve"> REF _Ref22486604 \h </w:instrText>
      </w:r>
      <w:r w:rsidR="00541269">
        <w:rPr>
          <w:rStyle w:val="FigreferenceChar"/>
        </w:rPr>
        <w:instrText xml:space="preserve"> \* MERGEFORMAT </w:instrText>
      </w:r>
      <w:r w:rsidR="00541269" w:rsidRPr="00541269">
        <w:rPr>
          <w:rStyle w:val="FigreferenceChar"/>
        </w:rPr>
      </w:r>
      <w:r w:rsidR="00541269" w:rsidRPr="00541269">
        <w:rPr>
          <w:rStyle w:val="FigreferenceChar"/>
        </w:rPr>
        <w:fldChar w:fldCharType="separate"/>
      </w:r>
      <w:r w:rsidR="00541269" w:rsidRPr="00541269">
        <w:rPr>
          <w:rStyle w:val="FigreferenceChar"/>
        </w:rPr>
        <w:t>Figure 9</w:t>
      </w:r>
      <w:r w:rsidR="00541269" w:rsidRPr="00541269">
        <w:rPr>
          <w:rStyle w:val="FigreferenceChar"/>
        </w:rPr>
        <w:fldChar w:fldCharType="end"/>
      </w:r>
      <w:r w:rsidR="00541269">
        <w:rPr>
          <w:rFonts w:ascii="Calibri" w:eastAsia="Calibri" w:hAnsi="Calibri" w:cs="Calibri"/>
          <w:szCs w:val="20"/>
          <w:lang w:val="en-AU"/>
        </w:rPr>
        <w:t xml:space="preserve">).  </w:t>
      </w:r>
    </w:p>
    <w:p w14:paraId="0FCBD121" w14:textId="22EE7F20" w:rsidR="008F378B" w:rsidRDefault="008F378B" w:rsidP="008F378B">
      <w:pPr>
        <w:spacing w:before="120" w:after="120" w:line="276" w:lineRule="auto"/>
        <w:rPr>
          <w:rFonts w:ascii="Calibri" w:eastAsia="Calibri" w:hAnsi="Calibri" w:cs="Calibri"/>
          <w:szCs w:val="20"/>
          <w:lang w:val="en-AU"/>
        </w:rPr>
      </w:pPr>
      <w:r w:rsidRPr="00A37634">
        <w:rPr>
          <w:rFonts w:ascii="Calibri" w:eastAsia="Calibri" w:hAnsi="Calibri" w:cs="Calibri"/>
          <w:szCs w:val="20"/>
          <w:lang w:val="en-AU"/>
        </w:rPr>
        <w:t>Some modes of activation will support several DR-capable appliances at the one site, so as time passes and households activate multiple DR-capable products the cost per new activation should fall.</w:t>
      </w:r>
    </w:p>
    <w:p w14:paraId="16FD0CF6" w14:textId="77777777" w:rsidR="00A37634" w:rsidRPr="00A37634" w:rsidRDefault="00A37634" w:rsidP="00A37634">
      <w:pPr>
        <w:spacing w:before="240" w:after="120" w:line="278" w:lineRule="auto"/>
        <w:rPr>
          <w:rFonts w:ascii="Calibri" w:eastAsia="Cambria" w:hAnsi="Calibri" w:cs="Calibri"/>
          <w:lang w:val="en-AU"/>
        </w:rPr>
      </w:pPr>
      <w:r w:rsidRPr="00A37634">
        <w:rPr>
          <w:rFonts w:ascii="Calibri" w:eastAsia="Cambria" w:hAnsi="Calibri" w:cs="Calibri"/>
          <w:lang w:val="en-AU"/>
        </w:rPr>
        <w:t xml:space="preserve">Three conditions must be satisfied for a product to be part of a utility DR program: it must comply with AS/NZS 4755, the DR capability must be activated by connection to a DRSPs communications platform and the consumer must agree to participate by accepting a DR contract. The mathematical product of these three factors – compliance rates, activation rates and participation rates – will give the number of appliances which participate in DR programs in any given year. </w:t>
      </w:r>
    </w:p>
    <w:p w14:paraId="04E70679" w14:textId="23BE8B2C"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For simplicity, participation rates are assumed to be the same as activation rates, but this is not necessarily so. Some products may be activated speculatively by the installer or builder, but the occupant may never be approached by a DRSP or may decline to participate. Alternatively, consumers may decide to participate but drop out later</w:t>
      </w:r>
      <w:r w:rsidR="008F378B">
        <w:rPr>
          <w:rFonts w:ascii="Calibri" w:eastAsia="Cambria" w:hAnsi="Calibri" w:cs="Calibri"/>
          <w:lang w:val="en-AU"/>
        </w:rPr>
        <w:t>.</w:t>
      </w:r>
      <w:r w:rsidRPr="00A37634">
        <w:rPr>
          <w:rFonts w:ascii="Calibri" w:eastAsia="Cambria" w:hAnsi="Calibri" w:cs="Calibri"/>
          <w:lang w:val="en-AU"/>
        </w:rPr>
        <w:t xml:space="preserve"> Energex reports a drop-out rate of less than 0.2% of about 10</w:t>
      </w:r>
      <w:r w:rsidR="008F378B">
        <w:rPr>
          <w:rFonts w:ascii="Calibri" w:eastAsia="Cambria" w:hAnsi="Calibri" w:cs="Calibri"/>
          <w:lang w:val="en-AU"/>
        </w:rPr>
        <w:t>8</w:t>
      </w:r>
      <w:r w:rsidRPr="00A37634">
        <w:rPr>
          <w:rFonts w:ascii="Calibri" w:eastAsia="Cambria" w:hAnsi="Calibri" w:cs="Calibri"/>
          <w:lang w:val="en-AU"/>
        </w:rPr>
        <w:t>,000 air conditioners enrolled since the beginning of the PeakSmart program.</w:t>
      </w:r>
      <w:r w:rsidRPr="00A37634">
        <w:rPr>
          <w:rFonts w:ascii="Calibri" w:eastAsia="Cambria" w:hAnsi="Calibri" w:cs="Calibri"/>
          <w:vertAlign w:val="superscript"/>
          <w:lang w:val="en-AU"/>
        </w:rPr>
        <w:footnoteReference w:id="102"/>
      </w:r>
      <w:r w:rsidRPr="00A37634">
        <w:rPr>
          <w:rFonts w:ascii="Calibri" w:eastAsia="Cambria" w:hAnsi="Calibri" w:cs="Calibri"/>
          <w:lang w:val="en-AU"/>
        </w:rPr>
        <w:t xml:space="preserve"> </w:t>
      </w:r>
    </w:p>
    <w:p w14:paraId="2DEFFFEA" w14:textId="6809FD5D" w:rsidR="00A37634" w:rsidRPr="00A37634" w:rsidRDefault="008F378B" w:rsidP="00A37634">
      <w:pPr>
        <w:spacing w:before="120" w:after="120" w:line="278" w:lineRule="auto"/>
        <w:rPr>
          <w:rFonts w:ascii="Calibri" w:eastAsia="Cambria" w:hAnsi="Calibri" w:cs="Calibri"/>
          <w:lang w:val="en-AU"/>
        </w:rPr>
      </w:pPr>
      <w:r>
        <w:rPr>
          <w:rFonts w:ascii="Calibri" w:eastAsia="Cambria" w:hAnsi="Calibri" w:cs="Calibri"/>
          <w:lang w:val="en-AU"/>
        </w:rPr>
        <w:t>A</w:t>
      </w:r>
      <w:r w:rsidR="00A37634" w:rsidRPr="00A37634">
        <w:rPr>
          <w:rFonts w:ascii="Calibri" w:eastAsia="Cambria" w:hAnsi="Calibri" w:cs="Calibri"/>
          <w:lang w:val="en-AU"/>
        </w:rPr>
        <w:t xml:space="preserve">ctivations can begin immediately. The 2013 Consultation RIS assumed that DR-capable products could not be activated in some jurisdictions until new communications platforms were established, and that it would not be economic for DRSPs to invest in these until the stock of compliant appliances reached a critical threshold, in the fourth year after the measure was introduced. Given the changes in AS/NZS 4755 and the near-universal access to the likely activation pathways (3G/4G/5G wireless and WiFi routers) such a delay is no longer technically necessary. </w:t>
      </w:r>
    </w:p>
    <w:p w14:paraId="65CE5856" w14:textId="32180EE5" w:rsidR="00D4514C" w:rsidRDefault="00A37634" w:rsidP="00A37634">
      <w:pPr>
        <w:spacing w:before="120" w:after="120" w:line="278" w:lineRule="auto"/>
        <w:rPr>
          <w:rStyle w:val="FigreferenceChar"/>
        </w:rPr>
      </w:pPr>
      <w:r w:rsidRPr="00A37634">
        <w:rPr>
          <w:rFonts w:ascii="Calibri" w:eastAsia="Cambria" w:hAnsi="Calibri" w:cs="Calibri"/>
          <w:lang w:val="en-AU"/>
        </w:rPr>
        <w:t>High, Medium and Low activation scenarios have been modelled</w:t>
      </w:r>
      <w:r w:rsidRPr="008F378B">
        <w:rPr>
          <w:rStyle w:val="FigreferenceChar"/>
        </w:rPr>
        <w:t xml:space="preserve">. </w:t>
      </w:r>
      <w:r w:rsidR="00E5049C" w:rsidRPr="00E5049C">
        <w:rPr>
          <w:rStyle w:val="FigreferenceChar"/>
        </w:rPr>
        <w:fldChar w:fldCharType="begin"/>
      </w:r>
      <w:r w:rsidR="00E5049C" w:rsidRPr="00E5049C">
        <w:rPr>
          <w:rStyle w:val="FigreferenceChar"/>
        </w:rPr>
        <w:instrText xml:space="preserve"> REF _Ref22203798 \h </w:instrText>
      </w:r>
      <w:r w:rsidR="00E5049C">
        <w:rPr>
          <w:rStyle w:val="FigreferenceChar"/>
        </w:rPr>
        <w:instrText xml:space="preserve"> \* MERGEFORMAT </w:instrText>
      </w:r>
      <w:r w:rsidR="00E5049C" w:rsidRPr="00E5049C">
        <w:rPr>
          <w:rStyle w:val="FigreferenceChar"/>
        </w:rPr>
      </w:r>
      <w:r w:rsidR="00E5049C" w:rsidRPr="00E5049C">
        <w:rPr>
          <w:rStyle w:val="FigreferenceChar"/>
        </w:rPr>
        <w:fldChar w:fldCharType="separate"/>
      </w:r>
      <w:r w:rsidR="006B22A7" w:rsidRPr="006B22A7">
        <w:rPr>
          <w:rStyle w:val="FigreferenceChar"/>
        </w:rPr>
        <w:t>Figure 20</w:t>
      </w:r>
      <w:r w:rsidR="00E5049C" w:rsidRPr="00E5049C">
        <w:rPr>
          <w:rStyle w:val="FigreferenceChar"/>
        </w:rPr>
        <w:fldChar w:fldCharType="end"/>
      </w:r>
      <w:r w:rsidR="00E5049C">
        <w:rPr>
          <w:rStyle w:val="FigreferenceChar"/>
        </w:rPr>
        <w:t xml:space="preserve"> </w:t>
      </w:r>
      <w:r w:rsidRPr="00A37634">
        <w:rPr>
          <w:rFonts w:ascii="Calibri" w:eastAsia="Cambria" w:hAnsi="Calibri" w:cs="Calibri"/>
          <w:lang w:val="en-AU"/>
        </w:rPr>
        <w:t xml:space="preserve">illustrates these scenarios for Australia </w:t>
      </w:r>
      <w:proofErr w:type="gramStart"/>
      <w:r w:rsidRPr="00A37634">
        <w:rPr>
          <w:rFonts w:ascii="Calibri" w:eastAsia="Cambria" w:hAnsi="Calibri" w:cs="Calibri"/>
          <w:lang w:val="en-AU"/>
        </w:rPr>
        <w:t>as a whole, built</w:t>
      </w:r>
      <w:proofErr w:type="gramEnd"/>
      <w:r w:rsidRPr="00A37634">
        <w:rPr>
          <w:rFonts w:ascii="Calibri" w:eastAsia="Cambria" w:hAnsi="Calibri" w:cs="Calibri"/>
          <w:lang w:val="en-AU"/>
        </w:rPr>
        <w:t xml:space="preserve"> up from separate projections for each jurisdiction. </w:t>
      </w:r>
      <w:r w:rsidR="00D4514C">
        <w:rPr>
          <w:rFonts w:ascii="Calibri" w:eastAsia="Cambria" w:hAnsi="Calibri" w:cs="Calibri"/>
          <w:lang w:val="en-AU"/>
        </w:rPr>
        <w:t xml:space="preserve">The projected 2036 activation rates for each product type are summarised in </w:t>
      </w:r>
      <w:r w:rsidR="000935F4" w:rsidRPr="000935F4">
        <w:rPr>
          <w:rStyle w:val="FigreferenceChar"/>
        </w:rPr>
        <w:fldChar w:fldCharType="begin"/>
      </w:r>
      <w:r w:rsidR="000935F4" w:rsidRPr="000935F4">
        <w:rPr>
          <w:rStyle w:val="FigreferenceChar"/>
        </w:rPr>
        <w:instrText xml:space="preserve"> REF _Ref22124353 \h </w:instrText>
      </w:r>
      <w:r w:rsidR="000935F4">
        <w:rPr>
          <w:rStyle w:val="FigreferenceChar"/>
        </w:rPr>
        <w:instrText xml:space="preserve"> \* MERGEFORMAT </w:instrText>
      </w:r>
      <w:r w:rsidR="000935F4" w:rsidRPr="000935F4">
        <w:rPr>
          <w:rStyle w:val="FigreferenceChar"/>
        </w:rPr>
      </w:r>
      <w:r w:rsidR="000935F4" w:rsidRPr="000935F4">
        <w:rPr>
          <w:rStyle w:val="FigreferenceChar"/>
        </w:rPr>
        <w:fldChar w:fldCharType="separate"/>
      </w:r>
      <w:r w:rsidR="006B22A7" w:rsidRPr="006B22A7">
        <w:rPr>
          <w:rStyle w:val="FigreferenceChar"/>
        </w:rPr>
        <w:t>Table 31</w:t>
      </w:r>
      <w:r w:rsidR="000935F4" w:rsidRPr="000935F4">
        <w:rPr>
          <w:rStyle w:val="FigreferenceChar"/>
        </w:rPr>
        <w:fldChar w:fldCharType="end"/>
      </w:r>
      <w:r w:rsidR="000935F4" w:rsidRPr="000935F4">
        <w:rPr>
          <w:rStyle w:val="FigreferenceChar"/>
        </w:rPr>
        <w:t>.</w:t>
      </w:r>
    </w:p>
    <w:p w14:paraId="2D2A3990" w14:textId="77777777" w:rsidR="00990505" w:rsidRDefault="00990505" w:rsidP="00990505">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The plausibility of the </w:t>
      </w:r>
      <w:r>
        <w:rPr>
          <w:rFonts w:ascii="Calibri" w:eastAsia="Cambria" w:hAnsi="Calibri" w:cs="Calibri"/>
          <w:lang w:val="en-AU"/>
        </w:rPr>
        <w:t xml:space="preserve">activation </w:t>
      </w:r>
      <w:r w:rsidRPr="00A37634">
        <w:rPr>
          <w:rFonts w:ascii="Calibri" w:eastAsia="Cambria" w:hAnsi="Calibri" w:cs="Calibri"/>
          <w:lang w:val="en-AU"/>
        </w:rPr>
        <w:t xml:space="preserve">scenarios can be tested against the actual experience with the take-up of AS/NZS 4755 ACs in the Energex supply area over the period 2012-2018. </w:t>
      </w:r>
      <w:r>
        <w:rPr>
          <w:rFonts w:ascii="Calibri" w:eastAsia="Cambria" w:hAnsi="Calibri" w:cs="Calibri"/>
          <w:lang w:val="en-AU"/>
        </w:rPr>
        <w:t xml:space="preserve"> </w:t>
      </w:r>
      <w:r w:rsidRPr="00A37634">
        <w:rPr>
          <w:rFonts w:ascii="Calibri" w:eastAsia="Cambria" w:hAnsi="Calibri" w:cs="Calibri"/>
          <w:lang w:val="en-AU"/>
        </w:rPr>
        <w:t>The Energex PeakSmart program only incentivised activation at the time of installation, not post-installation, and only for split unit and ducted</w:t>
      </w:r>
      <w:r>
        <w:rPr>
          <w:rFonts w:ascii="Calibri" w:eastAsia="Cambria" w:hAnsi="Calibri" w:cs="Calibri"/>
          <w:lang w:val="en-AU"/>
        </w:rPr>
        <w:t xml:space="preserve"> ACs</w:t>
      </w:r>
      <w:r w:rsidRPr="00A37634">
        <w:rPr>
          <w:rFonts w:ascii="Calibri" w:eastAsia="Cambria" w:hAnsi="Calibri" w:cs="Calibri"/>
          <w:lang w:val="en-AU"/>
        </w:rPr>
        <w:t>. It is possible to estimate the total number of the target range of ACs that would have been sold in the Energex supply area, given that Energex serves about 61% of the Queensland population.</w:t>
      </w:r>
      <w:r w:rsidRPr="00A37634">
        <w:rPr>
          <w:rFonts w:ascii="Calibri" w:eastAsia="Cambria" w:hAnsi="Calibri" w:cs="Calibri"/>
          <w:vertAlign w:val="superscript"/>
          <w:lang w:val="en-AU"/>
        </w:rPr>
        <w:footnoteReference w:id="103"/>
      </w:r>
      <w:r w:rsidRPr="00A37634">
        <w:rPr>
          <w:rFonts w:ascii="Calibri" w:eastAsia="Cambria" w:hAnsi="Calibri" w:cs="Calibri"/>
          <w:lang w:val="en-AU"/>
        </w:rPr>
        <w:t xml:space="preserve">  </w:t>
      </w:r>
    </w:p>
    <w:p w14:paraId="47EF1909" w14:textId="2BE5034A" w:rsidR="00990505" w:rsidRDefault="00990505" w:rsidP="00990505">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Comparing the number of PeakSmart incentives paid each year with the number of ACs of the target type sold in the same region indicates activation-on-installation rates significantly higher than the High rate used </w:t>
      </w:r>
      <w:r w:rsidRPr="00A37634">
        <w:rPr>
          <w:rFonts w:ascii="Calibri" w:eastAsia="Cambria" w:hAnsi="Calibri" w:cs="Calibri"/>
          <w:lang w:val="en-AU"/>
        </w:rPr>
        <w:lastRenderedPageBreak/>
        <w:t xml:space="preserve">in the cost-benefit analysis. The actual rate reached 22% in the sixth year of the program, compared with a projection of 13% for Queensland in the sixth year after mandating of AS/NZS 4755, and 8% in other jurisdictions. Neither PeakSmart nor </w:t>
      </w:r>
      <w:r>
        <w:rPr>
          <w:rFonts w:ascii="Calibri" w:eastAsia="Cambria" w:hAnsi="Calibri" w:cs="Calibri"/>
          <w:lang w:val="en-AU"/>
        </w:rPr>
        <w:t xml:space="preserve">any </w:t>
      </w:r>
      <w:r w:rsidRPr="00A37634">
        <w:rPr>
          <w:rFonts w:ascii="Calibri" w:eastAsia="Cambria" w:hAnsi="Calibri" w:cs="Calibri"/>
          <w:lang w:val="en-AU"/>
        </w:rPr>
        <w:t xml:space="preserve">other </w:t>
      </w:r>
      <w:r>
        <w:rPr>
          <w:rFonts w:ascii="Calibri" w:eastAsia="Cambria" w:hAnsi="Calibri" w:cs="Calibri"/>
          <w:lang w:val="en-AU"/>
        </w:rPr>
        <w:t xml:space="preserve">DR </w:t>
      </w:r>
      <w:r w:rsidRPr="00A37634">
        <w:rPr>
          <w:rFonts w:ascii="Calibri" w:eastAsia="Cambria" w:hAnsi="Calibri" w:cs="Calibri"/>
          <w:lang w:val="en-AU"/>
        </w:rPr>
        <w:t>program offers incentives for post-installation activations of AS/NZS 4755 products, so it is not possible to test those assumptions against actual data.</w:t>
      </w:r>
      <w:r w:rsidRPr="00A37634">
        <w:rPr>
          <w:rFonts w:ascii="Calibri" w:eastAsia="Cambria" w:hAnsi="Calibri" w:cs="Calibri"/>
          <w:vertAlign w:val="superscript"/>
          <w:lang w:val="en-AU"/>
        </w:rPr>
        <w:footnoteReference w:id="104"/>
      </w:r>
      <w:r w:rsidRPr="00A37634">
        <w:rPr>
          <w:rFonts w:ascii="Calibri" w:eastAsia="Cambria" w:hAnsi="Calibri" w:cs="Calibri"/>
          <w:lang w:val="en-AU"/>
        </w:rPr>
        <w:t xml:space="preserve">  </w:t>
      </w:r>
    </w:p>
    <w:p w14:paraId="0BBBF4FE" w14:textId="77777777" w:rsidR="00E5049C" w:rsidRPr="00A37634" w:rsidRDefault="00E5049C" w:rsidP="00990505">
      <w:pPr>
        <w:spacing w:before="120" w:after="120" w:line="278" w:lineRule="auto"/>
        <w:rPr>
          <w:rFonts w:ascii="Calibri" w:eastAsia="Cambria" w:hAnsi="Calibri" w:cs="Calibri"/>
          <w:lang w:val="en-AU"/>
        </w:rPr>
      </w:pPr>
    </w:p>
    <w:p w14:paraId="3C15D8C8" w14:textId="7B9C8682" w:rsidR="00990505" w:rsidRPr="00E5049C" w:rsidRDefault="00990505" w:rsidP="00E5049C">
      <w:pPr>
        <w:pStyle w:val="Caption"/>
        <w:jc w:val="center"/>
        <w:rPr>
          <w:rFonts w:ascii="Calibri" w:eastAsia="Cambria" w:hAnsi="Calibri" w:cs="Calibri"/>
          <w:b/>
          <w:bCs/>
          <w:i w:val="0"/>
          <w:iCs w:val="0"/>
          <w:color w:val="auto"/>
          <w:sz w:val="20"/>
          <w:szCs w:val="16"/>
          <w:lang w:val="en-AU"/>
        </w:rPr>
      </w:pPr>
      <w:bookmarkStart w:id="182" w:name="_Ref22203798"/>
      <w:bookmarkStart w:id="183" w:name="_Toc22488533"/>
      <w:r w:rsidRPr="00E5049C">
        <w:rPr>
          <w:rFonts w:ascii="Calibri" w:eastAsia="Cambria" w:hAnsi="Calibri" w:cs="Calibri"/>
          <w:b/>
          <w:bCs/>
          <w:i w:val="0"/>
          <w:iCs w:val="0"/>
          <w:color w:val="auto"/>
          <w:sz w:val="20"/>
          <w:szCs w:val="16"/>
          <w:lang w:val="en-AU"/>
        </w:rPr>
        <w:t xml:space="preserve">Figure </w:t>
      </w:r>
      <w:r w:rsidRPr="00E5049C">
        <w:rPr>
          <w:rFonts w:ascii="Calibri" w:eastAsia="Cambria" w:hAnsi="Calibri" w:cs="Calibri"/>
          <w:b/>
          <w:bCs/>
          <w:i w:val="0"/>
          <w:iCs w:val="0"/>
          <w:color w:val="auto"/>
          <w:sz w:val="20"/>
          <w:szCs w:val="16"/>
          <w:lang w:val="en-AU"/>
        </w:rPr>
        <w:fldChar w:fldCharType="begin"/>
      </w:r>
      <w:r w:rsidRPr="00E5049C">
        <w:rPr>
          <w:rFonts w:ascii="Calibri" w:eastAsia="Cambria" w:hAnsi="Calibri" w:cs="Calibri"/>
          <w:b/>
          <w:bCs/>
          <w:i w:val="0"/>
          <w:iCs w:val="0"/>
          <w:color w:val="auto"/>
          <w:sz w:val="20"/>
          <w:szCs w:val="16"/>
          <w:lang w:val="en-AU"/>
        </w:rPr>
        <w:instrText xml:space="preserve"> SEQ Figure \* ARABIC </w:instrText>
      </w:r>
      <w:r w:rsidRPr="00E5049C">
        <w:rPr>
          <w:rFonts w:ascii="Calibri" w:eastAsia="Cambria" w:hAnsi="Calibri" w:cs="Calibri"/>
          <w:b/>
          <w:bCs/>
          <w:i w:val="0"/>
          <w:iCs w:val="0"/>
          <w:color w:val="auto"/>
          <w:sz w:val="20"/>
          <w:szCs w:val="16"/>
          <w:lang w:val="en-AU"/>
        </w:rPr>
        <w:fldChar w:fldCharType="separate"/>
      </w:r>
      <w:r w:rsidR="00D64DF4">
        <w:rPr>
          <w:rFonts w:ascii="Calibri" w:eastAsia="Cambria" w:hAnsi="Calibri" w:cs="Calibri"/>
          <w:b/>
          <w:bCs/>
          <w:i w:val="0"/>
          <w:iCs w:val="0"/>
          <w:noProof/>
          <w:color w:val="auto"/>
          <w:sz w:val="20"/>
          <w:szCs w:val="16"/>
          <w:lang w:val="en-AU"/>
        </w:rPr>
        <w:t>20</w:t>
      </w:r>
      <w:r w:rsidRPr="00E5049C">
        <w:rPr>
          <w:rFonts w:ascii="Calibri" w:eastAsia="Cambria" w:hAnsi="Calibri" w:cs="Calibri"/>
          <w:b/>
          <w:bCs/>
          <w:i w:val="0"/>
          <w:iCs w:val="0"/>
          <w:color w:val="auto"/>
          <w:sz w:val="20"/>
          <w:szCs w:val="16"/>
          <w:lang w:val="en-AU"/>
        </w:rPr>
        <w:fldChar w:fldCharType="end"/>
      </w:r>
      <w:bookmarkEnd w:id="182"/>
      <w:r w:rsidR="00E5049C" w:rsidRPr="00E5049C">
        <w:rPr>
          <w:rFonts w:ascii="Calibri" w:eastAsia="Cambria" w:hAnsi="Calibri" w:cs="Calibri"/>
          <w:b/>
          <w:bCs/>
          <w:i w:val="0"/>
          <w:iCs w:val="0"/>
          <w:color w:val="auto"/>
          <w:sz w:val="20"/>
          <w:szCs w:val="16"/>
          <w:lang w:val="en-AU"/>
        </w:rPr>
        <w:t xml:space="preserve"> Projected activation rates (</w:t>
      </w:r>
      <w:r w:rsidR="00E5049C">
        <w:rPr>
          <w:rFonts w:ascii="Calibri" w:eastAsia="Cambria" w:hAnsi="Calibri" w:cs="Calibri"/>
          <w:b/>
          <w:bCs/>
          <w:i w:val="0"/>
          <w:iCs w:val="0"/>
          <w:color w:val="auto"/>
          <w:sz w:val="20"/>
          <w:szCs w:val="16"/>
          <w:lang w:val="en-AU"/>
        </w:rPr>
        <w:t xml:space="preserve">High, </w:t>
      </w:r>
      <w:r w:rsidR="00E5049C" w:rsidRPr="00E5049C">
        <w:rPr>
          <w:rFonts w:ascii="Calibri" w:eastAsia="Cambria" w:hAnsi="Calibri" w:cs="Calibri"/>
          <w:b/>
          <w:bCs/>
          <w:i w:val="0"/>
          <w:iCs w:val="0"/>
          <w:color w:val="auto"/>
          <w:sz w:val="20"/>
          <w:szCs w:val="16"/>
          <w:lang w:val="en-AU"/>
        </w:rPr>
        <w:t>Medium</w:t>
      </w:r>
      <w:r w:rsidR="00E5049C">
        <w:rPr>
          <w:rFonts w:ascii="Calibri" w:eastAsia="Cambria" w:hAnsi="Calibri" w:cs="Calibri"/>
          <w:b/>
          <w:bCs/>
          <w:i w:val="0"/>
          <w:iCs w:val="0"/>
          <w:color w:val="auto"/>
          <w:sz w:val="20"/>
          <w:szCs w:val="16"/>
          <w:lang w:val="en-AU"/>
        </w:rPr>
        <w:t xml:space="preserve">. Low </w:t>
      </w:r>
      <w:r w:rsidR="00E5049C" w:rsidRPr="00E5049C">
        <w:rPr>
          <w:rFonts w:ascii="Calibri" w:eastAsia="Cambria" w:hAnsi="Calibri" w:cs="Calibri"/>
          <w:b/>
          <w:bCs/>
          <w:i w:val="0"/>
          <w:iCs w:val="0"/>
          <w:color w:val="auto"/>
          <w:sz w:val="20"/>
          <w:szCs w:val="16"/>
          <w:lang w:val="en-AU"/>
        </w:rPr>
        <w:t>and Minimum)</w:t>
      </w:r>
      <w:bookmarkEnd w:id="183"/>
    </w:p>
    <w:p w14:paraId="79FD839C" w14:textId="311445EC" w:rsidR="00990505" w:rsidRPr="00990505" w:rsidRDefault="00990505" w:rsidP="00E5049C">
      <w:pPr>
        <w:jc w:val="center"/>
      </w:pPr>
      <w:r>
        <w:rPr>
          <w:noProof/>
          <w:lang w:val="en-AU" w:eastAsia="en-AU"/>
        </w:rPr>
        <w:drawing>
          <wp:inline distT="0" distB="0" distL="0" distR="0" wp14:anchorId="2704EA38" wp14:editId="268756A9">
            <wp:extent cx="3999230" cy="2914015"/>
            <wp:effectExtent l="0" t="0" r="127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9230" cy="2914015"/>
                    </a:xfrm>
                    <a:prstGeom prst="rect">
                      <a:avLst/>
                    </a:prstGeom>
                    <a:noFill/>
                  </pic:spPr>
                </pic:pic>
              </a:graphicData>
            </a:graphic>
          </wp:inline>
        </w:drawing>
      </w:r>
    </w:p>
    <w:p w14:paraId="33431FB9" w14:textId="77777777" w:rsidR="00990505" w:rsidRDefault="00990505" w:rsidP="00A37634">
      <w:pPr>
        <w:spacing w:before="120" w:after="120" w:line="278" w:lineRule="auto"/>
        <w:rPr>
          <w:rFonts w:ascii="Calibri" w:eastAsia="Cambria" w:hAnsi="Calibri" w:cs="Calibri"/>
          <w:lang w:val="en-AU"/>
        </w:rPr>
      </w:pPr>
    </w:p>
    <w:p w14:paraId="10FB213F" w14:textId="5876F3FF" w:rsidR="006B22A7" w:rsidRPr="006B22A7" w:rsidRDefault="00D4514C" w:rsidP="006B22A7">
      <w:pPr>
        <w:spacing w:before="120" w:after="120" w:line="240" w:lineRule="auto"/>
        <w:jc w:val="center"/>
      </w:pPr>
      <w:bookmarkStart w:id="184" w:name="_Ref22124353"/>
      <w:bookmarkStart w:id="185" w:name="_Toc22486973"/>
      <w:r w:rsidRPr="000935F4">
        <w:rPr>
          <w:rFonts w:ascii="Calibri" w:eastAsia="Cambria" w:hAnsi="Calibri" w:cs="Calibri"/>
          <w:b/>
          <w:bCs/>
          <w:sz w:val="20"/>
          <w:szCs w:val="16"/>
          <w:lang w:val="en-AU"/>
        </w:rPr>
        <w:t xml:space="preserve">Table </w:t>
      </w:r>
      <w:r w:rsidRPr="000935F4">
        <w:rPr>
          <w:rFonts w:ascii="Calibri" w:eastAsia="Cambria" w:hAnsi="Calibri" w:cs="Calibri"/>
          <w:b/>
          <w:bCs/>
          <w:sz w:val="20"/>
          <w:szCs w:val="16"/>
          <w:lang w:val="en-AU"/>
        </w:rPr>
        <w:fldChar w:fldCharType="begin"/>
      </w:r>
      <w:r w:rsidRPr="000935F4">
        <w:rPr>
          <w:rFonts w:ascii="Calibri" w:eastAsia="Cambria" w:hAnsi="Calibri" w:cs="Calibri"/>
          <w:b/>
          <w:bCs/>
          <w:sz w:val="20"/>
          <w:szCs w:val="16"/>
          <w:lang w:val="en-AU"/>
        </w:rPr>
        <w:instrText xml:space="preserve"> SEQ Table \* ARABIC </w:instrText>
      </w:r>
      <w:r w:rsidRPr="000935F4">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29</w:t>
      </w:r>
      <w:r w:rsidRPr="000935F4">
        <w:rPr>
          <w:rFonts w:ascii="Calibri" w:eastAsia="Cambria" w:hAnsi="Calibri" w:cs="Calibri"/>
          <w:b/>
          <w:bCs/>
          <w:sz w:val="20"/>
          <w:szCs w:val="16"/>
          <w:lang w:val="en-AU"/>
        </w:rPr>
        <w:fldChar w:fldCharType="end"/>
      </w:r>
      <w:bookmarkEnd w:id="184"/>
      <w:r w:rsidRPr="000935F4">
        <w:rPr>
          <w:rFonts w:ascii="Calibri" w:eastAsia="Cambria" w:hAnsi="Calibri" w:cs="Calibri"/>
          <w:b/>
          <w:bCs/>
          <w:sz w:val="20"/>
          <w:szCs w:val="16"/>
          <w:lang w:val="en-AU"/>
        </w:rPr>
        <w:t xml:space="preserve"> Projected High, Medium Low Activation Rates in 2036</w:t>
      </w:r>
      <w:bookmarkEnd w:id="185"/>
      <w:r>
        <w:fldChar w:fldCharType="begin"/>
      </w:r>
      <w:r>
        <w:instrText xml:space="preserve"> LINK </w:instrText>
      </w:r>
      <w:r w:rsidR="00AE6023">
        <w:instrText xml:space="preserve">Excel.SheetMacroEnabled.12 "C:\\Users\\Admin\\Documents\\Winword\\WORK\\AGO\\AC Demand\\DR RIS 2019\\Final\\DR RIS Model 2019 Macro V4.xlsm" RESULTS!R367C21:R377C24 </w:instrText>
      </w:r>
      <w:r>
        <w:instrText xml:space="preserve">\a \f 4 \h  \* MERGEFORMAT </w:instrText>
      </w:r>
      <w:r>
        <w:fldChar w:fldCharType="separate"/>
      </w:r>
    </w:p>
    <w:tbl>
      <w:tblPr>
        <w:tblW w:w="6799" w:type="dxa"/>
        <w:jc w:val="center"/>
        <w:tblLook w:val="04A0" w:firstRow="1" w:lastRow="0" w:firstColumn="1" w:lastColumn="0" w:noHBand="0" w:noVBand="1"/>
      </w:tblPr>
      <w:tblGrid>
        <w:gridCol w:w="2960"/>
        <w:gridCol w:w="1233"/>
        <w:gridCol w:w="1384"/>
        <w:gridCol w:w="1222"/>
      </w:tblGrid>
      <w:tr w:rsidR="006B22A7" w:rsidRPr="006B22A7" w14:paraId="3E7BAD0F" w14:textId="77777777" w:rsidTr="006B22A7">
        <w:trPr>
          <w:trHeight w:val="300"/>
          <w:jc w:val="center"/>
        </w:trPr>
        <w:tc>
          <w:tcPr>
            <w:tcW w:w="2344" w:type="dxa"/>
            <w:tcBorders>
              <w:top w:val="single" w:sz="4" w:space="0" w:color="auto"/>
              <w:left w:val="single" w:sz="4" w:space="0" w:color="auto"/>
              <w:bottom w:val="single" w:sz="4" w:space="0" w:color="auto"/>
              <w:right w:val="nil"/>
            </w:tcBorders>
            <w:shd w:val="clear" w:color="auto" w:fill="auto"/>
            <w:noWrap/>
            <w:vAlign w:val="bottom"/>
            <w:hideMark/>
          </w:tcPr>
          <w:p w14:paraId="676B241A" w14:textId="47EE0323" w:rsidR="006B22A7" w:rsidRPr="006B22A7" w:rsidRDefault="006B22A7" w:rsidP="006B22A7">
            <w:pPr>
              <w:spacing w:after="0" w:line="240" w:lineRule="auto"/>
              <w:rPr>
                <w:rFonts w:ascii="Calibri" w:eastAsia="Times New Roman" w:hAnsi="Calibri" w:cs="Calibri"/>
                <w:color w:val="000000"/>
                <w:lang w:val="en-AU" w:eastAsia="en-AU"/>
              </w:rPr>
            </w:pPr>
            <w:r w:rsidRPr="006B22A7">
              <w:rPr>
                <w:rFonts w:ascii="Calibri" w:eastAsia="Times New Roman" w:hAnsi="Calibri" w:cs="Calibri"/>
                <w:color w:val="000000"/>
                <w:sz w:val="18"/>
                <w:szCs w:val="18"/>
                <w:lang w:val="en-AU" w:eastAsia="en-AU"/>
              </w:rPr>
              <w:t> </w:t>
            </w:r>
          </w:p>
        </w:tc>
        <w:tc>
          <w:tcPr>
            <w:tcW w:w="976" w:type="dxa"/>
            <w:tcBorders>
              <w:top w:val="single" w:sz="4" w:space="0" w:color="auto"/>
              <w:left w:val="nil"/>
              <w:bottom w:val="single" w:sz="4" w:space="0" w:color="auto"/>
              <w:right w:val="nil"/>
            </w:tcBorders>
            <w:shd w:val="clear" w:color="auto" w:fill="auto"/>
            <w:noWrap/>
            <w:vAlign w:val="bottom"/>
            <w:hideMark/>
          </w:tcPr>
          <w:p w14:paraId="1454FA1A" w14:textId="77777777" w:rsidR="006B22A7" w:rsidRPr="006B22A7" w:rsidRDefault="006B22A7" w:rsidP="006B22A7">
            <w:pPr>
              <w:spacing w:after="0" w:line="240" w:lineRule="auto"/>
              <w:jc w:val="center"/>
              <w:rPr>
                <w:rFonts w:ascii="Calibri" w:eastAsia="Times New Roman" w:hAnsi="Calibri" w:cs="Calibri"/>
                <w:color w:val="000000"/>
                <w:sz w:val="18"/>
                <w:szCs w:val="18"/>
                <w:lang w:val="en-AU" w:eastAsia="en-AU"/>
              </w:rPr>
            </w:pPr>
            <w:r w:rsidRPr="006B22A7">
              <w:rPr>
                <w:sz w:val="18"/>
                <w:szCs w:val="18"/>
              </w:rPr>
              <w:t>Low</w:t>
            </w:r>
          </w:p>
        </w:tc>
        <w:tc>
          <w:tcPr>
            <w:tcW w:w="1096" w:type="dxa"/>
            <w:tcBorders>
              <w:top w:val="single" w:sz="4" w:space="0" w:color="auto"/>
              <w:left w:val="nil"/>
              <w:bottom w:val="single" w:sz="4" w:space="0" w:color="auto"/>
              <w:right w:val="nil"/>
            </w:tcBorders>
            <w:shd w:val="clear" w:color="auto" w:fill="auto"/>
            <w:noWrap/>
            <w:vAlign w:val="bottom"/>
            <w:hideMark/>
          </w:tcPr>
          <w:p w14:paraId="1B0B6634" w14:textId="77777777" w:rsidR="006B22A7" w:rsidRPr="006B22A7" w:rsidRDefault="006B22A7" w:rsidP="006B22A7">
            <w:pPr>
              <w:spacing w:after="0" w:line="240" w:lineRule="auto"/>
              <w:jc w:val="center"/>
              <w:rPr>
                <w:rFonts w:ascii="Calibri" w:eastAsia="Times New Roman" w:hAnsi="Calibri" w:cs="Calibri"/>
                <w:color w:val="000000"/>
                <w:sz w:val="18"/>
                <w:szCs w:val="18"/>
                <w:lang w:val="en-AU" w:eastAsia="en-AU"/>
              </w:rPr>
            </w:pPr>
            <w:r w:rsidRPr="006B22A7">
              <w:rPr>
                <w:sz w:val="18"/>
                <w:szCs w:val="18"/>
              </w:rPr>
              <w:t xml:space="preserve">Medium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1F5C998E" w14:textId="77777777" w:rsidR="006B22A7" w:rsidRPr="006B22A7" w:rsidRDefault="006B22A7" w:rsidP="006B22A7">
            <w:pPr>
              <w:spacing w:after="0" w:line="240" w:lineRule="auto"/>
              <w:jc w:val="center"/>
              <w:rPr>
                <w:rFonts w:ascii="Calibri" w:eastAsia="Times New Roman" w:hAnsi="Calibri" w:cs="Calibri"/>
                <w:color w:val="000000"/>
                <w:sz w:val="18"/>
                <w:szCs w:val="18"/>
                <w:lang w:val="en-AU" w:eastAsia="en-AU"/>
              </w:rPr>
            </w:pPr>
            <w:r w:rsidRPr="006B22A7">
              <w:rPr>
                <w:sz w:val="18"/>
                <w:szCs w:val="18"/>
              </w:rPr>
              <w:t>High</w:t>
            </w:r>
          </w:p>
        </w:tc>
      </w:tr>
      <w:tr w:rsidR="006B22A7" w:rsidRPr="006B22A7" w14:paraId="6103389C" w14:textId="77777777" w:rsidTr="006B22A7">
        <w:trPr>
          <w:trHeight w:val="300"/>
          <w:jc w:val="center"/>
        </w:trPr>
        <w:tc>
          <w:tcPr>
            <w:tcW w:w="2344" w:type="dxa"/>
            <w:tcBorders>
              <w:top w:val="nil"/>
              <w:left w:val="single" w:sz="4" w:space="0" w:color="auto"/>
              <w:bottom w:val="nil"/>
              <w:right w:val="nil"/>
            </w:tcBorders>
            <w:shd w:val="clear" w:color="auto" w:fill="auto"/>
            <w:noWrap/>
            <w:vAlign w:val="bottom"/>
            <w:hideMark/>
          </w:tcPr>
          <w:p w14:paraId="29AAF570"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AC - BAU</w:t>
            </w:r>
          </w:p>
        </w:tc>
        <w:tc>
          <w:tcPr>
            <w:tcW w:w="976" w:type="dxa"/>
            <w:tcBorders>
              <w:top w:val="nil"/>
              <w:left w:val="nil"/>
              <w:bottom w:val="nil"/>
              <w:right w:val="nil"/>
            </w:tcBorders>
            <w:shd w:val="clear" w:color="auto" w:fill="auto"/>
            <w:noWrap/>
            <w:vAlign w:val="bottom"/>
            <w:hideMark/>
          </w:tcPr>
          <w:p w14:paraId="1E968D20"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4.9%</w:t>
            </w:r>
          </w:p>
        </w:tc>
        <w:tc>
          <w:tcPr>
            <w:tcW w:w="1096" w:type="dxa"/>
            <w:tcBorders>
              <w:top w:val="nil"/>
              <w:left w:val="nil"/>
              <w:bottom w:val="nil"/>
              <w:right w:val="nil"/>
            </w:tcBorders>
            <w:shd w:val="clear" w:color="auto" w:fill="auto"/>
            <w:noWrap/>
            <w:vAlign w:val="bottom"/>
            <w:hideMark/>
          </w:tcPr>
          <w:p w14:paraId="10B0CA63"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7.8%</w:t>
            </w:r>
          </w:p>
        </w:tc>
        <w:tc>
          <w:tcPr>
            <w:tcW w:w="968" w:type="dxa"/>
            <w:tcBorders>
              <w:top w:val="nil"/>
              <w:left w:val="nil"/>
              <w:bottom w:val="nil"/>
              <w:right w:val="single" w:sz="4" w:space="0" w:color="auto"/>
            </w:tcBorders>
            <w:shd w:val="clear" w:color="auto" w:fill="auto"/>
            <w:noWrap/>
            <w:vAlign w:val="bottom"/>
            <w:hideMark/>
          </w:tcPr>
          <w:p w14:paraId="6950EF8F"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9.5%</w:t>
            </w:r>
          </w:p>
        </w:tc>
      </w:tr>
      <w:tr w:rsidR="006B22A7" w:rsidRPr="006B22A7" w14:paraId="03301EC8" w14:textId="77777777" w:rsidTr="006B22A7">
        <w:trPr>
          <w:trHeight w:val="300"/>
          <w:jc w:val="center"/>
        </w:trPr>
        <w:tc>
          <w:tcPr>
            <w:tcW w:w="2344" w:type="dxa"/>
            <w:tcBorders>
              <w:top w:val="nil"/>
              <w:left w:val="single" w:sz="4" w:space="0" w:color="auto"/>
              <w:bottom w:val="nil"/>
              <w:right w:val="nil"/>
            </w:tcBorders>
            <w:shd w:val="clear" w:color="auto" w:fill="auto"/>
            <w:noWrap/>
            <w:vAlign w:val="bottom"/>
            <w:hideMark/>
          </w:tcPr>
          <w:p w14:paraId="539F9595"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AC - WM</w:t>
            </w:r>
          </w:p>
        </w:tc>
        <w:tc>
          <w:tcPr>
            <w:tcW w:w="976" w:type="dxa"/>
            <w:tcBorders>
              <w:top w:val="nil"/>
              <w:left w:val="nil"/>
              <w:bottom w:val="nil"/>
              <w:right w:val="nil"/>
            </w:tcBorders>
            <w:shd w:val="clear" w:color="auto" w:fill="auto"/>
            <w:noWrap/>
            <w:vAlign w:val="bottom"/>
            <w:hideMark/>
          </w:tcPr>
          <w:p w14:paraId="2C3A57F6"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24.6%</w:t>
            </w:r>
          </w:p>
        </w:tc>
        <w:tc>
          <w:tcPr>
            <w:tcW w:w="1096" w:type="dxa"/>
            <w:tcBorders>
              <w:top w:val="nil"/>
              <w:left w:val="nil"/>
              <w:bottom w:val="nil"/>
              <w:right w:val="nil"/>
            </w:tcBorders>
            <w:shd w:val="clear" w:color="auto" w:fill="auto"/>
            <w:noWrap/>
            <w:vAlign w:val="bottom"/>
            <w:hideMark/>
          </w:tcPr>
          <w:p w14:paraId="554D423F"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32.6%</w:t>
            </w:r>
          </w:p>
        </w:tc>
        <w:tc>
          <w:tcPr>
            <w:tcW w:w="968" w:type="dxa"/>
            <w:tcBorders>
              <w:top w:val="nil"/>
              <w:left w:val="nil"/>
              <w:bottom w:val="nil"/>
              <w:right w:val="single" w:sz="4" w:space="0" w:color="auto"/>
            </w:tcBorders>
            <w:shd w:val="clear" w:color="auto" w:fill="auto"/>
            <w:noWrap/>
            <w:vAlign w:val="bottom"/>
            <w:hideMark/>
          </w:tcPr>
          <w:p w14:paraId="0FF3487A"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47.3%</w:t>
            </w:r>
          </w:p>
        </w:tc>
      </w:tr>
      <w:tr w:rsidR="006B22A7" w:rsidRPr="006B22A7" w14:paraId="178C6292" w14:textId="77777777" w:rsidTr="006B22A7">
        <w:trPr>
          <w:trHeight w:val="300"/>
          <w:jc w:val="center"/>
        </w:trPr>
        <w:tc>
          <w:tcPr>
            <w:tcW w:w="2344" w:type="dxa"/>
            <w:tcBorders>
              <w:top w:val="nil"/>
              <w:left w:val="single" w:sz="4" w:space="0" w:color="auto"/>
              <w:bottom w:val="nil"/>
              <w:right w:val="nil"/>
            </w:tcBorders>
            <w:shd w:val="clear" w:color="auto" w:fill="auto"/>
            <w:noWrap/>
            <w:vAlign w:val="bottom"/>
            <w:hideMark/>
          </w:tcPr>
          <w:p w14:paraId="68198372"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PPC - BAU</w:t>
            </w:r>
          </w:p>
        </w:tc>
        <w:tc>
          <w:tcPr>
            <w:tcW w:w="976" w:type="dxa"/>
            <w:tcBorders>
              <w:top w:val="nil"/>
              <w:left w:val="nil"/>
              <w:bottom w:val="nil"/>
              <w:right w:val="nil"/>
            </w:tcBorders>
            <w:shd w:val="clear" w:color="auto" w:fill="auto"/>
            <w:noWrap/>
            <w:vAlign w:val="bottom"/>
            <w:hideMark/>
          </w:tcPr>
          <w:p w14:paraId="35D48D60"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3.8%</w:t>
            </w:r>
          </w:p>
        </w:tc>
        <w:tc>
          <w:tcPr>
            <w:tcW w:w="1096" w:type="dxa"/>
            <w:tcBorders>
              <w:top w:val="nil"/>
              <w:left w:val="nil"/>
              <w:bottom w:val="nil"/>
              <w:right w:val="nil"/>
            </w:tcBorders>
            <w:shd w:val="clear" w:color="auto" w:fill="auto"/>
            <w:noWrap/>
            <w:vAlign w:val="bottom"/>
            <w:hideMark/>
          </w:tcPr>
          <w:p w14:paraId="36406801"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4.8%</w:t>
            </w:r>
          </w:p>
        </w:tc>
        <w:tc>
          <w:tcPr>
            <w:tcW w:w="968" w:type="dxa"/>
            <w:tcBorders>
              <w:top w:val="nil"/>
              <w:left w:val="nil"/>
              <w:bottom w:val="nil"/>
              <w:right w:val="single" w:sz="4" w:space="0" w:color="auto"/>
            </w:tcBorders>
            <w:shd w:val="clear" w:color="auto" w:fill="auto"/>
            <w:noWrap/>
            <w:vAlign w:val="bottom"/>
            <w:hideMark/>
          </w:tcPr>
          <w:p w14:paraId="5FE2B6D1"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7.3%</w:t>
            </w:r>
          </w:p>
        </w:tc>
      </w:tr>
      <w:tr w:rsidR="006B22A7" w:rsidRPr="006B22A7" w14:paraId="33D8B17E" w14:textId="77777777" w:rsidTr="006B22A7">
        <w:trPr>
          <w:trHeight w:val="300"/>
          <w:jc w:val="center"/>
        </w:trPr>
        <w:tc>
          <w:tcPr>
            <w:tcW w:w="2344" w:type="dxa"/>
            <w:tcBorders>
              <w:top w:val="nil"/>
              <w:left w:val="single" w:sz="4" w:space="0" w:color="auto"/>
              <w:bottom w:val="nil"/>
              <w:right w:val="nil"/>
            </w:tcBorders>
            <w:shd w:val="clear" w:color="auto" w:fill="auto"/>
            <w:noWrap/>
            <w:vAlign w:val="bottom"/>
            <w:hideMark/>
          </w:tcPr>
          <w:p w14:paraId="7FAE2B11"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PPC - WM</w:t>
            </w:r>
          </w:p>
        </w:tc>
        <w:tc>
          <w:tcPr>
            <w:tcW w:w="976" w:type="dxa"/>
            <w:tcBorders>
              <w:top w:val="nil"/>
              <w:left w:val="nil"/>
              <w:bottom w:val="nil"/>
              <w:right w:val="nil"/>
            </w:tcBorders>
            <w:shd w:val="clear" w:color="auto" w:fill="auto"/>
            <w:noWrap/>
            <w:vAlign w:val="bottom"/>
            <w:hideMark/>
          </w:tcPr>
          <w:p w14:paraId="57B71593"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25.5%</w:t>
            </w:r>
          </w:p>
        </w:tc>
        <w:tc>
          <w:tcPr>
            <w:tcW w:w="1096" w:type="dxa"/>
            <w:tcBorders>
              <w:top w:val="nil"/>
              <w:left w:val="nil"/>
              <w:bottom w:val="nil"/>
              <w:right w:val="nil"/>
            </w:tcBorders>
            <w:shd w:val="clear" w:color="auto" w:fill="auto"/>
            <w:noWrap/>
            <w:vAlign w:val="bottom"/>
            <w:hideMark/>
          </w:tcPr>
          <w:p w14:paraId="25C37F8C"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33.2%</w:t>
            </w:r>
          </w:p>
        </w:tc>
        <w:tc>
          <w:tcPr>
            <w:tcW w:w="968" w:type="dxa"/>
            <w:tcBorders>
              <w:top w:val="nil"/>
              <w:left w:val="nil"/>
              <w:bottom w:val="nil"/>
              <w:right w:val="single" w:sz="4" w:space="0" w:color="auto"/>
            </w:tcBorders>
            <w:shd w:val="clear" w:color="auto" w:fill="auto"/>
            <w:noWrap/>
            <w:vAlign w:val="bottom"/>
            <w:hideMark/>
          </w:tcPr>
          <w:p w14:paraId="5800DADA"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47.2%</w:t>
            </w:r>
          </w:p>
        </w:tc>
      </w:tr>
      <w:tr w:rsidR="006B22A7" w:rsidRPr="006B22A7" w14:paraId="46F6AD56" w14:textId="77777777" w:rsidTr="006B22A7">
        <w:trPr>
          <w:trHeight w:val="300"/>
          <w:jc w:val="center"/>
        </w:trPr>
        <w:tc>
          <w:tcPr>
            <w:tcW w:w="2344" w:type="dxa"/>
            <w:tcBorders>
              <w:top w:val="nil"/>
              <w:left w:val="single" w:sz="4" w:space="0" w:color="auto"/>
              <w:bottom w:val="nil"/>
              <w:right w:val="nil"/>
            </w:tcBorders>
            <w:shd w:val="clear" w:color="auto" w:fill="auto"/>
            <w:noWrap/>
            <w:vAlign w:val="bottom"/>
            <w:hideMark/>
          </w:tcPr>
          <w:p w14:paraId="1B1DEF84"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WH - BAU</w:t>
            </w:r>
          </w:p>
        </w:tc>
        <w:tc>
          <w:tcPr>
            <w:tcW w:w="976" w:type="dxa"/>
            <w:tcBorders>
              <w:top w:val="nil"/>
              <w:left w:val="nil"/>
              <w:bottom w:val="nil"/>
              <w:right w:val="nil"/>
            </w:tcBorders>
            <w:shd w:val="clear" w:color="auto" w:fill="auto"/>
            <w:noWrap/>
            <w:vAlign w:val="bottom"/>
            <w:hideMark/>
          </w:tcPr>
          <w:p w14:paraId="667A4C07"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0.0%</w:t>
            </w:r>
          </w:p>
        </w:tc>
        <w:tc>
          <w:tcPr>
            <w:tcW w:w="1096" w:type="dxa"/>
            <w:tcBorders>
              <w:top w:val="nil"/>
              <w:left w:val="nil"/>
              <w:bottom w:val="nil"/>
              <w:right w:val="nil"/>
            </w:tcBorders>
            <w:shd w:val="clear" w:color="auto" w:fill="auto"/>
            <w:noWrap/>
            <w:vAlign w:val="bottom"/>
            <w:hideMark/>
          </w:tcPr>
          <w:p w14:paraId="7CC3A7C5"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0.0%</w:t>
            </w:r>
          </w:p>
        </w:tc>
        <w:tc>
          <w:tcPr>
            <w:tcW w:w="968" w:type="dxa"/>
            <w:tcBorders>
              <w:top w:val="nil"/>
              <w:left w:val="nil"/>
              <w:bottom w:val="nil"/>
              <w:right w:val="single" w:sz="4" w:space="0" w:color="auto"/>
            </w:tcBorders>
            <w:shd w:val="clear" w:color="auto" w:fill="auto"/>
            <w:noWrap/>
            <w:vAlign w:val="bottom"/>
            <w:hideMark/>
          </w:tcPr>
          <w:p w14:paraId="79081ABD"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0.0%</w:t>
            </w:r>
          </w:p>
        </w:tc>
      </w:tr>
      <w:tr w:rsidR="006B22A7" w:rsidRPr="006B22A7" w14:paraId="6EF32F84" w14:textId="77777777" w:rsidTr="006B22A7">
        <w:trPr>
          <w:trHeight w:val="300"/>
          <w:jc w:val="center"/>
        </w:trPr>
        <w:tc>
          <w:tcPr>
            <w:tcW w:w="2344" w:type="dxa"/>
            <w:tcBorders>
              <w:top w:val="nil"/>
              <w:left w:val="single" w:sz="4" w:space="0" w:color="auto"/>
              <w:bottom w:val="nil"/>
              <w:right w:val="nil"/>
            </w:tcBorders>
            <w:shd w:val="clear" w:color="auto" w:fill="auto"/>
            <w:noWrap/>
            <w:vAlign w:val="bottom"/>
            <w:hideMark/>
          </w:tcPr>
          <w:p w14:paraId="00648CA5"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WH - WM</w:t>
            </w:r>
          </w:p>
        </w:tc>
        <w:tc>
          <w:tcPr>
            <w:tcW w:w="976" w:type="dxa"/>
            <w:tcBorders>
              <w:top w:val="nil"/>
              <w:left w:val="nil"/>
              <w:bottom w:val="nil"/>
              <w:right w:val="nil"/>
            </w:tcBorders>
            <w:shd w:val="clear" w:color="auto" w:fill="auto"/>
            <w:noWrap/>
            <w:vAlign w:val="bottom"/>
            <w:hideMark/>
          </w:tcPr>
          <w:p w14:paraId="2C744599"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22.1%</w:t>
            </w:r>
          </w:p>
        </w:tc>
        <w:tc>
          <w:tcPr>
            <w:tcW w:w="1096" w:type="dxa"/>
            <w:tcBorders>
              <w:top w:val="nil"/>
              <w:left w:val="nil"/>
              <w:bottom w:val="nil"/>
              <w:right w:val="nil"/>
            </w:tcBorders>
            <w:shd w:val="clear" w:color="auto" w:fill="auto"/>
            <w:noWrap/>
            <w:vAlign w:val="bottom"/>
            <w:hideMark/>
          </w:tcPr>
          <w:p w14:paraId="039EC625"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22.1%</w:t>
            </w:r>
          </w:p>
        </w:tc>
        <w:tc>
          <w:tcPr>
            <w:tcW w:w="968" w:type="dxa"/>
            <w:tcBorders>
              <w:top w:val="nil"/>
              <w:left w:val="nil"/>
              <w:bottom w:val="nil"/>
              <w:right w:val="single" w:sz="4" w:space="0" w:color="auto"/>
            </w:tcBorders>
            <w:shd w:val="clear" w:color="auto" w:fill="auto"/>
            <w:noWrap/>
            <w:vAlign w:val="bottom"/>
            <w:hideMark/>
          </w:tcPr>
          <w:p w14:paraId="7D2426D8"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29.2%</w:t>
            </w:r>
          </w:p>
        </w:tc>
      </w:tr>
      <w:tr w:rsidR="006B22A7" w:rsidRPr="006B22A7" w14:paraId="7EBFD289" w14:textId="77777777" w:rsidTr="006B22A7">
        <w:trPr>
          <w:trHeight w:val="300"/>
          <w:jc w:val="center"/>
        </w:trPr>
        <w:tc>
          <w:tcPr>
            <w:tcW w:w="2344" w:type="dxa"/>
            <w:tcBorders>
              <w:top w:val="nil"/>
              <w:left w:val="single" w:sz="4" w:space="0" w:color="auto"/>
              <w:bottom w:val="nil"/>
              <w:right w:val="nil"/>
            </w:tcBorders>
            <w:shd w:val="clear" w:color="auto" w:fill="auto"/>
            <w:noWrap/>
            <w:vAlign w:val="bottom"/>
            <w:hideMark/>
          </w:tcPr>
          <w:p w14:paraId="0272CF52"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EV - BAU</w:t>
            </w:r>
          </w:p>
        </w:tc>
        <w:tc>
          <w:tcPr>
            <w:tcW w:w="976" w:type="dxa"/>
            <w:tcBorders>
              <w:top w:val="nil"/>
              <w:left w:val="nil"/>
              <w:bottom w:val="nil"/>
              <w:right w:val="nil"/>
            </w:tcBorders>
            <w:shd w:val="clear" w:color="auto" w:fill="auto"/>
            <w:noWrap/>
            <w:vAlign w:val="bottom"/>
            <w:hideMark/>
          </w:tcPr>
          <w:p w14:paraId="098833B7"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0.0%</w:t>
            </w:r>
          </w:p>
        </w:tc>
        <w:tc>
          <w:tcPr>
            <w:tcW w:w="1096" w:type="dxa"/>
            <w:tcBorders>
              <w:top w:val="nil"/>
              <w:left w:val="nil"/>
              <w:bottom w:val="nil"/>
              <w:right w:val="nil"/>
            </w:tcBorders>
            <w:shd w:val="clear" w:color="auto" w:fill="auto"/>
            <w:noWrap/>
            <w:vAlign w:val="bottom"/>
            <w:hideMark/>
          </w:tcPr>
          <w:p w14:paraId="4934AC6E"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0.0%</w:t>
            </w:r>
          </w:p>
        </w:tc>
        <w:tc>
          <w:tcPr>
            <w:tcW w:w="968" w:type="dxa"/>
            <w:tcBorders>
              <w:top w:val="nil"/>
              <w:left w:val="nil"/>
              <w:bottom w:val="nil"/>
              <w:right w:val="single" w:sz="4" w:space="0" w:color="auto"/>
            </w:tcBorders>
            <w:shd w:val="clear" w:color="auto" w:fill="auto"/>
            <w:noWrap/>
            <w:vAlign w:val="bottom"/>
            <w:hideMark/>
          </w:tcPr>
          <w:p w14:paraId="04C7C43C"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0.0%</w:t>
            </w:r>
          </w:p>
        </w:tc>
      </w:tr>
      <w:tr w:rsidR="006B22A7" w:rsidRPr="006B22A7" w14:paraId="09194834" w14:textId="77777777" w:rsidTr="006B22A7">
        <w:trPr>
          <w:trHeight w:val="300"/>
          <w:jc w:val="center"/>
        </w:trPr>
        <w:tc>
          <w:tcPr>
            <w:tcW w:w="2344" w:type="dxa"/>
            <w:tcBorders>
              <w:top w:val="nil"/>
              <w:left w:val="single" w:sz="4" w:space="0" w:color="auto"/>
              <w:bottom w:val="nil"/>
              <w:right w:val="nil"/>
            </w:tcBorders>
            <w:shd w:val="clear" w:color="auto" w:fill="auto"/>
            <w:noWrap/>
            <w:vAlign w:val="bottom"/>
            <w:hideMark/>
          </w:tcPr>
          <w:p w14:paraId="1FFCE06F"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EV- WM</w:t>
            </w:r>
          </w:p>
        </w:tc>
        <w:tc>
          <w:tcPr>
            <w:tcW w:w="976" w:type="dxa"/>
            <w:tcBorders>
              <w:top w:val="nil"/>
              <w:left w:val="nil"/>
              <w:bottom w:val="nil"/>
              <w:right w:val="nil"/>
            </w:tcBorders>
            <w:shd w:val="clear" w:color="auto" w:fill="auto"/>
            <w:noWrap/>
            <w:vAlign w:val="bottom"/>
            <w:hideMark/>
          </w:tcPr>
          <w:p w14:paraId="433AD62B"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15.9%</w:t>
            </w:r>
          </w:p>
        </w:tc>
        <w:tc>
          <w:tcPr>
            <w:tcW w:w="1096" w:type="dxa"/>
            <w:tcBorders>
              <w:top w:val="nil"/>
              <w:left w:val="nil"/>
              <w:bottom w:val="nil"/>
              <w:right w:val="nil"/>
            </w:tcBorders>
            <w:shd w:val="clear" w:color="auto" w:fill="auto"/>
            <w:noWrap/>
            <w:vAlign w:val="bottom"/>
            <w:hideMark/>
          </w:tcPr>
          <w:p w14:paraId="43371347"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20.9%</w:t>
            </w:r>
          </w:p>
        </w:tc>
        <w:tc>
          <w:tcPr>
            <w:tcW w:w="968" w:type="dxa"/>
            <w:tcBorders>
              <w:top w:val="nil"/>
              <w:left w:val="nil"/>
              <w:bottom w:val="nil"/>
              <w:right w:val="single" w:sz="4" w:space="0" w:color="auto"/>
            </w:tcBorders>
            <w:shd w:val="clear" w:color="auto" w:fill="auto"/>
            <w:noWrap/>
            <w:vAlign w:val="bottom"/>
            <w:hideMark/>
          </w:tcPr>
          <w:p w14:paraId="32EB5499"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30.6%</w:t>
            </w:r>
          </w:p>
        </w:tc>
      </w:tr>
      <w:tr w:rsidR="006B22A7" w:rsidRPr="006B22A7" w14:paraId="6364F217" w14:textId="77777777" w:rsidTr="006B22A7">
        <w:trPr>
          <w:trHeight w:val="300"/>
          <w:jc w:val="center"/>
        </w:trPr>
        <w:tc>
          <w:tcPr>
            <w:tcW w:w="2344" w:type="dxa"/>
            <w:tcBorders>
              <w:top w:val="single" w:sz="4" w:space="0" w:color="auto"/>
              <w:left w:val="single" w:sz="4" w:space="0" w:color="auto"/>
              <w:bottom w:val="nil"/>
              <w:right w:val="nil"/>
            </w:tcBorders>
            <w:shd w:val="clear" w:color="auto" w:fill="auto"/>
            <w:noWrap/>
            <w:vAlign w:val="bottom"/>
            <w:hideMark/>
          </w:tcPr>
          <w:p w14:paraId="29F3A578"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All Prods - BAU</w:t>
            </w:r>
          </w:p>
        </w:tc>
        <w:tc>
          <w:tcPr>
            <w:tcW w:w="976" w:type="dxa"/>
            <w:tcBorders>
              <w:top w:val="single" w:sz="4" w:space="0" w:color="auto"/>
              <w:left w:val="nil"/>
              <w:bottom w:val="nil"/>
              <w:right w:val="nil"/>
            </w:tcBorders>
            <w:shd w:val="clear" w:color="auto" w:fill="auto"/>
            <w:noWrap/>
            <w:vAlign w:val="bottom"/>
            <w:hideMark/>
          </w:tcPr>
          <w:p w14:paraId="031FB760"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2.5%</w:t>
            </w:r>
          </w:p>
        </w:tc>
        <w:tc>
          <w:tcPr>
            <w:tcW w:w="1096" w:type="dxa"/>
            <w:tcBorders>
              <w:top w:val="single" w:sz="4" w:space="0" w:color="auto"/>
              <w:left w:val="nil"/>
              <w:bottom w:val="nil"/>
              <w:right w:val="nil"/>
            </w:tcBorders>
            <w:shd w:val="clear" w:color="auto" w:fill="auto"/>
            <w:noWrap/>
            <w:vAlign w:val="bottom"/>
            <w:hideMark/>
          </w:tcPr>
          <w:p w14:paraId="72CA9BFD"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3.9%</w:t>
            </w:r>
          </w:p>
        </w:tc>
        <w:tc>
          <w:tcPr>
            <w:tcW w:w="968" w:type="dxa"/>
            <w:tcBorders>
              <w:top w:val="single" w:sz="4" w:space="0" w:color="auto"/>
              <w:left w:val="nil"/>
              <w:bottom w:val="nil"/>
              <w:right w:val="single" w:sz="4" w:space="0" w:color="auto"/>
            </w:tcBorders>
            <w:shd w:val="clear" w:color="auto" w:fill="auto"/>
            <w:noWrap/>
            <w:vAlign w:val="bottom"/>
            <w:hideMark/>
          </w:tcPr>
          <w:p w14:paraId="61CF2901"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4.8%</w:t>
            </w:r>
          </w:p>
        </w:tc>
      </w:tr>
      <w:tr w:rsidR="006B22A7" w:rsidRPr="006B22A7" w14:paraId="1C234A0E" w14:textId="77777777" w:rsidTr="006B22A7">
        <w:trPr>
          <w:trHeight w:val="300"/>
          <w:jc w:val="center"/>
        </w:trPr>
        <w:tc>
          <w:tcPr>
            <w:tcW w:w="2344" w:type="dxa"/>
            <w:tcBorders>
              <w:top w:val="nil"/>
              <w:left w:val="single" w:sz="4" w:space="0" w:color="auto"/>
              <w:bottom w:val="single" w:sz="4" w:space="0" w:color="auto"/>
              <w:right w:val="nil"/>
            </w:tcBorders>
            <w:shd w:val="clear" w:color="auto" w:fill="auto"/>
            <w:noWrap/>
            <w:vAlign w:val="bottom"/>
            <w:hideMark/>
          </w:tcPr>
          <w:p w14:paraId="32A83752" w14:textId="77777777" w:rsidR="006B22A7" w:rsidRPr="006B22A7" w:rsidRDefault="006B22A7" w:rsidP="006B22A7">
            <w:pPr>
              <w:spacing w:after="0" w:line="240" w:lineRule="auto"/>
              <w:rPr>
                <w:rFonts w:ascii="Calibri" w:eastAsia="Times New Roman" w:hAnsi="Calibri" w:cs="Calibri"/>
                <w:color w:val="000000"/>
                <w:sz w:val="18"/>
                <w:szCs w:val="18"/>
                <w:lang w:val="en-AU" w:eastAsia="en-AU"/>
              </w:rPr>
            </w:pPr>
            <w:r w:rsidRPr="006B22A7">
              <w:rPr>
                <w:sz w:val="18"/>
                <w:szCs w:val="18"/>
              </w:rPr>
              <w:t>All Prods - WM</w:t>
            </w:r>
          </w:p>
        </w:tc>
        <w:tc>
          <w:tcPr>
            <w:tcW w:w="976" w:type="dxa"/>
            <w:tcBorders>
              <w:top w:val="nil"/>
              <w:left w:val="nil"/>
              <w:bottom w:val="single" w:sz="4" w:space="0" w:color="auto"/>
              <w:right w:val="nil"/>
            </w:tcBorders>
            <w:shd w:val="clear" w:color="auto" w:fill="auto"/>
            <w:noWrap/>
            <w:vAlign w:val="bottom"/>
            <w:hideMark/>
          </w:tcPr>
          <w:p w14:paraId="7A5F0BE5"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21.6%</w:t>
            </w:r>
          </w:p>
        </w:tc>
        <w:tc>
          <w:tcPr>
            <w:tcW w:w="1096" w:type="dxa"/>
            <w:tcBorders>
              <w:top w:val="nil"/>
              <w:left w:val="nil"/>
              <w:bottom w:val="single" w:sz="4" w:space="0" w:color="auto"/>
              <w:right w:val="nil"/>
            </w:tcBorders>
            <w:shd w:val="clear" w:color="auto" w:fill="auto"/>
            <w:noWrap/>
            <w:vAlign w:val="bottom"/>
            <w:hideMark/>
          </w:tcPr>
          <w:p w14:paraId="2B58387E"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27.2%</w:t>
            </w:r>
          </w:p>
        </w:tc>
        <w:tc>
          <w:tcPr>
            <w:tcW w:w="968" w:type="dxa"/>
            <w:tcBorders>
              <w:top w:val="nil"/>
              <w:left w:val="nil"/>
              <w:bottom w:val="single" w:sz="4" w:space="0" w:color="auto"/>
              <w:right w:val="single" w:sz="4" w:space="0" w:color="auto"/>
            </w:tcBorders>
            <w:shd w:val="clear" w:color="auto" w:fill="auto"/>
            <w:noWrap/>
            <w:vAlign w:val="bottom"/>
            <w:hideMark/>
          </w:tcPr>
          <w:p w14:paraId="727C0D9E" w14:textId="77777777" w:rsidR="006B22A7" w:rsidRPr="006B22A7" w:rsidRDefault="006B22A7" w:rsidP="006B22A7">
            <w:pPr>
              <w:spacing w:after="0" w:line="240" w:lineRule="auto"/>
              <w:jc w:val="right"/>
              <w:rPr>
                <w:rFonts w:ascii="Calibri" w:eastAsia="Times New Roman" w:hAnsi="Calibri" w:cs="Calibri"/>
                <w:color w:val="000000"/>
                <w:sz w:val="18"/>
                <w:szCs w:val="18"/>
                <w:lang w:val="en-AU" w:eastAsia="en-AU"/>
              </w:rPr>
            </w:pPr>
            <w:r w:rsidRPr="006B22A7">
              <w:rPr>
                <w:sz w:val="18"/>
                <w:szCs w:val="18"/>
              </w:rPr>
              <w:t>39.1%</w:t>
            </w:r>
          </w:p>
        </w:tc>
      </w:tr>
    </w:tbl>
    <w:p w14:paraId="1961E2CF" w14:textId="3866AC4C" w:rsidR="00D4514C" w:rsidRPr="000935F4" w:rsidRDefault="00D4514C" w:rsidP="00D4514C">
      <w:pPr>
        <w:jc w:val="center"/>
        <w:rPr>
          <w:sz w:val="20"/>
          <w:szCs w:val="20"/>
        </w:rPr>
      </w:pPr>
      <w:r>
        <w:fldChar w:fldCharType="end"/>
      </w:r>
      <w:r w:rsidRPr="000935F4">
        <w:rPr>
          <w:sz w:val="20"/>
          <w:szCs w:val="20"/>
        </w:rPr>
        <w:t xml:space="preserve">Source: </w:t>
      </w:r>
      <w:r w:rsidRPr="000935F4">
        <w:rPr>
          <w:sz w:val="20"/>
          <w:szCs w:val="20"/>
        </w:rPr>
        <w:fldChar w:fldCharType="begin"/>
      </w:r>
      <w:r w:rsidRPr="000935F4">
        <w:rPr>
          <w:sz w:val="20"/>
          <w:szCs w:val="20"/>
        </w:rPr>
        <w:instrText xml:space="preserve"> REF _Ref22122653 \h  \* MERGEFORMAT </w:instrText>
      </w:r>
      <w:r w:rsidRPr="000935F4">
        <w:rPr>
          <w:sz w:val="20"/>
          <w:szCs w:val="20"/>
        </w:rPr>
      </w:r>
      <w:r w:rsidRPr="000935F4">
        <w:rPr>
          <w:sz w:val="20"/>
          <w:szCs w:val="20"/>
        </w:rPr>
        <w:fldChar w:fldCharType="separate"/>
      </w:r>
      <w:r w:rsidR="006B22A7" w:rsidRPr="006B22A7">
        <w:rPr>
          <w:rFonts w:ascii="Calibri" w:eastAsia="Cambria" w:hAnsi="Calibri" w:cs="Calibri"/>
          <w:sz w:val="20"/>
          <w:szCs w:val="20"/>
          <w:lang w:val="en-AU"/>
        </w:rPr>
        <w:t xml:space="preserve">Figure </w:t>
      </w:r>
      <w:r w:rsidR="006B22A7" w:rsidRPr="006B22A7">
        <w:rPr>
          <w:rFonts w:ascii="Calibri" w:eastAsia="Cambria" w:hAnsi="Calibri" w:cs="Calibri"/>
          <w:noProof/>
          <w:sz w:val="20"/>
          <w:szCs w:val="20"/>
          <w:lang w:val="en-AU"/>
        </w:rPr>
        <w:t>10</w:t>
      </w:r>
      <w:r w:rsidRPr="000935F4">
        <w:rPr>
          <w:sz w:val="20"/>
          <w:szCs w:val="20"/>
        </w:rPr>
        <w:fldChar w:fldCharType="end"/>
      </w:r>
      <w:r w:rsidR="000935F4" w:rsidRPr="000935F4">
        <w:rPr>
          <w:sz w:val="20"/>
          <w:szCs w:val="20"/>
        </w:rPr>
        <w:t>. (a) Minimum activation rates required to achieve cost-effectiveness (against zero BAU take-up)</w:t>
      </w:r>
    </w:p>
    <w:p w14:paraId="3D4D31F2" w14:textId="6B50A635" w:rsidR="00A37634" w:rsidRDefault="00A37634" w:rsidP="008E7146">
      <w:pPr>
        <w:spacing w:before="240" w:after="120" w:line="278" w:lineRule="auto"/>
        <w:rPr>
          <w:rFonts w:ascii="Calibri" w:eastAsia="Cambria" w:hAnsi="Calibri" w:cs="Calibri"/>
          <w:lang w:val="en-AU"/>
        </w:rPr>
      </w:pPr>
      <w:r w:rsidRPr="00A37634">
        <w:rPr>
          <w:rFonts w:ascii="Calibri" w:eastAsia="Cambria" w:hAnsi="Calibri" w:cs="Calibri"/>
          <w:lang w:val="en-AU"/>
        </w:rPr>
        <w:t xml:space="preserve">The number of total annual AC activations required to achieve the Medium take-up rates in </w:t>
      </w:r>
      <w:r w:rsidR="00E5049C" w:rsidRPr="00E5049C">
        <w:rPr>
          <w:rStyle w:val="FigreferenceChar"/>
        </w:rPr>
        <w:fldChar w:fldCharType="begin"/>
      </w:r>
      <w:r w:rsidR="00E5049C" w:rsidRPr="00E5049C">
        <w:rPr>
          <w:rStyle w:val="FigreferenceChar"/>
        </w:rPr>
        <w:instrText xml:space="preserve"> REF _Ref22203798 \h </w:instrText>
      </w:r>
      <w:r w:rsidR="00E5049C">
        <w:rPr>
          <w:rStyle w:val="FigreferenceChar"/>
        </w:rPr>
        <w:instrText xml:space="preserve"> \* MERGEFORMAT </w:instrText>
      </w:r>
      <w:r w:rsidR="00E5049C" w:rsidRPr="00E5049C">
        <w:rPr>
          <w:rStyle w:val="FigreferenceChar"/>
        </w:rPr>
      </w:r>
      <w:r w:rsidR="00E5049C" w:rsidRPr="00E5049C">
        <w:rPr>
          <w:rStyle w:val="FigreferenceChar"/>
        </w:rPr>
        <w:fldChar w:fldCharType="separate"/>
      </w:r>
      <w:r w:rsidR="006B22A7" w:rsidRPr="006B22A7">
        <w:rPr>
          <w:rStyle w:val="FigreferenceChar"/>
        </w:rPr>
        <w:t>Figure 20</w:t>
      </w:r>
      <w:r w:rsidR="00E5049C" w:rsidRPr="00E5049C">
        <w:rPr>
          <w:rStyle w:val="FigreferenceChar"/>
        </w:rPr>
        <w:fldChar w:fldCharType="end"/>
      </w:r>
      <w:r w:rsidR="00E5049C" w:rsidRPr="00E5049C">
        <w:rPr>
          <w:rStyle w:val="FigreferenceChar"/>
        </w:rPr>
        <w:t xml:space="preserve"> </w:t>
      </w:r>
      <w:r w:rsidRPr="00A37634">
        <w:rPr>
          <w:rFonts w:ascii="Calibri" w:eastAsia="Cambria" w:hAnsi="Calibri" w:cs="Calibri"/>
          <w:lang w:val="en-AU"/>
        </w:rPr>
        <w:t xml:space="preserve">are illustrated in </w:t>
      </w:r>
      <w:r w:rsidRPr="00373F08">
        <w:rPr>
          <w:rStyle w:val="FigreferenceChar"/>
        </w:rPr>
        <w:fldChar w:fldCharType="begin"/>
      </w:r>
      <w:r w:rsidRPr="00373F08">
        <w:rPr>
          <w:rStyle w:val="FigreferenceChar"/>
        </w:rPr>
        <w:instrText xml:space="preserve"> REF _Ref12983373 \h  \* MERGEFORMAT </w:instrText>
      </w:r>
      <w:r w:rsidRPr="00373F08">
        <w:rPr>
          <w:rStyle w:val="FigreferenceChar"/>
        </w:rPr>
      </w:r>
      <w:r w:rsidRPr="00373F08">
        <w:rPr>
          <w:rStyle w:val="FigreferenceChar"/>
        </w:rPr>
        <w:fldChar w:fldCharType="separate"/>
      </w:r>
      <w:r w:rsidR="006B22A7" w:rsidRPr="006B22A7">
        <w:rPr>
          <w:rStyle w:val="FigreferenceChar"/>
        </w:rPr>
        <w:t>Figure 22</w:t>
      </w:r>
      <w:r w:rsidRPr="00373F08">
        <w:rPr>
          <w:rStyle w:val="FigreferenceChar"/>
        </w:rPr>
        <w:fldChar w:fldCharType="end"/>
      </w:r>
      <w:r w:rsidRPr="00A37634">
        <w:rPr>
          <w:rFonts w:ascii="Calibri" w:eastAsia="Cambria" w:hAnsi="Calibri" w:cs="Calibri"/>
          <w:lang w:val="en-AU"/>
        </w:rPr>
        <w:t>. Activations on installation are shown separately from post-installation activations. The trends depart from smooth curves in the</w:t>
      </w:r>
      <w:r w:rsidR="00E5049C">
        <w:rPr>
          <w:rFonts w:ascii="Calibri" w:eastAsia="Cambria" w:hAnsi="Calibri" w:cs="Calibri"/>
          <w:lang w:val="en-AU"/>
        </w:rPr>
        <w:t xml:space="preserve"> later years</w:t>
      </w:r>
      <w:r w:rsidRPr="00A37634">
        <w:rPr>
          <w:rFonts w:ascii="Calibri" w:eastAsia="Cambria" w:hAnsi="Calibri" w:cs="Calibri"/>
          <w:lang w:val="en-AU"/>
        </w:rPr>
        <w:t xml:space="preserve"> due to internal consistency checks (i.e. annual activations can never exceed the “non-activated pool” in any given year). By the 2030s, annual AC </w:t>
      </w:r>
      <w:r w:rsidRPr="00A37634">
        <w:rPr>
          <w:rFonts w:ascii="Calibri" w:eastAsia="Cambria" w:hAnsi="Calibri" w:cs="Calibri"/>
          <w:lang w:val="en-AU"/>
        </w:rPr>
        <w:lastRenderedPageBreak/>
        <w:t>activations in Australia would be about 320,000 per year. Annual AC sales are projected to reach 1.03 million in 2035, and the total AC stock is projected to reach 13.9 million. In this context, the projected activation rates seem feasible.</w:t>
      </w:r>
    </w:p>
    <w:p w14:paraId="5581E73B" w14:textId="38D25779"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86" w:name="_Ref12982313"/>
      <w:bookmarkStart w:id="187" w:name="_Toc22488534"/>
      <w:bookmarkStart w:id="188" w:name="_Hlk12983113"/>
      <w:r w:rsidRPr="00A37634">
        <w:rPr>
          <w:rFonts w:ascii="Calibri" w:eastAsia="Cambria" w:hAnsi="Calibri" w:cs="Calibri"/>
          <w:b/>
          <w:bCs/>
          <w:sz w:val="20"/>
          <w:szCs w:val="16"/>
          <w:lang w:val="en-AU"/>
        </w:rPr>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21</w:t>
      </w:r>
      <w:r w:rsidRPr="00A37634">
        <w:rPr>
          <w:rFonts w:ascii="Calibri" w:eastAsia="Cambria" w:hAnsi="Calibri" w:cs="Calibri"/>
          <w:b/>
          <w:bCs/>
          <w:noProof/>
          <w:sz w:val="20"/>
          <w:szCs w:val="16"/>
          <w:lang w:val="en-AU"/>
        </w:rPr>
        <w:fldChar w:fldCharType="end"/>
      </w:r>
      <w:bookmarkEnd w:id="186"/>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High install-activation rate projections vs actual PeakSmart activation rates</w:t>
      </w:r>
      <w:bookmarkEnd w:id="187"/>
      <w:r w:rsidRPr="00A37634">
        <w:rPr>
          <w:rFonts w:ascii="Calibri" w:eastAsia="Cambria" w:hAnsi="Calibri" w:cs="Calibri"/>
          <w:b/>
          <w:bCs/>
          <w:sz w:val="20"/>
          <w:szCs w:val="16"/>
          <w:lang w:val="en-AU"/>
        </w:rPr>
        <w:t xml:space="preserve"> </w:t>
      </w:r>
    </w:p>
    <w:bookmarkEnd w:id="188"/>
    <w:p w14:paraId="7390A5DC" w14:textId="77777777" w:rsidR="00A37634" w:rsidRPr="00A37634" w:rsidRDefault="00A37634" w:rsidP="00A37634">
      <w:pPr>
        <w:spacing w:after="120" w:line="276" w:lineRule="auto"/>
        <w:jc w:val="center"/>
        <w:rPr>
          <w:rFonts w:ascii="Calibri" w:eastAsia="Calibri" w:hAnsi="Calibri" w:cs="Calibri"/>
          <w:szCs w:val="20"/>
          <w:lang w:val="en-AU"/>
        </w:rPr>
      </w:pPr>
      <w:r w:rsidRPr="00A37634">
        <w:rPr>
          <w:rFonts w:ascii="Calibri" w:eastAsia="Calibri" w:hAnsi="Calibri" w:cs="Calibri"/>
          <w:noProof/>
          <w:szCs w:val="20"/>
          <w:lang w:val="en-AU" w:eastAsia="en-AU"/>
        </w:rPr>
        <w:drawing>
          <wp:inline distT="0" distB="0" distL="0" distR="0" wp14:anchorId="7E0F8FCF" wp14:editId="395BD23D">
            <wp:extent cx="4316948" cy="3137618"/>
            <wp:effectExtent l="19050" t="19050" r="26670" b="24765"/>
            <wp:docPr id="13" name="Picture 13"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65052" cy="3172581"/>
                    </a:xfrm>
                    <a:prstGeom prst="rect">
                      <a:avLst/>
                    </a:prstGeom>
                    <a:noFill/>
                    <a:ln>
                      <a:solidFill>
                        <a:sysClr val="windowText" lastClr="000000"/>
                      </a:solidFill>
                    </a:ln>
                  </pic:spPr>
                </pic:pic>
              </a:graphicData>
            </a:graphic>
          </wp:inline>
        </w:drawing>
      </w:r>
    </w:p>
    <w:p w14:paraId="0F37EA8D" w14:textId="77777777" w:rsidR="00A37634" w:rsidRPr="00A37634" w:rsidRDefault="00A37634" w:rsidP="00A37634">
      <w:pPr>
        <w:spacing w:after="120" w:line="276" w:lineRule="auto"/>
        <w:jc w:val="center"/>
        <w:rPr>
          <w:rFonts w:ascii="Calibri" w:eastAsia="Cambria" w:hAnsi="Calibri" w:cs="Calibri"/>
          <w:sz w:val="16"/>
          <w:szCs w:val="16"/>
          <w:lang w:val="en-AU"/>
        </w:rPr>
      </w:pPr>
      <w:r w:rsidRPr="00A37634">
        <w:rPr>
          <w:rFonts w:ascii="Calibri" w:eastAsia="Cambria" w:hAnsi="Calibri" w:cs="Calibri"/>
          <w:sz w:val="16"/>
          <w:szCs w:val="16"/>
          <w:lang w:val="en-AU"/>
        </w:rPr>
        <w:t xml:space="preserve">Source: Author estimate based on personal communications from Energex, May 2019. The same rates are projected for all jurisdictions other than Queensland, so their trendlines are superimposed. </w:t>
      </w:r>
    </w:p>
    <w:p w14:paraId="4DF6D2AA" w14:textId="5D2F6B7B"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89" w:name="_Ref12983373"/>
      <w:bookmarkStart w:id="190" w:name="_Toc22488535"/>
      <w:r w:rsidRPr="00A37634">
        <w:rPr>
          <w:rFonts w:ascii="Calibri" w:eastAsia="Cambria" w:hAnsi="Calibri" w:cs="Calibri"/>
          <w:b/>
          <w:bCs/>
          <w:sz w:val="20"/>
          <w:szCs w:val="16"/>
          <w:lang w:val="en-AU"/>
        </w:rPr>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22</w:t>
      </w:r>
      <w:r w:rsidRPr="00A37634">
        <w:rPr>
          <w:rFonts w:ascii="Calibri" w:eastAsia="Cambria" w:hAnsi="Calibri" w:cs="Calibri"/>
          <w:b/>
          <w:bCs/>
          <w:noProof/>
          <w:sz w:val="20"/>
          <w:szCs w:val="16"/>
          <w:lang w:val="en-AU"/>
        </w:rPr>
        <w:fldChar w:fldCharType="end"/>
      </w:r>
      <w:bookmarkEnd w:id="189"/>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Number of installation and post-installation air conditioner activations, medium activation rates</w:t>
      </w:r>
      <w:bookmarkEnd w:id="190"/>
    </w:p>
    <w:p w14:paraId="10FC9103" w14:textId="77777777" w:rsidR="00A37634" w:rsidRPr="00A37634" w:rsidRDefault="00A37634" w:rsidP="00A37634">
      <w:pPr>
        <w:spacing w:before="20" w:after="40" w:line="240" w:lineRule="auto"/>
        <w:jc w:val="center"/>
        <w:rPr>
          <w:rFonts w:ascii="Calibri" w:eastAsia="Cambria" w:hAnsi="Calibri" w:cs="Calibri"/>
          <w:b/>
          <w:bCs/>
          <w:sz w:val="20"/>
          <w:szCs w:val="16"/>
          <w:lang w:val="en-AU"/>
        </w:rPr>
      </w:pPr>
      <w:r w:rsidRPr="00A37634">
        <w:rPr>
          <w:rFonts w:ascii="Calibri" w:eastAsia="Cambria" w:hAnsi="Calibri" w:cs="Calibri"/>
          <w:b/>
          <w:bCs/>
          <w:sz w:val="20"/>
          <w:szCs w:val="16"/>
          <w:lang w:val="en-AU"/>
        </w:rPr>
        <w:t xml:space="preserve"> </w:t>
      </w:r>
      <w:r w:rsidRPr="00A37634">
        <w:rPr>
          <w:rFonts w:ascii="Calibri" w:eastAsia="Cambria" w:hAnsi="Calibri" w:cs="Calibri"/>
          <w:b/>
          <w:bCs/>
          <w:noProof/>
          <w:sz w:val="20"/>
          <w:szCs w:val="16"/>
          <w:lang w:val="en-AU" w:eastAsia="en-AU"/>
        </w:rPr>
        <w:drawing>
          <wp:inline distT="0" distB="0" distL="0" distR="0" wp14:anchorId="275AFEEE" wp14:editId="0F2D9582">
            <wp:extent cx="4245997" cy="3089197"/>
            <wp:effectExtent l="0" t="0" r="2540" b="0"/>
            <wp:docPr id="18" name="Picture 18"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0154" cy="3099497"/>
                    </a:xfrm>
                    <a:prstGeom prst="rect">
                      <a:avLst/>
                    </a:prstGeom>
                    <a:noFill/>
                  </pic:spPr>
                </pic:pic>
              </a:graphicData>
            </a:graphic>
          </wp:inline>
        </w:drawing>
      </w:r>
    </w:p>
    <w:p w14:paraId="0EA8FF5B" w14:textId="77777777" w:rsidR="000935F4" w:rsidRDefault="000935F4" w:rsidP="000935F4">
      <w:pPr>
        <w:rPr>
          <w:lang w:val="en-AU"/>
        </w:rPr>
      </w:pPr>
    </w:p>
    <w:p w14:paraId="3FC47FCD" w14:textId="77777777" w:rsidR="00E5049C" w:rsidRPr="00751A5B" w:rsidRDefault="00E5049C" w:rsidP="00E5049C">
      <w:pPr>
        <w:keepNext/>
        <w:keepLines/>
        <w:spacing w:before="240" w:after="240" w:line="278" w:lineRule="auto"/>
        <w:outlineLvl w:val="4"/>
        <w:rPr>
          <w:rFonts w:ascii="Calibri" w:eastAsia="Times New Roman" w:hAnsi="Calibri" w:cs="Calibri"/>
          <w:b/>
          <w:color w:val="FF0000"/>
          <w:sz w:val="28"/>
          <w:lang w:val="en-AU"/>
        </w:rPr>
      </w:pPr>
      <w:r w:rsidRPr="00751A5B">
        <w:rPr>
          <w:rFonts w:ascii="Calibri" w:eastAsia="Times New Roman" w:hAnsi="Calibri" w:cs="Calibri"/>
          <w:b/>
          <w:color w:val="FF0000"/>
          <w:sz w:val="28"/>
          <w:lang w:val="en-AU"/>
        </w:rPr>
        <w:lastRenderedPageBreak/>
        <w:t>Partic</w:t>
      </w:r>
      <w:r>
        <w:rPr>
          <w:rFonts w:ascii="Calibri" w:eastAsia="Times New Roman" w:hAnsi="Calibri" w:cs="Calibri"/>
          <w:b/>
          <w:color w:val="FF0000"/>
          <w:sz w:val="28"/>
          <w:lang w:val="en-AU"/>
        </w:rPr>
        <w:t>i</w:t>
      </w:r>
      <w:r w:rsidRPr="00751A5B">
        <w:rPr>
          <w:rFonts w:ascii="Calibri" w:eastAsia="Times New Roman" w:hAnsi="Calibri" w:cs="Calibri"/>
          <w:b/>
          <w:color w:val="FF0000"/>
          <w:sz w:val="28"/>
          <w:lang w:val="en-AU"/>
        </w:rPr>
        <w:t>pation Costs</w:t>
      </w:r>
    </w:p>
    <w:p w14:paraId="7067B443" w14:textId="77777777" w:rsidR="00E5049C" w:rsidRPr="00A37634" w:rsidRDefault="00E5049C" w:rsidP="00E5049C">
      <w:pPr>
        <w:spacing w:before="240" w:after="120" w:line="278" w:lineRule="auto"/>
        <w:rPr>
          <w:rFonts w:ascii="Calibri" w:eastAsia="Cambria" w:hAnsi="Calibri" w:cs="Calibri"/>
          <w:lang w:val="en-AU"/>
        </w:rPr>
      </w:pPr>
      <w:r w:rsidRPr="00A37634">
        <w:rPr>
          <w:rFonts w:ascii="Calibri" w:eastAsia="Cambria" w:hAnsi="Calibri" w:cs="Calibri"/>
          <w:lang w:val="en-AU"/>
        </w:rPr>
        <w:t xml:space="preserve">There will be on-going administrative costs associated with maintaining records of activated appliances and communicating with participants. These are estimated at $20 per activated appliance per year. These assumptions were presented in the Consultation RIS (E3 2013) and considered reasonable by submitters. It is assumed that this would also cover the profit margins of DRSPs. </w:t>
      </w:r>
    </w:p>
    <w:p w14:paraId="4453DDFB" w14:textId="1C433825" w:rsidR="00A37634" w:rsidRPr="00A37634" w:rsidRDefault="00A37634" w:rsidP="00A37634">
      <w:pPr>
        <w:keepNext/>
        <w:keepLines/>
        <w:spacing w:before="240" w:after="240" w:line="278" w:lineRule="auto"/>
        <w:outlineLvl w:val="4"/>
        <w:rPr>
          <w:rFonts w:ascii="Calibri" w:eastAsia="Times New Roman" w:hAnsi="Calibri" w:cs="Calibri"/>
          <w:b/>
          <w:color w:val="FF0000"/>
          <w:sz w:val="28"/>
          <w:lang w:val="en-AU"/>
        </w:rPr>
      </w:pPr>
      <w:r w:rsidRPr="00A37634">
        <w:rPr>
          <w:rFonts w:ascii="Calibri" w:eastAsia="Times New Roman" w:hAnsi="Calibri" w:cs="Calibri"/>
          <w:b/>
          <w:color w:val="FF0000"/>
          <w:sz w:val="28"/>
          <w:lang w:val="en-AU"/>
        </w:rPr>
        <w:t xml:space="preserve">Projected Demand Reductions </w:t>
      </w:r>
    </w:p>
    <w:p w14:paraId="6077C15F" w14:textId="77777777" w:rsidR="00A37634" w:rsidRPr="00A37634" w:rsidRDefault="00A37634" w:rsidP="00A37634">
      <w:pPr>
        <w:spacing w:before="240" w:after="120" w:line="278" w:lineRule="auto"/>
        <w:rPr>
          <w:rFonts w:ascii="Calibri" w:eastAsia="Cambria" w:hAnsi="Calibri" w:cs="Calibri"/>
          <w:lang w:val="en-AU"/>
        </w:rPr>
      </w:pPr>
      <w:r w:rsidRPr="00A37634">
        <w:rPr>
          <w:rFonts w:ascii="Calibri" w:eastAsia="Cambria" w:hAnsi="Calibri" w:cs="Calibri"/>
          <w:lang w:val="en-AU"/>
        </w:rPr>
        <w:t>There are three ways to estimate the potential impact of DR:</w:t>
      </w:r>
    </w:p>
    <w:p w14:paraId="6D423585" w14:textId="77777777" w:rsidR="00A37634" w:rsidRPr="00A37634" w:rsidRDefault="00A37634" w:rsidP="00FF17C7">
      <w:pPr>
        <w:numPr>
          <w:ilvl w:val="0"/>
          <w:numId w:val="7"/>
        </w:numPr>
        <w:spacing w:before="120" w:after="120" w:line="278" w:lineRule="auto"/>
        <w:contextualSpacing/>
        <w:rPr>
          <w:rFonts w:ascii="Calibri" w:eastAsia="Cambria" w:hAnsi="Calibri" w:cs="Calibri"/>
          <w:lang w:val="en-AU"/>
        </w:rPr>
      </w:pPr>
      <w:r w:rsidRPr="00A37634">
        <w:rPr>
          <w:rFonts w:ascii="Calibri" w:eastAsia="Cambria" w:hAnsi="Calibri" w:cs="Calibri"/>
          <w:lang w:val="en-AU"/>
        </w:rPr>
        <w:t xml:space="preserve">The theoretical maximum electricity load of all activated appliances, as if all were switched on and operating at maximum capacity during a DR event, or (for DRM 4) if all were off and switched on; </w:t>
      </w:r>
    </w:p>
    <w:p w14:paraId="200C319E" w14:textId="688B9C2A" w:rsidR="00A37634" w:rsidRPr="00A37634" w:rsidRDefault="00A37634" w:rsidP="00FF17C7">
      <w:pPr>
        <w:numPr>
          <w:ilvl w:val="0"/>
          <w:numId w:val="7"/>
        </w:numPr>
        <w:spacing w:before="120" w:after="120" w:line="278" w:lineRule="auto"/>
        <w:contextualSpacing/>
        <w:rPr>
          <w:rFonts w:ascii="Calibri" w:eastAsia="Cambria" w:hAnsi="Calibri" w:cs="Calibri"/>
          <w:lang w:val="en-AU"/>
        </w:rPr>
      </w:pPr>
      <w:r w:rsidRPr="00A37634">
        <w:rPr>
          <w:rFonts w:ascii="Calibri" w:eastAsia="Cambria" w:hAnsi="Calibri" w:cs="Calibri"/>
          <w:lang w:val="en-AU"/>
        </w:rPr>
        <w:t>The emergency load available for DR, i.e. the MWe at full output multiplied by the probability of that product being on and drawing energy at the time of peak demand (the “</w:t>
      </w:r>
      <w:r w:rsidR="00755AA1" w:rsidRPr="00755AA1">
        <w:rPr>
          <w:rFonts w:ascii="Calibri" w:eastAsia="Cambria" w:hAnsi="Calibri" w:cs="Calibri"/>
          <w:lang w:val="en-AU"/>
        </w:rPr>
        <w:t>Diversified kW per unit at time of peak demand</w:t>
      </w:r>
      <w:r w:rsidR="00755AA1">
        <w:rPr>
          <w:rFonts w:ascii="Calibri" w:eastAsia="Cambria" w:hAnsi="Calibri" w:cs="Calibri"/>
          <w:lang w:val="en-AU"/>
        </w:rPr>
        <w:t xml:space="preserve">” </w:t>
      </w:r>
      <w:r w:rsidRPr="00A37634">
        <w:rPr>
          <w:rFonts w:ascii="Calibri" w:eastAsia="Cambria" w:hAnsi="Calibri" w:cs="Calibri"/>
          <w:lang w:val="en-AU"/>
        </w:rPr>
        <w:t xml:space="preserve">per activated unit in </w:t>
      </w:r>
      <w:r w:rsidRPr="00755AA1">
        <w:rPr>
          <w:rStyle w:val="FigreferenceChar"/>
        </w:rPr>
        <w:fldChar w:fldCharType="begin"/>
      </w:r>
      <w:r w:rsidRPr="00755AA1">
        <w:rPr>
          <w:rStyle w:val="FigreferenceChar"/>
        </w:rPr>
        <w:instrText xml:space="preserve"> REF _Ref277589877 \h  \* MERGEFORMAT </w:instrText>
      </w:r>
      <w:r w:rsidRPr="00755AA1">
        <w:rPr>
          <w:rStyle w:val="FigreferenceChar"/>
        </w:rPr>
      </w:r>
      <w:r w:rsidRPr="00755AA1">
        <w:rPr>
          <w:rStyle w:val="FigreferenceChar"/>
        </w:rPr>
        <w:fldChar w:fldCharType="separate"/>
      </w:r>
      <w:r w:rsidR="006B22A7" w:rsidRPr="006B22A7">
        <w:rPr>
          <w:rStyle w:val="FigreferenceChar"/>
        </w:rPr>
        <w:t>Table 29</w:t>
      </w:r>
      <w:r w:rsidRPr="00755AA1">
        <w:rPr>
          <w:rStyle w:val="FigreferenceChar"/>
        </w:rPr>
        <w:fldChar w:fldCharType="end"/>
      </w:r>
      <w:r w:rsidRPr="00A37634">
        <w:rPr>
          <w:rFonts w:ascii="Calibri" w:eastAsia="Cambria" w:hAnsi="Calibri" w:cs="Calibri"/>
          <w:lang w:val="en-AU"/>
        </w:rPr>
        <w:t xml:space="preserve">). This corresponds to the total load reduction from issuing DRM 1 commands to all activated products during SMD or WMD; </w:t>
      </w:r>
      <w:r w:rsidR="005F33B6">
        <w:rPr>
          <w:rFonts w:ascii="Calibri" w:eastAsia="Cambria" w:hAnsi="Calibri" w:cs="Calibri"/>
          <w:lang w:val="en-AU"/>
        </w:rPr>
        <w:t>and</w:t>
      </w:r>
    </w:p>
    <w:p w14:paraId="0ED84F72" w14:textId="77777777" w:rsidR="00A37634" w:rsidRPr="00A37634" w:rsidRDefault="00A37634" w:rsidP="00FF17C7">
      <w:pPr>
        <w:numPr>
          <w:ilvl w:val="0"/>
          <w:numId w:val="7"/>
        </w:numPr>
        <w:spacing w:before="120" w:after="120" w:line="278" w:lineRule="auto"/>
        <w:contextualSpacing/>
        <w:rPr>
          <w:rFonts w:ascii="Calibri" w:eastAsia="Cambria" w:hAnsi="Calibri" w:cs="Calibri"/>
          <w:lang w:val="en-AU"/>
        </w:rPr>
      </w:pPr>
      <w:r w:rsidRPr="00A37634">
        <w:rPr>
          <w:rFonts w:ascii="Calibri" w:eastAsia="Cambria" w:hAnsi="Calibri" w:cs="Calibri"/>
          <w:lang w:val="en-AU"/>
        </w:rPr>
        <w:t xml:space="preserve">The routine DR load available. DRSPs will usually issue DRM 2 commands to ACs during non-emergency DR events, so consumers still get cooling or heating at reduced levels. The DRM 2 load reductions are used to calculate benefits of the proposal. This understates the likely value, since DRM 1 would be acceptable for pool pumps, water heaters and EV chargers. </w:t>
      </w:r>
    </w:p>
    <w:p w14:paraId="1B6C821D" w14:textId="35080F57" w:rsidR="00A37634" w:rsidRDefault="00A37634" w:rsidP="008E7146">
      <w:pPr>
        <w:spacing w:before="240" w:after="120" w:line="278" w:lineRule="auto"/>
        <w:rPr>
          <w:rFonts w:ascii="Calibri" w:eastAsia="Cambria" w:hAnsi="Calibri" w:cs="Calibri"/>
          <w:lang w:val="en-AU"/>
        </w:rPr>
      </w:pPr>
      <w:r w:rsidRPr="00755AA1">
        <w:rPr>
          <w:rStyle w:val="FigreferenceChar"/>
        </w:rPr>
        <w:fldChar w:fldCharType="begin"/>
      </w:r>
      <w:r w:rsidRPr="00755AA1">
        <w:rPr>
          <w:rStyle w:val="FigreferenceChar"/>
        </w:rPr>
        <w:instrText xml:space="preserve"> REF _Ref13034848 \h  \* MERGEFORMAT </w:instrText>
      </w:r>
      <w:r w:rsidRPr="00755AA1">
        <w:rPr>
          <w:rStyle w:val="FigreferenceChar"/>
        </w:rPr>
      </w:r>
      <w:r w:rsidRPr="00755AA1">
        <w:rPr>
          <w:rStyle w:val="FigreferenceChar"/>
        </w:rPr>
        <w:fldChar w:fldCharType="separate"/>
      </w:r>
      <w:r w:rsidR="006B22A7" w:rsidRPr="006B22A7">
        <w:rPr>
          <w:rStyle w:val="FigreferenceChar"/>
        </w:rPr>
        <w:t>Figure 11</w:t>
      </w:r>
      <w:r w:rsidRPr="00755AA1">
        <w:rPr>
          <w:rStyle w:val="FigreferenceChar"/>
        </w:rPr>
        <w:fldChar w:fldCharType="end"/>
      </w:r>
      <w:r w:rsidRPr="009A41E4">
        <w:rPr>
          <w:rFonts w:ascii="Calibri" w:eastAsia="Cambria" w:hAnsi="Calibri" w:cs="Calibri"/>
          <w:b/>
          <w:lang w:val="en-AU"/>
        </w:rPr>
        <w:t xml:space="preserve"> </w:t>
      </w:r>
      <w:r w:rsidRPr="00A37634">
        <w:rPr>
          <w:rFonts w:ascii="Calibri" w:eastAsia="Cambria" w:hAnsi="Calibri" w:cs="Calibri"/>
          <w:lang w:val="en-AU"/>
        </w:rPr>
        <w:t xml:space="preserve">shows the projected maximum demand and the routine DR load available in each Australian jurisdiction, excluding the NT (with NSW and ACT combined; AEMO does not publish separate projections). At Medium activation rates, the emergency DR available from ACs alone would </w:t>
      </w:r>
      <w:r w:rsidR="00755AA1">
        <w:rPr>
          <w:rFonts w:ascii="Calibri" w:eastAsia="Cambria" w:hAnsi="Calibri" w:cs="Calibri"/>
          <w:lang w:val="en-AU"/>
        </w:rPr>
        <w:t xml:space="preserve">approach </w:t>
      </w:r>
      <w:r w:rsidRPr="00A37634">
        <w:rPr>
          <w:rFonts w:ascii="Calibri" w:eastAsia="Cambria" w:hAnsi="Calibri" w:cs="Calibri"/>
          <w:lang w:val="en-AU"/>
        </w:rPr>
        <w:t>22% of summer maximum demand in Queensland (</w:t>
      </w:r>
      <w:r w:rsidRPr="00755AA1">
        <w:rPr>
          <w:rStyle w:val="FigreferenceChar"/>
        </w:rPr>
        <w:fldChar w:fldCharType="begin"/>
      </w:r>
      <w:r w:rsidRPr="00755AA1">
        <w:rPr>
          <w:rStyle w:val="FigreferenceChar"/>
        </w:rPr>
        <w:instrText xml:space="preserve"> REF _Ref13217382 \h  \* MERGEFORMAT </w:instrText>
      </w:r>
      <w:r w:rsidRPr="00755AA1">
        <w:rPr>
          <w:rStyle w:val="FigreferenceChar"/>
        </w:rPr>
      </w:r>
      <w:r w:rsidRPr="00755AA1">
        <w:rPr>
          <w:rStyle w:val="FigreferenceChar"/>
        </w:rPr>
        <w:fldChar w:fldCharType="separate"/>
      </w:r>
      <w:r w:rsidR="006B22A7" w:rsidRPr="006B22A7">
        <w:rPr>
          <w:rStyle w:val="FigreferenceChar"/>
        </w:rPr>
        <w:t>Figure 23</w:t>
      </w:r>
      <w:r w:rsidRPr="00755AA1">
        <w:rPr>
          <w:rStyle w:val="FigreferenceChar"/>
        </w:rPr>
        <w:fldChar w:fldCharType="end"/>
      </w:r>
      <w:r w:rsidRPr="00A37634">
        <w:rPr>
          <w:rFonts w:ascii="Calibri" w:eastAsia="Cambria" w:hAnsi="Calibri" w:cs="Calibri"/>
          <w:lang w:val="en-AU"/>
        </w:rPr>
        <w:t xml:space="preserve">). The routine (i.e. non-emergency) load reduction available across all jurisdictions would be equivalent to </w:t>
      </w:r>
      <w:r w:rsidR="00166426">
        <w:rPr>
          <w:rFonts w:ascii="Calibri" w:eastAsia="Cambria" w:hAnsi="Calibri" w:cs="Calibri"/>
          <w:lang w:val="en-AU"/>
        </w:rPr>
        <w:t xml:space="preserve">over </w:t>
      </w:r>
      <w:r w:rsidR="00755AA1">
        <w:rPr>
          <w:rFonts w:ascii="Calibri" w:eastAsia="Cambria" w:hAnsi="Calibri" w:cs="Calibri"/>
          <w:lang w:val="en-AU"/>
        </w:rPr>
        <w:t>50</w:t>
      </w:r>
      <w:r w:rsidRPr="00A37634">
        <w:rPr>
          <w:rFonts w:ascii="Calibri" w:eastAsia="Cambria" w:hAnsi="Calibri" w:cs="Calibri"/>
          <w:lang w:val="en-AU"/>
        </w:rPr>
        <w:t>% of the total projected growth in peak demand on the State and Territory networks to 203</w:t>
      </w:r>
      <w:r w:rsidR="00755AA1">
        <w:rPr>
          <w:rFonts w:ascii="Calibri" w:eastAsia="Cambria" w:hAnsi="Calibri" w:cs="Calibri"/>
          <w:lang w:val="en-AU"/>
        </w:rPr>
        <w:t>6</w:t>
      </w:r>
      <w:r w:rsidRPr="00A37634">
        <w:rPr>
          <w:rFonts w:ascii="Calibri" w:eastAsia="Cambria" w:hAnsi="Calibri" w:cs="Calibri"/>
          <w:lang w:val="en-AU"/>
        </w:rPr>
        <w:t xml:space="preserve">. In other words, if properly factored into network planning, use of the projected DR capability could halve network investment requirements over the next 15 years. </w:t>
      </w:r>
    </w:p>
    <w:p w14:paraId="25E3D274" w14:textId="5B5E1BAF" w:rsidR="00430678" w:rsidRPr="00430678" w:rsidRDefault="00430678" w:rsidP="00430678">
      <w:pPr>
        <w:spacing w:before="240" w:after="240" w:line="276" w:lineRule="auto"/>
        <w:rPr>
          <w:rFonts w:ascii="Calibri" w:eastAsia="Calibri" w:hAnsi="Calibri" w:cs="Calibri"/>
          <w:b/>
          <w:bCs/>
          <w:color w:val="FF0000"/>
          <w:sz w:val="28"/>
          <w:szCs w:val="20"/>
          <w:lang w:val="en-AU"/>
        </w:rPr>
      </w:pPr>
      <w:r w:rsidRPr="00430678">
        <w:rPr>
          <w:rFonts w:ascii="Calibri" w:eastAsia="Calibri" w:hAnsi="Calibri" w:cs="Calibri"/>
          <w:b/>
          <w:bCs/>
          <w:color w:val="FF0000"/>
          <w:sz w:val="28"/>
          <w:szCs w:val="20"/>
          <w:lang w:val="en-AU"/>
        </w:rPr>
        <w:t xml:space="preserve">Option 2 </w:t>
      </w:r>
    </w:p>
    <w:p w14:paraId="481C0B49" w14:textId="5A01DBCD" w:rsidR="00430678" w:rsidRDefault="00430678" w:rsidP="00430678">
      <w:pPr>
        <w:spacing w:before="120" w:after="120" w:line="276" w:lineRule="auto"/>
        <w:rPr>
          <w:rFonts w:ascii="Calibri" w:eastAsia="Calibri" w:hAnsi="Calibri" w:cs="Calibri"/>
          <w:szCs w:val="20"/>
          <w:lang w:val="en-AU"/>
        </w:rPr>
      </w:pPr>
      <w:r>
        <w:rPr>
          <w:rFonts w:ascii="Calibri" w:eastAsia="Calibri" w:hAnsi="Calibri" w:cs="Calibri"/>
          <w:szCs w:val="20"/>
          <w:lang w:val="en-AU"/>
        </w:rPr>
        <w:t xml:space="preserve">In Option 3, </w:t>
      </w:r>
      <w:proofErr w:type="gramStart"/>
      <w:r>
        <w:rPr>
          <w:rFonts w:ascii="Calibri" w:eastAsia="Calibri" w:hAnsi="Calibri" w:cs="Calibri"/>
          <w:szCs w:val="20"/>
          <w:lang w:val="en-AU"/>
        </w:rPr>
        <w:t>all of</w:t>
      </w:r>
      <w:proofErr w:type="gramEnd"/>
      <w:r>
        <w:rPr>
          <w:rFonts w:ascii="Calibri" w:eastAsia="Calibri" w:hAnsi="Calibri" w:cs="Calibri"/>
          <w:szCs w:val="20"/>
          <w:lang w:val="en-AU"/>
        </w:rPr>
        <w:t xml:space="preserve"> the </w:t>
      </w:r>
      <w:r w:rsidR="005F33B6">
        <w:rPr>
          <w:rFonts w:ascii="Calibri" w:eastAsia="Calibri" w:hAnsi="Calibri" w:cs="Calibri"/>
          <w:szCs w:val="20"/>
          <w:lang w:val="en-AU"/>
        </w:rPr>
        <w:t>ACs</w:t>
      </w:r>
      <w:r>
        <w:rPr>
          <w:rFonts w:ascii="Calibri" w:eastAsia="Calibri" w:hAnsi="Calibri" w:cs="Calibri"/>
          <w:szCs w:val="20"/>
          <w:lang w:val="en-AU"/>
        </w:rPr>
        <w:t xml:space="preserve"> (and other products) sold after the implementation date would increase in retail cost, although only the proportion indicated in </w:t>
      </w:r>
      <w:r w:rsidRPr="00304C5F">
        <w:rPr>
          <w:rStyle w:val="FigreferenceChar"/>
        </w:rPr>
        <w:fldChar w:fldCharType="begin"/>
      </w:r>
      <w:r w:rsidRPr="00304C5F">
        <w:rPr>
          <w:rStyle w:val="FigreferenceChar"/>
        </w:rPr>
        <w:instrText xml:space="preserve"> REF _Ref22122653 \h </w:instrText>
      </w:r>
      <w:r>
        <w:rPr>
          <w:rStyle w:val="FigreferenceChar"/>
        </w:rPr>
        <w:instrText xml:space="preserve"> \* MERGEFORMAT </w:instrText>
      </w:r>
      <w:r w:rsidRPr="00304C5F">
        <w:rPr>
          <w:rStyle w:val="FigreferenceChar"/>
        </w:rPr>
      </w:r>
      <w:r w:rsidRPr="00304C5F">
        <w:rPr>
          <w:rStyle w:val="FigreferenceChar"/>
        </w:rPr>
        <w:fldChar w:fldCharType="separate"/>
      </w:r>
      <w:r w:rsidR="006B22A7" w:rsidRPr="006B22A7">
        <w:rPr>
          <w:rStyle w:val="FigreferenceChar"/>
        </w:rPr>
        <w:t>Figure 10</w:t>
      </w:r>
      <w:r w:rsidRPr="00304C5F">
        <w:rPr>
          <w:rStyle w:val="FigreferenceChar"/>
        </w:rPr>
        <w:fldChar w:fldCharType="end"/>
      </w:r>
      <w:r>
        <w:rPr>
          <w:rFonts w:ascii="Calibri" w:eastAsia="Calibri" w:hAnsi="Calibri" w:cs="Calibri"/>
          <w:szCs w:val="20"/>
          <w:lang w:val="en-AU"/>
        </w:rPr>
        <w:t xml:space="preserve"> will be activated. In Option 2, there would be a national scheme, to be developed outside the scope of the GEMS Act, that would offer incentives for the purchase of compliant products. Only those products purchased under the scheme would need to comply and others would not. </w:t>
      </w:r>
    </w:p>
    <w:p w14:paraId="76E9D139" w14:textId="38B30915" w:rsidR="00430678" w:rsidRDefault="00430678" w:rsidP="00430678">
      <w:pPr>
        <w:spacing w:before="120" w:after="120" w:line="276" w:lineRule="auto"/>
        <w:rPr>
          <w:rFonts w:ascii="Calibri" w:eastAsia="Calibri" w:hAnsi="Calibri" w:cs="Calibri"/>
          <w:szCs w:val="20"/>
          <w:lang w:val="en-AU"/>
        </w:rPr>
      </w:pPr>
      <w:r w:rsidRPr="002E1C18">
        <w:rPr>
          <w:rFonts w:ascii="Calibri" w:eastAsia="Calibri" w:hAnsi="Calibri" w:cs="Calibri"/>
          <w:szCs w:val="20"/>
          <w:lang w:val="en-AU"/>
        </w:rPr>
        <w:t>If the same activation numbers were achieved as in the Medium Activation scenario</w:t>
      </w:r>
      <w:r>
        <w:rPr>
          <w:rFonts w:ascii="Calibri" w:eastAsia="Calibri" w:hAnsi="Calibri" w:cs="Calibri"/>
          <w:szCs w:val="20"/>
          <w:lang w:val="en-AU"/>
        </w:rPr>
        <w:t xml:space="preserve"> in Option 3, </w:t>
      </w:r>
      <w:r w:rsidRPr="002E1C18">
        <w:rPr>
          <w:rFonts w:ascii="Calibri" w:eastAsia="Calibri" w:hAnsi="Calibri" w:cs="Calibri"/>
          <w:szCs w:val="20"/>
          <w:lang w:val="en-AU"/>
        </w:rPr>
        <w:t xml:space="preserve">but only the activated-on-install ACs had to be compliant, there </w:t>
      </w:r>
      <w:r>
        <w:rPr>
          <w:rFonts w:ascii="Calibri" w:eastAsia="Calibri" w:hAnsi="Calibri" w:cs="Calibri"/>
          <w:szCs w:val="20"/>
          <w:lang w:val="en-AU"/>
        </w:rPr>
        <w:t>c</w:t>
      </w:r>
      <w:r w:rsidRPr="002E1C18">
        <w:rPr>
          <w:rFonts w:ascii="Calibri" w:eastAsia="Calibri" w:hAnsi="Calibri" w:cs="Calibri"/>
          <w:szCs w:val="20"/>
          <w:lang w:val="en-AU"/>
        </w:rPr>
        <w:t xml:space="preserve">ould be a saving in total </w:t>
      </w:r>
      <w:r>
        <w:rPr>
          <w:rFonts w:ascii="Calibri" w:eastAsia="Calibri" w:hAnsi="Calibri" w:cs="Calibri"/>
          <w:szCs w:val="20"/>
          <w:lang w:val="en-AU"/>
        </w:rPr>
        <w:t xml:space="preserve">purchase costs </w:t>
      </w:r>
      <w:r w:rsidRPr="002E1C18">
        <w:rPr>
          <w:rFonts w:ascii="Calibri" w:eastAsia="Calibri" w:hAnsi="Calibri" w:cs="Calibri"/>
          <w:szCs w:val="20"/>
          <w:lang w:val="en-AU"/>
        </w:rPr>
        <w:t xml:space="preserve">of $41 </w:t>
      </w:r>
      <w:r w:rsidR="00D81ECE">
        <w:rPr>
          <w:rFonts w:ascii="Calibri" w:eastAsia="Calibri" w:hAnsi="Calibri" w:cs="Calibri"/>
          <w:szCs w:val="20"/>
          <w:lang w:val="en-AU"/>
        </w:rPr>
        <w:t xml:space="preserve">million </w:t>
      </w:r>
      <w:r w:rsidRPr="002E1C18">
        <w:rPr>
          <w:rFonts w:ascii="Calibri" w:eastAsia="Calibri" w:hAnsi="Calibri" w:cs="Calibri"/>
          <w:szCs w:val="20"/>
          <w:lang w:val="en-AU"/>
        </w:rPr>
        <w:t xml:space="preserve">over the period to 2036 (with </w:t>
      </w:r>
      <w:r>
        <w:rPr>
          <w:rFonts w:ascii="Calibri" w:eastAsia="Calibri" w:hAnsi="Calibri" w:cs="Calibri"/>
          <w:szCs w:val="20"/>
          <w:lang w:val="en-AU"/>
        </w:rPr>
        <w:t xml:space="preserve">a </w:t>
      </w:r>
      <w:r w:rsidRPr="002E1C18">
        <w:rPr>
          <w:rFonts w:ascii="Calibri" w:eastAsia="Calibri" w:hAnsi="Calibri" w:cs="Calibri"/>
          <w:szCs w:val="20"/>
          <w:lang w:val="en-AU"/>
        </w:rPr>
        <w:t>NPV of $22</w:t>
      </w:r>
      <w:r w:rsidR="006E569B">
        <w:rPr>
          <w:rFonts w:ascii="Calibri" w:eastAsia="Calibri" w:hAnsi="Calibri" w:cs="Calibri"/>
          <w:szCs w:val="20"/>
          <w:lang w:val="en-AU"/>
        </w:rPr>
        <w:t xml:space="preserve"> million</w:t>
      </w:r>
      <w:r w:rsidRPr="002E1C18">
        <w:rPr>
          <w:rFonts w:ascii="Calibri" w:eastAsia="Calibri" w:hAnsi="Calibri" w:cs="Calibri"/>
          <w:szCs w:val="20"/>
          <w:lang w:val="en-AU"/>
        </w:rPr>
        <w:t xml:space="preserve">). </w:t>
      </w:r>
      <w:r>
        <w:rPr>
          <w:rFonts w:ascii="Calibri" w:eastAsia="Calibri" w:hAnsi="Calibri" w:cs="Calibri"/>
          <w:szCs w:val="20"/>
          <w:lang w:val="en-AU"/>
        </w:rPr>
        <w:t xml:space="preserve">The total costs for the </w:t>
      </w:r>
      <w:r w:rsidR="005F33B6">
        <w:rPr>
          <w:rFonts w:ascii="Calibri" w:eastAsia="Calibri" w:hAnsi="Calibri" w:cs="Calibri"/>
          <w:szCs w:val="20"/>
          <w:lang w:val="en-AU"/>
        </w:rPr>
        <w:t xml:space="preserve">AC </w:t>
      </w:r>
      <w:r>
        <w:rPr>
          <w:rFonts w:ascii="Calibri" w:eastAsia="Calibri" w:hAnsi="Calibri" w:cs="Calibri"/>
          <w:szCs w:val="20"/>
          <w:lang w:val="en-AU"/>
        </w:rPr>
        <w:t xml:space="preserve">part of the proposal would fall by 5.4%, from $405 </w:t>
      </w:r>
      <w:r w:rsidR="005F33B6">
        <w:rPr>
          <w:rFonts w:ascii="Calibri" w:eastAsia="Calibri" w:hAnsi="Calibri" w:cs="Calibri"/>
          <w:szCs w:val="20"/>
          <w:lang w:val="en-AU"/>
        </w:rPr>
        <w:t>million</w:t>
      </w:r>
      <w:r>
        <w:rPr>
          <w:rFonts w:ascii="Calibri" w:eastAsia="Calibri" w:hAnsi="Calibri" w:cs="Calibri"/>
          <w:szCs w:val="20"/>
          <w:lang w:val="en-AU"/>
        </w:rPr>
        <w:t xml:space="preserve"> NPV (see </w:t>
      </w:r>
      <w:r w:rsidRPr="007020D6">
        <w:rPr>
          <w:rStyle w:val="FigreferenceChar"/>
        </w:rPr>
        <w:fldChar w:fldCharType="begin"/>
      </w:r>
      <w:r w:rsidRPr="007020D6">
        <w:rPr>
          <w:rStyle w:val="FigreferenceChar"/>
        </w:rPr>
        <w:instrText xml:space="preserve"> REF _Ref22209701 \h </w:instrText>
      </w:r>
      <w:r>
        <w:rPr>
          <w:rStyle w:val="FigreferenceChar"/>
        </w:rPr>
        <w:instrText xml:space="preserve"> \* MERGEFORMAT </w:instrText>
      </w:r>
      <w:r w:rsidRPr="007020D6">
        <w:rPr>
          <w:rStyle w:val="FigreferenceChar"/>
        </w:rPr>
      </w:r>
      <w:r w:rsidRPr="007020D6">
        <w:rPr>
          <w:rStyle w:val="FigreferenceChar"/>
        </w:rPr>
        <w:fldChar w:fldCharType="separate"/>
      </w:r>
      <w:r w:rsidR="006B22A7" w:rsidRPr="006B22A7">
        <w:rPr>
          <w:rStyle w:val="FigreferenceChar"/>
        </w:rPr>
        <w:t>Table 16</w:t>
      </w:r>
      <w:r w:rsidRPr="007020D6">
        <w:rPr>
          <w:rStyle w:val="FigreferenceChar"/>
        </w:rPr>
        <w:fldChar w:fldCharType="end"/>
      </w:r>
      <w:r>
        <w:rPr>
          <w:rFonts w:ascii="Calibri" w:eastAsia="Calibri" w:hAnsi="Calibri" w:cs="Calibri"/>
          <w:szCs w:val="20"/>
          <w:lang w:val="en-AU"/>
        </w:rPr>
        <w:t>) to $383</w:t>
      </w:r>
      <w:r w:rsidR="005F33B6">
        <w:rPr>
          <w:rFonts w:ascii="Calibri" w:eastAsia="Calibri" w:hAnsi="Calibri" w:cs="Calibri"/>
          <w:szCs w:val="20"/>
          <w:lang w:val="en-AU"/>
        </w:rPr>
        <w:t xml:space="preserve"> million</w:t>
      </w:r>
      <w:r>
        <w:rPr>
          <w:rFonts w:ascii="Calibri" w:eastAsia="Calibri" w:hAnsi="Calibri" w:cs="Calibri"/>
          <w:szCs w:val="20"/>
          <w:lang w:val="en-AU"/>
        </w:rPr>
        <w:t>. As the number of activations would be the same, the greater part of the costs – activation and annual participant costs – would remain the same, as would the benefits. Therefore</w:t>
      </w:r>
      <w:r w:rsidR="005F33B6">
        <w:rPr>
          <w:rFonts w:ascii="Calibri" w:eastAsia="Calibri" w:hAnsi="Calibri" w:cs="Calibri"/>
          <w:szCs w:val="20"/>
          <w:lang w:val="en-AU"/>
        </w:rPr>
        <w:t>,</w:t>
      </w:r>
      <w:r>
        <w:rPr>
          <w:rFonts w:ascii="Calibri" w:eastAsia="Calibri" w:hAnsi="Calibri" w:cs="Calibri"/>
          <w:szCs w:val="20"/>
          <w:lang w:val="en-AU"/>
        </w:rPr>
        <w:t xml:space="preserve"> the benefit/cost ratio would increase fractionally, from (1,420/405) = 3.5 to (1,420/383) = 3.7.  </w:t>
      </w:r>
    </w:p>
    <w:p w14:paraId="030C7285" w14:textId="72A493E7" w:rsidR="00430678" w:rsidRPr="002E1C18" w:rsidRDefault="00430678" w:rsidP="00430678">
      <w:pPr>
        <w:spacing w:before="120" w:after="120" w:line="276" w:lineRule="auto"/>
        <w:rPr>
          <w:rFonts w:ascii="Calibri" w:eastAsia="Calibri" w:hAnsi="Calibri" w:cs="Calibri"/>
          <w:szCs w:val="20"/>
          <w:lang w:val="en-AU"/>
        </w:rPr>
      </w:pPr>
      <w:r w:rsidRPr="002E1C18">
        <w:rPr>
          <w:rFonts w:ascii="Calibri" w:eastAsia="Calibri" w:hAnsi="Calibri" w:cs="Calibri"/>
          <w:szCs w:val="20"/>
          <w:lang w:val="en-AU"/>
        </w:rPr>
        <w:lastRenderedPageBreak/>
        <w:t>To achieve that, if a similar level of incentive was offered as for PeakSmart ($300 per purchase/activation) the total offered over the period would need to $920</w:t>
      </w:r>
      <w:r w:rsidR="005F33B6">
        <w:rPr>
          <w:rFonts w:ascii="Calibri" w:eastAsia="Calibri" w:hAnsi="Calibri" w:cs="Calibri"/>
          <w:szCs w:val="20"/>
          <w:lang w:val="en-AU"/>
        </w:rPr>
        <w:t xml:space="preserve"> million</w:t>
      </w:r>
      <w:r w:rsidRPr="002E1C18">
        <w:rPr>
          <w:rFonts w:ascii="Calibri" w:eastAsia="Calibri" w:hAnsi="Calibri" w:cs="Calibri"/>
          <w:szCs w:val="20"/>
          <w:lang w:val="en-AU"/>
        </w:rPr>
        <w:t>, or $66</w:t>
      </w:r>
      <w:r w:rsidR="005F33B6">
        <w:rPr>
          <w:rFonts w:ascii="Calibri" w:eastAsia="Calibri" w:hAnsi="Calibri" w:cs="Calibri"/>
          <w:szCs w:val="20"/>
          <w:lang w:val="en-AU"/>
        </w:rPr>
        <w:t xml:space="preserve"> million</w:t>
      </w:r>
      <w:r w:rsidRPr="002E1C18">
        <w:rPr>
          <w:rFonts w:ascii="Calibri" w:eastAsia="Calibri" w:hAnsi="Calibri" w:cs="Calibri"/>
          <w:szCs w:val="20"/>
          <w:lang w:val="en-AU"/>
        </w:rPr>
        <w:t xml:space="preserve"> per year (NPV $478</w:t>
      </w:r>
      <w:r w:rsidR="005F33B6">
        <w:rPr>
          <w:rFonts w:ascii="Calibri" w:eastAsia="Calibri" w:hAnsi="Calibri" w:cs="Calibri"/>
          <w:szCs w:val="20"/>
          <w:lang w:val="en-AU"/>
        </w:rPr>
        <w:t xml:space="preserve"> million</w:t>
      </w:r>
      <w:r w:rsidRPr="002E1C18">
        <w:rPr>
          <w:rFonts w:ascii="Calibri" w:eastAsia="Calibri" w:hAnsi="Calibri" w:cs="Calibri"/>
          <w:szCs w:val="20"/>
          <w:lang w:val="en-AU"/>
        </w:rPr>
        <w:t xml:space="preserve">). The net benefits </w:t>
      </w:r>
      <w:r>
        <w:rPr>
          <w:rFonts w:ascii="Calibri" w:eastAsia="Calibri" w:hAnsi="Calibri" w:cs="Calibri"/>
          <w:szCs w:val="20"/>
          <w:lang w:val="en-AU"/>
        </w:rPr>
        <w:t xml:space="preserve">for </w:t>
      </w:r>
      <w:r w:rsidR="005F33B6">
        <w:rPr>
          <w:rFonts w:ascii="Calibri" w:eastAsia="Calibri" w:hAnsi="Calibri" w:cs="Calibri"/>
          <w:szCs w:val="20"/>
          <w:lang w:val="en-AU"/>
        </w:rPr>
        <w:t xml:space="preserve">ACs </w:t>
      </w:r>
      <w:r w:rsidRPr="002E1C18">
        <w:rPr>
          <w:rFonts w:ascii="Calibri" w:eastAsia="Calibri" w:hAnsi="Calibri" w:cs="Calibri"/>
          <w:szCs w:val="20"/>
          <w:lang w:val="en-AU"/>
        </w:rPr>
        <w:t>(which increases by the $22</w:t>
      </w:r>
      <w:r w:rsidR="005F33B6">
        <w:rPr>
          <w:rFonts w:ascii="Calibri" w:eastAsia="Calibri" w:hAnsi="Calibri" w:cs="Calibri"/>
          <w:szCs w:val="20"/>
          <w:lang w:val="en-AU"/>
        </w:rPr>
        <w:t xml:space="preserve"> million</w:t>
      </w:r>
      <w:r w:rsidRPr="002E1C18">
        <w:rPr>
          <w:rFonts w:ascii="Calibri" w:eastAsia="Calibri" w:hAnsi="Calibri" w:cs="Calibri"/>
          <w:szCs w:val="20"/>
          <w:lang w:val="en-AU"/>
        </w:rPr>
        <w:t xml:space="preserve"> saved</w:t>
      </w:r>
      <w:r>
        <w:rPr>
          <w:rFonts w:ascii="Calibri" w:eastAsia="Calibri" w:hAnsi="Calibri" w:cs="Calibri"/>
          <w:szCs w:val="20"/>
          <w:lang w:val="en-AU"/>
        </w:rPr>
        <w:t xml:space="preserve">, from the $1,014 </w:t>
      </w:r>
      <w:r w:rsidR="005F33B6">
        <w:rPr>
          <w:rFonts w:ascii="Calibri" w:eastAsia="Calibri" w:hAnsi="Calibri" w:cs="Calibri"/>
          <w:szCs w:val="20"/>
          <w:lang w:val="en-AU"/>
        </w:rPr>
        <w:t xml:space="preserve">million </w:t>
      </w:r>
      <w:r>
        <w:rPr>
          <w:rFonts w:ascii="Calibri" w:eastAsia="Calibri" w:hAnsi="Calibri" w:cs="Calibri"/>
          <w:szCs w:val="20"/>
          <w:lang w:val="en-AU"/>
        </w:rPr>
        <w:t xml:space="preserve">in </w:t>
      </w:r>
      <w:r w:rsidRPr="007020D6">
        <w:rPr>
          <w:rStyle w:val="FigreferenceChar"/>
        </w:rPr>
        <w:fldChar w:fldCharType="begin"/>
      </w:r>
      <w:r w:rsidRPr="007020D6">
        <w:rPr>
          <w:rStyle w:val="FigreferenceChar"/>
        </w:rPr>
        <w:instrText xml:space="preserve"> REF _Ref22209701 \h </w:instrText>
      </w:r>
      <w:r>
        <w:rPr>
          <w:rStyle w:val="FigreferenceChar"/>
        </w:rPr>
        <w:instrText xml:space="preserve"> \* MERGEFORMAT </w:instrText>
      </w:r>
      <w:r w:rsidRPr="007020D6">
        <w:rPr>
          <w:rStyle w:val="FigreferenceChar"/>
        </w:rPr>
      </w:r>
      <w:r w:rsidRPr="007020D6">
        <w:rPr>
          <w:rStyle w:val="FigreferenceChar"/>
        </w:rPr>
        <w:fldChar w:fldCharType="separate"/>
      </w:r>
      <w:r w:rsidR="006B22A7" w:rsidRPr="006B22A7">
        <w:rPr>
          <w:rStyle w:val="FigreferenceChar"/>
        </w:rPr>
        <w:t>Table 16</w:t>
      </w:r>
      <w:r w:rsidRPr="007020D6">
        <w:rPr>
          <w:rStyle w:val="FigreferenceChar"/>
        </w:rPr>
        <w:fldChar w:fldCharType="end"/>
      </w:r>
      <w:r w:rsidRPr="007020D6">
        <w:rPr>
          <w:rStyle w:val="FigreferenceChar"/>
          <w:lang w:val="en-AU"/>
        </w:rPr>
        <w:t xml:space="preserve"> </w:t>
      </w:r>
      <w:r w:rsidRPr="002E1C18">
        <w:rPr>
          <w:rFonts w:ascii="Calibri" w:eastAsia="Calibri" w:hAnsi="Calibri" w:cs="Calibri"/>
          <w:szCs w:val="20"/>
          <w:lang w:val="en-AU"/>
        </w:rPr>
        <w:t>to NPV $</w:t>
      </w:r>
      <w:r>
        <w:rPr>
          <w:rFonts w:ascii="Calibri" w:eastAsia="Calibri" w:hAnsi="Calibri" w:cs="Calibri"/>
          <w:szCs w:val="20"/>
          <w:lang w:val="en-AU"/>
        </w:rPr>
        <w:t>1,036</w:t>
      </w:r>
      <w:r w:rsidR="005F33B6">
        <w:rPr>
          <w:rFonts w:ascii="Calibri" w:eastAsia="Calibri" w:hAnsi="Calibri" w:cs="Calibri"/>
          <w:szCs w:val="20"/>
          <w:lang w:val="en-AU"/>
        </w:rPr>
        <w:t xml:space="preserve"> million</w:t>
      </w:r>
      <w:r>
        <w:rPr>
          <w:rFonts w:ascii="Calibri" w:eastAsia="Calibri" w:hAnsi="Calibri" w:cs="Calibri"/>
          <w:szCs w:val="20"/>
          <w:lang w:val="en-AU"/>
        </w:rPr>
        <w:t>)</w:t>
      </w:r>
      <w:r w:rsidRPr="002E1C18">
        <w:rPr>
          <w:rFonts w:ascii="Calibri" w:eastAsia="Calibri" w:hAnsi="Calibri" w:cs="Calibri"/>
          <w:szCs w:val="20"/>
          <w:lang w:val="en-AU"/>
        </w:rPr>
        <w:t xml:space="preserve"> could certainly bear this, but it locks DRSPs into returning about 478/</w:t>
      </w:r>
      <w:r>
        <w:rPr>
          <w:rFonts w:ascii="Calibri" w:eastAsia="Calibri" w:hAnsi="Calibri" w:cs="Calibri"/>
          <w:szCs w:val="20"/>
          <w:lang w:val="en-AU"/>
        </w:rPr>
        <w:t>1036</w:t>
      </w:r>
      <w:r w:rsidRPr="002E1C18">
        <w:rPr>
          <w:rFonts w:ascii="Calibri" w:eastAsia="Calibri" w:hAnsi="Calibri" w:cs="Calibri"/>
          <w:szCs w:val="20"/>
          <w:lang w:val="en-AU"/>
        </w:rPr>
        <w:t xml:space="preserve"> = </w:t>
      </w:r>
      <w:r>
        <w:rPr>
          <w:rFonts w:ascii="Calibri" w:eastAsia="Calibri" w:hAnsi="Calibri" w:cs="Calibri"/>
          <w:szCs w:val="20"/>
          <w:lang w:val="en-AU"/>
        </w:rPr>
        <w:t>46</w:t>
      </w:r>
      <w:r w:rsidRPr="002E1C18">
        <w:rPr>
          <w:rFonts w:ascii="Calibri" w:eastAsia="Calibri" w:hAnsi="Calibri" w:cs="Calibri"/>
          <w:szCs w:val="20"/>
          <w:lang w:val="en-AU"/>
        </w:rPr>
        <w:t xml:space="preserve">% of the expected benefits as upfront payments.  </w:t>
      </w:r>
      <w:r>
        <w:rPr>
          <w:rFonts w:ascii="Calibri" w:eastAsia="Calibri" w:hAnsi="Calibri" w:cs="Calibri"/>
          <w:szCs w:val="20"/>
          <w:lang w:val="en-AU"/>
        </w:rPr>
        <w:t xml:space="preserve">This reduces the flexibility to reward participants in other ways, and limits the share of benefit available to non-participants. </w:t>
      </w:r>
    </w:p>
    <w:p w14:paraId="0F9200B5" w14:textId="2ECAF875" w:rsidR="00430678" w:rsidRDefault="00430678" w:rsidP="00430678">
      <w:pPr>
        <w:spacing w:before="120" w:after="120" w:line="276" w:lineRule="auto"/>
        <w:rPr>
          <w:rFonts w:ascii="Calibri" w:eastAsia="Calibri" w:hAnsi="Calibri" w:cs="Calibri"/>
          <w:szCs w:val="20"/>
          <w:lang w:val="en-AU"/>
        </w:rPr>
      </w:pPr>
      <w:r w:rsidRPr="002E1C18">
        <w:rPr>
          <w:rFonts w:ascii="Calibri" w:eastAsia="Calibri" w:hAnsi="Calibri" w:cs="Calibri"/>
          <w:szCs w:val="20"/>
          <w:lang w:val="en-AU"/>
        </w:rPr>
        <w:t>Some incentives will also be required to induce consumers to have ACs activated under the mandatory proposal, of course, but these could be in the form of lower tariffs, annual payments etc rather than upfront incentives. This would allow more flexibility to the DRSP market, and no need for a funding mechanism capable of delivering $66</w:t>
      </w:r>
      <w:r w:rsidR="005F33B6">
        <w:rPr>
          <w:rFonts w:ascii="Calibri" w:eastAsia="Calibri" w:hAnsi="Calibri" w:cs="Calibri"/>
          <w:szCs w:val="20"/>
          <w:lang w:val="en-AU"/>
        </w:rPr>
        <w:t xml:space="preserve"> million</w:t>
      </w:r>
      <w:r w:rsidRPr="002E1C18">
        <w:rPr>
          <w:rFonts w:ascii="Calibri" w:eastAsia="Calibri" w:hAnsi="Calibri" w:cs="Calibri"/>
          <w:szCs w:val="20"/>
          <w:lang w:val="en-AU"/>
        </w:rPr>
        <w:t xml:space="preserve"> per year.</w:t>
      </w:r>
    </w:p>
    <w:p w14:paraId="6F31CF8F" w14:textId="3BAA7DF1" w:rsidR="00430678" w:rsidRDefault="00430678" w:rsidP="00430678">
      <w:pPr>
        <w:spacing w:before="120" w:after="120" w:line="276" w:lineRule="auto"/>
        <w:rPr>
          <w:rFonts w:ascii="Calibri" w:eastAsia="Calibri" w:hAnsi="Calibri" w:cs="Calibri"/>
          <w:szCs w:val="20"/>
          <w:lang w:val="en-AU"/>
        </w:rPr>
      </w:pPr>
      <w:r>
        <w:rPr>
          <w:rFonts w:ascii="Calibri" w:eastAsia="Calibri" w:hAnsi="Calibri" w:cs="Calibri"/>
          <w:szCs w:val="20"/>
          <w:lang w:val="en-AU"/>
        </w:rPr>
        <w:t>Furthermore, the net savings estimate of $22</w:t>
      </w:r>
      <w:r w:rsidR="005F33B6">
        <w:rPr>
          <w:rFonts w:ascii="Calibri" w:eastAsia="Calibri" w:hAnsi="Calibri" w:cs="Calibri"/>
          <w:szCs w:val="20"/>
          <w:lang w:val="en-AU"/>
        </w:rPr>
        <w:t xml:space="preserve"> million</w:t>
      </w:r>
      <w:r>
        <w:rPr>
          <w:rFonts w:ascii="Calibri" w:eastAsia="Calibri" w:hAnsi="Calibri" w:cs="Calibri"/>
          <w:szCs w:val="20"/>
          <w:lang w:val="en-AU"/>
        </w:rPr>
        <w:t xml:space="preserve"> does not </w:t>
      </w:r>
      <w:proofErr w:type="gramStart"/>
      <w:r>
        <w:rPr>
          <w:rFonts w:ascii="Calibri" w:eastAsia="Calibri" w:hAnsi="Calibri" w:cs="Calibri"/>
          <w:szCs w:val="20"/>
          <w:lang w:val="en-AU"/>
        </w:rPr>
        <w:t>take into account</w:t>
      </w:r>
      <w:proofErr w:type="gramEnd"/>
      <w:r>
        <w:rPr>
          <w:rFonts w:ascii="Calibri" w:eastAsia="Calibri" w:hAnsi="Calibri" w:cs="Calibri"/>
          <w:szCs w:val="20"/>
          <w:lang w:val="en-AU"/>
        </w:rPr>
        <w:t xml:space="preserve"> the costs to suppliers of inventory management, given that they will need to </w:t>
      </w:r>
      <w:r w:rsidR="00C85846">
        <w:rPr>
          <w:rFonts w:ascii="Calibri" w:eastAsia="Calibri" w:hAnsi="Calibri" w:cs="Calibri"/>
          <w:szCs w:val="20"/>
          <w:lang w:val="en-AU"/>
        </w:rPr>
        <w:t xml:space="preserve">hold </w:t>
      </w:r>
      <w:r>
        <w:rPr>
          <w:rFonts w:ascii="Calibri" w:eastAsia="Calibri" w:hAnsi="Calibri" w:cs="Calibri"/>
          <w:szCs w:val="20"/>
          <w:lang w:val="en-AU"/>
        </w:rPr>
        <w:t xml:space="preserve">separate stocks of compliant and non-compliant products.  It could also lead to higher prices for compliant products, </w:t>
      </w:r>
      <w:r w:rsidR="00C85846">
        <w:rPr>
          <w:rFonts w:ascii="Calibri" w:eastAsia="Calibri" w:hAnsi="Calibri" w:cs="Calibri"/>
          <w:szCs w:val="20"/>
          <w:lang w:val="en-AU"/>
        </w:rPr>
        <w:t xml:space="preserve">which </w:t>
      </w:r>
      <w:r>
        <w:rPr>
          <w:rFonts w:ascii="Calibri" w:eastAsia="Calibri" w:hAnsi="Calibri" w:cs="Calibri"/>
          <w:szCs w:val="20"/>
          <w:lang w:val="en-AU"/>
        </w:rPr>
        <w:t>will be manufactured in lower numbers. These factors may well erode the minor cost savings.</w:t>
      </w:r>
    </w:p>
    <w:p w14:paraId="2B129DB1" w14:textId="77777777" w:rsidR="00430678" w:rsidRDefault="00430678" w:rsidP="00430678">
      <w:pPr>
        <w:spacing w:before="240" w:after="240" w:line="276" w:lineRule="auto"/>
        <w:rPr>
          <w:rFonts w:ascii="Calibri" w:eastAsia="Calibri" w:hAnsi="Calibri" w:cs="Calibri"/>
          <w:b/>
          <w:bCs/>
          <w:color w:val="FF0000"/>
          <w:sz w:val="28"/>
          <w:szCs w:val="20"/>
          <w:lang w:val="en-AU"/>
        </w:rPr>
      </w:pPr>
      <w:r w:rsidRPr="00166426">
        <w:rPr>
          <w:rFonts w:ascii="Calibri" w:eastAsia="Calibri" w:hAnsi="Calibri" w:cs="Calibri"/>
          <w:b/>
          <w:bCs/>
          <w:color w:val="FF0000"/>
          <w:sz w:val="28"/>
          <w:szCs w:val="20"/>
          <w:lang w:val="en-AU"/>
        </w:rPr>
        <w:t>Summary of Input and Outputs</w:t>
      </w:r>
    </w:p>
    <w:p w14:paraId="043856DC" w14:textId="6D92D8EF" w:rsidR="00430678" w:rsidRDefault="00430678" w:rsidP="00430678">
      <w:pPr>
        <w:rPr>
          <w:lang w:val="en-AU"/>
        </w:rPr>
      </w:pPr>
      <w:r w:rsidRPr="00E56C1E">
        <w:rPr>
          <w:rStyle w:val="FigreferenceChar"/>
        </w:rPr>
        <w:fldChar w:fldCharType="begin"/>
      </w:r>
      <w:r w:rsidRPr="00E56C1E">
        <w:rPr>
          <w:rStyle w:val="FigreferenceChar"/>
        </w:rPr>
        <w:instrText xml:space="preserve"> REF _Ref12975873 \h </w:instrText>
      </w:r>
      <w:r>
        <w:rPr>
          <w:rStyle w:val="FigreferenceChar"/>
        </w:rPr>
        <w:instrText xml:space="preserve"> \* MERGEFORMAT </w:instrText>
      </w:r>
      <w:r w:rsidRPr="00E56C1E">
        <w:rPr>
          <w:rStyle w:val="FigreferenceChar"/>
        </w:rPr>
      </w:r>
      <w:r w:rsidRPr="00E56C1E">
        <w:rPr>
          <w:rStyle w:val="FigreferenceChar"/>
        </w:rPr>
        <w:fldChar w:fldCharType="separate"/>
      </w:r>
      <w:r w:rsidR="006B22A7" w:rsidRPr="006B22A7">
        <w:rPr>
          <w:rStyle w:val="FigreferenceChar"/>
        </w:rPr>
        <w:t>Table 32</w:t>
      </w:r>
      <w:r w:rsidRPr="00E56C1E">
        <w:rPr>
          <w:rStyle w:val="FigreferenceChar"/>
        </w:rPr>
        <w:fldChar w:fldCharType="end"/>
      </w:r>
      <w:r w:rsidRPr="00E56C1E">
        <w:rPr>
          <w:rStyle w:val="FigreferenceChar"/>
        </w:rPr>
        <w:t xml:space="preserve"> </w:t>
      </w:r>
      <w:r>
        <w:rPr>
          <w:lang w:val="en-AU"/>
        </w:rPr>
        <w:t xml:space="preserve">summarises the main input assumptions used to calculate the benefits of each category of DR for each appliance type. </w:t>
      </w:r>
      <w:r w:rsidRPr="00E56C1E">
        <w:rPr>
          <w:rStyle w:val="FigreferenceChar"/>
        </w:rPr>
        <w:fldChar w:fldCharType="begin"/>
      </w:r>
      <w:r w:rsidRPr="00E56C1E">
        <w:rPr>
          <w:rStyle w:val="FigreferenceChar"/>
        </w:rPr>
        <w:instrText xml:space="preserve"> REF _Ref13217382 \h  \* MERGEFORMAT </w:instrText>
      </w:r>
      <w:r w:rsidRPr="00E56C1E">
        <w:rPr>
          <w:rStyle w:val="FigreferenceChar"/>
        </w:rPr>
      </w:r>
      <w:r w:rsidRPr="00E56C1E">
        <w:rPr>
          <w:rStyle w:val="FigreferenceChar"/>
        </w:rPr>
        <w:fldChar w:fldCharType="separate"/>
      </w:r>
      <w:r w:rsidR="006B22A7" w:rsidRPr="006B22A7">
        <w:rPr>
          <w:rStyle w:val="FigreferenceChar"/>
        </w:rPr>
        <w:t>Figure 23</w:t>
      </w:r>
      <w:r w:rsidRPr="00E56C1E">
        <w:rPr>
          <w:rStyle w:val="FigreferenceChar"/>
        </w:rPr>
        <w:fldChar w:fldCharType="end"/>
      </w:r>
      <w:r>
        <w:rPr>
          <w:lang w:val="en-AU"/>
        </w:rPr>
        <w:t xml:space="preserve"> illustrates the magnitude of costs and benefits for each State, Territory and New Zealand, based on the detailed summaries in </w:t>
      </w:r>
      <w:r w:rsidRPr="00E56C1E">
        <w:rPr>
          <w:rStyle w:val="FigreferenceChar"/>
        </w:rPr>
        <w:fldChar w:fldCharType="begin"/>
      </w:r>
      <w:r w:rsidRPr="00E56C1E">
        <w:rPr>
          <w:rStyle w:val="FigreferenceChar"/>
        </w:rPr>
        <w:instrText xml:space="preserve"> REF _Ref22219331 \h </w:instrText>
      </w:r>
      <w:r>
        <w:rPr>
          <w:rStyle w:val="FigreferenceChar"/>
        </w:rPr>
        <w:instrText xml:space="preserve"> \* MERGEFORMAT </w:instrText>
      </w:r>
      <w:r w:rsidRPr="00E56C1E">
        <w:rPr>
          <w:rStyle w:val="FigreferenceChar"/>
        </w:rPr>
      </w:r>
      <w:r w:rsidRPr="00E56C1E">
        <w:rPr>
          <w:rStyle w:val="FigreferenceChar"/>
        </w:rPr>
        <w:fldChar w:fldCharType="separate"/>
      </w:r>
      <w:r w:rsidR="006B22A7" w:rsidRPr="006B22A7">
        <w:rPr>
          <w:rStyle w:val="FigreferenceChar"/>
        </w:rPr>
        <w:t>Table 39</w:t>
      </w:r>
      <w:r w:rsidRPr="00E56C1E">
        <w:rPr>
          <w:rStyle w:val="FigreferenceChar"/>
        </w:rPr>
        <w:fldChar w:fldCharType="end"/>
      </w:r>
      <w:r>
        <w:rPr>
          <w:lang w:val="en-AU"/>
        </w:rPr>
        <w:t xml:space="preserve"> to </w:t>
      </w:r>
      <w:r w:rsidRPr="009C7758">
        <w:rPr>
          <w:rStyle w:val="FigreferenceChar"/>
        </w:rPr>
        <w:fldChar w:fldCharType="begin"/>
      </w:r>
      <w:r w:rsidRPr="009C7758">
        <w:rPr>
          <w:rStyle w:val="FigreferenceChar"/>
        </w:rPr>
        <w:instrText xml:space="preserve"> REF _Ref22219339 \h </w:instrText>
      </w:r>
      <w:r>
        <w:rPr>
          <w:rStyle w:val="FigreferenceChar"/>
        </w:rPr>
        <w:instrText xml:space="preserve"> \* MERGEFORMAT </w:instrText>
      </w:r>
      <w:r w:rsidRPr="009C7758">
        <w:rPr>
          <w:rStyle w:val="FigreferenceChar"/>
        </w:rPr>
      </w:r>
      <w:r w:rsidRPr="009C7758">
        <w:rPr>
          <w:rStyle w:val="FigreferenceChar"/>
        </w:rPr>
        <w:fldChar w:fldCharType="separate"/>
      </w:r>
      <w:r w:rsidR="006B22A7" w:rsidRPr="006B22A7">
        <w:rPr>
          <w:rStyle w:val="FigreferenceChar"/>
        </w:rPr>
        <w:t>Table 48</w:t>
      </w:r>
      <w:r w:rsidRPr="009C7758">
        <w:rPr>
          <w:rStyle w:val="FigreferenceChar"/>
        </w:rPr>
        <w:fldChar w:fldCharType="end"/>
      </w:r>
      <w:r>
        <w:rPr>
          <w:lang w:val="en-AU"/>
        </w:rPr>
        <w:t xml:space="preserve">. Finally, </w:t>
      </w:r>
      <w:r w:rsidRPr="009C7758">
        <w:rPr>
          <w:rStyle w:val="FigreferenceChar"/>
        </w:rPr>
        <w:fldChar w:fldCharType="begin"/>
      </w:r>
      <w:r w:rsidRPr="009C7758">
        <w:rPr>
          <w:rStyle w:val="FigreferenceChar"/>
        </w:rPr>
        <w:instrText xml:space="preserve"> REF _Ref22284996 \h </w:instrText>
      </w:r>
      <w:r>
        <w:rPr>
          <w:rStyle w:val="FigreferenceChar"/>
        </w:rPr>
        <w:instrText xml:space="preserve"> \* MERGEFORMAT </w:instrText>
      </w:r>
      <w:r w:rsidRPr="009C7758">
        <w:rPr>
          <w:rStyle w:val="FigreferenceChar"/>
        </w:rPr>
      </w:r>
      <w:r w:rsidRPr="009C7758">
        <w:rPr>
          <w:rStyle w:val="FigreferenceChar"/>
        </w:rPr>
        <w:fldChar w:fldCharType="separate"/>
      </w:r>
      <w:r w:rsidR="006B22A7" w:rsidRPr="006B22A7">
        <w:rPr>
          <w:rStyle w:val="FigreferenceChar"/>
        </w:rPr>
        <w:t>Table 49</w:t>
      </w:r>
      <w:r w:rsidRPr="009C7758">
        <w:rPr>
          <w:rStyle w:val="FigreferenceChar"/>
        </w:rPr>
        <w:fldChar w:fldCharType="end"/>
      </w:r>
      <w:r>
        <w:rPr>
          <w:lang w:val="en-AU"/>
        </w:rPr>
        <w:t xml:space="preserve"> presents changes in Benefit/Cost ratios between the Consultation Paper and this analysis, which has been revised </w:t>
      </w:r>
      <w:proofErr w:type="gramStart"/>
      <w:r>
        <w:rPr>
          <w:lang w:val="en-AU"/>
        </w:rPr>
        <w:t>on the basis of</w:t>
      </w:r>
      <w:proofErr w:type="gramEnd"/>
      <w:r>
        <w:rPr>
          <w:lang w:val="en-AU"/>
        </w:rPr>
        <w:t xml:space="preserve"> submissions received during the consultation process. </w:t>
      </w:r>
    </w:p>
    <w:p w14:paraId="5438EE42" w14:textId="77777777" w:rsidR="00430678" w:rsidRDefault="00430678" w:rsidP="00AB0694">
      <w:pPr>
        <w:rPr>
          <w:lang w:val="en-AU"/>
        </w:rPr>
      </w:pPr>
    </w:p>
    <w:p w14:paraId="50CDF041" w14:textId="13E94B36" w:rsidR="00A37634" w:rsidRPr="00A37634" w:rsidRDefault="00A37634" w:rsidP="00061B8F">
      <w:pPr>
        <w:pageBreakBefore/>
        <w:spacing w:before="240" w:after="120" w:line="240" w:lineRule="auto"/>
        <w:jc w:val="center"/>
        <w:rPr>
          <w:rFonts w:ascii="Calibri" w:eastAsia="Cambria" w:hAnsi="Calibri" w:cs="Calibri"/>
          <w:b/>
          <w:bCs/>
          <w:sz w:val="20"/>
          <w:szCs w:val="16"/>
          <w:lang w:val="en-AU"/>
        </w:rPr>
      </w:pPr>
      <w:bookmarkStart w:id="191" w:name="_Ref13217382"/>
      <w:bookmarkStart w:id="192" w:name="_Toc22488536"/>
      <w:r w:rsidRPr="00A37634">
        <w:rPr>
          <w:rFonts w:ascii="Calibri" w:eastAsia="Cambria" w:hAnsi="Calibri" w:cs="Calibri"/>
          <w:b/>
          <w:bCs/>
          <w:sz w:val="20"/>
          <w:szCs w:val="16"/>
          <w:lang w:val="en-AU"/>
        </w:rPr>
        <w:lastRenderedPageBreak/>
        <w:t xml:space="preserve">Figure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Figure \* ARABIC </w:instrText>
      </w:r>
      <w:r w:rsidRPr="00A37634">
        <w:rPr>
          <w:rFonts w:ascii="Calibri" w:eastAsia="Cambria" w:hAnsi="Calibri" w:cs="Calibri"/>
          <w:b/>
          <w:bCs/>
          <w:noProof/>
          <w:sz w:val="20"/>
          <w:szCs w:val="16"/>
          <w:lang w:val="en-AU"/>
        </w:rPr>
        <w:fldChar w:fldCharType="separate"/>
      </w:r>
      <w:r w:rsidR="00D64DF4">
        <w:rPr>
          <w:rFonts w:ascii="Calibri" w:eastAsia="Cambria" w:hAnsi="Calibri" w:cs="Calibri"/>
          <w:b/>
          <w:bCs/>
          <w:noProof/>
          <w:sz w:val="20"/>
          <w:szCs w:val="16"/>
          <w:lang w:val="en-AU"/>
        </w:rPr>
        <w:t>23</w:t>
      </w:r>
      <w:r w:rsidRPr="00A37634">
        <w:rPr>
          <w:rFonts w:ascii="Calibri" w:eastAsia="Cambria" w:hAnsi="Calibri" w:cs="Calibri"/>
          <w:b/>
          <w:bCs/>
          <w:noProof/>
          <w:sz w:val="20"/>
          <w:szCs w:val="16"/>
          <w:lang w:val="en-AU"/>
        </w:rPr>
        <w:fldChar w:fldCharType="end"/>
      </w:r>
      <w:bookmarkEnd w:id="191"/>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Projected emergency DR air conditioner load available as % of maximum demand, Medium activation rates</w:t>
      </w:r>
      <w:bookmarkEnd w:id="192"/>
      <w:r w:rsidRPr="00A37634">
        <w:rPr>
          <w:rFonts w:ascii="Calibri" w:eastAsia="Cambria" w:hAnsi="Calibri" w:cs="Calibri"/>
          <w:b/>
          <w:bCs/>
          <w:sz w:val="20"/>
          <w:szCs w:val="16"/>
          <w:lang w:val="en-AU"/>
        </w:rPr>
        <w:t xml:space="preserve"> </w:t>
      </w:r>
    </w:p>
    <w:p w14:paraId="0786E0DB" w14:textId="652CC6C5" w:rsidR="00A37634" w:rsidRPr="00A37634" w:rsidRDefault="00755AA1" w:rsidP="00A37634">
      <w:pPr>
        <w:spacing w:after="120" w:line="276" w:lineRule="auto"/>
        <w:jc w:val="center"/>
        <w:rPr>
          <w:rFonts w:ascii="Calibri" w:eastAsia="Calibri" w:hAnsi="Calibri" w:cs="Calibri"/>
          <w:szCs w:val="20"/>
          <w:lang w:val="en-AU"/>
        </w:rPr>
      </w:pPr>
      <w:r>
        <w:rPr>
          <w:rFonts w:ascii="Calibri" w:eastAsia="Calibri" w:hAnsi="Calibri" w:cs="Calibri"/>
          <w:noProof/>
          <w:szCs w:val="20"/>
          <w:lang w:val="en-AU" w:eastAsia="en-AU"/>
        </w:rPr>
        <w:drawing>
          <wp:inline distT="0" distB="0" distL="0" distR="0" wp14:anchorId="5E00D653" wp14:editId="271D0FEE">
            <wp:extent cx="4829175" cy="3509912"/>
            <wp:effectExtent l="19050" t="19050" r="9525"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7084" cy="3544733"/>
                    </a:xfrm>
                    <a:prstGeom prst="rect">
                      <a:avLst/>
                    </a:prstGeom>
                    <a:noFill/>
                    <a:ln>
                      <a:solidFill>
                        <a:schemeClr val="tx1"/>
                      </a:solidFill>
                    </a:ln>
                  </pic:spPr>
                </pic:pic>
              </a:graphicData>
            </a:graphic>
          </wp:inline>
        </w:drawing>
      </w:r>
    </w:p>
    <w:p w14:paraId="5C6CF2F8" w14:textId="77777777" w:rsidR="00A37634" w:rsidRPr="00A37634" w:rsidRDefault="00A37634" w:rsidP="00A37634">
      <w:pPr>
        <w:spacing w:after="120" w:line="276" w:lineRule="auto"/>
        <w:rPr>
          <w:rFonts w:ascii="Calibri" w:eastAsia="Calibri" w:hAnsi="Calibri" w:cs="Calibri"/>
          <w:szCs w:val="20"/>
          <w:lang w:val="en-AU"/>
        </w:rPr>
      </w:pPr>
    </w:p>
    <w:p w14:paraId="337F3EA2" w14:textId="1F7FF568" w:rsidR="00AB0694" w:rsidRPr="00AB0694" w:rsidRDefault="00AB0694" w:rsidP="00AB0694">
      <w:pPr>
        <w:spacing w:before="240" w:after="120" w:line="240" w:lineRule="auto"/>
        <w:jc w:val="center"/>
        <w:rPr>
          <w:rFonts w:ascii="Calibri" w:eastAsia="Cambria" w:hAnsi="Calibri" w:cs="Calibri"/>
          <w:b/>
          <w:bCs/>
          <w:sz w:val="20"/>
          <w:szCs w:val="16"/>
          <w:lang w:val="en-AU"/>
        </w:rPr>
      </w:pPr>
      <w:bookmarkStart w:id="193" w:name="_Toc22488537"/>
      <w:r w:rsidRPr="00AB0694">
        <w:rPr>
          <w:rFonts w:ascii="Calibri" w:eastAsia="Cambria" w:hAnsi="Calibri" w:cs="Calibri"/>
          <w:b/>
          <w:bCs/>
          <w:sz w:val="20"/>
          <w:szCs w:val="16"/>
          <w:lang w:val="en-AU"/>
        </w:rPr>
        <w:t xml:space="preserve">Figure </w:t>
      </w:r>
      <w:r w:rsidRPr="00AB0694">
        <w:rPr>
          <w:rFonts w:ascii="Calibri" w:eastAsia="Cambria" w:hAnsi="Calibri" w:cs="Calibri"/>
          <w:b/>
          <w:bCs/>
          <w:sz w:val="20"/>
          <w:szCs w:val="16"/>
          <w:lang w:val="en-AU"/>
        </w:rPr>
        <w:fldChar w:fldCharType="begin"/>
      </w:r>
      <w:r w:rsidRPr="00AB0694">
        <w:rPr>
          <w:rFonts w:ascii="Calibri" w:eastAsia="Cambria" w:hAnsi="Calibri" w:cs="Calibri"/>
          <w:b/>
          <w:bCs/>
          <w:sz w:val="20"/>
          <w:szCs w:val="16"/>
          <w:lang w:val="en-AU"/>
        </w:rPr>
        <w:instrText xml:space="preserve"> SEQ Figure \* ARABIC </w:instrText>
      </w:r>
      <w:r w:rsidRPr="00AB0694">
        <w:rPr>
          <w:rFonts w:ascii="Calibri" w:eastAsia="Cambria" w:hAnsi="Calibri" w:cs="Calibri"/>
          <w:b/>
          <w:bCs/>
          <w:sz w:val="20"/>
          <w:szCs w:val="16"/>
          <w:lang w:val="en-AU"/>
        </w:rPr>
        <w:fldChar w:fldCharType="separate"/>
      </w:r>
      <w:r w:rsidR="00D64DF4">
        <w:rPr>
          <w:rFonts w:ascii="Calibri" w:eastAsia="Cambria" w:hAnsi="Calibri" w:cs="Calibri"/>
          <w:b/>
          <w:bCs/>
          <w:noProof/>
          <w:sz w:val="20"/>
          <w:szCs w:val="16"/>
          <w:lang w:val="en-AU"/>
        </w:rPr>
        <w:t>24</w:t>
      </w:r>
      <w:r w:rsidRPr="00AB0694">
        <w:rPr>
          <w:rFonts w:ascii="Calibri" w:eastAsia="Cambria" w:hAnsi="Calibri" w:cs="Calibri"/>
          <w:b/>
          <w:bCs/>
          <w:sz w:val="20"/>
          <w:szCs w:val="16"/>
          <w:lang w:val="en-AU"/>
        </w:rPr>
        <w:fldChar w:fldCharType="end"/>
      </w:r>
      <w:r w:rsidRPr="00AB0694">
        <w:rPr>
          <w:rFonts w:ascii="Calibri" w:eastAsia="Cambria" w:hAnsi="Calibri" w:cs="Calibri"/>
          <w:b/>
          <w:bCs/>
          <w:sz w:val="20"/>
          <w:szCs w:val="16"/>
          <w:lang w:val="en-AU"/>
        </w:rPr>
        <w:t xml:space="preserve"> Costs and Benefits by Jurisdiction</w:t>
      </w:r>
      <w:bookmarkEnd w:id="193"/>
    </w:p>
    <w:p w14:paraId="5AB203E3" w14:textId="2F5D74B7" w:rsidR="00AB0694" w:rsidRPr="00AB0694" w:rsidRDefault="00AB0694" w:rsidP="00AB0694">
      <w:pPr>
        <w:jc w:val="center"/>
        <w:sectPr w:rsidR="00AB0694" w:rsidRPr="00AB0694" w:rsidSect="00541269">
          <w:pgSz w:w="11906" w:h="16838" w:code="9"/>
          <w:pgMar w:top="1276" w:right="1138" w:bottom="1699" w:left="1138" w:header="576" w:footer="720" w:gutter="0"/>
          <w:cols w:space="708"/>
          <w:titlePg/>
          <w:docGrid w:linePitch="360"/>
        </w:sectPr>
      </w:pPr>
      <w:r>
        <w:rPr>
          <w:noProof/>
          <w:lang w:val="en-AU" w:eastAsia="en-AU"/>
        </w:rPr>
        <w:drawing>
          <wp:inline distT="0" distB="0" distL="0" distR="0" wp14:anchorId="4EECC84D" wp14:editId="6BC7FDCF">
            <wp:extent cx="4919670" cy="3575685"/>
            <wp:effectExtent l="19050" t="19050" r="14605"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4069" cy="3586150"/>
                    </a:xfrm>
                    <a:prstGeom prst="rect">
                      <a:avLst/>
                    </a:prstGeom>
                    <a:noFill/>
                    <a:ln>
                      <a:solidFill>
                        <a:schemeClr val="tx1"/>
                      </a:solidFill>
                    </a:ln>
                  </pic:spPr>
                </pic:pic>
              </a:graphicData>
            </a:graphic>
          </wp:inline>
        </w:drawing>
      </w:r>
    </w:p>
    <w:p w14:paraId="7A4BF59A" w14:textId="1041F3CF"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194" w:name="_Ref12975873"/>
      <w:bookmarkStart w:id="195" w:name="_Toc22486974"/>
      <w:r w:rsidRPr="00A37634">
        <w:rPr>
          <w:rFonts w:ascii="Calibri" w:eastAsia="Cambria" w:hAnsi="Calibri" w:cs="Calibri"/>
          <w:b/>
          <w:bCs/>
          <w:sz w:val="20"/>
          <w:szCs w:val="16"/>
          <w:lang w:val="en-AU"/>
        </w:rPr>
        <w:lastRenderedPageBreak/>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B1ACD">
        <w:rPr>
          <w:rFonts w:ascii="Calibri" w:eastAsia="Cambria" w:hAnsi="Calibri" w:cs="Calibri"/>
          <w:b/>
          <w:bCs/>
          <w:noProof/>
          <w:sz w:val="20"/>
          <w:szCs w:val="16"/>
          <w:lang w:val="en-AU"/>
        </w:rPr>
        <w:t>30</w:t>
      </w:r>
      <w:r w:rsidRPr="00A37634">
        <w:rPr>
          <w:rFonts w:ascii="Calibri" w:eastAsia="Cambria" w:hAnsi="Calibri" w:cs="Calibri"/>
          <w:b/>
          <w:bCs/>
          <w:noProof/>
          <w:sz w:val="20"/>
          <w:szCs w:val="16"/>
          <w:lang w:val="en-AU"/>
        </w:rPr>
        <w:fldChar w:fldCharType="end"/>
      </w:r>
      <w:bookmarkEnd w:id="194"/>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Summary of assumptions used to calculate benefits</w:t>
      </w:r>
      <w:bookmarkEnd w:id="195"/>
    </w:p>
    <w:tbl>
      <w:tblPr>
        <w:tblStyle w:val="TableGrid"/>
        <w:tblW w:w="14176" w:type="dxa"/>
        <w:tblInd w:w="-431" w:type="dxa"/>
        <w:tblLook w:val="04A0" w:firstRow="1" w:lastRow="0" w:firstColumn="1" w:lastColumn="0" w:noHBand="0" w:noVBand="1"/>
        <w:tblCaption w:val="&quot;0&quot;"/>
      </w:tblPr>
      <w:tblGrid>
        <w:gridCol w:w="1135"/>
        <w:gridCol w:w="1276"/>
        <w:gridCol w:w="2353"/>
        <w:gridCol w:w="2353"/>
        <w:gridCol w:w="2353"/>
        <w:gridCol w:w="2353"/>
        <w:gridCol w:w="2353"/>
      </w:tblGrid>
      <w:tr w:rsidR="00A37634" w:rsidRPr="00A37634" w14:paraId="03D14230" w14:textId="77777777" w:rsidTr="007C7289">
        <w:trPr>
          <w:tblHeader/>
        </w:trPr>
        <w:tc>
          <w:tcPr>
            <w:tcW w:w="1135" w:type="dxa"/>
          </w:tcPr>
          <w:p w14:paraId="4F1A027D" w14:textId="77777777" w:rsidR="00A37634" w:rsidRPr="00A37634" w:rsidRDefault="00A37634" w:rsidP="00A37634">
            <w:pPr>
              <w:spacing w:after="120" w:line="276" w:lineRule="auto"/>
              <w:rPr>
                <w:rFonts w:ascii="Calibri" w:eastAsia="Calibri" w:hAnsi="Calibri" w:cs="Calibri"/>
                <w:sz w:val="16"/>
                <w:szCs w:val="16"/>
                <w:lang w:val="en-AU"/>
              </w:rPr>
            </w:pPr>
            <w:bookmarkStart w:id="196" w:name="_Hlk12910635"/>
            <w:r w:rsidRPr="00A37634">
              <w:rPr>
                <w:rFonts w:ascii="Calibri" w:eastAsia="Calibri" w:hAnsi="Calibri" w:cs="Calibri"/>
                <w:sz w:val="16"/>
                <w:szCs w:val="16"/>
                <w:lang w:val="en-AU"/>
              </w:rPr>
              <w:t xml:space="preserve">Product </w:t>
            </w:r>
          </w:p>
        </w:tc>
        <w:tc>
          <w:tcPr>
            <w:tcW w:w="1276" w:type="dxa"/>
          </w:tcPr>
          <w:p w14:paraId="33DE64D4" w14:textId="334009A0"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DRMs (a)</w:t>
            </w:r>
          </w:p>
        </w:tc>
        <w:tc>
          <w:tcPr>
            <w:tcW w:w="2353" w:type="dxa"/>
          </w:tcPr>
          <w:p w14:paraId="75CEF6AC"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Peak load reduction value</w:t>
            </w:r>
            <w:r w:rsidRPr="00A37634">
              <w:rPr>
                <w:rFonts w:ascii="Calibri" w:eastAsia="Calibri" w:hAnsi="Calibri" w:cs="Calibri"/>
                <w:sz w:val="16"/>
                <w:szCs w:val="16"/>
                <w:lang w:val="en-AU"/>
              </w:rPr>
              <w:br/>
              <w:t>(b)</w:t>
            </w:r>
          </w:p>
        </w:tc>
        <w:tc>
          <w:tcPr>
            <w:tcW w:w="2353" w:type="dxa"/>
          </w:tcPr>
          <w:p w14:paraId="1FDA26A3"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Reliability &amp; emergency reserve trader (RERT) value </w:t>
            </w:r>
          </w:p>
        </w:tc>
        <w:tc>
          <w:tcPr>
            <w:tcW w:w="2353" w:type="dxa"/>
          </w:tcPr>
          <w:p w14:paraId="0F090253"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Load-on value </w:t>
            </w:r>
          </w:p>
        </w:tc>
        <w:tc>
          <w:tcPr>
            <w:tcW w:w="2353" w:type="dxa"/>
          </w:tcPr>
          <w:p w14:paraId="67AAEC16"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Wholesale price impact value for DR participants </w:t>
            </w:r>
          </w:p>
        </w:tc>
        <w:tc>
          <w:tcPr>
            <w:tcW w:w="2353" w:type="dxa"/>
          </w:tcPr>
          <w:p w14:paraId="23300234"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Wholesale price impact value for non-participants</w:t>
            </w:r>
          </w:p>
        </w:tc>
      </w:tr>
      <w:tr w:rsidR="001F1FB1" w:rsidRPr="00A37634" w14:paraId="54FEBF76" w14:textId="77777777" w:rsidTr="00A37634">
        <w:tc>
          <w:tcPr>
            <w:tcW w:w="1135" w:type="dxa"/>
            <w:vMerge w:val="restart"/>
          </w:tcPr>
          <w:p w14:paraId="0DE4CEE2"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Air conditioner </w:t>
            </w:r>
          </w:p>
        </w:tc>
        <w:tc>
          <w:tcPr>
            <w:tcW w:w="1276" w:type="dxa"/>
          </w:tcPr>
          <w:p w14:paraId="1DE1645C" w14:textId="057F9248"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1</w:t>
            </w:r>
            <w:r>
              <w:rPr>
                <w:rFonts w:ascii="Calibri" w:eastAsia="Calibri" w:hAnsi="Calibri" w:cs="Calibri"/>
                <w:sz w:val="16"/>
                <w:szCs w:val="16"/>
                <w:lang w:val="en-AU"/>
              </w:rPr>
              <w:t xml:space="preserve"> (mandatory)</w:t>
            </w:r>
          </w:p>
        </w:tc>
        <w:tc>
          <w:tcPr>
            <w:tcW w:w="2353" w:type="dxa"/>
          </w:tcPr>
          <w:p w14:paraId="6AD3CFFF"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$/marginal peak load MW avoidable at SMD from all activated load, except for Tas and NZ: $/marginal peak load MW avoidable at WMD</w:t>
            </w:r>
          </w:p>
        </w:tc>
        <w:tc>
          <w:tcPr>
            <w:tcW w:w="2353" w:type="dxa"/>
          </w:tcPr>
          <w:p w14:paraId="5ADF5AC7"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RERT costs in SA and Vic $10,000/MWh avoided </w:t>
            </w:r>
            <w:r w:rsidRPr="00A37634">
              <w:rPr>
                <w:rFonts w:ascii="Calibri" w:eastAsia="Calibri" w:hAnsi="Calibri" w:cs="Calibri"/>
                <w:sz w:val="16"/>
                <w:szCs w:val="16"/>
                <w:lang w:val="en-AU"/>
              </w:rPr>
              <w:br/>
              <w:t>(20 hrs/yr)</w:t>
            </w:r>
            <w:r w:rsidRPr="00A37634">
              <w:rPr>
                <w:rFonts w:ascii="Calibri" w:eastAsia="Calibri" w:hAnsi="Calibri" w:cs="Calibri"/>
                <w:sz w:val="16"/>
                <w:szCs w:val="16"/>
                <w:lang w:val="en-AU"/>
              </w:rPr>
              <w:br/>
              <w:t>None in other regions</w:t>
            </w:r>
          </w:p>
        </w:tc>
        <w:tc>
          <w:tcPr>
            <w:tcW w:w="2353" w:type="dxa"/>
          </w:tcPr>
          <w:p w14:paraId="45AA68EC"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c>
          <w:tcPr>
            <w:tcW w:w="2353" w:type="dxa"/>
            <w:vMerge w:val="restart"/>
            <w:shd w:val="clear" w:color="auto" w:fill="BFBFBF"/>
          </w:tcPr>
          <w:p w14:paraId="3587FD67"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$100/MWh wholesale price reduction when a 50% reduction in the total activated load is bid into the pool. Energy calculated from load bid x 20hrs/yr</w:t>
            </w:r>
          </w:p>
        </w:tc>
        <w:tc>
          <w:tcPr>
            <w:tcW w:w="2353" w:type="dxa"/>
            <w:vMerge w:val="restart"/>
            <w:shd w:val="clear" w:color="auto" w:fill="BFBFBF"/>
          </w:tcPr>
          <w:p w14:paraId="3D111FD3"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Same wholesale price reduction as for participants during same time periods. Energy calculated as 80% of SMD or WMD x 20hrs/yr (less DR participant energy use over same periods)</w:t>
            </w:r>
          </w:p>
        </w:tc>
      </w:tr>
      <w:tr w:rsidR="001F1FB1" w:rsidRPr="00A37634" w14:paraId="4C7A91F3" w14:textId="77777777" w:rsidTr="00A37634">
        <w:tc>
          <w:tcPr>
            <w:tcW w:w="1135" w:type="dxa"/>
            <w:vMerge/>
          </w:tcPr>
          <w:p w14:paraId="4C03FB97" w14:textId="77777777" w:rsidR="001F1FB1" w:rsidRPr="00A37634" w:rsidRDefault="001F1FB1" w:rsidP="00A37634">
            <w:pPr>
              <w:spacing w:after="120" w:line="276" w:lineRule="auto"/>
              <w:rPr>
                <w:rFonts w:ascii="Calibri" w:eastAsia="Calibri" w:hAnsi="Calibri" w:cs="Calibri"/>
                <w:sz w:val="16"/>
                <w:szCs w:val="16"/>
                <w:lang w:val="en-AU"/>
              </w:rPr>
            </w:pPr>
            <w:bookmarkStart w:id="197" w:name="_Hlk12912914"/>
          </w:p>
        </w:tc>
        <w:tc>
          <w:tcPr>
            <w:tcW w:w="1276" w:type="dxa"/>
          </w:tcPr>
          <w:p w14:paraId="4FD7B502" w14:textId="1F84D4AB"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2/3</w:t>
            </w:r>
            <w:r>
              <w:rPr>
                <w:rFonts w:ascii="Calibri" w:eastAsia="Calibri" w:hAnsi="Calibri" w:cs="Calibri"/>
                <w:sz w:val="16"/>
                <w:szCs w:val="16"/>
                <w:lang w:val="en-AU"/>
              </w:rPr>
              <w:t xml:space="preserve"> (mandatory)</w:t>
            </w:r>
          </w:p>
        </w:tc>
        <w:tc>
          <w:tcPr>
            <w:tcW w:w="2353" w:type="dxa"/>
            <w:shd w:val="clear" w:color="auto" w:fill="BFBFBF"/>
          </w:tcPr>
          <w:p w14:paraId="2147EFCF"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50% of above values </w:t>
            </w:r>
          </w:p>
        </w:tc>
        <w:tc>
          <w:tcPr>
            <w:tcW w:w="2353" w:type="dxa"/>
            <w:shd w:val="clear" w:color="auto" w:fill="BFBFBF"/>
          </w:tcPr>
          <w:p w14:paraId="5FC7A91F"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50% of above values</w:t>
            </w:r>
          </w:p>
        </w:tc>
        <w:tc>
          <w:tcPr>
            <w:tcW w:w="2353" w:type="dxa"/>
          </w:tcPr>
          <w:p w14:paraId="09AFEAB3"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c>
          <w:tcPr>
            <w:tcW w:w="2353" w:type="dxa"/>
            <w:vMerge/>
            <w:shd w:val="clear" w:color="auto" w:fill="BFBFBF"/>
          </w:tcPr>
          <w:p w14:paraId="3CCB7FBD" w14:textId="77777777" w:rsidR="001F1FB1" w:rsidRPr="00A37634" w:rsidRDefault="001F1FB1" w:rsidP="00A37634">
            <w:pPr>
              <w:spacing w:after="120" w:line="276" w:lineRule="auto"/>
              <w:rPr>
                <w:rFonts w:ascii="Calibri" w:eastAsia="Calibri" w:hAnsi="Calibri" w:cs="Calibri"/>
                <w:sz w:val="16"/>
                <w:szCs w:val="16"/>
                <w:lang w:val="en-AU"/>
              </w:rPr>
            </w:pPr>
          </w:p>
        </w:tc>
        <w:tc>
          <w:tcPr>
            <w:tcW w:w="2353" w:type="dxa"/>
            <w:vMerge/>
            <w:shd w:val="clear" w:color="auto" w:fill="BFBFBF"/>
          </w:tcPr>
          <w:p w14:paraId="65F03DAA" w14:textId="77777777" w:rsidR="001F1FB1" w:rsidRPr="00A37634" w:rsidRDefault="001F1FB1" w:rsidP="00A37634">
            <w:pPr>
              <w:spacing w:after="120" w:line="276" w:lineRule="auto"/>
              <w:rPr>
                <w:rFonts w:ascii="Calibri" w:eastAsia="Calibri" w:hAnsi="Calibri" w:cs="Calibri"/>
                <w:sz w:val="16"/>
                <w:szCs w:val="16"/>
                <w:lang w:val="en-AU"/>
              </w:rPr>
            </w:pPr>
          </w:p>
        </w:tc>
      </w:tr>
      <w:bookmarkEnd w:id="197"/>
      <w:tr w:rsidR="001F1FB1" w:rsidRPr="00A37634" w14:paraId="461776EB" w14:textId="77777777" w:rsidTr="001F1FB1">
        <w:tc>
          <w:tcPr>
            <w:tcW w:w="1135" w:type="dxa"/>
            <w:vMerge w:val="restart"/>
          </w:tcPr>
          <w:p w14:paraId="153E0666" w14:textId="74EB46DA"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Pool pump controller, Electric storage water heater</w:t>
            </w:r>
            <w:r w:rsidRPr="00A37634">
              <w:rPr>
                <w:rFonts w:ascii="Calibri" w:eastAsia="Calibri" w:hAnsi="Calibri" w:cs="Calibri"/>
                <w:sz w:val="16"/>
                <w:szCs w:val="16"/>
                <w:lang w:val="en-AU"/>
              </w:rPr>
              <w:br/>
            </w:r>
          </w:p>
        </w:tc>
        <w:tc>
          <w:tcPr>
            <w:tcW w:w="1276" w:type="dxa"/>
          </w:tcPr>
          <w:p w14:paraId="078838D8" w14:textId="5DCAC0C4"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1</w:t>
            </w:r>
            <w:r>
              <w:rPr>
                <w:rFonts w:ascii="Calibri" w:eastAsia="Calibri" w:hAnsi="Calibri" w:cs="Calibri"/>
                <w:sz w:val="16"/>
                <w:szCs w:val="16"/>
                <w:lang w:val="en-AU"/>
              </w:rPr>
              <w:t xml:space="preserve"> (mandatory): used to manage peak reduction and storage </w:t>
            </w:r>
          </w:p>
        </w:tc>
        <w:tc>
          <w:tcPr>
            <w:tcW w:w="2353" w:type="dxa"/>
            <w:shd w:val="clear" w:color="auto" w:fill="BFBFBF" w:themeFill="background1" w:themeFillShade="BF"/>
          </w:tcPr>
          <w:p w14:paraId="0FF97C61"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$/marginal peak load MW avoidable at SMD from all activated load</w:t>
            </w:r>
          </w:p>
        </w:tc>
        <w:tc>
          <w:tcPr>
            <w:tcW w:w="2353" w:type="dxa"/>
            <w:shd w:val="clear" w:color="auto" w:fill="BFBFBF" w:themeFill="background1" w:themeFillShade="BF"/>
          </w:tcPr>
          <w:p w14:paraId="71255AC5"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RERT costs in SA and Vic $10,000/MWh avoided </w:t>
            </w:r>
            <w:r w:rsidRPr="00A37634">
              <w:rPr>
                <w:rFonts w:ascii="Calibri" w:eastAsia="Calibri" w:hAnsi="Calibri" w:cs="Calibri"/>
                <w:sz w:val="16"/>
                <w:szCs w:val="16"/>
                <w:lang w:val="en-AU"/>
              </w:rPr>
              <w:br/>
              <w:t>(20 hrs/yr)</w:t>
            </w:r>
            <w:r w:rsidRPr="00A37634">
              <w:rPr>
                <w:rFonts w:ascii="Calibri" w:eastAsia="Calibri" w:hAnsi="Calibri" w:cs="Calibri"/>
                <w:sz w:val="16"/>
                <w:szCs w:val="16"/>
                <w:lang w:val="en-AU"/>
              </w:rPr>
              <w:br/>
              <w:t>None in other regions</w:t>
            </w:r>
          </w:p>
        </w:tc>
        <w:tc>
          <w:tcPr>
            <w:tcW w:w="2353" w:type="dxa"/>
            <w:shd w:val="clear" w:color="auto" w:fill="BFBFBF" w:themeFill="background1" w:themeFillShade="BF"/>
          </w:tcPr>
          <w:p w14:paraId="411826FC" w14:textId="75D983A1" w:rsidR="001F1FB1" w:rsidRPr="00A37634" w:rsidRDefault="001F1FB1" w:rsidP="00A37634">
            <w:pPr>
              <w:spacing w:after="120" w:line="276" w:lineRule="auto"/>
              <w:rPr>
                <w:rFonts w:ascii="Calibri" w:eastAsia="Calibri" w:hAnsi="Calibri" w:cs="Calibri"/>
                <w:sz w:val="16"/>
                <w:szCs w:val="16"/>
                <w:lang w:val="en-AU"/>
              </w:rPr>
            </w:pPr>
            <w:r w:rsidRPr="001F1FB1">
              <w:rPr>
                <w:rFonts w:ascii="Calibri" w:eastAsia="Calibri" w:hAnsi="Calibri" w:cs="Calibri"/>
                <w:sz w:val="16"/>
                <w:szCs w:val="16"/>
                <w:lang w:val="en-AU"/>
              </w:rPr>
              <w:t>$80/MWh for 100% of activated load switched on during negative price events. 20-60 hrs/yr in 2020 rising to 30-110 hrs/yr in 203</w:t>
            </w:r>
            <w:r>
              <w:rPr>
                <w:rFonts w:ascii="Calibri" w:eastAsia="Calibri" w:hAnsi="Calibri" w:cs="Calibri"/>
                <w:sz w:val="16"/>
                <w:szCs w:val="16"/>
                <w:lang w:val="en-AU"/>
              </w:rPr>
              <w:t>6</w:t>
            </w:r>
          </w:p>
        </w:tc>
        <w:tc>
          <w:tcPr>
            <w:tcW w:w="2353" w:type="dxa"/>
            <w:shd w:val="clear" w:color="auto" w:fill="BFBFBF"/>
          </w:tcPr>
          <w:p w14:paraId="569C6F48"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$100/MWh wholesale price reduction when a 50% reduction in the total activated load is bid into the pool. Energy calculated from load bid x 20hrs/yr</w:t>
            </w:r>
          </w:p>
        </w:tc>
        <w:tc>
          <w:tcPr>
            <w:tcW w:w="2353" w:type="dxa"/>
            <w:shd w:val="clear" w:color="auto" w:fill="auto"/>
          </w:tcPr>
          <w:p w14:paraId="4A65FFE9" w14:textId="70F3F82D" w:rsidR="001F1FB1" w:rsidRPr="00A37634" w:rsidRDefault="001F1FB1" w:rsidP="00A37634">
            <w:pPr>
              <w:spacing w:after="120" w:line="276" w:lineRule="auto"/>
              <w:rPr>
                <w:rFonts w:ascii="Calibri" w:eastAsia="Calibri" w:hAnsi="Calibri" w:cs="Calibri"/>
                <w:sz w:val="16"/>
                <w:szCs w:val="16"/>
                <w:lang w:val="en-AU"/>
              </w:rPr>
            </w:pPr>
            <w:r>
              <w:rPr>
                <w:rFonts w:ascii="Calibri" w:eastAsia="Calibri" w:hAnsi="Calibri" w:cs="Calibri"/>
                <w:sz w:val="16"/>
                <w:szCs w:val="16"/>
                <w:lang w:val="en-AU"/>
              </w:rPr>
              <w:t>None</w:t>
            </w:r>
          </w:p>
        </w:tc>
      </w:tr>
      <w:tr w:rsidR="001F1FB1" w:rsidRPr="00A37634" w14:paraId="5AF063C3" w14:textId="77777777" w:rsidTr="001F1FB1">
        <w:tc>
          <w:tcPr>
            <w:tcW w:w="1135" w:type="dxa"/>
            <w:vMerge/>
          </w:tcPr>
          <w:p w14:paraId="0D39F715" w14:textId="77777777" w:rsidR="001F1FB1" w:rsidRPr="00A37634" w:rsidRDefault="001F1FB1" w:rsidP="00A37634">
            <w:pPr>
              <w:spacing w:after="120" w:line="276" w:lineRule="auto"/>
              <w:rPr>
                <w:rFonts w:ascii="Calibri" w:eastAsia="Calibri" w:hAnsi="Calibri" w:cs="Calibri"/>
                <w:sz w:val="16"/>
                <w:szCs w:val="16"/>
                <w:lang w:val="en-AU"/>
              </w:rPr>
            </w:pPr>
          </w:p>
        </w:tc>
        <w:tc>
          <w:tcPr>
            <w:tcW w:w="1276" w:type="dxa"/>
          </w:tcPr>
          <w:p w14:paraId="03C88EB7"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2/3</w:t>
            </w:r>
          </w:p>
        </w:tc>
        <w:tc>
          <w:tcPr>
            <w:tcW w:w="2353" w:type="dxa"/>
            <w:shd w:val="clear" w:color="auto" w:fill="auto"/>
          </w:tcPr>
          <w:p w14:paraId="4017AACB" w14:textId="6177B9FB" w:rsidR="001F1FB1" w:rsidRPr="00A37634" w:rsidRDefault="001F1FB1" w:rsidP="00A37634">
            <w:pPr>
              <w:spacing w:after="120" w:line="276" w:lineRule="auto"/>
              <w:rPr>
                <w:rFonts w:ascii="Calibri" w:eastAsia="Calibri" w:hAnsi="Calibri" w:cs="Calibri"/>
                <w:sz w:val="16"/>
                <w:szCs w:val="16"/>
                <w:lang w:val="en-AU"/>
              </w:rPr>
            </w:pPr>
            <w:r>
              <w:rPr>
                <w:rFonts w:ascii="Calibri" w:eastAsia="Calibri" w:hAnsi="Calibri" w:cs="Calibri"/>
                <w:sz w:val="16"/>
                <w:szCs w:val="16"/>
                <w:lang w:val="en-AU"/>
              </w:rPr>
              <w:t>None</w:t>
            </w:r>
          </w:p>
        </w:tc>
        <w:tc>
          <w:tcPr>
            <w:tcW w:w="2353" w:type="dxa"/>
            <w:shd w:val="clear" w:color="auto" w:fill="auto"/>
          </w:tcPr>
          <w:p w14:paraId="66FFFCF1" w14:textId="3309A64F" w:rsidR="001F1FB1" w:rsidRPr="00A37634" w:rsidRDefault="001F1FB1" w:rsidP="00A37634">
            <w:pPr>
              <w:spacing w:after="120" w:line="276" w:lineRule="auto"/>
              <w:rPr>
                <w:rFonts w:ascii="Calibri" w:eastAsia="Calibri" w:hAnsi="Calibri" w:cs="Calibri"/>
                <w:sz w:val="16"/>
                <w:szCs w:val="16"/>
                <w:lang w:val="en-AU"/>
              </w:rPr>
            </w:pPr>
            <w:r>
              <w:rPr>
                <w:rFonts w:ascii="Calibri" w:eastAsia="Calibri" w:hAnsi="Calibri" w:cs="Calibri"/>
                <w:sz w:val="16"/>
                <w:szCs w:val="16"/>
                <w:lang w:val="en-AU"/>
              </w:rPr>
              <w:t>None</w:t>
            </w:r>
          </w:p>
        </w:tc>
        <w:tc>
          <w:tcPr>
            <w:tcW w:w="2353" w:type="dxa"/>
          </w:tcPr>
          <w:p w14:paraId="0597A988" w14:textId="77777777" w:rsidR="001F1FB1" w:rsidRPr="00A37634" w:rsidRDefault="001F1FB1"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c>
          <w:tcPr>
            <w:tcW w:w="2353" w:type="dxa"/>
            <w:shd w:val="clear" w:color="auto" w:fill="auto"/>
          </w:tcPr>
          <w:p w14:paraId="264F832D" w14:textId="5D6EB887" w:rsidR="001F1FB1" w:rsidRPr="00A37634" w:rsidRDefault="001F1FB1" w:rsidP="00A37634">
            <w:pPr>
              <w:spacing w:after="120" w:line="276" w:lineRule="auto"/>
              <w:rPr>
                <w:rFonts w:ascii="Calibri" w:eastAsia="Calibri" w:hAnsi="Calibri" w:cs="Calibri"/>
                <w:sz w:val="16"/>
                <w:szCs w:val="16"/>
                <w:lang w:val="en-AU"/>
              </w:rPr>
            </w:pPr>
            <w:r>
              <w:rPr>
                <w:rFonts w:ascii="Calibri" w:eastAsia="Calibri" w:hAnsi="Calibri" w:cs="Calibri"/>
                <w:sz w:val="16"/>
                <w:szCs w:val="16"/>
                <w:lang w:val="en-AU"/>
              </w:rPr>
              <w:t>None</w:t>
            </w:r>
          </w:p>
        </w:tc>
        <w:tc>
          <w:tcPr>
            <w:tcW w:w="2353" w:type="dxa"/>
            <w:shd w:val="clear" w:color="auto" w:fill="auto"/>
          </w:tcPr>
          <w:p w14:paraId="536814BC" w14:textId="123F464E" w:rsidR="001F1FB1" w:rsidRPr="00A37634" w:rsidRDefault="001F1FB1" w:rsidP="00A37634">
            <w:pPr>
              <w:spacing w:after="120" w:line="276" w:lineRule="auto"/>
              <w:rPr>
                <w:rFonts w:ascii="Calibri" w:eastAsia="Calibri" w:hAnsi="Calibri" w:cs="Calibri"/>
                <w:sz w:val="16"/>
                <w:szCs w:val="16"/>
                <w:lang w:val="en-AU"/>
              </w:rPr>
            </w:pPr>
            <w:r>
              <w:rPr>
                <w:rFonts w:ascii="Calibri" w:eastAsia="Calibri" w:hAnsi="Calibri" w:cs="Calibri"/>
                <w:sz w:val="16"/>
                <w:szCs w:val="16"/>
                <w:lang w:val="en-AU"/>
              </w:rPr>
              <w:t>None</w:t>
            </w:r>
          </w:p>
        </w:tc>
      </w:tr>
      <w:tr w:rsidR="00A37634" w:rsidRPr="00A37634" w14:paraId="7D8AEA4E" w14:textId="77777777" w:rsidTr="001F1FB1">
        <w:tc>
          <w:tcPr>
            <w:tcW w:w="1135" w:type="dxa"/>
            <w:vMerge/>
          </w:tcPr>
          <w:p w14:paraId="53300628" w14:textId="77777777" w:rsidR="00A37634" w:rsidRPr="00A37634" w:rsidRDefault="00A37634" w:rsidP="00A37634">
            <w:pPr>
              <w:spacing w:after="120" w:line="276" w:lineRule="auto"/>
              <w:rPr>
                <w:rFonts w:ascii="Calibri" w:eastAsia="Calibri" w:hAnsi="Calibri" w:cs="Calibri"/>
                <w:sz w:val="16"/>
                <w:szCs w:val="16"/>
                <w:lang w:val="en-AU"/>
              </w:rPr>
            </w:pPr>
          </w:p>
        </w:tc>
        <w:tc>
          <w:tcPr>
            <w:tcW w:w="1276" w:type="dxa"/>
          </w:tcPr>
          <w:p w14:paraId="74690FF5"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4</w:t>
            </w:r>
          </w:p>
        </w:tc>
        <w:tc>
          <w:tcPr>
            <w:tcW w:w="2353" w:type="dxa"/>
          </w:tcPr>
          <w:p w14:paraId="7D962BA0"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c>
          <w:tcPr>
            <w:tcW w:w="2353" w:type="dxa"/>
          </w:tcPr>
          <w:p w14:paraId="0514A29F"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c>
          <w:tcPr>
            <w:tcW w:w="2353" w:type="dxa"/>
            <w:shd w:val="clear" w:color="auto" w:fill="auto"/>
          </w:tcPr>
          <w:p w14:paraId="03AF6D3B" w14:textId="45DF7485" w:rsidR="00A37634" w:rsidRPr="00A37634" w:rsidRDefault="00A37634" w:rsidP="00A37634">
            <w:pPr>
              <w:spacing w:after="120" w:line="276" w:lineRule="auto"/>
              <w:rPr>
                <w:rFonts w:ascii="Calibri" w:eastAsia="Calibri" w:hAnsi="Calibri" w:cs="Calibri"/>
                <w:sz w:val="16"/>
                <w:szCs w:val="16"/>
                <w:lang w:val="en-AU"/>
              </w:rPr>
            </w:pPr>
          </w:p>
        </w:tc>
        <w:tc>
          <w:tcPr>
            <w:tcW w:w="2353" w:type="dxa"/>
          </w:tcPr>
          <w:p w14:paraId="7BFE1E23" w14:textId="77777777" w:rsidR="00A37634" w:rsidRPr="00A37634" w:rsidRDefault="00A37634" w:rsidP="00A37634">
            <w:pPr>
              <w:spacing w:after="120" w:line="276" w:lineRule="auto"/>
              <w:rPr>
                <w:rFonts w:ascii="Calibri" w:eastAsia="Calibri" w:hAnsi="Calibri" w:cs="Calibri"/>
                <w:color w:val="000000"/>
                <w:sz w:val="16"/>
                <w:szCs w:val="16"/>
                <w:lang w:val="en-AU"/>
              </w:rPr>
            </w:pPr>
            <w:r w:rsidRPr="00A37634">
              <w:rPr>
                <w:rFonts w:ascii="Calibri" w:eastAsia="Calibri" w:hAnsi="Calibri" w:cs="Calibri"/>
                <w:color w:val="000000"/>
                <w:sz w:val="16"/>
                <w:szCs w:val="16"/>
                <w:lang w:val="en-AU"/>
              </w:rPr>
              <w:t>None</w:t>
            </w:r>
          </w:p>
        </w:tc>
        <w:tc>
          <w:tcPr>
            <w:tcW w:w="2353" w:type="dxa"/>
          </w:tcPr>
          <w:p w14:paraId="5ED71D46"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r>
      <w:tr w:rsidR="00A37634" w:rsidRPr="00A37634" w14:paraId="233C309A" w14:textId="77777777" w:rsidTr="007C7289">
        <w:tc>
          <w:tcPr>
            <w:tcW w:w="1135" w:type="dxa"/>
            <w:vMerge w:val="restart"/>
          </w:tcPr>
          <w:p w14:paraId="554BB768"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EV charger – capable of charge only</w:t>
            </w:r>
          </w:p>
        </w:tc>
        <w:tc>
          <w:tcPr>
            <w:tcW w:w="1276" w:type="dxa"/>
          </w:tcPr>
          <w:p w14:paraId="54C80166" w14:textId="5668E392"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0</w:t>
            </w:r>
            <w:r w:rsidR="001F1FB1">
              <w:rPr>
                <w:rFonts w:ascii="Calibri" w:eastAsia="Calibri" w:hAnsi="Calibri" w:cs="Calibri"/>
                <w:sz w:val="16"/>
                <w:szCs w:val="16"/>
                <w:lang w:val="en-AU"/>
              </w:rPr>
              <w:t xml:space="preserve"> (mandatory)</w:t>
            </w:r>
          </w:p>
        </w:tc>
        <w:tc>
          <w:tcPr>
            <w:tcW w:w="2353" w:type="dxa"/>
          </w:tcPr>
          <w:p w14:paraId="17EA801F"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c>
          <w:tcPr>
            <w:tcW w:w="2353" w:type="dxa"/>
          </w:tcPr>
          <w:p w14:paraId="1A41E57A"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c>
          <w:tcPr>
            <w:tcW w:w="2353" w:type="dxa"/>
          </w:tcPr>
          <w:p w14:paraId="6D0D4658"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c>
          <w:tcPr>
            <w:tcW w:w="2353" w:type="dxa"/>
          </w:tcPr>
          <w:p w14:paraId="315093AF"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c>
          <w:tcPr>
            <w:tcW w:w="2353" w:type="dxa"/>
          </w:tcPr>
          <w:p w14:paraId="7B3E61D5"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r>
      <w:tr w:rsidR="00A37634" w:rsidRPr="00A37634" w14:paraId="44DE6858" w14:textId="77777777" w:rsidTr="00A37634">
        <w:tc>
          <w:tcPr>
            <w:tcW w:w="1135" w:type="dxa"/>
            <w:vMerge/>
          </w:tcPr>
          <w:p w14:paraId="5721401D" w14:textId="77777777" w:rsidR="00A37634" w:rsidRPr="00A37634" w:rsidRDefault="00A37634" w:rsidP="00A37634">
            <w:pPr>
              <w:spacing w:after="120" w:line="276" w:lineRule="auto"/>
              <w:rPr>
                <w:rFonts w:ascii="Calibri" w:eastAsia="Calibri" w:hAnsi="Calibri" w:cs="Calibri"/>
                <w:sz w:val="16"/>
                <w:szCs w:val="16"/>
                <w:lang w:val="en-AU"/>
              </w:rPr>
            </w:pPr>
          </w:p>
        </w:tc>
        <w:tc>
          <w:tcPr>
            <w:tcW w:w="1276" w:type="dxa"/>
          </w:tcPr>
          <w:p w14:paraId="31A56CE8" w14:textId="23C6C3A0"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1</w:t>
            </w:r>
            <w:r w:rsidR="001F1FB1">
              <w:rPr>
                <w:rFonts w:ascii="Calibri" w:eastAsia="Calibri" w:hAnsi="Calibri" w:cs="Calibri"/>
                <w:sz w:val="16"/>
                <w:szCs w:val="16"/>
                <w:lang w:val="en-AU"/>
              </w:rPr>
              <w:t xml:space="preserve"> (mandatory)</w:t>
            </w:r>
          </w:p>
        </w:tc>
        <w:tc>
          <w:tcPr>
            <w:tcW w:w="2353" w:type="dxa"/>
          </w:tcPr>
          <w:p w14:paraId="324FC7FD"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$/marginal peak load MW avoidable at SMD from all activated load</w:t>
            </w:r>
          </w:p>
        </w:tc>
        <w:tc>
          <w:tcPr>
            <w:tcW w:w="2353" w:type="dxa"/>
          </w:tcPr>
          <w:p w14:paraId="39B8083B"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RERT costs in SA and Vic $10,000/MWh avoided </w:t>
            </w:r>
            <w:r w:rsidRPr="00A37634">
              <w:rPr>
                <w:rFonts w:ascii="Calibri" w:eastAsia="Calibri" w:hAnsi="Calibri" w:cs="Calibri"/>
                <w:sz w:val="16"/>
                <w:szCs w:val="16"/>
                <w:lang w:val="en-AU"/>
              </w:rPr>
              <w:br/>
              <w:t>(20 hrs/yr)</w:t>
            </w:r>
            <w:r w:rsidRPr="00A37634">
              <w:rPr>
                <w:rFonts w:ascii="Calibri" w:eastAsia="Calibri" w:hAnsi="Calibri" w:cs="Calibri"/>
                <w:sz w:val="16"/>
                <w:szCs w:val="16"/>
                <w:lang w:val="en-AU"/>
              </w:rPr>
              <w:br/>
              <w:t>None in other regions</w:t>
            </w:r>
          </w:p>
        </w:tc>
        <w:tc>
          <w:tcPr>
            <w:tcW w:w="2353" w:type="dxa"/>
          </w:tcPr>
          <w:p w14:paraId="642098AC"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c>
          <w:tcPr>
            <w:tcW w:w="2353" w:type="dxa"/>
            <w:vMerge w:val="restart"/>
            <w:shd w:val="clear" w:color="auto" w:fill="BFBFBF"/>
          </w:tcPr>
          <w:p w14:paraId="518DE523"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$100/MWh wholesale price reduction when a 50% reduction in the total activated load is bid into the pool. Energy calculated from load bid x 20hrs/yr</w:t>
            </w:r>
          </w:p>
        </w:tc>
        <w:tc>
          <w:tcPr>
            <w:tcW w:w="2353" w:type="dxa"/>
            <w:vMerge w:val="restart"/>
            <w:shd w:val="clear" w:color="auto" w:fill="BFBFBF"/>
          </w:tcPr>
          <w:p w14:paraId="4B9C43B6"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Same wholesale price reduction as for participants during same time periods. Energy calculated as 80% of SMD or WMD x 20hrs/yr (less DR participant energy use over same periods)</w:t>
            </w:r>
          </w:p>
        </w:tc>
      </w:tr>
      <w:tr w:rsidR="00A37634" w:rsidRPr="00A37634" w14:paraId="1E8BAD04" w14:textId="77777777" w:rsidTr="00A37634">
        <w:tc>
          <w:tcPr>
            <w:tcW w:w="1135" w:type="dxa"/>
            <w:vMerge/>
          </w:tcPr>
          <w:p w14:paraId="2355DFE5" w14:textId="77777777" w:rsidR="00A37634" w:rsidRPr="00A37634" w:rsidRDefault="00A37634" w:rsidP="00A37634">
            <w:pPr>
              <w:spacing w:after="120" w:line="276" w:lineRule="auto"/>
              <w:rPr>
                <w:rFonts w:ascii="Calibri" w:eastAsia="Calibri" w:hAnsi="Calibri" w:cs="Calibri"/>
                <w:sz w:val="16"/>
                <w:szCs w:val="16"/>
                <w:lang w:val="en-AU"/>
              </w:rPr>
            </w:pPr>
          </w:p>
        </w:tc>
        <w:tc>
          <w:tcPr>
            <w:tcW w:w="1276" w:type="dxa"/>
          </w:tcPr>
          <w:p w14:paraId="307B2B8F" w14:textId="63385579"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2/3</w:t>
            </w:r>
            <w:r w:rsidR="001F1FB1">
              <w:rPr>
                <w:rFonts w:ascii="Calibri" w:eastAsia="Calibri" w:hAnsi="Calibri" w:cs="Calibri"/>
                <w:sz w:val="16"/>
                <w:szCs w:val="16"/>
                <w:lang w:val="en-AU"/>
              </w:rPr>
              <w:t xml:space="preserve"> (mandatory)</w:t>
            </w:r>
          </w:p>
        </w:tc>
        <w:tc>
          <w:tcPr>
            <w:tcW w:w="2353" w:type="dxa"/>
            <w:shd w:val="clear" w:color="auto" w:fill="BFBFBF"/>
          </w:tcPr>
          <w:p w14:paraId="0042DEDA"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50% of above values </w:t>
            </w:r>
          </w:p>
        </w:tc>
        <w:tc>
          <w:tcPr>
            <w:tcW w:w="2353" w:type="dxa"/>
            <w:shd w:val="clear" w:color="auto" w:fill="BFBFBF"/>
          </w:tcPr>
          <w:p w14:paraId="206BF2C4"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50% of above values</w:t>
            </w:r>
          </w:p>
        </w:tc>
        <w:tc>
          <w:tcPr>
            <w:tcW w:w="2353" w:type="dxa"/>
          </w:tcPr>
          <w:p w14:paraId="684D0B10"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c>
          <w:tcPr>
            <w:tcW w:w="2353" w:type="dxa"/>
            <w:vMerge/>
            <w:shd w:val="clear" w:color="auto" w:fill="BFBFBF"/>
          </w:tcPr>
          <w:p w14:paraId="6EAE6670" w14:textId="77777777" w:rsidR="00A37634" w:rsidRPr="00A37634" w:rsidRDefault="00A37634" w:rsidP="00A37634">
            <w:pPr>
              <w:spacing w:after="120" w:line="276" w:lineRule="auto"/>
              <w:rPr>
                <w:rFonts w:ascii="Calibri" w:eastAsia="Calibri" w:hAnsi="Calibri" w:cs="Calibri"/>
                <w:sz w:val="16"/>
                <w:szCs w:val="16"/>
                <w:lang w:val="en-AU"/>
              </w:rPr>
            </w:pPr>
          </w:p>
        </w:tc>
        <w:tc>
          <w:tcPr>
            <w:tcW w:w="2353" w:type="dxa"/>
            <w:vMerge/>
            <w:shd w:val="clear" w:color="auto" w:fill="BFBFBF"/>
          </w:tcPr>
          <w:p w14:paraId="339CB9AB" w14:textId="77777777" w:rsidR="00A37634" w:rsidRPr="00A37634" w:rsidRDefault="00A37634" w:rsidP="00A37634">
            <w:pPr>
              <w:spacing w:after="120" w:line="276" w:lineRule="auto"/>
              <w:rPr>
                <w:rFonts w:ascii="Calibri" w:eastAsia="Calibri" w:hAnsi="Calibri" w:cs="Calibri"/>
                <w:sz w:val="16"/>
                <w:szCs w:val="16"/>
                <w:lang w:val="en-AU"/>
              </w:rPr>
            </w:pPr>
          </w:p>
        </w:tc>
      </w:tr>
      <w:tr w:rsidR="00A37634" w:rsidRPr="00A37634" w14:paraId="0E82FB8B" w14:textId="77777777" w:rsidTr="00A37634">
        <w:tc>
          <w:tcPr>
            <w:tcW w:w="1135" w:type="dxa"/>
            <w:vMerge/>
          </w:tcPr>
          <w:p w14:paraId="6F792866" w14:textId="77777777" w:rsidR="00A37634" w:rsidRPr="00A37634" w:rsidRDefault="00A37634" w:rsidP="00A37634">
            <w:pPr>
              <w:spacing w:after="120" w:line="276" w:lineRule="auto"/>
              <w:rPr>
                <w:rFonts w:ascii="Calibri" w:eastAsia="Calibri" w:hAnsi="Calibri" w:cs="Calibri"/>
                <w:sz w:val="16"/>
                <w:szCs w:val="16"/>
                <w:lang w:val="en-AU"/>
              </w:rPr>
            </w:pPr>
          </w:p>
        </w:tc>
        <w:tc>
          <w:tcPr>
            <w:tcW w:w="1276" w:type="dxa"/>
          </w:tcPr>
          <w:p w14:paraId="160FC8DE" w14:textId="26EDA611"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4</w:t>
            </w:r>
            <w:r w:rsidR="001F1FB1">
              <w:rPr>
                <w:rFonts w:ascii="Calibri" w:eastAsia="Calibri" w:hAnsi="Calibri" w:cs="Calibri"/>
                <w:sz w:val="16"/>
                <w:szCs w:val="16"/>
                <w:lang w:val="en-AU"/>
              </w:rPr>
              <w:t xml:space="preserve"> (mandatory)</w:t>
            </w:r>
          </w:p>
        </w:tc>
        <w:tc>
          <w:tcPr>
            <w:tcW w:w="2353" w:type="dxa"/>
          </w:tcPr>
          <w:p w14:paraId="7699B134"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c>
          <w:tcPr>
            <w:tcW w:w="2353" w:type="dxa"/>
          </w:tcPr>
          <w:p w14:paraId="01301FD1"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w:t>
            </w:r>
          </w:p>
        </w:tc>
        <w:tc>
          <w:tcPr>
            <w:tcW w:w="2353" w:type="dxa"/>
            <w:shd w:val="clear" w:color="auto" w:fill="BFBFBF"/>
          </w:tcPr>
          <w:p w14:paraId="2E413539" w14:textId="12B04003"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$80/MWh for 100% of activated load switched on during negative price events. 20-60 hrs/yr in 2020 rising to 30-110 hrs/yr in 2035</w:t>
            </w:r>
          </w:p>
        </w:tc>
        <w:tc>
          <w:tcPr>
            <w:tcW w:w="2353" w:type="dxa"/>
          </w:tcPr>
          <w:p w14:paraId="16A38A34" w14:textId="77777777" w:rsidR="00A37634" w:rsidRPr="00A37634" w:rsidRDefault="00A37634" w:rsidP="00A37634">
            <w:pPr>
              <w:spacing w:after="120" w:line="276" w:lineRule="auto"/>
              <w:rPr>
                <w:rFonts w:ascii="Calibri" w:eastAsia="Calibri" w:hAnsi="Calibri" w:cs="Calibri"/>
                <w:color w:val="000000"/>
                <w:sz w:val="16"/>
                <w:szCs w:val="16"/>
                <w:lang w:val="en-AU"/>
              </w:rPr>
            </w:pPr>
            <w:r w:rsidRPr="00A37634">
              <w:rPr>
                <w:rFonts w:ascii="Calibri" w:eastAsia="Calibri" w:hAnsi="Calibri" w:cs="Calibri"/>
                <w:color w:val="000000"/>
                <w:sz w:val="16"/>
                <w:szCs w:val="16"/>
                <w:lang w:val="en-AU"/>
              </w:rPr>
              <w:t>None</w:t>
            </w:r>
          </w:p>
        </w:tc>
        <w:tc>
          <w:tcPr>
            <w:tcW w:w="2353" w:type="dxa"/>
          </w:tcPr>
          <w:p w14:paraId="1AF9983D" w14:textId="77777777" w:rsidR="00A37634" w:rsidRPr="00A37634" w:rsidRDefault="00A37634" w:rsidP="00A37634">
            <w:pPr>
              <w:spacing w:after="120" w:line="276" w:lineRule="auto"/>
              <w:rPr>
                <w:rFonts w:ascii="Calibri" w:eastAsia="Calibri" w:hAnsi="Calibri" w:cs="Calibri"/>
                <w:color w:val="000000"/>
                <w:sz w:val="16"/>
                <w:szCs w:val="16"/>
                <w:lang w:val="en-AU"/>
              </w:rPr>
            </w:pPr>
            <w:r w:rsidRPr="00A37634">
              <w:rPr>
                <w:rFonts w:ascii="Calibri" w:eastAsia="Calibri" w:hAnsi="Calibri" w:cs="Calibri"/>
                <w:color w:val="000000"/>
                <w:sz w:val="16"/>
                <w:szCs w:val="16"/>
                <w:lang w:val="en-AU"/>
              </w:rPr>
              <w:t xml:space="preserve">None </w:t>
            </w:r>
          </w:p>
          <w:p w14:paraId="745225D9" w14:textId="77777777" w:rsidR="00A37634" w:rsidRPr="00A37634" w:rsidRDefault="00A37634" w:rsidP="00A37634">
            <w:pPr>
              <w:spacing w:after="120" w:line="276" w:lineRule="auto"/>
              <w:rPr>
                <w:rFonts w:ascii="Calibri" w:eastAsia="Calibri" w:hAnsi="Calibri" w:cs="Calibri"/>
                <w:color w:val="000000"/>
                <w:sz w:val="16"/>
                <w:szCs w:val="16"/>
                <w:lang w:val="en-AU"/>
              </w:rPr>
            </w:pPr>
          </w:p>
        </w:tc>
      </w:tr>
      <w:tr w:rsidR="00A37634" w:rsidRPr="00A37634" w14:paraId="4BA9FF80" w14:textId="77777777" w:rsidTr="007C7289">
        <w:tc>
          <w:tcPr>
            <w:tcW w:w="1135" w:type="dxa"/>
            <w:vMerge w:val="restart"/>
          </w:tcPr>
          <w:p w14:paraId="51F8CF8C"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EV charger capable of discharge</w:t>
            </w:r>
          </w:p>
        </w:tc>
        <w:tc>
          <w:tcPr>
            <w:tcW w:w="1276" w:type="dxa"/>
          </w:tcPr>
          <w:p w14:paraId="513F15B6" w14:textId="19FE751B"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5 </w:t>
            </w:r>
            <w:r w:rsidR="001F1FB1">
              <w:rPr>
                <w:rFonts w:ascii="Calibri" w:eastAsia="Calibri" w:hAnsi="Calibri" w:cs="Calibri"/>
                <w:sz w:val="16"/>
                <w:szCs w:val="16"/>
                <w:lang w:val="en-AU"/>
              </w:rPr>
              <w:t>(mandatory)</w:t>
            </w:r>
          </w:p>
        </w:tc>
        <w:tc>
          <w:tcPr>
            <w:tcW w:w="2353" w:type="dxa"/>
          </w:tcPr>
          <w:p w14:paraId="7C30B783"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c>
          <w:tcPr>
            <w:tcW w:w="2353" w:type="dxa"/>
          </w:tcPr>
          <w:p w14:paraId="73FD18F8"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c>
          <w:tcPr>
            <w:tcW w:w="2353" w:type="dxa"/>
          </w:tcPr>
          <w:p w14:paraId="4FB3D003"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c>
          <w:tcPr>
            <w:tcW w:w="2353" w:type="dxa"/>
          </w:tcPr>
          <w:p w14:paraId="403FEEE9"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c>
          <w:tcPr>
            <w:tcW w:w="2353" w:type="dxa"/>
          </w:tcPr>
          <w:p w14:paraId="6FBD4918"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None – safety value</w:t>
            </w:r>
          </w:p>
        </w:tc>
      </w:tr>
      <w:tr w:rsidR="00A37634" w:rsidRPr="00A37634" w14:paraId="300DF0ED" w14:textId="77777777" w:rsidTr="007C7289">
        <w:tc>
          <w:tcPr>
            <w:tcW w:w="1135" w:type="dxa"/>
            <w:vMerge/>
          </w:tcPr>
          <w:p w14:paraId="53BBACFD" w14:textId="77777777" w:rsidR="00A37634" w:rsidRPr="00A37634" w:rsidRDefault="00A37634" w:rsidP="00A37634">
            <w:pPr>
              <w:spacing w:after="120" w:line="276" w:lineRule="auto"/>
              <w:rPr>
                <w:rFonts w:ascii="Calibri" w:eastAsia="Calibri" w:hAnsi="Calibri" w:cs="Calibri"/>
                <w:sz w:val="16"/>
                <w:szCs w:val="16"/>
                <w:lang w:val="en-AU"/>
              </w:rPr>
            </w:pPr>
          </w:p>
        </w:tc>
        <w:tc>
          <w:tcPr>
            <w:tcW w:w="1276" w:type="dxa"/>
          </w:tcPr>
          <w:p w14:paraId="61E8376E" w14:textId="4997227C"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 xml:space="preserve">8 (c) </w:t>
            </w:r>
            <w:r w:rsidR="001F1FB1">
              <w:rPr>
                <w:rFonts w:ascii="Calibri" w:eastAsia="Calibri" w:hAnsi="Calibri" w:cs="Calibri"/>
                <w:sz w:val="16"/>
                <w:szCs w:val="16"/>
                <w:lang w:val="en-AU"/>
              </w:rPr>
              <w:t>(mandatory)</w:t>
            </w:r>
          </w:p>
        </w:tc>
        <w:tc>
          <w:tcPr>
            <w:tcW w:w="2353" w:type="dxa"/>
          </w:tcPr>
          <w:p w14:paraId="24A368C7"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 additional value assigned</w:t>
            </w:r>
          </w:p>
        </w:tc>
        <w:tc>
          <w:tcPr>
            <w:tcW w:w="2353" w:type="dxa"/>
          </w:tcPr>
          <w:p w14:paraId="2BF770C3"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 additional value assigned</w:t>
            </w:r>
          </w:p>
        </w:tc>
        <w:tc>
          <w:tcPr>
            <w:tcW w:w="2353" w:type="dxa"/>
          </w:tcPr>
          <w:p w14:paraId="4EADB3D8"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 additional value assigned</w:t>
            </w:r>
          </w:p>
        </w:tc>
        <w:tc>
          <w:tcPr>
            <w:tcW w:w="2353" w:type="dxa"/>
          </w:tcPr>
          <w:p w14:paraId="78D9387C"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 additional value assigned</w:t>
            </w:r>
          </w:p>
        </w:tc>
        <w:tc>
          <w:tcPr>
            <w:tcW w:w="2353" w:type="dxa"/>
          </w:tcPr>
          <w:p w14:paraId="4058F724" w14:textId="77777777" w:rsidR="00A37634" w:rsidRPr="00A37634" w:rsidRDefault="00A37634" w:rsidP="00A37634">
            <w:pPr>
              <w:spacing w:after="120" w:line="276" w:lineRule="auto"/>
              <w:rPr>
                <w:rFonts w:ascii="Calibri" w:eastAsia="Calibri" w:hAnsi="Calibri" w:cs="Calibri"/>
                <w:sz w:val="16"/>
                <w:szCs w:val="16"/>
                <w:lang w:val="en-AU"/>
              </w:rPr>
            </w:pPr>
            <w:r w:rsidRPr="00A37634">
              <w:rPr>
                <w:rFonts w:ascii="Calibri" w:eastAsia="Calibri" w:hAnsi="Calibri" w:cs="Calibri"/>
                <w:sz w:val="16"/>
                <w:szCs w:val="16"/>
                <w:lang w:val="en-AU"/>
              </w:rPr>
              <w:t>No additional value assigned</w:t>
            </w:r>
          </w:p>
        </w:tc>
      </w:tr>
    </w:tbl>
    <w:bookmarkEnd w:id="196"/>
    <w:p w14:paraId="21E08D90" w14:textId="73801D4D" w:rsidR="00A37634" w:rsidRPr="00A37634" w:rsidRDefault="00A37634" w:rsidP="00A37634">
      <w:pPr>
        <w:spacing w:after="120" w:line="276" w:lineRule="auto"/>
        <w:ind w:left="360"/>
        <w:rPr>
          <w:rFonts w:ascii="Calibri" w:eastAsia="Calibri" w:hAnsi="Calibri" w:cs="Calibri"/>
          <w:szCs w:val="20"/>
          <w:lang w:val="en-AU"/>
        </w:rPr>
      </w:pPr>
      <w:r w:rsidRPr="00A37634">
        <w:rPr>
          <w:rFonts w:ascii="Calibri" w:eastAsia="Cambria" w:hAnsi="Calibri" w:cs="Calibri"/>
          <w:sz w:val="16"/>
          <w:szCs w:val="16"/>
          <w:lang w:val="en-AU"/>
        </w:rPr>
        <w:t xml:space="preserve">Shaded cells indicate DRMs used to calculate benefits. (a) Proposal is to mandate more DRMs than currently required for voluntary compliance with AS/NZS 4755 (b) See values </w:t>
      </w:r>
      <w:r w:rsidRPr="00A37634">
        <w:rPr>
          <w:rFonts w:ascii="Calibri" w:eastAsia="Cambria" w:hAnsi="Calibri" w:cs="Calibri"/>
          <w:sz w:val="16"/>
          <w:szCs w:val="16"/>
          <w:lang w:val="en-AU"/>
        </w:rPr>
        <w:fldChar w:fldCharType="begin"/>
      </w:r>
      <w:r w:rsidRPr="00A37634">
        <w:rPr>
          <w:rFonts w:ascii="Calibri" w:eastAsia="Cambria" w:hAnsi="Calibri" w:cs="Calibri"/>
          <w:sz w:val="16"/>
          <w:szCs w:val="16"/>
          <w:lang w:val="en-AU"/>
        </w:rPr>
        <w:instrText xml:space="preserve"> REF _Ref327025099 \h  \* MERGEFORMAT </w:instrText>
      </w:r>
      <w:r w:rsidRPr="00A37634">
        <w:rPr>
          <w:rFonts w:ascii="Calibri" w:eastAsia="Cambria" w:hAnsi="Calibri" w:cs="Calibri"/>
          <w:sz w:val="16"/>
          <w:szCs w:val="16"/>
          <w:lang w:val="en-AU"/>
        </w:rPr>
      </w:r>
      <w:r w:rsidRPr="00A37634">
        <w:rPr>
          <w:rFonts w:ascii="Calibri" w:eastAsia="Cambria" w:hAnsi="Calibri" w:cs="Calibri"/>
          <w:sz w:val="16"/>
          <w:szCs w:val="16"/>
          <w:lang w:val="en-AU"/>
        </w:rPr>
        <w:fldChar w:fldCharType="separate"/>
      </w:r>
      <w:r w:rsidR="006B22A7" w:rsidRPr="006B22A7">
        <w:rPr>
          <w:rFonts w:ascii="Calibri" w:eastAsia="Cambria" w:hAnsi="Calibri" w:cs="Calibri"/>
          <w:sz w:val="16"/>
          <w:szCs w:val="16"/>
          <w:lang w:val="en-AU"/>
        </w:rPr>
        <w:t xml:space="preserve">Table </w:t>
      </w:r>
      <w:r w:rsidR="006B22A7" w:rsidRPr="006B22A7">
        <w:rPr>
          <w:rFonts w:ascii="Calibri" w:eastAsia="Cambria" w:hAnsi="Calibri" w:cs="Calibri"/>
          <w:noProof/>
          <w:sz w:val="16"/>
          <w:szCs w:val="16"/>
          <w:lang w:val="en-AU"/>
        </w:rPr>
        <w:t>28</w:t>
      </w:r>
      <w:r w:rsidRPr="00A37634">
        <w:rPr>
          <w:rFonts w:ascii="Calibri" w:eastAsia="Cambria" w:hAnsi="Calibri" w:cs="Calibri"/>
          <w:sz w:val="16"/>
          <w:szCs w:val="16"/>
          <w:lang w:val="en-AU"/>
        </w:rPr>
        <w:fldChar w:fldCharType="end"/>
      </w:r>
      <w:r w:rsidRPr="00A37634">
        <w:rPr>
          <w:rFonts w:ascii="Calibri" w:eastAsia="Cambria" w:hAnsi="Calibri" w:cs="Calibri"/>
          <w:sz w:val="16"/>
          <w:szCs w:val="16"/>
          <w:lang w:val="en-AU"/>
        </w:rPr>
        <w:t xml:space="preserve"> (c) Response to a discharge request would be subject to an EV with sufficient charge being connected at the time. Additional DRMs 6 and 7 to remain optional.      </w:t>
      </w:r>
    </w:p>
    <w:p w14:paraId="4650497D" w14:textId="6C546FC9" w:rsidR="00A37634" w:rsidRPr="00E52766" w:rsidRDefault="001F1FB1" w:rsidP="00E52766">
      <w:pPr>
        <w:spacing w:before="240" w:after="120" w:line="240" w:lineRule="auto"/>
        <w:jc w:val="center"/>
        <w:rPr>
          <w:rFonts w:ascii="Calibri" w:eastAsia="Cambria" w:hAnsi="Calibri" w:cs="Calibri"/>
          <w:b/>
          <w:bCs/>
          <w:sz w:val="20"/>
          <w:szCs w:val="16"/>
          <w:lang w:val="en-AU"/>
        </w:rPr>
      </w:pPr>
      <w:bookmarkStart w:id="198" w:name="_Toc22486975"/>
      <w:r w:rsidRPr="00E52766">
        <w:rPr>
          <w:rFonts w:ascii="Calibri" w:eastAsia="Cambria" w:hAnsi="Calibri" w:cs="Calibri"/>
          <w:b/>
          <w:bCs/>
          <w:sz w:val="20"/>
          <w:szCs w:val="16"/>
          <w:lang w:val="en-AU"/>
        </w:rPr>
        <w:lastRenderedPageBreak/>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31</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w:t>
      </w:r>
      <w:r w:rsidR="00E52766" w:rsidRPr="00E52766">
        <w:rPr>
          <w:rFonts w:ascii="Calibri" w:eastAsia="Cambria" w:hAnsi="Calibri" w:cs="Calibri"/>
          <w:b/>
          <w:bCs/>
          <w:sz w:val="20"/>
          <w:szCs w:val="16"/>
          <w:lang w:val="en-AU"/>
        </w:rPr>
        <w:t xml:space="preserve">of </w:t>
      </w:r>
      <w:r w:rsidRPr="00E52766">
        <w:rPr>
          <w:rFonts w:ascii="Calibri" w:eastAsia="Cambria" w:hAnsi="Calibri" w:cs="Calibri"/>
          <w:b/>
          <w:bCs/>
          <w:sz w:val="20"/>
          <w:szCs w:val="16"/>
          <w:lang w:val="en-AU"/>
        </w:rPr>
        <w:t>cost and benefits by jurisdiction, Air Conditioners (Medium activation, 7% discount rate)</w:t>
      </w:r>
      <w:bookmarkEnd w:id="198"/>
    </w:p>
    <w:p w14:paraId="165CC948" w14:textId="3EF2CCB6" w:rsidR="00B303A7" w:rsidRDefault="00E06861" w:rsidP="00A37634">
      <w:pPr>
        <w:spacing w:after="120" w:line="276" w:lineRule="auto"/>
        <w:rPr>
          <w:rFonts w:ascii="Calibri" w:eastAsia="Calibri" w:hAnsi="Calibri" w:cs="Calibri"/>
          <w:szCs w:val="20"/>
          <w:lang w:val="en-AU"/>
        </w:rPr>
      </w:pPr>
      <w:r w:rsidRPr="00E06861">
        <w:rPr>
          <w:noProof/>
          <w:lang w:val="en-AU" w:eastAsia="en-AU"/>
        </w:rPr>
        <w:drawing>
          <wp:inline distT="0" distB="0" distL="0" distR="0" wp14:anchorId="42A163B9" wp14:editId="55C6AD82">
            <wp:extent cx="8515985" cy="14865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15985" cy="1486535"/>
                    </a:xfrm>
                    <a:prstGeom prst="rect">
                      <a:avLst/>
                    </a:prstGeom>
                    <a:noFill/>
                    <a:ln>
                      <a:noFill/>
                    </a:ln>
                  </pic:spPr>
                </pic:pic>
              </a:graphicData>
            </a:graphic>
          </wp:inline>
        </w:drawing>
      </w:r>
    </w:p>
    <w:p w14:paraId="2D323C50" w14:textId="6E1588F1" w:rsidR="00E52766" w:rsidRPr="00E52766" w:rsidRDefault="00E52766" w:rsidP="00E52766">
      <w:pPr>
        <w:spacing w:before="240" w:after="120" w:line="240" w:lineRule="auto"/>
        <w:jc w:val="center"/>
        <w:rPr>
          <w:rFonts w:ascii="Calibri" w:eastAsia="Cambria" w:hAnsi="Calibri" w:cs="Calibri"/>
          <w:b/>
          <w:bCs/>
          <w:sz w:val="20"/>
          <w:szCs w:val="16"/>
          <w:lang w:val="en-AU"/>
        </w:rPr>
      </w:pPr>
      <w:bookmarkStart w:id="199" w:name="_Toc22486976"/>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32</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 by jurisdiction, </w:t>
      </w:r>
      <w:r>
        <w:rPr>
          <w:rFonts w:ascii="Calibri" w:eastAsia="Cambria" w:hAnsi="Calibri" w:cs="Calibri"/>
          <w:b/>
          <w:bCs/>
          <w:sz w:val="20"/>
          <w:szCs w:val="16"/>
          <w:lang w:val="en-AU"/>
        </w:rPr>
        <w:t>Pool Pump Controllers</w:t>
      </w:r>
      <w:r w:rsidRPr="00E52766">
        <w:rPr>
          <w:rFonts w:ascii="Calibri" w:eastAsia="Cambria" w:hAnsi="Calibri" w:cs="Calibri"/>
          <w:b/>
          <w:bCs/>
          <w:sz w:val="20"/>
          <w:szCs w:val="16"/>
          <w:lang w:val="en-AU"/>
        </w:rPr>
        <w:t xml:space="preserve"> (Medium activation, 7% discount rate)</w:t>
      </w:r>
      <w:bookmarkEnd w:id="199"/>
    </w:p>
    <w:p w14:paraId="237432FC" w14:textId="29772428" w:rsidR="00E52766" w:rsidRDefault="00E06861" w:rsidP="00A37634">
      <w:pPr>
        <w:spacing w:after="120" w:line="276" w:lineRule="auto"/>
        <w:rPr>
          <w:rFonts w:ascii="Calibri" w:eastAsia="Calibri" w:hAnsi="Calibri" w:cs="Calibri"/>
          <w:szCs w:val="20"/>
          <w:lang w:val="en-AU"/>
        </w:rPr>
      </w:pPr>
      <w:r w:rsidRPr="00E06861">
        <w:rPr>
          <w:noProof/>
          <w:lang w:val="en-AU" w:eastAsia="en-AU"/>
        </w:rPr>
        <w:drawing>
          <wp:inline distT="0" distB="0" distL="0" distR="0" wp14:anchorId="5292B017" wp14:editId="00A8E849">
            <wp:extent cx="8515985" cy="14865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15985" cy="1486535"/>
                    </a:xfrm>
                    <a:prstGeom prst="rect">
                      <a:avLst/>
                    </a:prstGeom>
                    <a:noFill/>
                    <a:ln>
                      <a:noFill/>
                    </a:ln>
                  </pic:spPr>
                </pic:pic>
              </a:graphicData>
            </a:graphic>
          </wp:inline>
        </w:drawing>
      </w:r>
    </w:p>
    <w:p w14:paraId="783D65F1" w14:textId="75336D19" w:rsidR="00E52766" w:rsidRPr="00E52766" w:rsidRDefault="00E52766" w:rsidP="00E52766">
      <w:pPr>
        <w:spacing w:before="240" w:after="120" w:line="240" w:lineRule="auto"/>
        <w:jc w:val="center"/>
        <w:rPr>
          <w:rFonts w:ascii="Calibri" w:eastAsia="Cambria" w:hAnsi="Calibri" w:cs="Calibri"/>
          <w:b/>
          <w:bCs/>
          <w:sz w:val="20"/>
          <w:szCs w:val="16"/>
          <w:lang w:val="en-AU"/>
        </w:rPr>
      </w:pPr>
      <w:bookmarkStart w:id="200" w:name="_Toc22486977"/>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33</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 by jurisdiction, </w:t>
      </w:r>
      <w:r>
        <w:rPr>
          <w:rFonts w:ascii="Calibri" w:eastAsia="Cambria" w:hAnsi="Calibri" w:cs="Calibri"/>
          <w:b/>
          <w:bCs/>
          <w:sz w:val="20"/>
          <w:szCs w:val="16"/>
          <w:lang w:val="en-AU"/>
        </w:rPr>
        <w:t>Small Water Heaters</w:t>
      </w:r>
      <w:r w:rsidRPr="00E52766">
        <w:rPr>
          <w:rFonts w:ascii="Calibri" w:eastAsia="Cambria" w:hAnsi="Calibri" w:cs="Calibri"/>
          <w:b/>
          <w:bCs/>
          <w:sz w:val="20"/>
          <w:szCs w:val="16"/>
          <w:lang w:val="en-AU"/>
        </w:rPr>
        <w:t xml:space="preserve"> (Medium activation, 7% discount rate)</w:t>
      </w:r>
      <w:bookmarkEnd w:id="200"/>
    </w:p>
    <w:p w14:paraId="5F659DC3" w14:textId="0BF0D06B" w:rsidR="00E52766" w:rsidRDefault="00E06861" w:rsidP="00A37634">
      <w:pPr>
        <w:spacing w:after="120" w:line="276" w:lineRule="auto"/>
        <w:rPr>
          <w:rFonts w:ascii="Calibri" w:eastAsia="Calibri" w:hAnsi="Calibri" w:cs="Calibri"/>
          <w:szCs w:val="20"/>
          <w:lang w:val="en-AU"/>
        </w:rPr>
      </w:pPr>
      <w:r w:rsidRPr="00E06861">
        <w:rPr>
          <w:noProof/>
          <w:lang w:val="en-AU" w:eastAsia="en-AU"/>
        </w:rPr>
        <w:drawing>
          <wp:inline distT="0" distB="0" distL="0" distR="0" wp14:anchorId="5F72619E" wp14:editId="3524ACCF">
            <wp:extent cx="8515985" cy="1486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15985" cy="1486535"/>
                    </a:xfrm>
                    <a:prstGeom prst="rect">
                      <a:avLst/>
                    </a:prstGeom>
                    <a:noFill/>
                    <a:ln>
                      <a:noFill/>
                    </a:ln>
                  </pic:spPr>
                </pic:pic>
              </a:graphicData>
            </a:graphic>
          </wp:inline>
        </w:drawing>
      </w:r>
    </w:p>
    <w:p w14:paraId="185DED24" w14:textId="19C76A5E" w:rsidR="00E52766" w:rsidRDefault="00E52766" w:rsidP="00A37634">
      <w:pPr>
        <w:spacing w:after="120" w:line="276" w:lineRule="auto"/>
        <w:rPr>
          <w:rFonts w:ascii="Calibri" w:eastAsia="Calibri" w:hAnsi="Calibri" w:cs="Calibri"/>
          <w:szCs w:val="20"/>
          <w:lang w:val="en-AU"/>
        </w:rPr>
      </w:pPr>
    </w:p>
    <w:p w14:paraId="12485D16" w14:textId="0200B520" w:rsidR="00E52766" w:rsidRDefault="00E52766" w:rsidP="00A37634">
      <w:pPr>
        <w:spacing w:after="120" w:line="276" w:lineRule="auto"/>
        <w:rPr>
          <w:rFonts w:ascii="Calibri" w:eastAsia="Calibri" w:hAnsi="Calibri" w:cs="Calibri"/>
          <w:szCs w:val="20"/>
          <w:lang w:val="en-AU"/>
        </w:rPr>
      </w:pPr>
    </w:p>
    <w:p w14:paraId="7B894969" w14:textId="779850A3" w:rsidR="00E52766" w:rsidRPr="00E52766" w:rsidRDefault="00E52766" w:rsidP="00E52766">
      <w:pPr>
        <w:spacing w:before="240" w:after="120" w:line="240" w:lineRule="auto"/>
        <w:jc w:val="center"/>
        <w:rPr>
          <w:rFonts w:ascii="Calibri" w:eastAsia="Cambria" w:hAnsi="Calibri" w:cs="Calibri"/>
          <w:b/>
          <w:bCs/>
          <w:sz w:val="20"/>
          <w:szCs w:val="16"/>
          <w:lang w:val="en-AU"/>
        </w:rPr>
      </w:pPr>
      <w:bookmarkStart w:id="201" w:name="_Toc22486978"/>
      <w:r w:rsidRPr="00E52766">
        <w:rPr>
          <w:rFonts w:ascii="Calibri" w:eastAsia="Cambria" w:hAnsi="Calibri" w:cs="Calibri"/>
          <w:b/>
          <w:bCs/>
          <w:sz w:val="20"/>
          <w:szCs w:val="16"/>
          <w:lang w:val="en-AU"/>
        </w:rPr>
        <w:lastRenderedPageBreak/>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34</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 by jurisdiction, </w:t>
      </w:r>
      <w:r>
        <w:rPr>
          <w:rFonts w:ascii="Calibri" w:eastAsia="Cambria" w:hAnsi="Calibri" w:cs="Calibri"/>
          <w:b/>
          <w:bCs/>
          <w:sz w:val="20"/>
          <w:szCs w:val="16"/>
          <w:lang w:val="en-AU"/>
        </w:rPr>
        <w:t>Large Water Heaters</w:t>
      </w:r>
      <w:r w:rsidRPr="00E52766">
        <w:rPr>
          <w:rFonts w:ascii="Calibri" w:eastAsia="Cambria" w:hAnsi="Calibri" w:cs="Calibri"/>
          <w:b/>
          <w:bCs/>
          <w:sz w:val="20"/>
          <w:szCs w:val="16"/>
          <w:lang w:val="en-AU"/>
        </w:rPr>
        <w:t xml:space="preserve"> (Medium activation, 7% discount rate)</w:t>
      </w:r>
      <w:bookmarkEnd w:id="201"/>
    </w:p>
    <w:p w14:paraId="7031311D" w14:textId="6E2E4687" w:rsidR="00E52766" w:rsidRDefault="00E06861" w:rsidP="00A37634">
      <w:pPr>
        <w:spacing w:after="120" w:line="276" w:lineRule="auto"/>
        <w:rPr>
          <w:rFonts w:ascii="Calibri" w:eastAsia="Calibri" w:hAnsi="Calibri" w:cs="Calibri"/>
          <w:szCs w:val="20"/>
          <w:lang w:val="en-AU"/>
        </w:rPr>
      </w:pPr>
      <w:r w:rsidRPr="00E06861">
        <w:rPr>
          <w:noProof/>
          <w:lang w:val="en-AU" w:eastAsia="en-AU"/>
        </w:rPr>
        <w:drawing>
          <wp:inline distT="0" distB="0" distL="0" distR="0" wp14:anchorId="3A12C08F" wp14:editId="4E264202">
            <wp:extent cx="8515985" cy="14865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15985" cy="1486535"/>
                    </a:xfrm>
                    <a:prstGeom prst="rect">
                      <a:avLst/>
                    </a:prstGeom>
                    <a:noFill/>
                    <a:ln>
                      <a:noFill/>
                    </a:ln>
                  </pic:spPr>
                </pic:pic>
              </a:graphicData>
            </a:graphic>
          </wp:inline>
        </w:drawing>
      </w:r>
    </w:p>
    <w:p w14:paraId="1D9F7BCE" w14:textId="0B85BA0D" w:rsidR="00E52766" w:rsidRPr="00E52766" w:rsidRDefault="00E52766" w:rsidP="00E52766">
      <w:pPr>
        <w:spacing w:before="240" w:after="120" w:line="240" w:lineRule="auto"/>
        <w:jc w:val="center"/>
        <w:rPr>
          <w:rFonts w:ascii="Calibri" w:eastAsia="Cambria" w:hAnsi="Calibri" w:cs="Calibri"/>
          <w:b/>
          <w:bCs/>
          <w:sz w:val="20"/>
          <w:szCs w:val="16"/>
          <w:lang w:val="en-AU"/>
        </w:rPr>
      </w:pPr>
      <w:bookmarkStart w:id="202" w:name="_Toc22486979"/>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35</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 by jurisdiction, </w:t>
      </w:r>
      <w:r>
        <w:rPr>
          <w:rFonts w:ascii="Calibri" w:eastAsia="Cambria" w:hAnsi="Calibri" w:cs="Calibri"/>
          <w:b/>
          <w:bCs/>
          <w:sz w:val="20"/>
          <w:szCs w:val="16"/>
          <w:lang w:val="en-AU"/>
        </w:rPr>
        <w:t xml:space="preserve">Electric Vehicle Chargers </w:t>
      </w:r>
      <w:r w:rsidRPr="00E52766">
        <w:rPr>
          <w:rFonts w:ascii="Calibri" w:eastAsia="Cambria" w:hAnsi="Calibri" w:cs="Calibri"/>
          <w:b/>
          <w:bCs/>
          <w:sz w:val="20"/>
          <w:szCs w:val="16"/>
          <w:lang w:val="en-AU"/>
        </w:rPr>
        <w:t>(Medium activation, 7% discount rate)</w:t>
      </w:r>
      <w:bookmarkEnd w:id="202"/>
    </w:p>
    <w:p w14:paraId="18CD78C9" w14:textId="69AE524A" w:rsidR="00E52766" w:rsidRDefault="00E06861" w:rsidP="00A37634">
      <w:pPr>
        <w:spacing w:after="120" w:line="276" w:lineRule="auto"/>
        <w:rPr>
          <w:rFonts w:ascii="Calibri" w:eastAsia="Calibri" w:hAnsi="Calibri" w:cs="Calibri"/>
          <w:szCs w:val="20"/>
          <w:lang w:val="en-AU"/>
        </w:rPr>
      </w:pPr>
      <w:r w:rsidRPr="00E06861">
        <w:rPr>
          <w:noProof/>
          <w:lang w:val="en-AU" w:eastAsia="en-AU"/>
        </w:rPr>
        <w:drawing>
          <wp:inline distT="0" distB="0" distL="0" distR="0" wp14:anchorId="77567933" wp14:editId="41F908BE">
            <wp:extent cx="8515985" cy="1486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15985" cy="1486535"/>
                    </a:xfrm>
                    <a:prstGeom prst="rect">
                      <a:avLst/>
                    </a:prstGeom>
                    <a:noFill/>
                    <a:ln>
                      <a:noFill/>
                    </a:ln>
                  </pic:spPr>
                </pic:pic>
              </a:graphicData>
            </a:graphic>
          </wp:inline>
        </w:drawing>
      </w:r>
    </w:p>
    <w:p w14:paraId="41F1EB57" w14:textId="39C445B9" w:rsidR="00E52766" w:rsidRPr="00E52766" w:rsidRDefault="00E52766" w:rsidP="00E52766">
      <w:pPr>
        <w:spacing w:before="240" w:after="120" w:line="240" w:lineRule="auto"/>
        <w:jc w:val="center"/>
        <w:rPr>
          <w:rFonts w:ascii="Calibri" w:eastAsia="Cambria" w:hAnsi="Calibri" w:cs="Calibri"/>
          <w:b/>
          <w:bCs/>
          <w:sz w:val="20"/>
          <w:szCs w:val="16"/>
          <w:lang w:val="en-AU"/>
        </w:rPr>
      </w:pPr>
      <w:bookmarkStart w:id="203" w:name="_Toc22486980"/>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36</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 by jurisdiction, </w:t>
      </w:r>
      <w:r>
        <w:rPr>
          <w:rFonts w:ascii="Calibri" w:eastAsia="Cambria" w:hAnsi="Calibri" w:cs="Calibri"/>
          <w:b/>
          <w:bCs/>
          <w:sz w:val="20"/>
          <w:szCs w:val="16"/>
          <w:lang w:val="en-AU"/>
        </w:rPr>
        <w:t xml:space="preserve">All Products </w:t>
      </w:r>
      <w:r w:rsidRPr="00E52766">
        <w:rPr>
          <w:rFonts w:ascii="Calibri" w:eastAsia="Cambria" w:hAnsi="Calibri" w:cs="Calibri"/>
          <w:b/>
          <w:bCs/>
          <w:sz w:val="20"/>
          <w:szCs w:val="16"/>
          <w:lang w:val="en-AU"/>
        </w:rPr>
        <w:t>(Medium activation, 7% discount rate)</w:t>
      </w:r>
      <w:bookmarkEnd w:id="203"/>
    </w:p>
    <w:p w14:paraId="2A4E7BB0" w14:textId="47302AA5" w:rsidR="00E52766" w:rsidRDefault="00E06861" w:rsidP="00A37634">
      <w:pPr>
        <w:spacing w:after="120" w:line="276" w:lineRule="auto"/>
        <w:rPr>
          <w:rFonts w:ascii="Calibri" w:eastAsia="Calibri" w:hAnsi="Calibri" w:cs="Calibri"/>
          <w:szCs w:val="20"/>
          <w:lang w:val="en-AU"/>
        </w:rPr>
      </w:pPr>
      <w:r w:rsidRPr="00E06861">
        <w:rPr>
          <w:noProof/>
          <w:lang w:val="en-AU" w:eastAsia="en-AU"/>
        </w:rPr>
        <w:drawing>
          <wp:inline distT="0" distB="0" distL="0" distR="0" wp14:anchorId="1FE77034" wp14:editId="42E46ACD">
            <wp:extent cx="8515985" cy="14865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15985" cy="1486535"/>
                    </a:xfrm>
                    <a:prstGeom prst="rect">
                      <a:avLst/>
                    </a:prstGeom>
                    <a:noFill/>
                    <a:ln>
                      <a:noFill/>
                    </a:ln>
                  </pic:spPr>
                </pic:pic>
              </a:graphicData>
            </a:graphic>
          </wp:inline>
        </w:drawing>
      </w:r>
    </w:p>
    <w:p w14:paraId="333D864B" w14:textId="0CF35344" w:rsidR="00E52766" w:rsidRDefault="00E52766" w:rsidP="00A37634">
      <w:pPr>
        <w:spacing w:after="120" w:line="276" w:lineRule="auto"/>
        <w:rPr>
          <w:rFonts w:ascii="Calibri" w:eastAsia="Calibri" w:hAnsi="Calibri" w:cs="Calibri"/>
          <w:szCs w:val="20"/>
          <w:lang w:val="en-AU"/>
        </w:rPr>
      </w:pPr>
    </w:p>
    <w:p w14:paraId="6DCE0136" w14:textId="1C369867" w:rsidR="00E06861" w:rsidRDefault="00E06861" w:rsidP="00A37634">
      <w:pPr>
        <w:spacing w:after="120" w:line="276" w:lineRule="auto"/>
        <w:rPr>
          <w:rFonts w:ascii="Calibri" w:eastAsia="Calibri" w:hAnsi="Calibri" w:cs="Calibri"/>
          <w:szCs w:val="20"/>
          <w:lang w:val="en-AU"/>
        </w:rPr>
      </w:pPr>
    </w:p>
    <w:p w14:paraId="2EF2D595" w14:textId="4BB8EC21" w:rsidR="00E06861" w:rsidRPr="00E52766" w:rsidRDefault="00E06861" w:rsidP="00E06861">
      <w:pPr>
        <w:spacing w:before="240" w:after="120" w:line="240" w:lineRule="auto"/>
        <w:jc w:val="center"/>
        <w:rPr>
          <w:rFonts w:ascii="Calibri" w:eastAsia="Cambria" w:hAnsi="Calibri" w:cs="Calibri"/>
          <w:b/>
          <w:bCs/>
          <w:sz w:val="20"/>
          <w:szCs w:val="16"/>
          <w:lang w:val="en-AU"/>
        </w:rPr>
      </w:pPr>
      <w:bookmarkStart w:id="204" w:name="_Ref22219331"/>
      <w:bookmarkStart w:id="205" w:name="_Toc22486981"/>
      <w:r w:rsidRPr="00E52766">
        <w:rPr>
          <w:rFonts w:ascii="Calibri" w:eastAsia="Cambria" w:hAnsi="Calibri" w:cs="Calibri"/>
          <w:b/>
          <w:bCs/>
          <w:sz w:val="20"/>
          <w:szCs w:val="16"/>
          <w:lang w:val="en-AU"/>
        </w:rPr>
        <w:lastRenderedPageBreak/>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37</w:t>
      </w:r>
      <w:r w:rsidRPr="00E52766">
        <w:rPr>
          <w:rFonts w:ascii="Calibri" w:eastAsia="Cambria" w:hAnsi="Calibri" w:cs="Calibri"/>
          <w:b/>
          <w:bCs/>
          <w:sz w:val="20"/>
          <w:szCs w:val="16"/>
          <w:lang w:val="en-AU"/>
        </w:rPr>
        <w:fldChar w:fldCharType="end"/>
      </w:r>
      <w:bookmarkEnd w:id="204"/>
      <w:r w:rsidRPr="00E52766">
        <w:rPr>
          <w:rFonts w:ascii="Calibri" w:eastAsia="Cambria" w:hAnsi="Calibri" w:cs="Calibri"/>
          <w:b/>
          <w:bCs/>
          <w:sz w:val="20"/>
          <w:szCs w:val="16"/>
          <w:lang w:val="en-AU"/>
        </w:rPr>
        <w:t xml:space="preserve"> Summary of cost and benefits</w:t>
      </w:r>
      <w:r w:rsidR="00F6489F">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sidR="00F6489F">
        <w:rPr>
          <w:rFonts w:ascii="Calibri" w:eastAsia="Cambria" w:hAnsi="Calibri" w:cs="Calibri"/>
          <w:b/>
          <w:bCs/>
          <w:sz w:val="20"/>
          <w:szCs w:val="16"/>
          <w:lang w:val="en-AU"/>
        </w:rPr>
        <w:t>NSW</w:t>
      </w:r>
      <w:r>
        <w:rPr>
          <w:rFonts w:ascii="Calibri" w:eastAsia="Cambria" w:hAnsi="Calibri" w:cs="Calibri"/>
          <w:b/>
          <w:bCs/>
          <w:sz w:val="20"/>
          <w:szCs w:val="16"/>
          <w:lang w:val="en-AU"/>
        </w:rPr>
        <w:t xml:space="preserve"> </w:t>
      </w:r>
      <w:r w:rsidRPr="00E52766">
        <w:rPr>
          <w:rFonts w:ascii="Calibri" w:eastAsia="Cambria" w:hAnsi="Calibri" w:cs="Calibri"/>
          <w:b/>
          <w:bCs/>
          <w:sz w:val="20"/>
          <w:szCs w:val="16"/>
          <w:lang w:val="en-AU"/>
        </w:rPr>
        <w:t>(Medium activation, 7% discount rate)</w:t>
      </w:r>
      <w:bookmarkEnd w:id="205"/>
    </w:p>
    <w:p w14:paraId="75817710" w14:textId="1E7385B3" w:rsidR="00E06861" w:rsidRDefault="00F6489F" w:rsidP="00A37634">
      <w:pPr>
        <w:spacing w:after="120" w:line="276" w:lineRule="auto"/>
        <w:rPr>
          <w:rFonts w:ascii="Calibri" w:eastAsia="Calibri" w:hAnsi="Calibri" w:cs="Calibri"/>
          <w:szCs w:val="20"/>
          <w:lang w:val="en-AU"/>
        </w:rPr>
      </w:pPr>
      <w:r w:rsidRPr="00F6489F">
        <w:rPr>
          <w:noProof/>
          <w:lang w:val="en-AU" w:eastAsia="en-AU"/>
        </w:rPr>
        <w:drawing>
          <wp:inline distT="0" distB="0" distL="0" distR="0" wp14:anchorId="68296037" wp14:editId="3985E349">
            <wp:extent cx="8515985" cy="9499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15985" cy="949960"/>
                    </a:xfrm>
                    <a:prstGeom prst="rect">
                      <a:avLst/>
                    </a:prstGeom>
                    <a:noFill/>
                    <a:ln>
                      <a:noFill/>
                    </a:ln>
                  </pic:spPr>
                </pic:pic>
              </a:graphicData>
            </a:graphic>
          </wp:inline>
        </w:drawing>
      </w:r>
    </w:p>
    <w:p w14:paraId="4921DEAC" w14:textId="32AF1700" w:rsidR="00F6489F" w:rsidRDefault="00F6489F" w:rsidP="00F6489F">
      <w:pPr>
        <w:spacing w:before="240" w:after="120" w:line="240" w:lineRule="auto"/>
        <w:jc w:val="center"/>
        <w:rPr>
          <w:rFonts w:ascii="Calibri" w:eastAsia="Cambria" w:hAnsi="Calibri" w:cs="Calibri"/>
          <w:b/>
          <w:bCs/>
          <w:sz w:val="20"/>
          <w:szCs w:val="16"/>
          <w:lang w:val="en-AU"/>
        </w:rPr>
      </w:pPr>
      <w:bookmarkStart w:id="206" w:name="_Toc22486982"/>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38</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w:t>
      </w:r>
      <w:r>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 xml:space="preserve">Victoria </w:t>
      </w:r>
      <w:r w:rsidRPr="00E52766">
        <w:rPr>
          <w:rFonts w:ascii="Calibri" w:eastAsia="Cambria" w:hAnsi="Calibri" w:cs="Calibri"/>
          <w:b/>
          <w:bCs/>
          <w:sz w:val="20"/>
          <w:szCs w:val="16"/>
          <w:lang w:val="en-AU"/>
        </w:rPr>
        <w:t>(Medium activation, 7% discount rate)</w:t>
      </w:r>
      <w:bookmarkEnd w:id="206"/>
    </w:p>
    <w:p w14:paraId="38CDD054" w14:textId="40D2F9BB" w:rsidR="00F6489F" w:rsidRDefault="00F6489F" w:rsidP="00F6489F">
      <w:pPr>
        <w:spacing w:before="240" w:after="120" w:line="240" w:lineRule="auto"/>
        <w:jc w:val="center"/>
        <w:rPr>
          <w:rFonts w:ascii="Calibri" w:eastAsia="Cambria" w:hAnsi="Calibri" w:cs="Calibri"/>
          <w:b/>
          <w:bCs/>
          <w:sz w:val="20"/>
          <w:szCs w:val="16"/>
          <w:lang w:val="en-AU"/>
        </w:rPr>
      </w:pPr>
      <w:r w:rsidRPr="00F6489F">
        <w:rPr>
          <w:noProof/>
          <w:lang w:val="en-AU" w:eastAsia="en-AU"/>
        </w:rPr>
        <w:drawing>
          <wp:inline distT="0" distB="0" distL="0" distR="0" wp14:anchorId="57E26FF8" wp14:editId="2C0061CB">
            <wp:extent cx="8515985" cy="9499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15985" cy="949960"/>
                    </a:xfrm>
                    <a:prstGeom prst="rect">
                      <a:avLst/>
                    </a:prstGeom>
                    <a:noFill/>
                    <a:ln>
                      <a:noFill/>
                    </a:ln>
                  </pic:spPr>
                </pic:pic>
              </a:graphicData>
            </a:graphic>
          </wp:inline>
        </w:drawing>
      </w:r>
    </w:p>
    <w:p w14:paraId="5AD6F03B" w14:textId="4C4E5463" w:rsidR="00F6489F" w:rsidRDefault="00F6489F" w:rsidP="00F6489F">
      <w:pPr>
        <w:spacing w:before="240" w:after="120" w:line="240" w:lineRule="auto"/>
        <w:jc w:val="center"/>
        <w:rPr>
          <w:rFonts w:ascii="Calibri" w:eastAsia="Cambria" w:hAnsi="Calibri" w:cs="Calibri"/>
          <w:b/>
          <w:bCs/>
          <w:sz w:val="20"/>
          <w:szCs w:val="16"/>
          <w:lang w:val="en-AU"/>
        </w:rPr>
      </w:pPr>
      <w:bookmarkStart w:id="207" w:name="_Toc22486983"/>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39</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w:t>
      </w:r>
      <w:r>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 xml:space="preserve">Queensland </w:t>
      </w:r>
      <w:r w:rsidRPr="00E52766">
        <w:rPr>
          <w:rFonts w:ascii="Calibri" w:eastAsia="Cambria" w:hAnsi="Calibri" w:cs="Calibri"/>
          <w:b/>
          <w:bCs/>
          <w:sz w:val="20"/>
          <w:szCs w:val="16"/>
          <w:lang w:val="en-AU"/>
        </w:rPr>
        <w:t>(Medium activation, 7% discount rate)</w:t>
      </w:r>
      <w:bookmarkEnd w:id="207"/>
    </w:p>
    <w:p w14:paraId="731857A5" w14:textId="4043AC1D" w:rsidR="00F6489F" w:rsidRDefault="00F6489F" w:rsidP="00F6489F">
      <w:pPr>
        <w:spacing w:before="240" w:after="120" w:line="240" w:lineRule="auto"/>
        <w:jc w:val="center"/>
        <w:rPr>
          <w:rFonts w:ascii="Calibri" w:eastAsia="Cambria" w:hAnsi="Calibri" w:cs="Calibri"/>
          <w:b/>
          <w:bCs/>
          <w:sz w:val="20"/>
          <w:szCs w:val="16"/>
          <w:lang w:val="en-AU"/>
        </w:rPr>
      </w:pPr>
      <w:r w:rsidRPr="00F6489F">
        <w:rPr>
          <w:noProof/>
          <w:lang w:val="en-AU" w:eastAsia="en-AU"/>
        </w:rPr>
        <w:drawing>
          <wp:inline distT="0" distB="0" distL="0" distR="0" wp14:anchorId="2A496C4D" wp14:editId="626E7109">
            <wp:extent cx="8515985" cy="9499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15985" cy="949960"/>
                    </a:xfrm>
                    <a:prstGeom prst="rect">
                      <a:avLst/>
                    </a:prstGeom>
                    <a:noFill/>
                    <a:ln>
                      <a:noFill/>
                    </a:ln>
                  </pic:spPr>
                </pic:pic>
              </a:graphicData>
            </a:graphic>
          </wp:inline>
        </w:drawing>
      </w:r>
    </w:p>
    <w:p w14:paraId="34F91933" w14:textId="75F2AFCD" w:rsidR="00F6489F" w:rsidRDefault="00F6489F" w:rsidP="00F6489F">
      <w:pPr>
        <w:spacing w:before="240" w:after="120" w:line="240" w:lineRule="auto"/>
        <w:jc w:val="center"/>
        <w:rPr>
          <w:rFonts w:ascii="Calibri" w:eastAsia="Cambria" w:hAnsi="Calibri" w:cs="Calibri"/>
          <w:b/>
          <w:bCs/>
          <w:sz w:val="20"/>
          <w:szCs w:val="16"/>
          <w:lang w:val="en-AU"/>
        </w:rPr>
      </w:pPr>
      <w:bookmarkStart w:id="208" w:name="_Toc22486984"/>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40</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w:t>
      </w:r>
      <w:r>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 xml:space="preserve">SA </w:t>
      </w:r>
      <w:r w:rsidRPr="00E52766">
        <w:rPr>
          <w:rFonts w:ascii="Calibri" w:eastAsia="Cambria" w:hAnsi="Calibri" w:cs="Calibri"/>
          <w:b/>
          <w:bCs/>
          <w:sz w:val="20"/>
          <w:szCs w:val="16"/>
          <w:lang w:val="en-AU"/>
        </w:rPr>
        <w:t>(Medium activation, 7% discount rate)</w:t>
      </w:r>
      <w:bookmarkEnd w:id="208"/>
    </w:p>
    <w:p w14:paraId="2BB2E690" w14:textId="74A1C8AD" w:rsidR="00F6489F" w:rsidRDefault="00F6489F" w:rsidP="00F6489F">
      <w:pPr>
        <w:spacing w:before="240" w:after="120" w:line="240" w:lineRule="auto"/>
        <w:jc w:val="center"/>
        <w:rPr>
          <w:rFonts w:ascii="Calibri" w:eastAsia="Cambria" w:hAnsi="Calibri" w:cs="Calibri"/>
          <w:b/>
          <w:bCs/>
          <w:sz w:val="20"/>
          <w:szCs w:val="16"/>
          <w:lang w:val="en-AU"/>
        </w:rPr>
      </w:pPr>
      <w:r w:rsidRPr="00F6489F">
        <w:rPr>
          <w:noProof/>
          <w:lang w:val="en-AU" w:eastAsia="en-AU"/>
        </w:rPr>
        <w:drawing>
          <wp:inline distT="0" distB="0" distL="0" distR="0" wp14:anchorId="334DB490" wp14:editId="5429F2B2">
            <wp:extent cx="8515985" cy="9499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15985" cy="949960"/>
                    </a:xfrm>
                    <a:prstGeom prst="rect">
                      <a:avLst/>
                    </a:prstGeom>
                    <a:noFill/>
                    <a:ln>
                      <a:noFill/>
                    </a:ln>
                  </pic:spPr>
                </pic:pic>
              </a:graphicData>
            </a:graphic>
          </wp:inline>
        </w:drawing>
      </w:r>
    </w:p>
    <w:p w14:paraId="7AE4C226" w14:textId="77777777" w:rsidR="00F6489F" w:rsidRDefault="00F6489F" w:rsidP="00F6489F">
      <w:pPr>
        <w:spacing w:before="240" w:after="120" w:line="240" w:lineRule="auto"/>
        <w:jc w:val="center"/>
        <w:rPr>
          <w:rFonts w:ascii="Calibri" w:eastAsia="Cambria" w:hAnsi="Calibri" w:cs="Calibri"/>
          <w:b/>
          <w:bCs/>
          <w:sz w:val="20"/>
          <w:szCs w:val="16"/>
          <w:lang w:val="en-AU"/>
        </w:rPr>
      </w:pPr>
    </w:p>
    <w:p w14:paraId="33D1642F" w14:textId="68507FC9" w:rsidR="00F6489F" w:rsidRDefault="00F6489F" w:rsidP="00F6489F">
      <w:pPr>
        <w:spacing w:before="240" w:after="120" w:line="240" w:lineRule="auto"/>
        <w:jc w:val="center"/>
        <w:rPr>
          <w:rFonts w:ascii="Calibri" w:eastAsia="Cambria" w:hAnsi="Calibri" w:cs="Calibri"/>
          <w:b/>
          <w:bCs/>
          <w:sz w:val="20"/>
          <w:szCs w:val="16"/>
          <w:lang w:val="en-AU"/>
        </w:rPr>
      </w:pPr>
    </w:p>
    <w:p w14:paraId="6B526EFE" w14:textId="636437B2" w:rsidR="00F6489F" w:rsidRDefault="00F6489F" w:rsidP="00F6489F">
      <w:pPr>
        <w:spacing w:before="240" w:after="120" w:line="240" w:lineRule="auto"/>
        <w:jc w:val="center"/>
        <w:rPr>
          <w:rFonts w:ascii="Calibri" w:eastAsia="Cambria" w:hAnsi="Calibri" w:cs="Calibri"/>
          <w:b/>
          <w:bCs/>
          <w:sz w:val="20"/>
          <w:szCs w:val="16"/>
          <w:lang w:val="en-AU"/>
        </w:rPr>
      </w:pPr>
      <w:bookmarkStart w:id="209" w:name="_Toc22486985"/>
      <w:r w:rsidRPr="00E52766">
        <w:rPr>
          <w:rFonts w:ascii="Calibri" w:eastAsia="Cambria" w:hAnsi="Calibri" w:cs="Calibri"/>
          <w:b/>
          <w:bCs/>
          <w:sz w:val="20"/>
          <w:szCs w:val="16"/>
          <w:lang w:val="en-AU"/>
        </w:rPr>
        <w:lastRenderedPageBreak/>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41</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w:t>
      </w:r>
      <w:r>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 xml:space="preserve">WA </w:t>
      </w:r>
      <w:r w:rsidRPr="00E52766">
        <w:rPr>
          <w:rFonts w:ascii="Calibri" w:eastAsia="Cambria" w:hAnsi="Calibri" w:cs="Calibri"/>
          <w:b/>
          <w:bCs/>
          <w:sz w:val="20"/>
          <w:szCs w:val="16"/>
          <w:lang w:val="en-AU"/>
        </w:rPr>
        <w:t>(Medium activation, 7% discount rate)</w:t>
      </w:r>
      <w:bookmarkEnd w:id="209"/>
    </w:p>
    <w:p w14:paraId="73433C26" w14:textId="558B4D68" w:rsidR="00F6489F" w:rsidRDefault="00F6489F" w:rsidP="00F6489F">
      <w:pPr>
        <w:spacing w:before="240" w:after="120" w:line="240" w:lineRule="auto"/>
        <w:jc w:val="center"/>
        <w:rPr>
          <w:rFonts w:ascii="Calibri" w:eastAsia="Cambria" w:hAnsi="Calibri" w:cs="Calibri"/>
          <w:b/>
          <w:bCs/>
          <w:sz w:val="20"/>
          <w:szCs w:val="16"/>
          <w:lang w:val="en-AU"/>
        </w:rPr>
      </w:pPr>
      <w:r w:rsidRPr="00F6489F">
        <w:rPr>
          <w:noProof/>
          <w:lang w:val="en-AU" w:eastAsia="en-AU"/>
        </w:rPr>
        <w:drawing>
          <wp:inline distT="0" distB="0" distL="0" distR="0" wp14:anchorId="7D67700D" wp14:editId="4BE43B22">
            <wp:extent cx="8515985" cy="9499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15985" cy="949960"/>
                    </a:xfrm>
                    <a:prstGeom prst="rect">
                      <a:avLst/>
                    </a:prstGeom>
                    <a:noFill/>
                    <a:ln>
                      <a:noFill/>
                    </a:ln>
                  </pic:spPr>
                </pic:pic>
              </a:graphicData>
            </a:graphic>
          </wp:inline>
        </w:drawing>
      </w:r>
    </w:p>
    <w:p w14:paraId="34F5EA18" w14:textId="46DB6F95" w:rsidR="00F6489F" w:rsidRDefault="00F6489F" w:rsidP="00F6489F">
      <w:pPr>
        <w:spacing w:before="240" w:after="120" w:line="240" w:lineRule="auto"/>
        <w:jc w:val="center"/>
        <w:rPr>
          <w:rFonts w:ascii="Calibri" w:eastAsia="Cambria" w:hAnsi="Calibri" w:cs="Calibri"/>
          <w:b/>
          <w:bCs/>
          <w:sz w:val="20"/>
          <w:szCs w:val="16"/>
          <w:lang w:val="en-AU"/>
        </w:rPr>
      </w:pPr>
      <w:bookmarkStart w:id="210" w:name="_Toc22486986"/>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42</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w:t>
      </w:r>
      <w:r>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 xml:space="preserve">Tasmania </w:t>
      </w:r>
      <w:r w:rsidRPr="00E52766">
        <w:rPr>
          <w:rFonts w:ascii="Calibri" w:eastAsia="Cambria" w:hAnsi="Calibri" w:cs="Calibri"/>
          <w:b/>
          <w:bCs/>
          <w:sz w:val="20"/>
          <w:szCs w:val="16"/>
          <w:lang w:val="en-AU"/>
        </w:rPr>
        <w:t>(Medium activation, 7% discount rate)</w:t>
      </w:r>
      <w:bookmarkEnd w:id="210"/>
    </w:p>
    <w:p w14:paraId="5AE7731B" w14:textId="0A99492F" w:rsidR="00F6489F" w:rsidRDefault="00F6489F" w:rsidP="00F6489F">
      <w:pPr>
        <w:spacing w:before="240" w:after="120" w:line="240" w:lineRule="auto"/>
        <w:jc w:val="center"/>
        <w:rPr>
          <w:rFonts w:ascii="Calibri" w:eastAsia="Cambria" w:hAnsi="Calibri" w:cs="Calibri"/>
          <w:b/>
          <w:bCs/>
          <w:sz w:val="20"/>
          <w:szCs w:val="16"/>
          <w:lang w:val="en-AU"/>
        </w:rPr>
      </w:pPr>
      <w:r w:rsidRPr="00F6489F">
        <w:rPr>
          <w:noProof/>
          <w:lang w:val="en-AU" w:eastAsia="en-AU"/>
        </w:rPr>
        <w:drawing>
          <wp:inline distT="0" distB="0" distL="0" distR="0" wp14:anchorId="21EAB262" wp14:editId="5272B8D7">
            <wp:extent cx="8515985" cy="9499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15985" cy="949960"/>
                    </a:xfrm>
                    <a:prstGeom prst="rect">
                      <a:avLst/>
                    </a:prstGeom>
                    <a:noFill/>
                    <a:ln>
                      <a:noFill/>
                    </a:ln>
                  </pic:spPr>
                </pic:pic>
              </a:graphicData>
            </a:graphic>
          </wp:inline>
        </w:drawing>
      </w:r>
    </w:p>
    <w:p w14:paraId="6B0619E6" w14:textId="52F7784C" w:rsidR="00F6489F" w:rsidRDefault="00F6489F" w:rsidP="00F6489F">
      <w:pPr>
        <w:spacing w:before="240" w:after="120" w:line="240" w:lineRule="auto"/>
        <w:jc w:val="center"/>
        <w:rPr>
          <w:rFonts w:ascii="Calibri" w:eastAsia="Cambria" w:hAnsi="Calibri" w:cs="Calibri"/>
          <w:b/>
          <w:bCs/>
          <w:sz w:val="20"/>
          <w:szCs w:val="16"/>
          <w:lang w:val="en-AU"/>
        </w:rPr>
      </w:pPr>
      <w:bookmarkStart w:id="211" w:name="_Toc22486987"/>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43</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w:t>
      </w:r>
      <w:r>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 xml:space="preserve">NT </w:t>
      </w:r>
      <w:r w:rsidRPr="00E52766">
        <w:rPr>
          <w:rFonts w:ascii="Calibri" w:eastAsia="Cambria" w:hAnsi="Calibri" w:cs="Calibri"/>
          <w:b/>
          <w:bCs/>
          <w:sz w:val="20"/>
          <w:szCs w:val="16"/>
          <w:lang w:val="en-AU"/>
        </w:rPr>
        <w:t>(Medium activation, 7% discount rate)</w:t>
      </w:r>
      <w:bookmarkEnd w:id="211"/>
    </w:p>
    <w:p w14:paraId="27405B95" w14:textId="0DFAB6C6" w:rsidR="00F6489F" w:rsidRDefault="00F6489F" w:rsidP="00F6489F">
      <w:pPr>
        <w:spacing w:before="240" w:after="120" w:line="240" w:lineRule="auto"/>
        <w:jc w:val="center"/>
        <w:rPr>
          <w:rFonts w:ascii="Calibri" w:eastAsia="Cambria" w:hAnsi="Calibri" w:cs="Calibri"/>
          <w:b/>
          <w:bCs/>
          <w:sz w:val="20"/>
          <w:szCs w:val="16"/>
          <w:lang w:val="en-AU"/>
        </w:rPr>
      </w:pPr>
      <w:r w:rsidRPr="00F6489F">
        <w:rPr>
          <w:noProof/>
          <w:lang w:val="en-AU" w:eastAsia="en-AU"/>
        </w:rPr>
        <w:drawing>
          <wp:inline distT="0" distB="0" distL="0" distR="0" wp14:anchorId="60248FF6" wp14:editId="2D6C492A">
            <wp:extent cx="8515985" cy="9499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15985" cy="949960"/>
                    </a:xfrm>
                    <a:prstGeom prst="rect">
                      <a:avLst/>
                    </a:prstGeom>
                    <a:noFill/>
                    <a:ln>
                      <a:noFill/>
                    </a:ln>
                  </pic:spPr>
                </pic:pic>
              </a:graphicData>
            </a:graphic>
          </wp:inline>
        </w:drawing>
      </w:r>
    </w:p>
    <w:p w14:paraId="1B1ED6CB" w14:textId="618B8B0C" w:rsidR="00F6489F" w:rsidRDefault="00F6489F" w:rsidP="00F6489F">
      <w:pPr>
        <w:spacing w:before="240" w:after="120" w:line="240" w:lineRule="auto"/>
        <w:jc w:val="center"/>
        <w:rPr>
          <w:rFonts w:ascii="Calibri" w:eastAsia="Cambria" w:hAnsi="Calibri" w:cs="Calibri"/>
          <w:b/>
          <w:bCs/>
          <w:sz w:val="20"/>
          <w:szCs w:val="16"/>
          <w:lang w:val="en-AU"/>
        </w:rPr>
      </w:pPr>
      <w:bookmarkStart w:id="212" w:name="_Toc22486988"/>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44</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w:t>
      </w:r>
      <w:r>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 xml:space="preserve">ACT </w:t>
      </w:r>
      <w:r w:rsidRPr="00E52766">
        <w:rPr>
          <w:rFonts w:ascii="Calibri" w:eastAsia="Cambria" w:hAnsi="Calibri" w:cs="Calibri"/>
          <w:b/>
          <w:bCs/>
          <w:sz w:val="20"/>
          <w:szCs w:val="16"/>
          <w:lang w:val="en-AU"/>
        </w:rPr>
        <w:t>(Medium activation, 7% discount rate)</w:t>
      </w:r>
      <w:bookmarkEnd w:id="212"/>
    </w:p>
    <w:p w14:paraId="18931AD9" w14:textId="42024732" w:rsidR="00F6489F" w:rsidRDefault="00F6489F" w:rsidP="00F6489F">
      <w:pPr>
        <w:spacing w:before="240" w:after="120" w:line="240" w:lineRule="auto"/>
        <w:jc w:val="center"/>
        <w:rPr>
          <w:rFonts w:ascii="Calibri" w:eastAsia="Cambria" w:hAnsi="Calibri" w:cs="Calibri"/>
          <w:b/>
          <w:bCs/>
          <w:sz w:val="20"/>
          <w:szCs w:val="16"/>
          <w:lang w:val="en-AU"/>
        </w:rPr>
      </w:pPr>
      <w:r w:rsidRPr="00F6489F">
        <w:rPr>
          <w:noProof/>
          <w:lang w:val="en-AU" w:eastAsia="en-AU"/>
        </w:rPr>
        <w:drawing>
          <wp:inline distT="0" distB="0" distL="0" distR="0" wp14:anchorId="69823428" wp14:editId="0BAD1280">
            <wp:extent cx="8515985" cy="9499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15985" cy="949960"/>
                    </a:xfrm>
                    <a:prstGeom prst="rect">
                      <a:avLst/>
                    </a:prstGeom>
                    <a:noFill/>
                    <a:ln>
                      <a:noFill/>
                    </a:ln>
                  </pic:spPr>
                </pic:pic>
              </a:graphicData>
            </a:graphic>
          </wp:inline>
        </w:drawing>
      </w:r>
    </w:p>
    <w:p w14:paraId="00501ECB" w14:textId="1CB9FD0F" w:rsidR="00F6489F" w:rsidRDefault="00F6489F" w:rsidP="00F6489F">
      <w:pPr>
        <w:spacing w:before="240" w:after="120" w:line="240" w:lineRule="auto"/>
        <w:jc w:val="center"/>
        <w:rPr>
          <w:rFonts w:ascii="Calibri" w:eastAsia="Cambria" w:hAnsi="Calibri" w:cs="Calibri"/>
          <w:b/>
          <w:bCs/>
          <w:sz w:val="20"/>
          <w:szCs w:val="16"/>
          <w:lang w:val="en-AU"/>
        </w:rPr>
      </w:pPr>
    </w:p>
    <w:p w14:paraId="262DDB7B" w14:textId="4849B3EE" w:rsidR="00F6489F" w:rsidRDefault="00F6489F" w:rsidP="00F6489F">
      <w:pPr>
        <w:spacing w:before="240" w:after="120" w:line="240" w:lineRule="auto"/>
        <w:jc w:val="center"/>
        <w:rPr>
          <w:rFonts w:ascii="Calibri" w:eastAsia="Cambria" w:hAnsi="Calibri" w:cs="Calibri"/>
          <w:b/>
          <w:bCs/>
          <w:sz w:val="20"/>
          <w:szCs w:val="16"/>
          <w:lang w:val="en-AU"/>
        </w:rPr>
      </w:pPr>
    </w:p>
    <w:p w14:paraId="3FBCEA04" w14:textId="2FE6D1BF" w:rsidR="00F6489F" w:rsidRDefault="00F6489F" w:rsidP="00F6489F">
      <w:pPr>
        <w:spacing w:before="240" w:after="120" w:line="240" w:lineRule="auto"/>
        <w:jc w:val="center"/>
        <w:rPr>
          <w:rFonts w:ascii="Calibri" w:eastAsia="Cambria" w:hAnsi="Calibri" w:cs="Calibri"/>
          <w:b/>
          <w:bCs/>
          <w:sz w:val="20"/>
          <w:szCs w:val="16"/>
          <w:lang w:val="en-AU"/>
        </w:rPr>
      </w:pPr>
      <w:bookmarkStart w:id="213" w:name="_Toc22486989"/>
      <w:r w:rsidRPr="00E52766">
        <w:rPr>
          <w:rFonts w:ascii="Calibri" w:eastAsia="Cambria" w:hAnsi="Calibri" w:cs="Calibri"/>
          <w:b/>
          <w:bCs/>
          <w:sz w:val="20"/>
          <w:szCs w:val="16"/>
          <w:lang w:val="en-AU"/>
        </w:rPr>
        <w:lastRenderedPageBreak/>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45</w:t>
      </w:r>
      <w:r w:rsidRPr="00E52766">
        <w:rPr>
          <w:rFonts w:ascii="Calibri" w:eastAsia="Cambria" w:hAnsi="Calibri" w:cs="Calibri"/>
          <w:b/>
          <w:bCs/>
          <w:sz w:val="20"/>
          <w:szCs w:val="16"/>
          <w:lang w:val="en-AU"/>
        </w:rPr>
        <w:fldChar w:fldCharType="end"/>
      </w:r>
      <w:r w:rsidRPr="00E52766">
        <w:rPr>
          <w:rFonts w:ascii="Calibri" w:eastAsia="Cambria" w:hAnsi="Calibri" w:cs="Calibri"/>
          <w:b/>
          <w:bCs/>
          <w:sz w:val="20"/>
          <w:szCs w:val="16"/>
          <w:lang w:val="en-AU"/>
        </w:rPr>
        <w:t xml:space="preserve"> Summary of cost and benefits</w:t>
      </w:r>
      <w:r>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 xml:space="preserve">Australia </w:t>
      </w:r>
      <w:r w:rsidRPr="00E52766">
        <w:rPr>
          <w:rFonts w:ascii="Calibri" w:eastAsia="Cambria" w:hAnsi="Calibri" w:cs="Calibri"/>
          <w:b/>
          <w:bCs/>
          <w:sz w:val="20"/>
          <w:szCs w:val="16"/>
          <w:lang w:val="en-AU"/>
        </w:rPr>
        <w:t>(Medium activation, 7% discount rate)</w:t>
      </w:r>
      <w:bookmarkEnd w:id="213"/>
    </w:p>
    <w:p w14:paraId="046B5AEE" w14:textId="221D22D8" w:rsidR="00F6489F" w:rsidRDefault="00F6489F" w:rsidP="00F6489F">
      <w:pPr>
        <w:spacing w:before="240" w:after="120" w:line="240" w:lineRule="auto"/>
        <w:jc w:val="center"/>
        <w:rPr>
          <w:rFonts w:ascii="Calibri" w:eastAsia="Cambria" w:hAnsi="Calibri" w:cs="Calibri"/>
          <w:b/>
          <w:bCs/>
          <w:sz w:val="20"/>
          <w:szCs w:val="16"/>
          <w:lang w:val="en-AU"/>
        </w:rPr>
      </w:pPr>
      <w:r w:rsidRPr="00F6489F">
        <w:rPr>
          <w:noProof/>
          <w:lang w:val="en-AU" w:eastAsia="en-AU"/>
        </w:rPr>
        <w:drawing>
          <wp:inline distT="0" distB="0" distL="0" distR="0" wp14:anchorId="713BDEFE" wp14:editId="64CCE651">
            <wp:extent cx="8515985" cy="12141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15985" cy="1214120"/>
                    </a:xfrm>
                    <a:prstGeom prst="rect">
                      <a:avLst/>
                    </a:prstGeom>
                    <a:noFill/>
                    <a:ln>
                      <a:noFill/>
                    </a:ln>
                  </pic:spPr>
                </pic:pic>
              </a:graphicData>
            </a:graphic>
          </wp:inline>
        </w:drawing>
      </w:r>
    </w:p>
    <w:p w14:paraId="1F7800F2" w14:textId="73614AAD" w:rsidR="00F6489F" w:rsidRDefault="00F6489F" w:rsidP="00F6489F">
      <w:pPr>
        <w:spacing w:before="240" w:after="120" w:line="240" w:lineRule="auto"/>
        <w:jc w:val="center"/>
        <w:rPr>
          <w:rFonts w:ascii="Calibri" w:eastAsia="Cambria" w:hAnsi="Calibri" w:cs="Calibri"/>
          <w:b/>
          <w:bCs/>
          <w:sz w:val="20"/>
          <w:szCs w:val="16"/>
          <w:lang w:val="en-AU"/>
        </w:rPr>
      </w:pPr>
      <w:bookmarkStart w:id="214" w:name="_Ref22219339"/>
      <w:bookmarkStart w:id="215" w:name="_Toc22486990"/>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46</w:t>
      </w:r>
      <w:r w:rsidRPr="00E52766">
        <w:rPr>
          <w:rFonts w:ascii="Calibri" w:eastAsia="Cambria" w:hAnsi="Calibri" w:cs="Calibri"/>
          <w:b/>
          <w:bCs/>
          <w:sz w:val="20"/>
          <w:szCs w:val="16"/>
          <w:lang w:val="en-AU"/>
        </w:rPr>
        <w:fldChar w:fldCharType="end"/>
      </w:r>
      <w:bookmarkEnd w:id="214"/>
      <w:r w:rsidRPr="00E52766">
        <w:rPr>
          <w:rFonts w:ascii="Calibri" w:eastAsia="Cambria" w:hAnsi="Calibri" w:cs="Calibri"/>
          <w:b/>
          <w:bCs/>
          <w:sz w:val="20"/>
          <w:szCs w:val="16"/>
          <w:lang w:val="en-AU"/>
        </w:rPr>
        <w:t xml:space="preserve"> Summary of cost and benefits</w:t>
      </w:r>
      <w:r>
        <w:rPr>
          <w:rFonts w:ascii="Calibri" w:eastAsia="Cambria" w:hAnsi="Calibri" w:cs="Calibri"/>
          <w:b/>
          <w:bCs/>
          <w:sz w:val="20"/>
          <w:szCs w:val="16"/>
          <w:lang w:val="en-AU"/>
        </w:rPr>
        <w:t>,</w:t>
      </w:r>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 xml:space="preserve">New Zealand </w:t>
      </w:r>
      <w:r w:rsidRPr="00E52766">
        <w:rPr>
          <w:rFonts w:ascii="Calibri" w:eastAsia="Cambria" w:hAnsi="Calibri" w:cs="Calibri"/>
          <w:b/>
          <w:bCs/>
          <w:sz w:val="20"/>
          <w:szCs w:val="16"/>
          <w:lang w:val="en-AU"/>
        </w:rPr>
        <w:t xml:space="preserve">(Medium activation, </w:t>
      </w:r>
      <w:r>
        <w:rPr>
          <w:rFonts w:ascii="Calibri" w:eastAsia="Cambria" w:hAnsi="Calibri" w:cs="Calibri"/>
          <w:b/>
          <w:bCs/>
          <w:sz w:val="20"/>
          <w:szCs w:val="16"/>
          <w:lang w:val="en-AU"/>
        </w:rPr>
        <w:t>6</w:t>
      </w:r>
      <w:r w:rsidRPr="00E52766">
        <w:rPr>
          <w:rFonts w:ascii="Calibri" w:eastAsia="Cambria" w:hAnsi="Calibri" w:cs="Calibri"/>
          <w:b/>
          <w:bCs/>
          <w:sz w:val="20"/>
          <w:szCs w:val="16"/>
          <w:lang w:val="en-AU"/>
        </w:rPr>
        <w:t>% discount rate)</w:t>
      </w:r>
      <w:bookmarkEnd w:id="215"/>
    </w:p>
    <w:p w14:paraId="36A58557" w14:textId="7B8F0519" w:rsidR="00F6489F" w:rsidRDefault="00BC5360" w:rsidP="00F6489F">
      <w:pPr>
        <w:spacing w:before="240" w:after="120" w:line="240" w:lineRule="auto"/>
        <w:jc w:val="center"/>
        <w:rPr>
          <w:rFonts w:ascii="Calibri" w:eastAsia="Cambria" w:hAnsi="Calibri" w:cs="Calibri"/>
          <w:b/>
          <w:bCs/>
          <w:sz w:val="20"/>
          <w:szCs w:val="16"/>
          <w:lang w:val="en-AU"/>
        </w:rPr>
      </w:pPr>
      <w:r w:rsidRPr="00BC5360">
        <w:rPr>
          <w:noProof/>
          <w:lang w:val="en-AU" w:eastAsia="en-AU"/>
        </w:rPr>
        <w:drawing>
          <wp:inline distT="0" distB="0" distL="0" distR="0" wp14:anchorId="6CFAC1B8" wp14:editId="1FB76596">
            <wp:extent cx="8515985" cy="1214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15985" cy="1214120"/>
                    </a:xfrm>
                    <a:prstGeom prst="rect">
                      <a:avLst/>
                    </a:prstGeom>
                    <a:noFill/>
                    <a:ln>
                      <a:noFill/>
                    </a:ln>
                  </pic:spPr>
                </pic:pic>
              </a:graphicData>
            </a:graphic>
          </wp:inline>
        </w:drawing>
      </w:r>
    </w:p>
    <w:p w14:paraId="4495208B" w14:textId="304E130B" w:rsidR="00E56C1E" w:rsidRDefault="00E56C1E" w:rsidP="00E56C1E">
      <w:pPr>
        <w:spacing w:before="240" w:after="120" w:line="240" w:lineRule="auto"/>
        <w:jc w:val="center"/>
        <w:rPr>
          <w:rFonts w:ascii="Calibri" w:eastAsia="Cambria" w:hAnsi="Calibri" w:cs="Calibri"/>
          <w:b/>
          <w:bCs/>
          <w:sz w:val="20"/>
          <w:szCs w:val="16"/>
          <w:lang w:val="en-AU"/>
        </w:rPr>
      </w:pPr>
      <w:bookmarkStart w:id="216" w:name="_Ref22284996"/>
      <w:bookmarkStart w:id="217" w:name="_Toc22486991"/>
      <w:r w:rsidRPr="00E52766">
        <w:rPr>
          <w:rFonts w:ascii="Calibri" w:eastAsia="Cambria" w:hAnsi="Calibri" w:cs="Calibri"/>
          <w:b/>
          <w:bCs/>
          <w:sz w:val="20"/>
          <w:szCs w:val="16"/>
          <w:lang w:val="en-AU"/>
        </w:rPr>
        <w:t xml:space="preserve">Table </w:t>
      </w:r>
      <w:r w:rsidRPr="00E52766">
        <w:rPr>
          <w:rFonts w:ascii="Calibri" w:eastAsia="Cambria" w:hAnsi="Calibri" w:cs="Calibri"/>
          <w:b/>
          <w:bCs/>
          <w:sz w:val="20"/>
          <w:szCs w:val="16"/>
          <w:lang w:val="en-AU"/>
        </w:rPr>
        <w:fldChar w:fldCharType="begin"/>
      </w:r>
      <w:r w:rsidRPr="00E52766">
        <w:rPr>
          <w:rFonts w:ascii="Calibri" w:eastAsia="Cambria" w:hAnsi="Calibri" w:cs="Calibri"/>
          <w:b/>
          <w:bCs/>
          <w:sz w:val="20"/>
          <w:szCs w:val="16"/>
          <w:lang w:val="en-AU"/>
        </w:rPr>
        <w:instrText xml:space="preserve"> SEQ Table \* ARABIC </w:instrText>
      </w:r>
      <w:r w:rsidRPr="00E52766">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47</w:t>
      </w:r>
      <w:r w:rsidRPr="00E52766">
        <w:rPr>
          <w:rFonts w:ascii="Calibri" w:eastAsia="Cambria" w:hAnsi="Calibri" w:cs="Calibri"/>
          <w:b/>
          <w:bCs/>
          <w:sz w:val="20"/>
          <w:szCs w:val="16"/>
          <w:lang w:val="en-AU"/>
        </w:rPr>
        <w:fldChar w:fldCharType="end"/>
      </w:r>
      <w:bookmarkEnd w:id="216"/>
      <w:r w:rsidRPr="00E52766">
        <w:rPr>
          <w:rFonts w:ascii="Calibri" w:eastAsia="Cambria" w:hAnsi="Calibri" w:cs="Calibri"/>
          <w:b/>
          <w:bCs/>
          <w:sz w:val="20"/>
          <w:szCs w:val="16"/>
          <w:lang w:val="en-AU"/>
        </w:rPr>
        <w:t xml:space="preserve"> </w:t>
      </w:r>
      <w:r>
        <w:rPr>
          <w:rFonts w:ascii="Calibri" w:eastAsia="Cambria" w:hAnsi="Calibri" w:cs="Calibri"/>
          <w:b/>
          <w:bCs/>
          <w:sz w:val="20"/>
          <w:szCs w:val="16"/>
          <w:lang w:val="en-AU"/>
        </w:rPr>
        <w:t>Benefit/Cost Ratios in Consultation Paper and in Decision RIS</w:t>
      </w:r>
      <w:bookmarkEnd w:id="217"/>
    </w:p>
    <w:tbl>
      <w:tblPr>
        <w:tblW w:w="5860" w:type="dxa"/>
        <w:jc w:val="center"/>
        <w:tblLook w:val="04A0" w:firstRow="1" w:lastRow="0" w:firstColumn="1" w:lastColumn="0" w:noHBand="0" w:noVBand="1"/>
      </w:tblPr>
      <w:tblGrid>
        <w:gridCol w:w="1780"/>
        <w:gridCol w:w="1146"/>
        <w:gridCol w:w="1296"/>
        <w:gridCol w:w="1146"/>
        <w:gridCol w:w="1296"/>
      </w:tblGrid>
      <w:tr w:rsidR="00E56C1E" w:rsidRPr="00E56C1E" w14:paraId="20328A0D" w14:textId="77777777" w:rsidTr="00E56C1E">
        <w:trPr>
          <w:trHeight w:val="300"/>
          <w:jc w:val="center"/>
        </w:trPr>
        <w:tc>
          <w:tcPr>
            <w:tcW w:w="1780" w:type="dxa"/>
            <w:tcBorders>
              <w:top w:val="single" w:sz="4" w:space="0" w:color="auto"/>
              <w:left w:val="single" w:sz="4" w:space="0" w:color="auto"/>
              <w:bottom w:val="nil"/>
              <w:right w:val="nil"/>
            </w:tcBorders>
            <w:shd w:val="clear" w:color="auto" w:fill="auto"/>
            <w:noWrap/>
            <w:vAlign w:val="bottom"/>
            <w:hideMark/>
          </w:tcPr>
          <w:p w14:paraId="3E2691F6" w14:textId="77777777" w:rsidR="00E56C1E" w:rsidRPr="00E56C1E" w:rsidRDefault="00E56C1E" w:rsidP="00E56C1E">
            <w:pPr>
              <w:spacing w:after="0" w:line="240" w:lineRule="auto"/>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 </w:t>
            </w: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8BA5FB5" w14:textId="77777777" w:rsidR="00E56C1E" w:rsidRPr="00E56C1E" w:rsidRDefault="00E56C1E" w:rsidP="00E56C1E">
            <w:pPr>
              <w:spacing w:after="0" w:line="240" w:lineRule="auto"/>
              <w:jc w:val="center"/>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AUSTRALIA</w:t>
            </w: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0F69EAF" w14:textId="77777777" w:rsidR="00E56C1E" w:rsidRPr="00E56C1E" w:rsidRDefault="00E56C1E" w:rsidP="00E56C1E">
            <w:pPr>
              <w:spacing w:after="0" w:line="240" w:lineRule="auto"/>
              <w:jc w:val="center"/>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NEW ZEALAND</w:t>
            </w:r>
          </w:p>
        </w:tc>
      </w:tr>
      <w:tr w:rsidR="00E56C1E" w:rsidRPr="00E56C1E" w14:paraId="1B77A5E4" w14:textId="77777777" w:rsidTr="00E56C1E">
        <w:trPr>
          <w:trHeight w:val="300"/>
          <w:jc w:val="center"/>
        </w:trPr>
        <w:tc>
          <w:tcPr>
            <w:tcW w:w="1780" w:type="dxa"/>
            <w:tcBorders>
              <w:top w:val="nil"/>
              <w:left w:val="single" w:sz="4" w:space="0" w:color="auto"/>
              <w:bottom w:val="single" w:sz="4" w:space="0" w:color="auto"/>
              <w:right w:val="nil"/>
            </w:tcBorders>
            <w:shd w:val="clear" w:color="auto" w:fill="auto"/>
            <w:noWrap/>
            <w:vAlign w:val="bottom"/>
            <w:hideMark/>
          </w:tcPr>
          <w:p w14:paraId="4DE6CC78" w14:textId="77777777" w:rsidR="00E56C1E" w:rsidRPr="00E56C1E" w:rsidRDefault="00E56C1E" w:rsidP="00E56C1E">
            <w:pPr>
              <w:spacing w:after="0" w:line="240" w:lineRule="auto"/>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 </w:t>
            </w:r>
          </w:p>
        </w:tc>
        <w:tc>
          <w:tcPr>
            <w:tcW w:w="744" w:type="dxa"/>
            <w:tcBorders>
              <w:top w:val="nil"/>
              <w:left w:val="single" w:sz="4" w:space="0" w:color="auto"/>
              <w:bottom w:val="single" w:sz="4" w:space="0" w:color="auto"/>
              <w:right w:val="nil"/>
            </w:tcBorders>
            <w:shd w:val="clear" w:color="auto" w:fill="auto"/>
            <w:noWrap/>
            <w:vAlign w:val="bottom"/>
            <w:hideMark/>
          </w:tcPr>
          <w:p w14:paraId="2A3EF6D4" w14:textId="10D01ADD" w:rsidR="00E56C1E" w:rsidRPr="00E56C1E" w:rsidRDefault="00E56C1E" w:rsidP="00E56C1E">
            <w:pPr>
              <w:spacing w:after="0" w:line="240" w:lineRule="auto"/>
              <w:jc w:val="center"/>
              <w:rPr>
                <w:rFonts w:ascii="Calibri" w:eastAsia="Times New Roman" w:hAnsi="Calibri" w:cs="Calibri"/>
                <w:color w:val="000000"/>
                <w:sz w:val="18"/>
                <w:szCs w:val="18"/>
                <w:lang w:val="en-AU" w:eastAsia="en-AU"/>
              </w:rPr>
            </w:pPr>
            <w:r>
              <w:rPr>
                <w:rFonts w:ascii="Calibri" w:eastAsia="Times New Roman" w:hAnsi="Calibri" w:cs="Calibri"/>
                <w:color w:val="000000"/>
                <w:sz w:val="18"/>
                <w:szCs w:val="18"/>
                <w:lang w:val="en-AU" w:eastAsia="en-AU"/>
              </w:rPr>
              <w:t>Consultation paper (a)</w:t>
            </w:r>
          </w:p>
        </w:tc>
        <w:tc>
          <w:tcPr>
            <w:tcW w:w="1296" w:type="dxa"/>
            <w:tcBorders>
              <w:top w:val="nil"/>
              <w:left w:val="nil"/>
              <w:bottom w:val="single" w:sz="4" w:space="0" w:color="auto"/>
              <w:right w:val="single" w:sz="4" w:space="0" w:color="auto"/>
            </w:tcBorders>
            <w:shd w:val="clear" w:color="auto" w:fill="auto"/>
            <w:noWrap/>
            <w:vAlign w:val="bottom"/>
            <w:hideMark/>
          </w:tcPr>
          <w:p w14:paraId="4C8FF7AF" w14:textId="77777777" w:rsidR="00E56C1E" w:rsidRPr="00E56C1E" w:rsidRDefault="00E56C1E" w:rsidP="00E56C1E">
            <w:pPr>
              <w:spacing w:after="0" w:line="240" w:lineRule="auto"/>
              <w:jc w:val="center"/>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Revised</w:t>
            </w:r>
          </w:p>
        </w:tc>
        <w:tc>
          <w:tcPr>
            <w:tcW w:w="744" w:type="dxa"/>
            <w:tcBorders>
              <w:top w:val="nil"/>
              <w:left w:val="nil"/>
              <w:bottom w:val="single" w:sz="4" w:space="0" w:color="auto"/>
              <w:right w:val="nil"/>
            </w:tcBorders>
            <w:shd w:val="clear" w:color="auto" w:fill="auto"/>
            <w:noWrap/>
            <w:vAlign w:val="bottom"/>
            <w:hideMark/>
          </w:tcPr>
          <w:p w14:paraId="4A1DD827" w14:textId="31089B40" w:rsidR="00E56C1E" w:rsidRPr="00E56C1E" w:rsidRDefault="00E56C1E" w:rsidP="00E56C1E">
            <w:pPr>
              <w:spacing w:after="0" w:line="240" w:lineRule="auto"/>
              <w:jc w:val="center"/>
              <w:rPr>
                <w:rFonts w:ascii="Calibri" w:eastAsia="Times New Roman" w:hAnsi="Calibri" w:cs="Calibri"/>
                <w:color w:val="000000"/>
                <w:sz w:val="18"/>
                <w:szCs w:val="18"/>
                <w:lang w:val="en-AU" w:eastAsia="en-AU"/>
              </w:rPr>
            </w:pPr>
            <w:r>
              <w:rPr>
                <w:rFonts w:ascii="Calibri" w:eastAsia="Times New Roman" w:hAnsi="Calibri" w:cs="Calibri"/>
                <w:color w:val="000000"/>
                <w:sz w:val="18"/>
                <w:szCs w:val="18"/>
                <w:lang w:val="en-AU" w:eastAsia="en-AU"/>
              </w:rPr>
              <w:t xml:space="preserve">Consultation </w:t>
            </w:r>
            <w:r>
              <w:rPr>
                <w:rFonts w:ascii="Calibri" w:eastAsia="Times New Roman" w:hAnsi="Calibri" w:cs="Calibri"/>
                <w:color w:val="000000"/>
                <w:sz w:val="18"/>
                <w:szCs w:val="18"/>
                <w:lang w:val="en-AU" w:eastAsia="en-AU"/>
              </w:rPr>
              <w:br/>
              <w:t>paper (e)</w:t>
            </w:r>
          </w:p>
        </w:tc>
        <w:tc>
          <w:tcPr>
            <w:tcW w:w="1296" w:type="dxa"/>
            <w:tcBorders>
              <w:top w:val="nil"/>
              <w:left w:val="nil"/>
              <w:bottom w:val="single" w:sz="4" w:space="0" w:color="auto"/>
              <w:right w:val="single" w:sz="4" w:space="0" w:color="auto"/>
            </w:tcBorders>
            <w:shd w:val="clear" w:color="auto" w:fill="auto"/>
            <w:noWrap/>
            <w:vAlign w:val="bottom"/>
            <w:hideMark/>
          </w:tcPr>
          <w:p w14:paraId="75FA395D" w14:textId="77777777" w:rsidR="00E56C1E" w:rsidRPr="00E56C1E" w:rsidRDefault="00E56C1E" w:rsidP="00E56C1E">
            <w:pPr>
              <w:spacing w:after="0" w:line="240" w:lineRule="auto"/>
              <w:jc w:val="center"/>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Revised</w:t>
            </w:r>
          </w:p>
        </w:tc>
      </w:tr>
      <w:tr w:rsidR="00E56C1E" w:rsidRPr="00E56C1E" w14:paraId="5FA6639A" w14:textId="77777777" w:rsidTr="00E56C1E">
        <w:trPr>
          <w:trHeight w:val="300"/>
          <w:jc w:val="center"/>
        </w:trPr>
        <w:tc>
          <w:tcPr>
            <w:tcW w:w="1780" w:type="dxa"/>
            <w:tcBorders>
              <w:top w:val="nil"/>
              <w:left w:val="single" w:sz="4" w:space="0" w:color="auto"/>
              <w:bottom w:val="nil"/>
              <w:right w:val="nil"/>
            </w:tcBorders>
            <w:shd w:val="clear" w:color="auto" w:fill="auto"/>
            <w:noWrap/>
            <w:vAlign w:val="bottom"/>
            <w:hideMark/>
          </w:tcPr>
          <w:p w14:paraId="5823CE1B" w14:textId="77777777" w:rsidR="00E56C1E" w:rsidRPr="00E56C1E" w:rsidRDefault="00E56C1E" w:rsidP="00E56C1E">
            <w:pPr>
              <w:spacing w:after="0" w:line="240" w:lineRule="auto"/>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Air Conds</w:t>
            </w:r>
          </w:p>
        </w:tc>
        <w:tc>
          <w:tcPr>
            <w:tcW w:w="744" w:type="dxa"/>
            <w:tcBorders>
              <w:top w:val="nil"/>
              <w:left w:val="single" w:sz="4" w:space="0" w:color="auto"/>
              <w:bottom w:val="nil"/>
              <w:right w:val="nil"/>
            </w:tcBorders>
            <w:shd w:val="clear" w:color="auto" w:fill="auto"/>
            <w:noWrap/>
            <w:vAlign w:val="bottom"/>
            <w:hideMark/>
          </w:tcPr>
          <w:p w14:paraId="70A6B713"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6.5</w:t>
            </w:r>
          </w:p>
        </w:tc>
        <w:tc>
          <w:tcPr>
            <w:tcW w:w="1296" w:type="dxa"/>
            <w:tcBorders>
              <w:top w:val="nil"/>
              <w:left w:val="nil"/>
              <w:bottom w:val="nil"/>
              <w:right w:val="single" w:sz="4" w:space="0" w:color="auto"/>
            </w:tcBorders>
            <w:shd w:val="clear" w:color="auto" w:fill="auto"/>
            <w:noWrap/>
            <w:vAlign w:val="bottom"/>
            <w:hideMark/>
          </w:tcPr>
          <w:p w14:paraId="46CA48DE"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3.5</w:t>
            </w:r>
          </w:p>
        </w:tc>
        <w:tc>
          <w:tcPr>
            <w:tcW w:w="744" w:type="dxa"/>
            <w:tcBorders>
              <w:top w:val="nil"/>
              <w:left w:val="nil"/>
              <w:bottom w:val="nil"/>
              <w:right w:val="nil"/>
            </w:tcBorders>
            <w:shd w:val="clear" w:color="auto" w:fill="auto"/>
            <w:noWrap/>
            <w:vAlign w:val="bottom"/>
            <w:hideMark/>
          </w:tcPr>
          <w:p w14:paraId="595A34F4"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4.5</w:t>
            </w:r>
          </w:p>
        </w:tc>
        <w:tc>
          <w:tcPr>
            <w:tcW w:w="1296" w:type="dxa"/>
            <w:tcBorders>
              <w:top w:val="nil"/>
              <w:left w:val="nil"/>
              <w:bottom w:val="nil"/>
              <w:right w:val="single" w:sz="4" w:space="0" w:color="auto"/>
            </w:tcBorders>
            <w:shd w:val="clear" w:color="auto" w:fill="auto"/>
            <w:noWrap/>
            <w:vAlign w:val="bottom"/>
            <w:hideMark/>
          </w:tcPr>
          <w:p w14:paraId="74AE5957"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2.8</w:t>
            </w:r>
          </w:p>
        </w:tc>
      </w:tr>
      <w:tr w:rsidR="00E56C1E" w:rsidRPr="00E56C1E" w14:paraId="733BC753" w14:textId="77777777" w:rsidTr="00E56C1E">
        <w:trPr>
          <w:trHeight w:val="300"/>
          <w:jc w:val="center"/>
        </w:trPr>
        <w:tc>
          <w:tcPr>
            <w:tcW w:w="1780" w:type="dxa"/>
            <w:tcBorders>
              <w:top w:val="nil"/>
              <w:left w:val="single" w:sz="4" w:space="0" w:color="auto"/>
              <w:bottom w:val="nil"/>
              <w:right w:val="nil"/>
            </w:tcBorders>
            <w:shd w:val="clear" w:color="auto" w:fill="auto"/>
            <w:noWrap/>
            <w:vAlign w:val="bottom"/>
            <w:hideMark/>
          </w:tcPr>
          <w:p w14:paraId="0D47F4AC" w14:textId="77777777" w:rsidR="00E56C1E" w:rsidRPr="00E56C1E" w:rsidRDefault="00E56C1E" w:rsidP="00E56C1E">
            <w:pPr>
              <w:spacing w:after="0" w:line="240" w:lineRule="auto"/>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PP Controllers</w:t>
            </w:r>
          </w:p>
        </w:tc>
        <w:tc>
          <w:tcPr>
            <w:tcW w:w="744" w:type="dxa"/>
            <w:tcBorders>
              <w:top w:val="nil"/>
              <w:left w:val="single" w:sz="4" w:space="0" w:color="auto"/>
              <w:bottom w:val="nil"/>
              <w:right w:val="nil"/>
            </w:tcBorders>
            <w:shd w:val="clear" w:color="auto" w:fill="auto"/>
            <w:noWrap/>
            <w:vAlign w:val="bottom"/>
            <w:hideMark/>
          </w:tcPr>
          <w:p w14:paraId="1C822947"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3.1</w:t>
            </w:r>
          </w:p>
        </w:tc>
        <w:tc>
          <w:tcPr>
            <w:tcW w:w="1296" w:type="dxa"/>
            <w:tcBorders>
              <w:top w:val="nil"/>
              <w:left w:val="nil"/>
              <w:bottom w:val="nil"/>
              <w:right w:val="single" w:sz="4" w:space="0" w:color="auto"/>
            </w:tcBorders>
            <w:shd w:val="clear" w:color="auto" w:fill="auto"/>
            <w:noWrap/>
            <w:vAlign w:val="bottom"/>
            <w:hideMark/>
          </w:tcPr>
          <w:p w14:paraId="48764483"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1.9</w:t>
            </w:r>
          </w:p>
        </w:tc>
        <w:tc>
          <w:tcPr>
            <w:tcW w:w="744" w:type="dxa"/>
            <w:tcBorders>
              <w:top w:val="nil"/>
              <w:left w:val="nil"/>
              <w:bottom w:val="nil"/>
              <w:right w:val="nil"/>
            </w:tcBorders>
            <w:shd w:val="clear" w:color="auto" w:fill="auto"/>
            <w:noWrap/>
            <w:vAlign w:val="bottom"/>
            <w:hideMark/>
          </w:tcPr>
          <w:p w14:paraId="7C2F2682" w14:textId="77777777" w:rsidR="00E56C1E" w:rsidRPr="00E56C1E" w:rsidRDefault="00E56C1E" w:rsidP="00E56C1E">
            <w:pPr>
              <w:spacing w:after="0" w:line="240" w:lineRule="auto"/>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 </w:t>
            </w:r>
          </w:p>
        </w:tc>
        <w:tc>
          <w:tcPr>
            <w:tcW w:w="1296" w:type="dxa"/>
            <w:tcBorders>
              <w:top w:val="nil"/>
              <w:left w:val="nil"/>
              <w:bottom w:val="nil"/>
              <w:right w:val="single" w:sz="4" w:space="0" w:color="auto"/>
            </w:tcBorders>
            <w:shd w:val="clear" w:color="auto" w:fill="auto"/>
            <w:noWrap/>
            <w:vAlign w:val="bottom"/>
            <w:hideMark/>
          </w:tcPr>
          <w:p w14:paraId="37E55006" w14:textId="77777777" w:rsidR="00E56C1E" w:rsidRPr="00E56C1E" w:rsidRDefault="00E56C1E" w:rsidP="00E56C1E">
            <w:pPr>
              <w:spacing w:after="0" w:line="240" w:lineRule="auto"/>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 </w:t>
            </w:r>
          </w:p>
        </w:tc>
      </w:tr>
      <w:tr w:rsidR="00E56C1E" w:rsidRPr="00E56C1E" w14:paraId="5C221C8E" w14:textId="77777777" w:rsidTr="00E56C1E">
        <w:trPr>
          <w:trHeight w:val="300"/>
          <w:jc w:val="center"/>
        </w:trPr>
        <w:tc>
          <w:tcPr>
            <w:tcW w:w="1780" w:type="dxa"/>
            <w:tcBorders>
              <w:top w:val="nil"/>
              <w:left w:val="single" w:sz="4" w:space="0" w:color="auto"/>
              <w:bottom w:val="nil"/>
              <w:right w:val="nil"/>
            </w:tcBorders>
            <w:shd w:val="clear" w:color="auto" w:fill="auto"/>
            <w:noWrap/>
            <w:vAlign w:val="bottom"/>
            <w:hideMark/>
          </w:tcPr>
          <w:p w14:paraId="575AB07D" w14:textId="77777777" w:rsidR="00E56C1E" w:rsidRPr="00E56C1E" w:rsidRDefault="00E56C1E" w:rsidP="00E56C1E">
            <w:pPr>
              <w:spacing w:after="0" w:line="240" w:lineRule="auto"/>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Water heaters</w:t>
            </w:r>
          </w:p>
        </w:tc>
        <w:tc>
          <w:tcPr>
            <w:tcW w:w="744" w:type="dxa"/>
            <w:tcBorders>
              <w:top w:val="nil"/>
              <w:left w:val="single" w:sz="4" w:space="0" w:color="auto"/>
              <w:bottom w:val="nil"/>
              <w:right w:val="nil"/>
            </w:tcBorders>
            <w:shd w:val="clear" w:color="auto" w:fill="auto"/>
            <w:noWrap/>
            <w:vAlign w:val="bottom"/>
            <w:hideMark/>
          </w:tcPr>
          <w:p w14:paraId="4D3196A2"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2.6</w:t>
            </w:r>
          </w:p>
        </w:tc>
        <w:tc>
          <w:tcPr>
            <w:tcW w:w="1296" w:type="dxa"/>
            <w:tcBorders>
              <w:top w:val="nil"/>
              <w:left w:val="nil"/>
              <w:bottom w:val="nil"/>
              <w:right w:val="single" w:sz="4" w:space="0" w:color="auto"/>
            </w:tcBorders>
            <w:shd w:val="clear" w:color="auto" w:fill="auto"/>
            <w:noWrap/>
            <w:vAlign w:val="bottom"/>
            <w:hideMark/>
          </w:tcPr>
          <w:p w14:paraId="026C9BEC"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1.5</w:t>
            </w:r>
          </w:p>
        </w:tc>
        <w:tc>
          <w:tcPr>
            <w:tcW w:w="744" w:type="dxa"/>
            <w:tcBorders>
              <w:top w:val="nil"/>
              <w:left w:val="nil"/>
              <w:bottom w:val="nil"/>
              <w:right w:val="nil"/>
            </w:tcBorders>
            <w:shd w:val="clear" w:color="auto" w:fill="auto"/>
            <w:noWrap/>
            <w:vAlign w:val="bottom"/>
            <w:hideMark/>
          </w:tcPr>
          <w:p w14:paraId="1BA662C3"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2.1</w:t>
            </w:r>
          </w:p>
        </w:tc>
        <w:tc>
          <w:tcPr>
            <w:tcW w:w="1296" w:type="dxa"/>
            <w:tcBorders>
              <w:top w:val="nil"/>
              <w:left w:val="nil"/>
              <w:bottom w:val="nil"/>
              <w:right w:val="single" w:sz="4" w:space="0" w:color="auto"/>
            </w:tcBorders>
            <w:shd w:val="clear" w:color="auto" w:fill="auto"/>
            <w:noWrap/>
            <w:vAlign w:val="bottom"/>
            <w:hideMark/>
          </w:tcPr>
          <w:p w14:paraId="592784E5"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1.8</w:t>
            </w:r>
          </w:p>
        </w:tc>
      </w:tr>
      <w:tr w:rsidR="00E56C1E" w:rsidRPr="00E56C1E" w14:paraId="742034D1" w14:textId="77777777" w:rsidTr="00E56C1E">
        <w:trPr>
          <w:trHeight w:val="300"/>
          <w:jc w:val="center"/>
        </w:trPr>
        <w:tc>
          <w:tcPr>
            <w:tcW w:w="1780" w:type="dxa"/>
            <w:tcBorders>
              <w:top w:val="nil"/>
              <w:left w:val="single" w:sz="4" w:space="0" w:color="auto"/>
              <w:bottom w:val="nil"/>
              <w:right w:val="nil"/>
            </w:tcBorders>
            <w:shd w:val="clear" w:color="auto" w:fill="auto"/>
            <w:noWrap/>
            <w:vAlign w:val="bottom"/>
            <w:hideMark/>
          </w:tcPr>
          <w:p w14:paraId="23AE6BD9" w14:textId="77777777" w:rsidR="00E56C1E" w:rsidRPr="00E56C1E" w:rsidRDefault="00E56C1E" w:rsidP="00E56C1E">
            <w:pPr>
              <w:spacing w:after="0" w:line="240" w:lineRule="auto"/>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EV chargers</w:t>
            </w:r>
          </w:p>
        </w:tc>
        <w:tc>
          <w:tcPr>
            <w:tcW w:w="744" w:type="dxa"/>
            <w:tcBorders>
              <w:top w:val="nil"/>
              <w:left w:val="single" w:sz="4" w:space="0" w:color="auto"/>
              <w:bottom w:val="nil"/>
              <w:right w:val="nil"/>
            </w:tcBorders>
            <w:shd w:val="clear" w:color="auto" w:fill="auto"/>
            <w:noWrap/>
            <w:vAlign w:val="bottom"/>
            <w:hideMark/>
          </w:tcPr>
          <w:p w14:paraId="756C2BC3"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5.1</w:t>
            </w:r>
          </w:p>
        </w:tc>
        <w:tc>
          <w:tcPr>
            <w:tcW w:w="1296" w:type="dxa"/>
            <w:tcBorders>
              <w:top w:val="nil"/>
              <w:left w:val="nil"/>
              <w:bottom w:val="nil"/>
              <w:right w:val="single" w:sz="4" w:space="0" w:color="auto"/>
            </w:tcBorders>
            <w:shd w:val="clear" w:color="auto" w:fill="auto"/>
            <w:noWrap/>
            <w:vAlign w:val="bottom"/>
            <w:hideMark/>
          </w:tcPr>
          <w:p w14:paraId="51D7C010"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4.2</w:t>
            </w:r>
          </w:p>
        </w:tc>
        <w:tc>
          <w:tcPr>
            <w:tcW w:w="744" w:type="dxa"/>
            <w:tcBorders>
              <w:top w:val="nil"/>
              <w:left w:val="nil"/>
              <w:bottom w:val="nil"/>
              <w:right w:val="nil"/>
            </w:tcBorders>
            <w:shd w:val="clear" w:color="auto" w:fill="auto"/>
            <w:noWrap/>
            <w:vAlign w:val="bottom"/>
            <w:hideMark/>
          </w:tcPr>
          <w:p w14:paraId="5CF01920"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5.0</w:t>
            </w:r>
          </w:p>
        </w:tc>
        <w:tc>
          <w:tcPr>
            <w:tcW w:w="1296" w:type="dxa"/>
            <w:tcBorders>
              <w:top w:val="nil"/>
              <w:left w:val="nil"/>
              <w:bottom w:val="nil"/>
              <w:right w:val="single" w:sz="4" w:space="0" w:color="auto"/>
            </w:tcBorders>
            <w:shd w:val="clear" w:color="auto" w:fill="auto"/>
            <w:noWrap/>
            <w:vAlign w:val="bottom"/>
            <w:hideMark/>
          </w:tcPr>
          <w:p w14:paraId="0200CF60"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4.6</w:t>
            </w:r>
          </w:p>
        </w:tc>
      </w:tr>
      <w:tr w:rsidR="00E56C1E" w:rsidRPr="00E56C1E" w14:paraId="4FA5A53C" w14:textId="77777777" w:rsidTr="00E56C1E">
        <w:trPr>
          <w:trHeight w:val="300"/>
          <w:jc w:val="center"/>
        </w:trPr>
        <w:tc>
          <w:tcPr>
            <w:tcW w:w="1780" w:type="dxa"/>
            <w:tcBorders>
              <w:top w:val="single" w:sz="4" w:space="0" w:color="auto"/>
              <w:left w:val="single" w:sz="4" w:space="0" w:color="auto"/>
              <w:bottom w:val="single" w:sz="4" w:space="0" w:color="auto"/>
              <w:right w:val="nil"/>
            </w:tcBorders>
            <w:shd w:val="clear" w:color="auto" w:fill="auto"/>
            <w:noWrap/>
            <w:vAlign w:val="bottom"/>
            <w:hideMark/>
          </w:tcPr>
          <w:p w14:paraId="129736CF" w14:textId="77777777" w:rsidR="00E56C1E" w:rsidRPr="00E56C1E" w:rsidRDefault="00E56C1E" w:rsidP="00E56C1E">
            <w:pPr>
              <w:spacing w:after="0" w:line="240" w:lineRule="auto"/>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All products</w:t>
            </w:r>
          </w:p>
        </w:tc>
        <w:tc>
          <w:tcPr>
            <w:tcW w:w="744" w:type="dxa"/>
            <w:tcBorders>
              <w:top w:val="single" w:sz="4" w:space="0" w:color="auto"/>
              <w:left w:val="single" w:sz="4" w:space="0" w:color="auto"/>
              <w:bottom w:val="single" w:sz="4" w:space="0" w:color="auto"/>
              <w:right w:val="nil"/>
            </w:tcBorders>
            <w:shd w:val="clear" w:color="auto" w:fill="auto"/>
            <w:noWrap/>
            <w:vAlign w:val="bottom"/>
            <w:hideMark/>
          </w:tcPr>
          <w:p w14:paraId="4E1E5793"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4.5</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7D127AF7"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2.9</w:t>
            </w:r>
          </w:p>
        </w:tc>
        <w:tc>
          <w:tcPr>
            <w:tcW w:w="744" w:type="dxa"/>
            <w:tcBorders>
              <w:top w:val="single" w:sz="4" w:space="0" w:color="auto"/>
              <w:left w:val="nil"/>
              <w:bottom w:val="single" w:sz="4" w:space="0" w:color="auto"/>
              <w:right w:val="nil"/>
            </w:tcBorders>
            <w:shd w:val="clear" w:color="auto" w:fill="auto"/>
            <w:noWrap/>
            <w:vAlign w:val="bottom"/>
            <w:hideMark/>
          </w:tcPr>
          <w:p w14:paraId="49044A65"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3.4</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44A6D77D" w14:textId="77777777" w:rsidR="00E56C1E" w:rsidRPr="00E56C1E" w:rsidRDefault="00E56C1E" w:rsidP="00E56C1E">
            <w:pPr>
              <w:spacing w:after="0" w:line="240" w:lineRule="auto"/>
              <w:jc w:val="right"/>
              <w:rPr>
                <w:rFonts w:ascii="Calibri" w:eastAsia="Times New Roman" w:hAnsi="Calibri" w:cs="Calibri"/>
                <w:color w:val="000000"/>
                <w:sz w:val="18"/>
                <w:szCs w:val="18"/>
                <w:lang w:val="en-AU" w:eastAsia="en-AU"/>
              </w:rPr>
            </w:pPr>
            <w:r w:rsidRPr="00E56C1E">
              <w:rPr>
                <w:rFonts w:ascii="Calibri" w:eastAsia="Times New Roman" w:hAnsi="Calibri" w:cs="Calibri"/>
                <w:color w:val="000000"/>
                <w:sz w:val="18"/>
                <w:szCs w:val="18"/>
                <w:lang w:val="en-AU" w:eastAsia="en-AU"/>
              </w:rPr>
              <w:t>2.8</w:t>
            </w:r>
          </w:p>
        </w:tc>
      </w:tr>
    </w:tbl>
    <w:p w14:paraId="0691BB4A" w14:textId="716C4244" w:rsidR="00F6489F" w:rsidRPr="00E56C1E" w:rsidRDefault="00E56C1E" w:rsidP="00E56C1E">
      <w:pPr>
        <w:spacing w:before="240" w:line="240" w:lineRule="auto"/>
        <w:ind w:left="360"/>
        <w:jc w:val="center"/>
        <w:rPr>
          <w:rFonts w:ascii="Calibri" w:eastAsia="Cambria" w:hAnsi="Calibri" w:cs="Calibri"/>
          <w:sz w:val="16"/>
          <w:szCs w:val="16"/>
          <w:lang w:val="en-AU"/>
        </w:rPr>
      </w:pPr>
      <w:r w:rsidRPr="00E56C1E">
        <w:rPr>
          <w:rFonts w:eastAsia="Cambria" w:cs="Calibri"/>
          <w:sz w:val="16"/>
          <w:szCs w:val="16"/>
        </w:rPr>
        <w:t>(a)E3(2019)</w:t>
      </w:r>
    </w:p>
    <w:p w14:paraId="4BC8FA76" w14:textId="77777777" w:rsidR="00E52766" w:rsidRDefault="00E52766" w:rsidP="00A37634">
      <w:pPr>
        <w:spacing w:after="120" w:line="276" w:lineRule="auto"/>
        <w:rPr>
          <w:rFonts w:ascii="Calibri" w:eastAsia="Calibri" w:hAnsi="Calibri" w:cs="Calibri"/>
          <w:szCs w:val="20"/>
          <w:lang w:val="en-AU"/>
        </w:rPr>
      </w:pPr>
    </w:p>
    <w:p w14:paraId="3CBF1F5D" w14:textId="77777777" w:rsidR="00E52766" w:rsidRDefault="00E52766" w:rsidP="00A37634">
      <w:pPr>
        <w:spacing w:after="120" w:line="276" w:lineRule="auto"/>
        <w:rPr>
          <w:rFonts w:ascii="Calibri" w:eastAsia="Calibri" w:hAnsi="Calibri" w:cs="Calibri"/>
          <w:szCs w:val="20"/>
          <w:lang w:val="en-AU"/>
        </w:rPr>
      </w:pPr>
    </w:p>
    <w:p w14:paraId="3EA3A282" w14:textId="1D5764B4" w:rsidR="00E52766" w:rsidRPr="00A37634" w:rsidRDefault="00E52766" w:rsidP="00A37634">
      <w:pPr>
        <w:spacing w:after="120" w:line="276" w:lineRule="auto"/>
        <w:rPr>
          <w:rFonts w:ascii="Calibri" w:eastAsia="Calibri" w:hAnsi="Calibri" w:cs="Calibri"/>
          <w:szCs w:val="20"/>
          <w:lang w:val="en-AU"/>
        </w:rPr>
        <w:sectPr w:rsidR="00E52766" w:rsidRPr="00A37634" w:rsidSect="007C7289">
          <w:pgSz w:w="16838" w:h="11906" w:orient="landscape" w:code="9"/>
          <w:pgMar w:top="1138" w:right="1699" w:bottom="1138" w:left="1728" w:header="576" w:footer="720" w:gutter="0"/>
          <w:cols w:space="708"/>
          <w:titlePg/>
          <w:docGrid w:linePitch="360"/>
        </w:sectPr>
      </w:pPr>
    </w:p>
    <w:p w14:paraId="69E48F37" w14:textId="4E4F78B2" w:rsidR="00C515A0" w:rsidRDefault="00A37634" w:rsidP="00A37634">
      <w:pPr>
        <w:keepNext/>
        <w:keepLines/>
        <w:spacing w:before="200" w:after="600" w:line="240" w:lineRule="auto"/>
        <w:outlineLvl w:val="1"/>
        <w:rPr>
          <w:rFonts w:ascii="Calibri" w:eastAsia="Times New Roman" w:hAnsi="Calibri" w:cs="Calibri"/>
          <w:b/>
          <w:bCs/>
          <w:color w:val="ED1B24"/>
          <w:sz w:val="50"/>
          <w:szCs w:val="50"/>
          <w:lang w:val="en-AU"/>
        </w:rPr>
      </w:pPr>
      <w:bookmarkStart w:id="218" w:name="_Toc22485223"/>
      <w:r w:rsidRPr="00A37634">
        <w:rPr>
          <w:rFonts w:ascii="Calibri" w:eastAsia="Times New Roman" w:hAnsi="Calibri" w:cs="Calibri"/>
          <w:b/>
          <w:bCs/>
          <w:color w:val="ED1B24"/>
          <w:sz w:val="50"/>
          <w:szCs w:val="50"/>
          <w:lang w:val="en-AU"/>
        </w:rPr>
        <w:lastRenderedPageBreak/>
        <w:t xml:space="preserve">Appendix </w:t>
      </w:r>
      <w:r w:rsidR="00C515A0">
        <w:rPr>
          <w:rFonts w:ascii="Calibri" w:eastAsia="Times New Roman" w:hAnsi="Calibri" w:cs="Calibri"/>
          <w:b/>
          <w:bCs/>
          <w:color w:val="ED1B24"/>
          <w:sz w:val="50"/>
          <w:szCs w:val="50"/>
          <w:lang w:val="en-AU"/>
        </w:rPr>
        <w:t>3</w:t>
      </w:r>
      <w:r w:rsidRPr="00A37634">
        <w:rPr>
          <w:rFonts w:ascii="Calibri" w:eastAsia="Times New Roman" w:hAnsi="Calibri" w:cs="Calibri"/>
          <w:b/>
          <w:bCs/>
          <w:color w:val="ED1B24"/>
          <w:sz w:val="50"/>
          <w:szCs w:val="50"/>
          <w:lang w:val="en-AU"/>
        </w:rPr>
        <w:t xml:space="preserve"> </w:t>
      </w:r>
      <w:r w:rsidR="00C515A0">
        <w:rPr>
          <w:rFonts w:ascii="Calibri" w:eastAsia="Times New Roman" w:hAnsi="Calibri" w:cs="Calibri"/>
          <w:b/>
          <w:bCs/>
          <w:color w:val="ED1B24"/>
          <w:sz w:val="50"/>
          <w:szCs w:val="50"/>
          <w:lang w:val="en-AU"/>
        </w:rPr>
        <w:t>Demand Response Standards</w:t>
      </w:r>
      <w:bookmarkEnd w:id="218"/>
    </w:p>
    <w:p w14:paraId="269E1CDC" w14:textId="064F14AD" w:rsidR="00A37634" w:rsidRPr="00C515A0" w:rsidRDefault="00C515A0" w:rsidP="00C515A0">
      <w:pPr>
        <w:spacing w:before="240" w:after="240" w:line="276" w:lineRule="auto"/>
        <w:rPr>
          <w:rFonts w:ascii="Calibri" w:eastAsia="Calibri" w:hAnsi="Calibri" w:cs="Calibri"/>
          <w:b/>
          <w:bCs/>
          <w:color w:val="FF0000"/>
          <w:sz w:val="28"/>
          <w:szCs w:val="20"/>
          <w:lang w:val="en-AU"/>
        </w:rPr>
      </w:pPr>
      <w:r>
        <w:rPr>
          <w:rFonts w:ascii="Calibri" w:eastAsia="Calibri" w:hAnsi="Calibri" w:cs="Calibri"/>
          <w:b/>
          <w:bCs/>
          <w:color w:val="FF0000"/>
          <w:sz w:val="28"/>
          <w:szCs w:val="20"/>
          <w:lang w:val="en-AU"/>
        </w:rPr>
        <w:t>AS/</w:t>
      </w:r>
      <w:r w:rsidR="00A37634" w:rsidRPr="00C515A0">
        <w:rPr>
          <w:rFonts w:ascii="Calibri" w:eastAsia="Calibri" w:hAnsi="Calibri" w:cs="Calibri"/>
          <w:b/>
          <w:bCs/>
          <w:color w:val="FF0000"/>
          <w:sz w:val="28"/>
          <w:szCs w:val="20"/>
          <w:lang w:val="en-AU"/>
        </w:rPr>
        <w:t>NZS 4755</w:t>
      </w:r>
    </w:p>
    <w:p w14:paraId="1AC5F047" w14:textId="46CFD02F" w:rsidR="00A37634" w:rsidRPr="00A37634" w:rsidRDefault="00A37634" w:rsidP="00A37634">
      <w:pPr>
        <w:spacing w:before="240" w:after="120" w:line="278" w:lineRule="auto"/>
        <w:rPr>
          <w:rFonts w:ascii="Calibri" w:eastAsia="Cambria" w:hAnsi="Calibri" w:cs="Calibri"/>
          <w:lang w:val="en-AU"/>
        </w:rPr>
      </w:pPr>
      <w:r w:rsidRPr="00A37634">
        <w:rPr>
          <w:rFonts w:ascii="Calibri" w:eastAsia="Cambria" w:hAnsi="Calibri" w:cs="Calibri"/>
          <w:lang w:val="en-AU"/>
        </w:rPr>
        <w:t xml:space="preserve">The AS/NZS 4755 framework is intended to support DR programs which optimise the operation of the electricity supply system and allow the efficient planning and use of capital equipment, while minimising the risks to the comfort and amenity of the users of electrical products. There are two pathways for achievement of demand response within the AS/NZS 4755 framework (see </w:t>
      </w:r>
      <w:r w:rsidRPr="00DB27CB">
        <w:rPr>
          <w:rStyle w:val="FigreferenceChar"/>
        </w:rPr>
        <w:fldChar w:fldCharType="begin"/>
      </w:r>
      <w:r w:rsidRPr="00DB27CB">
        <w:rPr>
          <w:rStyle w:val="FigreferenceChar"/>
        </w:rPr>
        <w:instrText xml:space="preserve"> REF _Ref11680598 \h  \* MERGEFORMAT </w:instrText>
      </w:r>
      <w:r w:rsidRPr="00DB27CB">
        <w:rPr>
          <w:rStyle w:val="FigreferenceChar"/>
        </w:rPr>
      </w:r>
      <w:r w:rsidRPr="00DB27CB">
        <w:rPr>
          <w:rStyle w:val="FigreferenceChar"/>
        </w:rPr>
        <w:fldChar w:fldCharType="separate"/>
      </w:r>
      <w:r w:rsidR="006B22A7" w:rsidRPr="00DB27CB">
        <w:rPr>
          <w:rStyle w:val="FigreferenceChar"/>
        </w:rPr>
        <w:t>Figure 7</w:t>
      </w:r>
      <w:r w:rsidRPr="00DB27CB">
        <w:rPr>
          <w:rStyle w:val="FigreferenceChar"/>
        </w:rPr>
        <w:fldChar w:fldCharType="end"/>
      </w:r>
      <w:r w:rsidRPr="00A37634">
        <w:rPr>
          <w:rFonts w:ascii="Calibri" w:eastAsia="Cambria" w:hAnsi="Calibri" w:cs="Calibri"/>
          <w:lang w:val="en-AU"/>
        </w:rPr>
        <w:t>).</w:t>
      </w:r>
    </w:p>
    <w:p w14:paraId="369F8ACB" w14:textId="3729AEAC"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The AS/NZS 4755.1 pathway involves electrical products which conform to </w:t>
      </w:r>
      <w:bookmarkStart w:id="219" w:name="_Hlk13060977"/>
      <w:r w:rsidRPr="00A37634">
        <w:rPr>
          <w:rFonts w:ascii="Calibri" w:eastAsia="Cambria" w:hAnsi="Calibri" w:cs="Calibri"/>
          <w:lang w:val="en-AU"/>
        </w:rPr>
        <w:t xml:space="preserve">a part of the AS/NZS 4755.3 series, connected to </w:t>
      </w:r>
      <w:bookmarkEnd w:id="219"/>
      <w:r w:rsidRPr="00A37634">
        <w:rPr>
          <w:rFonts w:ascii="Calibri" w:eastAsia="Cambria" w:hAnsi="Calibri" w:cs="Calibri"/>
          <w:lang w:val="en-AU"/>
        </w:rPr>
        <w:t>a DRED complying with AS/NZS 4755.1. The Remote Agent</w:t>
      </w:r>
      <w:r w:rsidR="005F33B6">
        <w:rPr>
          <w:rFonts w:ascii="Calibri" w:eastAsia="Cambria" w:hAnsi="Calibri" w:cs="Calibri"/>
          <w:lang w:val="en-AU"/>
        </w:rPr>
        <w:t xml:space="preserve"> (RA)</w:t>
      </w:r>
      <w:r w:rsidRPr="00A37634">
        <w:rPr>
          <w:rFonts w:ascii="Calibri" w:eastAsia="Cambria" w:hAnsi="Calibri" w:cs="Calibri"/>
          <w:lang w:val="en-AU"/>
        </w:rPr>
        <w:t xml:space="preserve"> interacts with the electrical products via the DRED. (It is not essential to have a DRED that complies with AS/NZS 4755.1 to achieve DR. AS/NZS 4755.3 electrical products could be activated by a Home Energy Management System (HEMS) or </w:t>
      </w:r>
      <w:proofErr w:type="gramStart"/>
      <w:r w:rsidRPr="00A37634">
        <w:rPr>
          <w:rFonts w:ascii="Calibri" w:eastAsia="Cambria" w:hAnsi="Calibri" w:cs="Calibri"/>
          <w:lang w:val="en-AU"/>
        </w:rPr>
        <w:t>other</w:t>
      </w:r>
      <w:proofErr w:type="gramEnd"/>
      <w:r w:rsidRPr="00A37634">
        <w:rPr>
          <w:rFonts w:ascii="Calibri" w:eastAsia="Cambria" w:hAnsi="Calibri" w:cs="Calibri"/>
          <w:lang w:val="en-AU"/>
        </w:rPr>
        <w:t xml:space="preserve"> DRED-like device, so long as it is connected to, and electrically compatible with, the physical interface on the product, but strictly speaking this is outside the AS/NZS 4755 framework.)</w:t>
      </w:r>
    </w:p>
    <w:p w14:paraId="219C4DAA" w14:textId="77777777"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The AS 4755.2 pathway involves electrical products which conform to (DR) AS 4755.2. As there is no separate DRED in this pathway, the essential communications and other functions of the DRED </w:t>
      </w:r>
      <w:proofErr w:type="gramStart"/>
      <w:r w:rsidRPr="00A37634">
        <w:rPr>
          <w:rFonts w:ascii="Calibri" w:eastAsia="Cambria" w:hAnsi="Calibri" w:cs="Calibri"/>
          <w:lang w:val="en-AU"/>
        </w:rPr>
        <w:t>have to</w:t>
      </w:r>
      <w:proofErr w:type="gramEnd"/>
      <w:r w:rsidRPr="00A37634">
        <w:rPr>
          <w:rFonts w:ascii="Calibri" w:eastAsia="Cambria" w:hAnsi="Calibri" w:cs="Calibri"/>
          <w:lang w:val="en-AU"/>
        </w:rPr>
        <w:t xml:space="preserve"> be supported by the electrical product itself. Another key difference is that this Standard does not require the presence of a physical interface.</w:t>
      </w:r>
    </w:p>
    <w:p w14:paraId="045C23EA" w14:textId="77777777"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There are therefore two categories of electrical product within the AS/NZS 4755 framework — those conforming to AS/NZS 4755.3 and those conforming to AS 4755.2. The same an electrical product could conform to both, provided it </w:t>
      </w:r>
      <w:proofErr w:type="gramStart"/>
      <w:r w:rsidRPr="00A37634">
        <w:rPr>
          <w:rFonts w:ascii="Calibri" w:eastAsia="Cambria" w:hAnsi="Calibri" w:cs="Calibri"/>
          <w:lang w:val="en-AU"/>
        </w:rPr>
        <w:t>is capable of managing</w:t>
      </w:r>
      <w:proofErr w:type="gramEnd"/>
      <w:r w:rsidRPr="00A37634">
        <w:rPr>
          <w:rFonts w:ascii="Calibri" w:eastAsia="Cambria" w:hAnsi="Calibri" w:cs="Calibri"/>
          <w:lang w:val="en-AU"/>
        </w:rPr>
        <w:t xml:space="preserve"> the potential conflicts that could arise if different remote agents try to access it by different pathways.</w:t>
      </w:r>
    </w:p>
    <w:p w14:paraId="5DDA817A" w14:textId="77777777"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The AS/NZS 4755 framework is also relevant to AS/NZS 4777, </w:t>
      </w:r>
      <w:r w:rsidRPr="00A37634">
        <w:rPr>
          <w:rFonts w:ascii="Calibri" w:eastAsia="Cambria" w:hAnsi="Calibri" w:cs="Calibri"/>
          <w:i/>
          <w:iCs/>
          <w:lang w:val="en-AU"/>
        </w:rPr>
        <w:t>Grid connection of energy systems via inverters, Part 2: Inverter requirements</w:t>
      </w:r>
      <w:r w:rsidRPr="00A37634">
        <w:rPr>
          <w:rFonts w:ascii="Calibri" w:eastAsia="Cambria" w:hAnsi="Calibri" w:cs="Calibri"/>
          <w:lang w:val="en-AU"/>
        </w:rPr>
        <w:t>. Inverters of the kind covered in AS/NZS 4777.2 may have a means of connecting to a DRED, or an alternative pathway to be used for demand response if a DRED is not present. The detailed requirements for inverters are covered in AS/NZS 4777.2, and (DR) AS 4755.2 cross-refers to AS/NZS 4777.2 where relevant.</w:t>
      </w:r>
    </w:p>
    <w:p w14:paraId="22A60B60" w14:textId="77777777" w:rsidR="00A37634" w:rsidRPr="00A37634" w:rsidRDefault="00A37634" w:rsidP="00A37634">
      <w:pPr>
        <w:spacing w:before="120" w:after="120" w:line="278" w:lineRule="auto"/>
        <w:rPr>
          <w:rFonts w:ascii="Calibri" w:eastAsia="Cambria" w:hAnsi="Calibri" w:cs="Calibri"/>
          <w:lang w:val="en-AU"/>
        </w:rPr>
      </w:pPr>
      <w:r w:rsidRPr="00A37634">
        <w:rPr>
          <w:rFonts w:ascii="Calibri" w:eastAsia="Cambria" w:hAnsi="Calibri" w:cs="Calibri"/>
          <w:lang w:val="en-AU"/>
        </w:rPr>
        <w:t xml:space="preserve">The DRMs described in Appendices A, B, C, and D of (DR) AS 4755.2 replicate the DRMs in AS/NZS 4755.3.1, AS/NZS 4755.3.2, AS/NZS 4755.3.3 and AS/NZS 4755.3.5 respectively, but without the use of DREDs. An electrical product which conforms with (DR) AS 4755.2 </w:t>
      </w:r>
      <w:proofErr w:type="gramStart"/>
      <w:r w:rsidRPr="00A37634">
        <w:rPr>
          <w:rFonts w:ascii="Calibri" w:eastAsia="Cambria" w:hAnsi="Calibri" w:cs="Calibri"/>
          <w:lang w:val="en-AU"/>
        </w:rPr>
        <w:t>has to</w:t>
      </w:r>
      <w:proofErr w:type="gramEnd"/>
      <w:r w:rsidRPr="00A37634">
        <w:rPr>
          <w:rFonts w:ascii="Calibri" w:eastAsia="Cambria" w:hAnsi="Calibri" w:cs="Calibri"/>
          <w:lang w:val="en-AU"/>
        </w:rPr>
        <w:t xml:space="preserve"> have a means of receiving commands from a remote agent. The formats for conveying commands using Hyper-Text Transfer Protocol (HTTP) Application Programming Interface (API) in pull and push modes are described in Appendices G and H respectively of (DR) AS 4755.2. </w:t>
      </w:r>
    </w:p>
    <w:p w14:paraId="570F247C" w14:textId="77777777" w:rsidR="00A37634" w:rsidRPr="00A37634" w:rsidRDefault="00A37634" w:rsidP="00A37634">
      <w:pPr>
        <w:spacing w:before="120" w:after="120" w:line="278" w:lineRule="auto"/>
        <w:rPr>
          <w:rFonts w:ascii="Calibri" w:eastAsia="Cambria" w:hAnsi="Calibri" w:cs="Calibri"/>
          <w:sz w:val="20"/>
          <w:szCs w:val="20"/>
          <w:lang w:val="en-AU"/>
        </w:rPr>
      </w:pPr>
      <w:r w:rsidRPr="00A37634">
        <w:rPr>
          <w:rFonts w:ascii="Calibri" w:eastAsia="Cambria" w:hAnsi="Calibri" w:cs="Calibri"/>
          <w:lang w:val="en-AU"/>
        </w:rPr>
        <w:t>However, it is intended to add other options to the standard in the future, so providing a path to integration with any emerging international standards.</w:t>
      </w:r>
      <w:r w:rsidRPr="00A37634">
        <w:rPr>
          <w:rFonts w:ascii="Calibri" w:eastAsia="Calibri" w:hAnsi="Calibri" w:cs="Calibri"/>
          <w:vertAlign w:val="superscript"/>
          <w:lang w:val="en-AU"/>
        </w:rPr>
        <w:footnoteReference w:id="105"/>
      </w:r>
      <w:r w:rsidRPr="00A37634">
        <w:rPr>
          <w:rFonts w:ascii="Calibri" w:eastAsia="Calibri" w:hAnsi="Calibri" w:cs="Calibri"/>
          <w:lang w:val="en-AU"/>
        </w:rPr>
        <w:t xml:space="preserve"> </w:t>
      </w:r>
      <w:r w:rsidRPr="00A37634">
        <w:rPr>
          <w:rFonts w:ascii="Calibri" w:eastAsia="Cambria" w:hAnsi="Calibri" w:cs="Calibri"/>
          <w:lang w:val="en-AU"/>
        </w:rPr>
        <w:t xml:space="preserve">New options would be added as new Appendices, </w:t>
      </w:r>
      <w:r w:rsidRPr="00A37634">
        <w:rPr>
          <w:rFonts w:ascii="Calibri" w:eastAsia="Cambria" w:hAnsi="Calibri" w:cs="Calibri"/>
          <w:lang w:val="en-AU"/>
        </w:rPr>
        <w:lastRenderedPageBreak/>
        <w:t>to be published as future amendments. It is also possible that more electrical products will be added to the AS/NZS 4755 framework over time.</w:t>
      </w:r>
      <w:r w:rsidRPr="00A37634">
        <w:rPr>
          <w:rFonts w:ascii="Calibri" w:eastAsia="Cambria" w:hAnsi="Calibri" w:cs="Calibri"/>
          <w:sz w:val="20"/>
          <w:szCs w:val="20"/>
          <w:lang w:val="en-AU"/>
        </w:rPr>
        <w:t xml:space="preserve"> </w:t>
      </w:r>
    </w:p>
    <w:p w14:paraId="7AF7953D" w14:textId="1266232A" w:rsidR="00A37634" w:rsidRPr="00A37634" w:rsidRDefault="00A37634" w:rsidP="00A37634">
      <w:pPr>
        <w:spacing w:before="240" w:after="120" w:line="240" w:lineRule="auto"/>
        <w:jc w:val="center"/>
        <w:rPr>
          <w:rFonts w:ascii="Calibri" w:eastAsia="Cambria" w:hAnsi="Calibri" w:cs="Calibri"/>
          <w:b/>
          <w:bCs/>
          <w:sz w:val="20"/>
          <w:szCs w:val="16"/>
          <w:lang w:val="en-AU"/>
        </w:rPr>
      </w:pPr>
      <w:bookmarkStart w:id="220" w:name="_Ref11586760"/>
      <w:bookmarkStart w:id="221" w:name="_Ref22284471"/>
      <w:bookmarkStart w:id="222" w:name="_Toc22486992"/>
      <w:r w:rsidRPr="00A37634">
        <w:rPr>
          <w:rFonts w:ascii="Calibri" w:eastAsia="Cambria" w:hAnsi="Calibri" w:cs="Calibri"/>
          <w:b/>
          <w:bCs/>
          <w:sz w:val="20"/>
          <w:szCs w:val="16"/>
          <w:lang w:val="en-AU"/>
        </w:rPr>
        <w:t xml:space="preserve">Table </w:t>
      </w:r>
      <w:r w:rsidRPr="00A37634">
        <w:rPr>
          <w:rFonts w:ascii="Calibri" w:eastAsia="Cambria" w:hAnsi="Calibri" w:cs="Calibri"/>
          <w:b/>
          <w:bCs/>
          <w:noProof/>
          <w:sz w:val="20"/>
          <w:szCs w:val="16"/>
          <w:lang w:val="en-AU"/>
        </w:rPr>
        <w:fldChar w:fldCharType="begin"/>
      </w:r>
      <w:r w:rsidRPr="00A37634">
        <w:rPr>
          <w:rFonts w:ascii="Calibri" w:eastAsia="Cambria" w:hAnsi="Calibri" w:cs="Calibri"/>
          <w:b/>
          <w:bCs/>
          <w:noProof/>
          <w:sz w:val="20"/>
          <w:szCs w:val="16"/>
          <w:lang w:val="en-AU"/>
        </w:rPr>
        <w:instrText xml:space="preserve"> SEQ Table \* ARABIC </w:instrText>
      </w:r>
      <w:r w:rsidRPr="00A37634">
        <w:rPr>
          <w:rFonts w:ascii="Calibri" w:eastAsia="Cambria" w:hAnsi="Calibri" w:cs="Calibri"/>
          <w:b/>
          <w:bCs/>
          <w:noProof/>
          <w:sz w:val="20"/>
          <w:szCs w:val="16"/>
          <w:lang w:val="en-AU"/>
        </w:rPr>
        <w:fldChar w:fldCharType="separate"/>
      </w:r>
      <w:r w:rsidR="005B1ACD">
        <w:rPr>
          <w:rFonts w:ascii="Calibri" w:eastAsia="Cambria" w:hAnsi="Calibri" w:cs="Calibri"/>
          <w:b/>
          <w:bCs/>
          <w:noProof/>
          <w:sz w:val="20"/>
          <w:szCs w:val="16"/>
          <w:lang w:val="en-AU"/>
        </w:rPr>
        <w:t>48</w:t>
      </w:r>
      <w:r w:rsidRPr="00A37634">
        <w:rPr>
          <w:rFonts w:ascii="Calibri" w:eastAsia="Cambria" w:hAnsi="Calibri" w:cs="Calibri"/>
          <w:b/>
          <w:bCs/>
          <w:noProof/>
          <w:sz w:val="20"/>
          <w:szCs w:val="16"/>
          <w:lang w:val="en-AU"/>
        </w:rPr>
        <w:fldChar w:fldCharType="end"/>
      </w:r>
      <w:bookmarkEnd w:id="220"/>
      <w:r w:rsidRPr="00A37634">
        <w:rPr>
          <w:rFonts w:ascii="Calibri" w:eastAsia="Cambria" w:hAnsi="Calibri" w:cs="Calibri"/>
          <w:b/>
          <w:bCs/>
          <w:noProof/>
          <w:sz w:val="20"/>
          <w:szCs w:val="16"/>
          <w:lang w:val="en-AU"/>
        </w:rPr>
        <w:t>.</w:t>
      </w:r>
      <w:r w:rsidRPr="00A37634">
        <w:rPr>
          <w:rFonts w:ascii="Calibri" w:eastAsia="Cambria" w:hAnsi="Calibri" w:cs="Calibri"/>
          <w:b/>
          <w:bCs/>
          <w:sz w:val="20"/>
          <w:szCs w:val="16"/>
          <w:lang w:val="en-AU"/>
        </w:rPr>
        <w:t xml:space="preserve"> Parts of AS/NZS 4755 Demand response capabilities and supporting technologies for electrical products</w:t>
      </w:r>
      <w:bookmarkEnd w:id="221"/>
      <w:bookmarkEnd w:id="222"/>
    </w:p>
    <w:tbl>
      <w:tblPr>
        <w:tblStyle w:val="TableGrid"/>
        <w:tblW w:w="0" w:type="auto"/>
        <w:jc w:val="center"/>
        <w:tblLook w:val="04A0" w:firstRow="1" w:lastRow="0" w:firstColumn="1" w:lastColumn="0" w:noHBand="0" w:noVBand="1"/>
        <w:tblCaption w:val="&quot;0&quot;"/>
      </w:tblPr>
      <w:tblGrid>
        <w:gridCol w:w="3005"/>
        <w:gridCol w:w="3005"/>
        <w:gridCol w:w="3006"/>
      </w:tblGrid>
      <w:tr w:rsidR="00A37634" w:rsidRPr="00A37634" w14:paraId="76240650" w14:textId="77777777" w:rsidTr="007C7289">
        <w:trPr>
          <w:tblHeader/>
          <w:jc w:val="center"/>
        </w:trPr>
        <w:tc>
          <w:tcPr>
            <w:tcW w:w="3005" w:type="dxa"/>
          </w:tcPr>
          <w:p w14:paraId="07255075" w14:textId="77777777" w:rsidR="00A37634" w:rsidRPr="00A37634" w:rsidRDefault="00A37634" w:rsidP="00A37634">
            <w:pPr>
              <w:spacing w:after="120" w:line="276" w:lineRule="auto"/>
              <w:jc w:val="center"/>
              <w:rPr>
                <w:rFonts w:ascii="Calibri" w:eastAsia="Calibri" w:hAnsi="Calibri" w:cs="Calibri"/>
                <w:b/>
                <w:lang w:val="en-AU"/>
              </w:rPr>
            </w:pPr>
            <w:r w:rsidRPr="00A37634">
              <w:rPr>
                <w:rFonts w:ascii="Calibri" w:eastAsia="Calibri" w:hAnsi="Calibri" w:cs="Calibri"/>
                <w:b/>
                <w:lang w:val="en-AU"/>
              </w:rPr>
              <w:t>Referred to in 2013 Consultation RIS</w:t>
            </w:r>
          </w:p>
        </w:tc>
        <w:tc>
          <w:tcPr>
            <w:tcW w:w="3005" w:type="dxa"/>
          </w:tcPr>
          <w:p w14:paraId="3D8C3F64" w14:textId="77777777" w:rsidR="00A37634" w:rsidRPr="00A37634" w:rsidRDefault="00A37634" w:rsidP="00A37634">
            <w:pPr>
              <w:spacing w:after="120" w:line="276" w:lineRule="auto"/>
              <w:jc w:val="center"/>
              <w:rPr>
                <w:rFonts w:ascii="Calibri" w:eastAsia="Calibri" w:hAnsi="Calibri" w:cs="Calibri"/>
                <w:b/>
                <w:lang w:val="en-AU"/>
              </w:rPr>
            </w:pPr>
            <w:r w:rsidRPr="00A37634">
              <w:rPr>
                <w:rFonts w:ascii="Calibri" w:eastAsia="Calibri" w:hAnsi="Calibri" w:cs="Calibri"/>
                <w:b/>
                <w:lang w:val="en-AU"/>
              </w:rPr>
              <w:t>Now</w:t>
            </w:r>
          </w:p>
        </w:tc>
        <w:tc>
          <w:tcPr>
            <w:tcW w:w="3006" w:type="dxa"/>
          </w:tcPr>
          <w:p w14:paraId="4868C395" w14:textId="77777777" w:rsidR="00A37634" w:rsidRPr="00A37634" w:rsidRDefault="00A37634" w:rsidP="00A37634">
            <w:pPr>
              <w:spacing w:after="120" w:line="276" w:lineRule="auto"/>
              <w:jc w:val="center"/>
              <w:rPr>
                <w:rFonts w:ascii="Calibri" w:eastAsia="Calibri" w:hAnsi="Calibri" w:cs="Calibri"/>
                <w:b/>
                <w:lang w:val="en-AU"/>
              </w:rPr>
            </w:pPr>
            <w:r w:rsidRPr="00A37634">
              <w:rPr>
                <w:rFonts w:ascii="Calibri" w:eastAsia="Calibri" w:hAnsi="Calibri" w:cs="Calibri"/>
                <w:b/>
                <w:lang w:val="en-AU"/>
              </w:rPr>
              <w:t>Comment</w:t>
            </w:r>
          </w:p>
        </w:tc>
      </w:tr>
      <w:tr w:rsidR="00A37634" w:rsidRPr="00A37634" w14:paraId="640B49F5" w14:textId="77777777" w:rsidTr="007C7289">
        <w:trPr>
          <w:jc w:val="center"/>
        </w:trPr>
        <w:tc>
          <w:tcPr>
            <w:tcW w:w="3005" w:type="dxa"/>
          </w:tcPr>
          <w:p w14:paraId="5F132D70"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Not mentioned - Not published at the time</w:t>
            </w:r>
          </w:p>
        </w:tc>
        <w:tc>
          <w:tcPr>
            <w:tcW w:w="3005" w:type="dxa"/>
          </w:tcPr>
          <w:p w14:paraId="7DC2FD9F"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4755.1 Framework for demand response capabilities and requirements for </w:t>
            </w:r>
            <w:r w:rsidRPr="00A37634">
              <w:rPr>
                <w:rFonts w:ascii="Calibri" w:eastAsia="Calibri" w:hAnsi="Calibri" w:cs="Calibri"/>
                <w:b/>
                <w:lang w:val="en-AU"/>
              </w:rPr>
              <w:t>demand response enabling devices (DREDs)</w:t>
            </w:r>
          </w:p>
        </w:tc>
        <w:tc>
          <w:tcPr>
            <w:tcW w:w="3006" w:type="dxa"/>
          </w:tcPr>
          <w:p w14:paraId="3C88B818"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Compliance does not need to be mandated. DR can be achieved by connecting a compliant electrical product to either a compliant or non-compliant DRED or HEMS </w:t>
            </w:r>
          </w:p>
        </w:tc>
      </w:tr>
      <w:tr w:rsidR="00A37634" w:rsidRPr="00A37634" w14:paraId="24E4FB7E" w14:textId="77777777" w:rsidTr="007C7289">
        <w:trPr>
          <w:jc w:val="center"/>
        </w:trPr>
        <w:tc>
          <w:tcPr>
            <w:tcW w:w="3005" w:type="dxa"/>
          </w:tcPr>
          <w:p w14:paraId="202122A8"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4755.3.1:2012 Interaction of demand response enabling devices and electrical products—Operational instructions and connections for </w:t>
            </w:r>
            <w:r w:rsidRPr="00A37634">
              <w:rPr>
                <w:rFonts w:ascii="Calibri" w:eastAsia="Calibri" w:hAnsi="Calibri" w:cs="Calibri"/>
                <w:b/>
                <w:lang w:val="en-AU"/>
              </w:rPr>
              <w:t>air conditioners</w:t>
            </w:r>
          </w:p>
        </w:tc>
        <w:tc>
          <w:tcPr>
            <w:tcW w:w="3005" w:type="dxa"/>
          </w:tcPr>
          <w:p w14:paraId="323B5B07"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4755.3.1:2014 Interaction of demand response enabling devices and electrical products—Operational instructions and connections for </w:t>
            </w:r>
            <w:r w:rsidRPr="00A37634">
              <w:rPr>
                <w:rFonts w:ascii="Calibri" w:eastAsia="Calibri" w:hAnsi="Calibri" w:cs="Calibri"/>
                <w:b/>
                <w:lang w:val="en-AU"/>
              </w:rPr>
              <w:t>air conditioners</w:t>
            </w:r>
          </w:p>
        </w:tc>
        <w:tc>
          <w:tcPr>
            <w:tcW w:w="3006" w:type="dxa"/>
          </w:tcPr>
          <w:p w14:paraId="2A1FE6C6"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The 2013 RIS recommended compliance with either version: it is no longer necessary to refer to the now obsolete 2012 version. </w:t>
            </w:r>
          </w:p>
        </w:tc>
      </w:tr>
      <w:tr w:rsidR="00A37634" w:rsidRPr="00A37634" w14:paraId="59E001EB" w14:textId="77777777" w:rsidTr="007C7289">
        <w:trPr>
          <w:jc w:val="center"/>
        </w:trPr>
        <w:tc>
          <w:tcPr>
            <w:tcW w:w="3005" w:type="dxa"/>
          </w:tcPr>
          <w:p w14:paraId="7F90E823"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4755.3.2:2014 Operational instructions and connections for </w:t>
            </w:r>
            <w:r w:rsidRPr="00A37634">
              <w:rPr>
                <w:rFonts w:ascii="Calibri" w:eastAsia="Calibri" w:hAnsi="Calibri" w:cs="Calibri"/>
                <w:b/>
                <w:lang w:val="en-AU"/>
              </w:rPr>
              <w:t>swimming pool pump-unit controllers</w:t>
            </w:r>
            <w:r w:rsidRPr="00A37634">
              <w:rPr>
                <w:rFonts w:ascii="Calibri" w:eastAsia="Calibri" w:hAnsi="Calibri" w:cs="Calibri"/>
                <w:lang w:val="en-AU"/>
              </w:rPr>
              <w:t xml:space="preserve"> </w:t>
            </w:r>
          </w:p>
        </w:tc>
        <w:tc>
          <w:tcPr>
            <w:tcW w:w="3005" w:type="dxa"/>
          </w:tcPr>
          <w:p w14:paraId="75267EF9"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No change – version still current</w:t>
            </w:r>
          </w:p>
        </w:tc>
        <w:tc>
          <w:tcPr>
            <w:tcW w:w="3006" w:type="dxa"/>
          </w:tcPr>
          <w:p w14:paraId="60E204D3"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No change</w:t>
            </w:r>
          </w:p>
        </w:tc>
      </w:tr>
      <w:tr w:rsidR="00A37634" w:rsidRPr="00A37634" w14:paraId="1EBBC61A" w14:textId="77777777" w:rsidTr="007C7289">
        <w:trPr>
          <w:jc w:val="center"/>
        </w:trPr>
        <w:tc>
          <w:tcPr>
            <w:tcW w:w="3005" w:type="dxa"/>
          </w:tcPr>
          <w:p w14:paraId="01B68A76"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4755.3.3:2014 Operational instructions and connections for </w:t>
            </w:r>
            <w:r w:rsidRPr="00A37634">
              <w:rPr>
                <w:rFonts w:ascii="Calibri" w:eastAsia="Calibri" w:hAnsi="Calibri" w:cs="Calibri"/>
                <w:b/>
                <w:lang w:val="en-AU"/>
              </w:rPr>
              <w:t>electric storage and electric-boosted storage water heaters</w:t>
            </w:r>
          </w:p>
        </w:tc>
        <w:tc>
          <w:tcPr>
            <w:tcW w:w="3005" w:type="dxa"/>
          </w:tcPr>
          <w:p w14:paraId="52EA8E88"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No change – version still current</w:t>
            </w:r>
          </w:p>
        </w:tc>
        <w:tc>
          <w:tcPr>
            <w:tcW w:w="3006" w:type="dxa"/>
          </w:tcPr>
          <w:p w14:paraId="0B6AE40F"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Scope includes electric resistance, solar-electric and heat pump water heaters, but compliance was recommended for electric resistance types only</w:t>
            </w:r>
          </w:p>
        </w:tc>
      </w:tr>
      <w:tr w:rsidR="00A37634" w:rsidRPr="00A37634" w14:paraId="07E1D022" w14:textId="77777777" w:rsidTr="007C7289">
        <w:trPr>
          <w:jc w:val="center"/>
        </w:trPr>
        <w:tc>
          <w:tcPr>
            <w:tcW w:w="3005" w:type="dxa"/>
          </w:tcPr>
          <w:p w14:paraId="24ABA532"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4755.3.4 Operational instructions and connections for </w:t>
            </w:r>
            <w:r w:rsidRPr="00A37634">
              <w:rPr>
                <w:rFonts w:ascii="Calibri" w:eastAsia="Calibri" w:hAnsi="Calibri" w:cs="Calibri"/>
                <w:b/>
                <w:lang w:val="en-AU"/>
              </w:rPr>
              <w:t>charge/discharge controllers for electric vehicles</w:t>
            </w:r>
          </w:p>
        </w:tc>
        <w:tc>
          <w:tcPr>
            <w:tcW w:w="3005" w:type="dxa"/>
          </w:tcPr>
          <w:p w14:paraId="67ED2928"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Draft was released for public comment in 2014 but has not been published. </w:t>
            </w:r>
          </w:p>
        </w:tc>
        <w:tc>
          <w:tcPr>
            <w:tcW w:w="3006" w:type="dxa"/>
          </w:tcPr>
          <w:p w14:paraId="1050D400"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If this product is to be covered, either new version of 4755.3.4 or a new standard is required. Alternatively, technical content could be in GEMS determination. </w:t>
            </w:r>
          </w:p>
        </w:tc>
      </w:tr>
      <w:tr w:rsidR="00A37634" w:rsidRPr="00A37634" w14:paraId="0167B772" w14:textId="77777777" w:rsidTr="007C7289">
        <w:trPr>
          <w:jc w:val="center"/>
        </w:trPr>
        <w:tc>
          <w:tcPr>
            <w:tcW w:w="3005" w:type="dxa"/>
          </w:tcPr>
          <w:p w14:paraId="7CFA4A71"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Not mentioned - Not published at the time</w:t>
            </w:r>
          </w:p>
        </w:tc>
        <w:tc>
          <w:tcPr>
            <w:tcW w:w="3005" w:type="dxa"/>
          </w:tcPr>
          <w:p w14:paraId="2906C3B1"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4755.3.5:2016 Operational instructions and connections for </w:t>
            </w:r>
            <w:r w:rsidRPr="00A37634">
              <w:rPr>
                <w:rFonts w:ascii="Calibri" w:eastAsia="Calibri" w:hAnsi="Calibri" w:cs="Calibri"/>
                <w:b/>
                <w:lang w:val="en-AU"/>
              </w:rPr>
              <w:t>grid-connected electrical energy storage systems</w:t>
            </w:r>
            <w:r w:rsidRPr="00A37634">
              <w:rPr>
                <w:rFonts w:ascii="Calibri" w:eastAsia="Calibri" w:hAnsi="Calibri" w:cs="Calibri"/>
                <w:lang w:val="en-AU"/>
              </w:rPr>
              <w:t xml:space="preserve"> </w:t>
            </w:r>
          </w:p>
        </w:tc>
        <w:tc>
          <w:tcPr>
            <w:tcW w:w="3006" w:type="dxa"/>
          </w:tcPr>
          <w:p w14:paraId="038E33D9"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Covers battery storage, among other storage technologies. Developed at request of Energy Networks Association (</w:t>
            </w:r>
            <w:proofErr w:type="spellStart"/>
            <w:r w:rsidRPr="00A37634">
              <w:rPr>
                <w:rFonts w:ascii="Calibri" w:eastAsia="Calibri" w:hAnsi="Calibri" w:cs="Calibri"/>
                <w:lang w:val="en-AU"/>
              </w:rPr>
              <w:t>ENA</w:t>
            </w:r>
            <w:proofErr w:type="spellEnd"/>
            <w:r w:rsidRPr="00A37634">
              <w:rPr>
                <w:rFonts w:ascii="Calibri" w:eastAsia="Calibri" w:hAnsi="Calibri" w:cs="Calibri"/>
                <w:lang w:val="en-AU"/>
              </w:rPr>
              <w:t>). Mandating compliance not proposed for time being</w:t>
            </w:r>
          </w:p>
        </w:tc>
      </w:tr>
      <w:tr w:rsidR="00A37634" w:rsidRPr="00A37634" w14:paraId="47211698" w14:textId="77777777" w:rsidTr="007C7289">
        <w:trPr>
          <w:jc w:val="center"/>
        </w:trPr>
        <w:tc>
          <w:tcPr>
            <w:tcW w:w="3005" w:type="dxa"/>
          </w:tcPr>
          <w:p w14:paraId="02F538F4"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lastRenderedPageBreak/>
              <w:t>Not mentioned - Not published at the time</w:t>
            </w:r>
          </w:p>
        </w:tc>
        <w:tc>
          <w:tcPr>
            <w:tcW w:w="3005" w:type="dxa"/>
          </w:tcPr>
          <w:p w14:paraId="1496A663"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 xml:space="preserve">4755.2 Demand response framework and requirements for </w:t>
            </w:r>
            <w:r w:rsidRPr="00A37634">
              <w:rPr>
                <w:rFonts w:ascii="Calibri" w:eastAsia="Calibri" w:hAnsi="Calibri" w:cs="Calibri"/>
                <w:b/>
                <w:lang w:val="en-AU"/>
              </w:rPr>
              <w:t>communication between remote agents and electrical products</w:t>
            </w:r>
            <w:r w:rsidRPr="00A37634">
              <w:rPr>
                <w:rFonts w:ascii="Calibri" w:eastAsia="Calibri" w:hAnsi="Calibri" w:cs="Calibri"/>
                <w:lang w:val="en-AU"/>
              </w:rPr>
              <w:br/>
              <w:t>(In public comment stage. Expected to be published at end of 2019)</w:t>
            </w:r>
          </w:p>
        </w:tc>
        <w:tc>
          <w:tcPr>
            <w:tcW w:w="3006" w:type="dxa"/>
          </w:tcPr>
          <w:p w14:paraId="7279D659" w14:textId="77777777" w:rsidR="00A37634" w:rsidRPr="00A37634" w:rsidRDefault="00A37634" w:rsidP="00A37634">
            <w:pPr>
              <w:spacing w:after="120" w:line="276" w:lineRule="auto"/>
              <w:rPr>
                <w:rFonts w:ascii="Calibri" w:eastAsia="Calibri" w:hAnsi="Calibri" w:cs="Calibri"/>
                <w:lang w:val="en-AU"/>
              </w:rPr>
            </w:pPr>
            <w:r w:rsidRPr="00A37634">
              <w:rPr>
                <w:rFonts w:ascii="Calibri" w:eastAsia="Calibri" w:hAnsi="Calibri" w:cs="Calibri"/>
                <w:lang w:val="en-AU"/>
              </w:rPr>
              <w:t>Offers an alternative pathway to DR compliance for air conditioners, pool pump controllers, water heaters and grid-connected electrical energy storage systems. No physical interface or DRED required. DRMs 1,2,3 etc. same as in other parts. Developed at request of Australian Energy Council (AEC)</w:t>
            </w:r>
          </w:p>
        </w:tc>
      </w:tr>
    </w:tbl>
    <w:p w14:paraId="4DA148E7" w14:textId="77777777" w:rsidR="00DB27CB" w:rsidRDefault="00DB27CB" w:rsidP="00DB27CB">
      <w:pPr>
        <w:rPr>
          <w:lang w:val="en-AU"/>
        </w:rPr>
      </w:pPr>
    </w:p>
    <w:p w14:paraId="5B6CA9FF" w14:textId="0BFD3BF7" w:rsidR="00A37634" w:rsidRPr="00A37634" w:rsidRDefault="00DB27CB" w:rsidP="00A37634">
      <w:pPr>
        <w:spacing w:before="240" w:after="240" w:line="276" w:lineRule="auto"/>
        <w:rPr>
          <w:rFonts w:ascii="Calibri" w:eastAsia="Calibri" w:hAnsi="Calibri" w:cs="Calibri"/>
          <w:b/>
          <w:bCs/>
          <w:color w:val="FF0000"/>
          <w:sz w:val="28"/>
          <w:szCs w:val="20"/>
          <w:lang w:val="en-AU"/>
        </w:rPr>
      </w:pPr>
      <w:r>
        <w:rPr>
          <w:rFonts w:ascii="Calibri" w:eastAsia="Calibri" w:hAnsi="Calibri" w:cs="Calibri"/>
          <w:b/>
          <w:bCs/>
          <w:color w:val="FF0000"/>
          <w:sz w:val="28"/>
          <w:szCs w:val="20"/>
          <w:lang w:val="en-AU"/>
        </w:rPr>
        <w:t xml:space="preserve">Other </w:t>
      </w:r>
      <w:r w:rsidR="00A37634" w:rsidRPr="00A37634">
        <w:rPr>
          <w:rFonts w:ascii="Calibri" w:eastAsia="Calibri" w:hAnsi="Calibri" w:cs="Calibri"/>
          <w:b/>
          <w:bCs/>
          <w:color w:val="FF0000"/>
          <w:sz w:val="28"/>
          <w:szCs w:val="20"/>
          <w:lang w:val="en-AU"/>
        </w:rPr>
        <w:t>“Smart</w:t>
      </w:r>
      <w:r>
        <w:rPr>
          <w:rFonts w:ascii="Calibri" w:eastAsia="Calibri" w:hAnsi="Calibri" w:cs="Calibri"/>
          <w:b/>
          <w:bCs/>
          <w:color w:val="FF0000"/>
          <w:sz w:val="28"/>
          <w:szCs w:val="20"/>
          <w:lang w:val="en-AU"/>
        </w:rPr>
        <w:t>”</w:t>
      </w:r>
      <w:r w:rsidR="00A37634" w:rsidRPr="00A37634">
        <w:rPr>
          <w:rFonts w:ascii="Calibri" w:eastAsia="Calibri" w:hAnsi="Calibri" w:cs="Calibri"/>
          <w:b/>
          <w:bCs/>
          <w:color w:val="FF0000"/>
          <w:sz w:val="28"/>
          <w:szCs w:val="20"/>
          <w:lang w:val="en-AU"/>
        </w:rPr>
        <w:t xml:space="preserve"> Standards </w:t>
      </w:r>
    </w:p>
    <w:p w14:paraId="72C2813D" w14:textId="77777777" w:rsidR="00A37634" w:rsidRPr="00A37634" w:rsidRDefault="00A37634" w:rsidP="00A37634">
      <w:pPr>
        <w:spacing w:before="240" w:after="120" w:line="278" w:lineRule="auto"/>
        <w:rPr>
          <w:rFonts w:ascii="Calibri" w:eastAsia="Cambria" w:hAnsi="Calibri" w:cs="Calibri"/>
          <w:szCs w:val="20"/>
          <w:lang w:val="en-AU"/>
        </w:rPr>
      </w:pPr>
      <w:r w:rsidRPr="00A37634">
        <w:rPr>
          <w:rFonts w:ascii="Calibri" w:eastAsia="Cambria" w:hAnsi="Calibri" w:cs="Calibri"/>
          <w:szCs w:val="20"/>
          <w:lang w:val="en-AU"/>
        </w:rPr>
        <w:t>Globally, the three sets of public DR standards supported by actual models of the appliances within the scope of this Consultation Paper are AS/NZS 4755 (Australia), Echonet (Japan)</w:t>
      </w:r>
      <w:r w:rsidRPr="00A37634">
        <w:rPr>
          <w:rFonts w:ascii="Calibri" w:eastAsia="Cambria" w:hAnsi="Calibri" w:cs="Calibri"/>
          <w:szCs w:val="20"/>
          <w:vertAlign w:val="superscript"/>
          <w:lang w:val="en-AU"/>
        </w:rPr>
        <w:footnoteReference w:id="106"/>
      </w:r>
      <w:r w:rsidRPr="00A37634">
        <w:rPr>
          <w:rFonts w:ascii="Calibri" w:eastAsia="Cambria" w:hAnsi="Calibri" w:cs="Calibri"/>
          <w:szCs w:val="20"/>
          <w:vertAlign w:val="superscript"/>
          <w:lang w:val="en-AU"/>
        </w:rPr>
        <w:t xml:space="preserve"> </w:t>
      </w:r>
      <w:r w:rsidRPr="00A37634">
        <w:rPr>
          <w:rFonts w:ascii="Calibri" w:eastAsia="Cambria" w:hAnsi="Calibri" w:cs="Calibri"/>
          <w:szCs w:val="20"/>
          <w:lang w:val="en-AU"/>
        </w:rPr>
        <w:t>and the Energy Star “Connected Appliance Criteria” (USA).</w:t>
      </w:r>
      <w:r w:rsidRPr="00A37634">
        <w:rPr>
          <w:rFonts w:ascii="Calibri" w:eastAsia="Cambria" w:hAnsi="Calibri" w:cs="Calibri"/>
          <w:szCs w:val="20"/>
          <w:vertAlign w:val="superscript"/>
          <w:lang w:val="en-AU"/>
        </w:rPr>
        <w:footnoteReference w:id="107"/>
      </w:r>
      <w:r w:rsidRPr="00A37634">
        <w:rPr>
          <w:rFonts w:ascii="Calibri" w:eastAsia="Cambria" w:hAnsi="Calibri" w:cs="Calibri"/>
          <w:szCs w:val="20"/>
          <w:vertAlign w:val="superscript"/>
          <w:lang w:val="en-AU"/>
        </w:rPr>
        <w:t xml:space="preserve"> </w:t>
      </w:r>
    </w:p>
    <w:p w14:paraId="2AE4E6B1" w14:textId="16AE4D70" w:rsidR="00A37634" w:rsidRPr="00A37634" w:rsidRDefault="00A37634" w:rsidP="00A37634">
      <w:pPr>
        <w:spacing w:before="120" w:after="120" w:line="278" w:lineRule="auto"/>
        <w:rPr>
          <w:rFonts w:ascii="Calibri" w:eastAsia="Cambria" w:hAnsi="Calibri" w:cs="Calibri"/>
          <w:sz w:val="20"/>
          <w:szCs w:val="20"/>
          <w:lang w:val="en-AU"/>
        </w:rPr>
      </w:pPr>
      <w:r w:rsidRPr="00A37634">
        <w:rPr>
          <w:rFonts w:ascii="Calibri" w:eastAsia="Cambria" w:hAnsi="Calibri" w:cs="Calibri"/>
          <w:szCs w:val="20"/>
          <w:lang w:val="en-AU"/>
        </w:rPr>
        <w:t xml:space="preserve">For ACs, the AS/NZS 4755 DRMs are a </w:t>
      </w:r>
      <w:proofErr w:type="gramStart"/>
      <w:r w:rsidRPr="00A37634">
        <w:rPr>
          <w:rFonts w:ascii="Calibri" w:eastAsia="Cambria" w:hAnsi="Calibri" w:cs="Calibri"/>
          <w:szCs w:val="20"/>
          <w:lang w:val="en-AU"/>
        </w:rPr>
        <w:t>similar to</w:t>
      </w:r>
      <w:proofErr w:type="gramEnd"/>
      <w:r w:rsidRPr="00A37634">
        <w:rPr>
          <w:rFonts w:ascii="Calibri" w:eastAsia="Cambria" w:hAnsi="Calibri" w:cs="Calibri"/>
          <w:szCs w:val="20"/>
          <w:lang w:val="en-AU"/>
        </w:rPr>
        <w:t xml:space="preserve"> Echonet capabilities, and many split system models are registered as compliant with both (</w:t>
      </w:r>
      <w:r w:rsidRPr="000516A3">
        <w:rPr>
          <w:rFonts w:ascii="Calibri" w:eastAsia="Cambria" w:hAnsi="Calibri" w:cs="Calibri"/>
          <w:b/>
          <w:szCs w:val="20"/>
          <w:lang w:val="en-AU"/>
        </w:rPr>
        <w:fldChar w:fldCharType="begin"/>
      </w:r>
      <w:r w:rsidRPr="000516A3">
        <w:rPr>
          <w:rFonts w:ascii="Calibri" w:eastAsia="Cambria" w:hAnsi="Calibri" w:cs="Calibri"/>
          <w:b/>
          <w:szCs w:val="20"/>
          <w:lang w:val="en-AU"/>
        </w:rPr>
        <w:instrText xml:space="preserve"> REF _Ref370055638 \h  \* MERGEFORMAT </w:instrText>
      </w:r>
      <w:r w:rsidRPr="000516A3">
        <w:rPr>
          <w:rFonts w:ascii="Calibri" w:eastAsia="Cambria" w:hAnsi="Calibri" w:cs="Calibri"/>
          <w:b/>
          <w:szCs w:val="20"/>
          <w:lang w:val="en-AU"/>
        </w:rPr>
      </w:r>
      <w:r w:rsidRPr="000516A3">
        <w:rPr>
          <w:rFonts w:ascii="Calibri" w:eastAsia="Cambria" w:hAnsi="Calibri" w:cs="Calibri"/>
          <w:b/>
          <w:szCs w:val="20"/>
          <w:lang w:val="en-AU"/>
        </w:rPr>
        <w:fldChar w:fldCharType="separate"/>
      </w:r>
      <w:r w:rsidR="006B22A7" w:rsidRPr="006B22A7">
        <w:rPr>
          <w:rFonts w:ascii="Calibri" w:eastAsia="Cambria" w:hAnsi="Calibri" w:cs="Calibri"/>
          <w:b/>
          <w:szCs w:val="20"/>
          <w:lang w:val="en-AU"/>
        </w:rPr>
        <w:t>Table 52</w:t>
      </w:r>
      <w:r w:rsidRPr="000516A3">
        <w:rPr>
          <w:rFonts w:ascii="Calibri" w:eastAsia="Cambria" w:hAnsi="Calibri" w:cs="Calibri"/>
          <w:b/>
          <w:szCs w:val="20"/>
          <w:lang w:val="en-AU"/>
        </w:rPr>
        <w:fldChar w:fldCharType="end"/>
      </w:r>
      <w:r w:rsidRPr="00A37634">
        <w:rPr>
          <w:rFonts w:ascii="Calibri" w:eastAsia="Cambria" w:hAnsi="Calibri" w:cs="Calibri"/>
          <w:szCs w:val="20"/>
          <w:lang w:val="en-AU"/>
        </w:rPr>
        <w:t xml:space="preserve">). The USA Energy Star program has published “connected” criteria for “room” (window-wall) ACs, but not split unit or ducted ACs. The reason for the lack of interest in split units (which represent three quarters of the installed stock in Australia, and over 90% in New Zealand) is the prevalence of whole-house ducted </w:t>
      </w:r>
      <w:r w:rsidR="005F33B6">
        <w:rPr>
          <w:rFonts w:ascii="Calibri" w:eastAsia="Cambria" w:hAnsi="Calibri" w:cs="Calibri"/>
          <w:szCs w:val="20"/>
          <w:lang w:val="en-AU"/>
        </w:rPr>
        <w:t xml:space="preserve">ACs </w:t>
      </w:r>
      <w:r w:rsidRPr="00A37634">
        <w:rPr>
          <w:rFonts w:ascii="Calibri" w:eastAsia="Cambria" w:hAnsi="Calibri" w:cs="Calibri"/>
          <w:szCs w:val="20"/>
          <w:lang w:val="en-AU"/>
        </w:rPr>
        <w:t>in the USA (</w:t>
      </w:r>
      <w:r w:rsidRPr="009A41E4">
        <w:rPr>
          <w:rFonts w:ascii="Calibri" w:eastAsia="Cambria" w:hAnsi="Calibri" w:cs="Calibri"/>
          <w:b/>
          <w:szCs w:val="20"/>
          <w:lang w:val="en-AU"/>
        </w:rPr>
        <w:fldChar w:fldCharType="begin"/>
      </w:r>
      <w:r w:rsidRPr="009A41E4">
        <w:rPr>
          <w:rFonts w:ascii="Calibri" w:eastAsia="Cambria" w:hAnsi="Calibri" w:cs="Calibri"/>
          <w:b/>
          <w:szCs w:val="20"/>
          <w:lang w:val="en-AU"/>
        </w:rPr>
        <w:instrText xml:space="preserve"> REF _Ref13832111 \h  \* MERGEFORMAT </w:instrText>
      </w:r>
      <w:r w:rsidRPr="009A41E4">
        <w:rPr>
          <w:rFonts w:ascii="Calibri" w:eastAsia="Cambria" w:hAnsi="Calibri" w:cs="Calibri"/>
          <w:b/>
          <w:szCs w:val="20"/>
          <w:lang w:val="en-AU"/>
        </w:rPr>
      </w:r>
      <w:r w:rsidRPr="009A41E4">
        <w:rPr>
          <w:rFonts w:ascii="Calibri" w:eastAsia="Cambria" w:hAnsi="Calibri" w:cs="Calibri"/>
          <w:b/>
          <w:szCs w:val="20"/>
          <w:lang w:val="en-AU"/>
        </w:rPr>
        <w:fldChar w:fldCharType="separate"/>
      </w:r>
      <w:r w:rsidR="006B22A7" w:rsidRPr="006B22A7">
        <w:rPr>
          <w:rFonts w:ascii="Calibri" w:eastAsia="Cambria" w:hAnsi="Calibri" w:cs="Calibri"/>
          <w:b/>
          <w:szCs w:val="16"/>
          <w:lang w:val="en-AU"/>
        </w:rPr>
        <w:t>Table 51</w:t>
      </w:r>
      <w:r w:rsidRPr="009A41E4">
        <w:rPr>
          <w:rFonts w:ascii="Calibri" w:eastAsia="Cambria" w:hAnsi="Calibri" w:cs="Calibri"/>
          <w:b/>
          <w:szCs w:val="20"/>
          <w:lang w:val="en-AU"/>
        </w:rPr>
        <w:fldChar w:fldCharType="end"/>
      </w:r>
      <w:r w:rsidRPr="00A37634">
        <w:rPr>
          <w:rFonts w:ascii="Calibri" w:eastAsia="Cambria" w:hAnsi="Calibri" w:cs="Calibri"/>
          <w:szCs w:val="20"/>
          <w:lang w:val="en-AU"/>
        </w:rPr>
        <w:t>). Most of the non-ducted ACs in the USA are window-wall units. Split systems are relatively new to the US market.</w:t>
      </w:r>
    </w:p>
    <w:p w14:paraId="2A72CC93" w14:textId="3232D300" w:rsidR="00A37634" w:rsidRPr="00A37634" w:rsidRDefault="00A37634" w:rsidP="00A37634">
      <w:pPr>
        <w:spacing w:before="240" w:after="120" w:line="240" w:lineRule="auto"/>
        <w:jc w:val="center"/>
        <w:rPr>
          <w:rFonts w:ascii="Calibri" w:eastAsia="Cambria" w:hAnsi="Calibri" w:cs="Calibri"/>
          <w:b/>
          <w:bCs/>
          <w:i/>
          <w:iCs/>
          <w:color w:val="1F497D"/>
          <w:sz w:val="20"/>
          <w:szCs w:val="16"/>
          <w:lang w:val="en-AU"/>
        </w:rPr>
      </w:pPr>
      <w:bookmarkStart w:id="223" w:name="_Ref13832111"/>
      <w:bookmarkStart w:id="224" w:name="_Toc22486993"/>
      <w:r w:rsidRPr="00A37634">
        <w:rPr>
          <w:rFonts w:ascii="Calibri" w:eastAsia="Cambria" w:hAnsi="Calibri" w:cs="Calibri"/>
          <w:b/>
          <w:bCs/>
          <w:sz w:val="20"/>
          <w:szCs w:val="16"/>
          <w:lang w:val="en-AU"/>
        </w:rPr>
        <w:t xml:space="preserve">Table </w:t>
      </w:r>
      <w:r w:rsidRPr="00A37634">
        <w:rPr>
          <w:rFonts w:ascii="Calibri" w:eastAsia="Cambria" w:hAnsi="Calibri" w:cs="Calibri"/>
          <w:b/>
          <w:bCs/>
          <w:sz w:val="20"/>
          <w:szCs w:val="16"/>
          <w:lang w:val="en-AU"/>
        </w:rPr>
        <w:fldChar w:fldCharType="begin"/>
      </w:r>
      <w:r w:rsidRPr="00A37634">
        <w:rPr>
          <w:rFonts w:ascii="Calibri" w:eastAsia="Cambria" w:hAnsi="Calibri" w:cs="Calibri"/>
          <w:b/>
          <w:bCs/>
          <w:sz w:val="20"/>
          <w:szCs w:val="16"/>
          <w:lang w:val="en-AU"/>
        </w:rPr>
        <w:instrText xml:space="preserve"> SEQ Table \* ARABIC </w:instrText>
      </w:r>
      <w:r w:rsidRPr="00A37634">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49</w:t>
      </w:r>
      <w:r w:rsidRPr="00A37634">
        <w:rPr>
          <w:rFonts w:ascii="Calibri" w:eastAsia="Cambria" w:hAnsi="Calibri" w:cs="Calibri"/>
          <w:b/>
          <w:bCs/>
          <w:sz w:val="20"/>
          <w:szCs w:val="16"/>
          <w:lang w:val="en-AU"/>
        </w:rPr>
        <w:fldChar w:fldCharType="end"/>
      </w:r>
      <w:bookmarkEnd w:id="223"/>
      <w:r w:rsidRPr="00A37634">
        <w:rPr>
          <w:rFonts w:ascii="Calibri" w:eastAsia="Cambria" w:hAnsi="Calibri" w:cs="Calibri"/>
          <w:b/>
          <w:bCs/>
          <w:sz w:val="20"/>
          <w:szCs w:val="16"/>
          <w:lang w:val="en-AU"/>
        </w:rPr>
        <w:t>. Air conditioner types installed in homes, Australia and USA</w:t>
      </w:r>
      <w:bookmarkEnd w:id="224"/>
    </w:p>
    <w:tbl>
      <w:tblPr>
        <w:tblStyle w:val="TableGrid"/>
        <w:tblW w:w="0" w:type="auto"/>
        <w:jc w:val="center"/>
        <w:tblLook w:val="04A0" w:firstRow="1" w:lastRow="0" w:firstColumn="1" w:lastColumn="0" w:noHBand="0" w:noVBand="1"/>
        <w:tblCaption w:val="&quot;0&quot;"/>
      </w:tblPr>
      <w:tblGrid>
        <w:gridCol w:w="2972"/>
        <w:gridCol w:w="1504"/>
        <w:gridCol w:w="1473"/>
        <w:gridCol w:w="1473"/>
      </w:tblGrid>
      <w:tr w:rsidR="00A37634" w:rsidRPr="00A37634" w14:paraId="5E27C63F" w14:textId="77777777" w:rsidTr="007C7289">
        <w:trPr>
          <w:trHeight w:val="300"/>
          <w:jc w:val="center"/>
        </w:trPr>
        <w:tc>
          <w:tcPr>
            <w:tcW w:w="2972" w:type="dxa"/>
            <w:noWrap/>
            <w:hideMark/>
          </w:tcPr>
          <w:p w14:paraId="111EE6B1" w14:textId="77777777" w:rsidR="00A37634" w:rsidRPr="00A37634" w:rsidRDefault="00A37634" w:rsidP="00A37634">
            <w:pPr>
              <w:spacing w:after="113" w:line="278" w:lineRule="auto"/>
              <w:jc w:val="center"/>
              <w:rPr>
                <w:rFonts w:ascii="Calibri" w:eastAsia="Cambria" w:hAnsi="Calibri" w:cs="Calibri"/>
                <w:b/>
                <w:lang w:val="en-AU"/>
              </w:rPr>
            </w:pPr>
            <w:r w:rsidRPr="00A37634">
              <w:rPr>
                <w:rFonts w:ascii="Calibri" w:eastAsia="Cambria" w:hAnsi="Calibri" w:cs="Calibri"/>
                <w:b/>
                <w:lang w:val="en-AU"/>
              </w:rPr>
              <w:t>Type</w:t>
            </w:r>
          </w:p>
        </w:tc>
        <w:tc>
          <w:tcPr>
            <w:tcW w:w="1504" w:type="dxa"/>
            <w:noWrap/>
            <w:hideMark/>
          </w:tcPr>
          <w:p w14:paraId="6984CC1F" w14:textId="77777777" w:rsidR="00A37634" w:rsidRPr="00A37634" w:rsidRDefault="00A37634" w:rsidP="00A37634">
            <w:pPr>
              <w:spacing w:after="113" w:line="278" w:lineRule="auto"/>
              <w:jc w:val="center"/>
              <w:rPr>
                <w:rFonts w:ascii="Calibri" w:eastAsia="Cambria" w:hAnsi="Calibri" w:cs="Calibri"/>
                <w:b/>
                <w:lang w:val="en-AU"/>
              </w:rPr>
            </w:pPr>
            <w:r w:rsidRPr="00A37634">
              <w:rPr>
                <w:rFonts w:ascii="Calibri" w:eastAsia="Cambria" w:hAnsi="Calibri" w:cs="Calibri"/>
                <w:b/>
                <w:lang w:val="en-AU"/>
              </w:rPr>
              <w:t>Aust 2018 (a)</w:t>
            </w:r>
          </w:p>
        </w:tc>
        <w:tc>
          <w:tcPr>
            <w:tcW w:w="1473" w:type="dxa"/>
          </w:tcPr>
          <w:p w14:paraId="2697A777" w14:textId="77777777" w:rsidR="00A37634" w:rsidRPr="00A37634" w:rsidRDefault="00A37634" w:rsidP="00A37634">
            <w:pPr>
              <w:spacing w:after="113" w:line="278" w:lineRule="auto"/>
              <w:jc w:val="center"/>
              <w:rPr>
                <w:rFonts w:ascii="Calibri" w:eastAsia="Cambria" w:hAnsi="Calibri" w:cs="Calibri"/>
                <w:b/>
                <w:lang w:val="en-AU"/>
              </w:rPr>
            </w:pPr>
            <w:r w:rsidRPr="00A37634">
              <w:rPr>
                <w:rFonts w:ascii="Calibri" w:eastAsia="Cambria" w:hAnsi="Calibri" w:cs="Calibri"/>
                <w:b/>
                <w:lang w:val="en-AU"/>
              </w:rPr>
              <w:t>NZ (a)</w:t>
            </w:r>
          </w:p>
        </w:tc>
        <w:tc>
          <w:tcPr>
            <w:tcW w:w="1473" w:type="dxa"/>
            <w:noWrap/>
            <w:hideMark/>
          </w:tcPr>
          <w:p w14:paraId="230050C8" w14:textId="77777777" w:rsidR="00A37634" w:rsidRPr="00A37634" w:rsidRDefault="00A37634" w:rsidP="00A37634">
            <w:pPr>
              <w:spacing w:after="113" w:line="278" w:lineRule="auto"/>
              <w:jc w:val="center"/>
              <w:rPr>
                <w:rFonts w:ascii="Calibri" w:eastAsia="Cambria" w:hAnsi="Calibri" w:cs="Calibri"/>
                <w:b/>
                <w:lang w:val="en-AU"/>
              </w:rPr>
            </w:pPr>
            <w:r w:rsidRPr="00A37634">
              <w:rPr>
                <w:rFonts w:ascii="Calibri" w:eastAsia="Cambria" w:hAnsi="Calibri" w:cs="Calibri"/>
                <w:b/>
                <w:lang w:val="en-AU"/>
              </w:rPr>
              <w:t>USA 2015 (b)</w:t>
            </w:r>
          </w:p>
        </w:tc>
      </w:tr>
      <w:tr w:rsidR="00A37634" w:rsidRPr="00A37634" w14:paraId="655760D9" w14:textId="77777777" w:rsidTr="007C7289">
        <w:trPr>
          <w:trHeight w:val="300"/>
          <w:jc w:val="center"/>
        </w:trPr>
        <w:tc>
          <w:tcPr>
            <w:tcW w:w="2972" w:type="dxa"/>
            <w:noWrap/>
            <w:hideMark/>
          </w:tcPr>
          <w:p w14:paraId="36ED4491" w14:textId="77777777" w:rsidR="00A37634" w:rsidRPr="00A37634" w:rsidRDefault="00A37634" w:rsidP="00A37634">
            <w:pPr>
              <w:spacing w:after="113" w:line="278" w:lineRule="auto"/>
              <w:rPr>
                <w:rFonts w:ascii="Calibri" w:eastAsia="Cambria" w:hAnsi="Calibri" w:cs="Calibri"/>
                <w:lang w:val="en-AU"/>
              </w:rPr>
            </w:pPr>
            <w:r w:rsidRPr="00A37634">
              <w:rPr>
                <w:rFonts w:ascii="Calibri" w:eastAsia="Cambria" w:hAnsi="Calibri" w:cs="Calibri"/>
                <w:lang w:val="en-AU"/>
              </w:rPr>
              <w:t>Unitary</w:t>
            </w:r>
          </w:p>
        </w:tc>
        <w:tc>
          <w:tcPr>
            <w:tcW w:w="1504" w:type="dxa"/>
            <w:noWrap/>
            <w:hideMark/>
          </w:tcPr>
          <w:p w14:paraId="476C34CF"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12%</w:t>
            </w:r>
          </w:p>
        </w:tc>
        <w:tc>
          <w:tcPr>
            <w:tcW w:w="1473" w:type="dxa"/>
          </w:tcPr>
          <w:p w14:paraId="1D32C3A4"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2%</w:t>
            </w:r>
          </w:p>
        </w:tc>
        <w:tc>
          <w:tcPr>
            <w:tcW w:w="1473" w:type="dxa"/>
            <w:vMerge w:val="restart"/>
            <w:noWrap/>
            <w:hideMark/>
          </w:tcPr>
          <w:p w14:paraId="3F882745"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42% (c)</w:t>
            </w:r>
          </w:p>
        </w:tc>
      </w:tr>
      <w:tr w:rsidR="00A37634" w:rsidRPr="00A37634" w14:paraId="60CD6A5A" w14:textId="77777777" w:rsidTr="007C7289">
        <w:trPr>
          <w:trHeight w:val="300"/>
          <w:jc w:val="center"/>
        </w:trPr>
        <w:tc>
          <w:tcPr>
            <w:tcW w:w="2972" w:type="dxa"/>
            <w:noWrap/>
            <w:hideMark/>
          </w:tcPr>
          <w:p w14:paraId="642B5C6A" w14:textId="77777777" w:rsidR="00A37634" w:rsidRPr="00A37634" w:rsidRDefault="00A37634" w:rsidP="00A37634">
            <w:pPr>
              <w:spacing w:after="113" w:line="278" w:lineRule="auto"/>
              <w:rPr>
                <w:rFonts w:ascii="Calibri" w:eastAsia="Cambria" w:hAnsi="Calibri" w:cs="Calibri"/>
                <w:lang w:val="en-AU"/>
              </w:rPr>
            </w:pPr>
            <w:r w:rsidRPr="00A37634">
              <w:rPr>
                <w:rFonts w:ascii="Calibri" w:eastAsia="Cambria" w:hAnsi="Calibri" w:cs="Calibri"/>
                <w:lang w:val="en-AU"/>
              </w:rPr>
              <w:t>Split</w:t>
            </w:r>
          </w:p>
        </w:tc>
        <w:tc>
          <w:tcPr>
            <w:tcW w:w="1504" w:type="dxa"/>
            <w:noWrap/>
            <w:hideMark/>
          </w:tcPr>
          <w:p w14:paraId="6E854AD0"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75%</w:t>
            </w:r>
          </w:p>
        </w:tc>
        <w:tc>
          <w:tcPr>
            <w:tcW w:w="1473" w:type="dxa"/>
          </w:tcPr>
          <w:p w14:paraId="0A93F484"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91%</w:t>
            </w:r>
          </w:p>
        </w:tc>
        <w:tc>
          <w:tcPr>
            <w:tcW w:w="1473" w:type="dxa"/>
            <w:vMerge/>
            <w:noWrap/>
            <w:hideMark/>
          </w:tcPr>
          <w:p w14:paraId="6918359B" w14:textId="77777777" w:rsidR="00A37634" w:rsidRPr="00A37634" w:rsidRDefault="00A37634" w:rsidP="00A37634">
            <w:pPr>
              <w:spacing w:after="113" w:line="278" w:lineRule="auto"/>
              <w:jc w:val="center"/>
              <w:rPr>
                <w:rFonts w:ascii="Calibri" w:eastAsia="Cambria" w:hAnsi="Calibri" w:cs="Calibri"/>
                <w:lang w:val="en-AU"/>
              </w:rPr>
            </w:pPr>
          </w:p>
        </w:tc>
      </w:tr>
      <w:tr w:rsidR="00A37634" w:rsidRPr="00A37634" w14:paraId="54DBA7B5" w14:textId="77777777" w:rsidTr="007C7289">
        <w:trPr>
          <w:trHeight w:val="300"/>
          <w:jc w:val="center"/>
        </w:trPr>
        <w:tc>
          <w:tcPr>
            <w:tcW w:w="2972" w:type="dxa"/>
            <w:noWrap/>
            <w:hideMark/>
          </w:tcPr>
          <w:p w14:paraId="4375DFE1" w14:textId="77777777" w:rsidR="00A37634" w:rsidRPr="00A37634" w:rsidRDefault="00A37634" w:rsidP="00A37634">
            <w:pPr>
              <w:spacing w:after="113" w:line="278" w:lineRule="auto"/>
              <w:rPr>
                <w:rFonts w:ascii="Calibri" w:eastAsia="Cambria" w:hAnsi="Calibri" w:cs="Calibri"/>
                <w:lang w:val="en-AU"/>
              </w:rPr>
            </w:pPr>
            <w:r w:rsidRPr="00A37634">
              <w:rPr>
                <w:rFonts w:ascii="Calibri" w:eastAsia="Cambria" w:hAnsi="Calibri" w:cs="Calibri"/>
                <w:lang w:val="en-AU"/>
              </w:rPr>
              <w:t>Ducted</w:t>
            </w:r>
          </w:p>
        </w:tc>
        <w:tc>
          <w:tcPr>
            <w:tcW w:w="1504" w:type="dxa"/>
            <w:noWrap/>
            <w:hideMark/>
          </w:tcPr>
          <w:p w14:paraId="1C1A84C5"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13%</w:t>
            </w:r>
          </w:p>
        </w:tc>
        <w:tc>
          <w:tcPr>
            <w:tcW w:w="1473" w:type="dxa"/>
          </w:tcPr>
          <w:p w14:paraId="40643EBA"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7%</w:t>
            </w:r>
          </w:p>
        </w:tc>
        <w:tc>
          <w:tcPr>
            <w:tcW w:w="1473" w:type="dxa"/>
            <w:noWrap/>
            <w:hideMark/>
          </w:tcPr>
          <w:p w14:paraId="60C73225"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58%</w:t>
            </w:r>
          </w:p>
        </w:tc>
      </w:tr>
      <w:tr w:rsidR="00A37634" w:rsidRPr="00A37634" w14:paraId="0701AE2A" w14:textId="77777777" w:rsidTr="007C7289">
        <w:trPr>
          <w:trHeight w:val="300"/>
          <w:jc w:val="center"/>
        </w:trPr>
        <w:tc>
          <w:tcPr>
            <w:tcW w:w="2972" w:type="dxa"/>
            <w:noWrap/>
            <w:hideMark/>
          </w:tcPr>
          <w:p w14:paraId="09BDA4AC" w14:textId="77777777" w:rsidR="00A37634" w:rsidRPr="00A37634" w:rsidRDefault="00A37634" w:rsidP="00A37634">
            <w:pPr>
              <w:spacing w:after="113" w:line="278" w:lineRule="auto"/>
              <w:rPr>
                <w:rFonts w:ascii="Calibri" w:eastAsia="Cambria" w:hAnsi="Calibri" w:cs="Calibri"/>
                <w:lang w:val="en-AU"/>
              </w:rPr>
            </w:pPr>
            <w:r w:rsidRPr="00A37634">
              <w:rPr>
                <w:rFonts w:ascii="Calibri" w:eastAsia="Cambria" w:hAnsi="Calibri" w:cs="Calibri"/>
                <w:lang w:val="en-AU"/>
              </w:rPr>
              <w:t xml:space="preserve">% of </w:t>
            </w:r>
            <w:proofErr w:type="spellStart"/>
            <w:r w:rsidRPr="00A37634">
              <w:rPr>
                <w:rFonts w:ascii="Calibri" w:eastAsia="Cambria" w:hAnsi="Calibri" w:cs="Calibri"/>
                <w:lang w:val="en-AU"/>
              </w:rPr>
              <w:t>HH</w:t>
            </w:r>
            <w:proofErr w:type="spellEnd"/>
            <w:r w:rsidRPr="00A37634">
              <w:rPr>
                <w:rFonts w:ascii="Calibri" w:eastAsia="Cambria" w:hAnsi="Calibri" w:cs="Calibri"/>
                <w:lang w:val="en-AU"/>
              </w:rPr>
              <w:t xml:space="preserve"> with air conditioning</w:t>
            </w:r>
          </w:p>
        </w:tc>
        <w:tc>
          <w:tcPr>
            <w:tcW w:w="1504" w:type="dxa"/>
            <w:noWrap/>
            <w:hideMark/>
          </w:tcPr>
          <w:p w14:paraId="4B630CC3"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70%</w:t>
            </w:r>
          </w:p>
        </w:tc>
        <w:tc>
          <w:tcPr>
            <w:tcW w:w="1473" w:type="dxa"/>
          </w:tcPr>
          <w:p w14:paraId="31ED6A1C"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NA</w:t>
            </w:r>
          </w:p>
        </w:tc>
        <w:tc>
          <w:tcPr>
            <w:tcW w:w="1473" w:type="dxa"/>
            <w:noWrap/>
            <w:hideMark/>
          </w:tcPr>
          <w:p w14:paraId="7C0C82C5" w14:textId="77777777" w:rsidR="00A37634" w:rsidRPr="00A37634" w:rsidRDefault="00A37634" w:rsidP="00A37634">
            <w:pPr>
              <w:spacing w:after="113" w:line="278" w:lineRule="auto"/>
              <w:jc w:val="center"/>
              <w:rPr>
                <w:rFonts w:ascii="Calibri" w:eastAsia="Cambria" w:hAnsi="Calibri" w:cs="Calibri"/>
                <w:lang w:val="en-AU"/>
              </w:rPr>
            </w:pPr>
            <w:r w:rsidRPr="00A37634">
              <w:rPr>
                <w:rFonts w:ascii="Calibri" w:eastAsia="Cambria" w:hAnsi="Calibri" w:cs="Calibri"/>
                <w:lang w:val="en-AU"/>
              </w:rPr>
              <w:t>85%</w:t>
            </w:r>
          </w:p>
        </w:tc>
      </w:tr>
    </w:tbl>
    <w:p w14:paraId="668338A1" w14:textId="77777777" w:rsidR="00A37634" w:rsidRPr="00A37634" w:rsidRDefault="00A37634" w:rsidP="00A37634">
      <w:pPr>
        <w:spacing w:after="120" w:line="276" w:lineRule="auto"/>
        <w:ind w:left="360"/>
        <w:jc w:val="center"/>
        <w:rPr>
          <w:rFonts w:ascii="Calibri" w:eastAsia="Cambria" w:hAnsi="Calibri" w:cs="Calibri"/>
          <w:sz w:val="16"/>
          <w:szCs w:val="16"/>
          <w:lang w:val="en-AU"/>
        </w:rPr>
      </w:pPr>
      <w:r w:rsidRPr="00A37634">
        <w:rPr>
          <w:rFonts w:ascii="Calibri" w:eastAsia="Cambria" w:hAnsi="Calibri" w:cs="Calibri"/>
          <w:sz w:val="16"/>
          <w:szCs w:val="16"/>
          <w:lang w:val="en-AU"/>
        </w:rPr>
        <w:t>(a) Decision RIS: Air Conditioners, E3, December 2018.  (b) U.S. Energy Information Administration, Office of Energy Consumption and Efficiency Statistics, Forms EIA-457A and EIA-457C of the 2015 Residential Energy Consumption Survey. (c) “Individual” air conditioners: split and unitary not differentiated.</w:t>
      </w:r>
    </w:p>
    <w:p w14:paraId="53205B3E" w14:textId="37DD6EB8" w:rsidR="00A37634" w:rsidRPr="00A37634" w:rsidRDefault="00A37634" w:rsidP="00A37634">
      <w:pPr>
        <w:spacing w:before="240" w:after="120" w:line="278" w:lineRule="auto"/>
        <w:rPr>
          <w:rFonts w:ascii="Calibri" w:eastAsia="Cambria" w:hAnsi="Calibri" w:cs="Calibri"/>
          <w:szCs w:val="20"/>
          <w:lang w:val="en-AU"/>
        </w:rPr>
      </w:pPr>
      <w:r w:rsidRPr="00A37634">
        <w:rPr>
          <w:rFonts w:ascii="Calibri" w:eastAsia="Cambria" w:hAnsi="Calibri" w:cs="Calibri"/>
          <w:szCs w:val="20"/>
          <w:lang w:val="en-AU"/>
        </w:rPr>
        <w:t xml:space="preserve">Most AC DR programs in the USA rely on Programmable Communicating Thermostats (PCTs) such Google’s “NEST.” These replace the standard wall thermostat used to control ducted ACs and so enable the user (via </w:t>
      </w:r>
      <w:r w:rsidRPr="00A37634">
        <w:rPr>
          <w:rFonts w:ascii="Calibri" w:eastAsia="Cambria" w:hAnsi="Calibri" w:cs="Calibri"/>
          <w:szCs w:val="20"/>
          <w:lang w:val="en-AU"/>
        </w:rPr>
        <w:lastRenderedPageBreak/>
        <w:t xml:space="preserve">a smart-phone app) and </w:t>
      </w:r>
      <w:r w:rsidR="005F33B6">
        <w:rPr>
          <w:rFonts w:ascii="Calibri" w:eastAsia="Cambria" w:hAnsi="Calibri" w:cs="Calibri"/>
          <w:szCs w:val="20"/>
          <w:lang w:val="en-AU"/>
        </w:rPr>
        <w:t xml:space="preserve">DRSPs </w:t>
      </w:r>
      <w:r w:rsidRPr="00A37634">
        <w:rPr>
          <w:rFonts w:ascii="Calibri" w:eastAsia="Cambria" w:hAnsi="Calibri" w:cs="Calibri"/>
          <w:szCs w:val="20"/>
          <w:lang w:val="en-AU"/>
        </w:rPr>
        <w:t>who contract with Google, to adjust the room temperature.</w:t>
      </w:r>
      <w:r w:rsidRPr="00A37634">
        <w:rPr>
          <w:rFonts w:ascii="Calibri" w:eastAsia="Cambria" w:hAnsi="Calibri" w:cs="Calibri"/>
          <w:szCs w:val="20"/>
          <w:vertAlign w:val="superscript"/>
          <w:lang w:val="en-AU"/>
        </w:rPr>
        <w:footnoteReference w:id="108"/>
      </w:r>
      <w:r w:rsidRPr="00A37634">
        <w:rPr>
          <w:rFonts w:ascii="Calibri" w:eastAsia="Cambria" w:hAnsi="Calibri" w:cs="Calibri"/>
          <w:szCs w:val="20"/>
          <w:lang w:val="en-AU"/>
        </w:rPr>
        <w:t xml:space="preserve"> If the home is pre-cooled (or pre-heated) and the AC is maintaining a steady temperature, then adjusting the thermostat upward during SMD or downward during WMD is likely to result in lower energy use and hence lower power consumption during a DR event (and higher energy consumption after the event  if the user or the remote agent restores the pre-event setting).</w:t>
      </w:r>
    </w:p>
    <w:p w14:paraId="1B5942CD" w14:textId="44ED690D" w:rsidR="00A37634" w:rsidRPr="00A37634" w:rsidRDefault="00A37634" w:rsidP="00A37634">
      <w:pPr>
        <w:spacing w:before="120" w:after="120" w:line="278" w:lineRule="auto"/>
        <w:rPr>
          <w:rFonts w:ascii="Calibri" w:eastAsia="Cambria" w:hAnsi="Calibri" w:cs="Calibri"/>
          <w:szCs w:val="20"/>
          <w:lang w:val="en-AU"/>
        </w:rPr>
      </w:pPr>
      <w:r w:rsidRPr="00A37634">
        <w:rPr>
          <w:rFonts w:ascii="Calibri" w:eastAsia="Cambria" w:hAnsi="Calibri" w:cs="Calibri"/>
          <w:szCs w:val="20"/>
          <w:lang w:val="en-AU"/>
        </w:rPr>
        <w:t xml:space="preserve">As PCTs are the most common approach to </w:t>
      </w:r>
      <w:r w:rsidR="005F33B6">
        <w:rPr>
          <w:rFonts w:ascii="Calibri" w:eastAsia="Cambria" w:hAnsi="Calibri" w:cs="Calibri"/>
          <w:szCs w:val="20"/>
          <w:lang w:val="en-AU"/>
        </w:rPr>
        <w:t xml:space="preserve">AC </w:t>
      </w:r>
      <w:r w:rsidRPr="00A37634">
        <w:rPr>
          <w:rFonts w:ascii="Calibri" w:eastAsia="Cambria" w:hAnsi="Calibri" w:cs="Calibri"/>
          <w:szCs w:val="20"/>
          <w:lang w:val="en-AU"/>
        </w:rPr>
        <w:t>DR in the USA, the Energy Star program has published “connected criteria” for them.</w:t>
      </w:r>
      <w:r w:rsidRPr="00A37634">
        <w:rPr>
          <w:rFonts w:ascii="Calibri" w:eastAsia="Cambria" w:hAnsi="Calibri" w:cs="Calibri"/>
          <w:szCs w:val="20"/>
          <w:vertAlign w:val="superscript"/>
          <w:lang w:val="en-AU"/>
        </w:rPr>
        <w:footnoteReference w:id="109"/>
      </w:r>
      <w:r w:rsidRPr="00A37634">
        <w:rPr>
          <w:rFonts w:ascii="Calibri" w:eastAsia="Cambria" w:hAnsi="Calibri" w:cs="Calibri"/>
          <w:szCs w:val="20"/>
          <w:lang w:val="en-AU"/>
        </w:rPr>
        <w:t xml:space="preserve"> Compliance with the criteria must be demonstrated empirically through field trials with a statistically valid number of households. </w:t>
      </w:r>
    </w:p>
    <w:p w14:paraId="4A646DD1" w14:textId="77777777" w:rsidR="00A37634" w:rsidRPr="00A37634" w:rsidRDefault="00A37634" w:rsidP="00A37634">
      <w:pPr>
        <w:spacing w:before="120" w:after="120" w:line="278" w:lineRule="auto"/>
        <w:rPr>
          <w:rFonts w:ascii="Calibri" w:eastAsia="Cambria" w:hAnsi="Calibri" w:cs="Calibri"/>
          <w:szCs w:val="20"/>
          <w:lang w:val="en-AU"/>
        </w:rPr>
      </w:pPr>
      <w:r w:rsidRPr="00A37634">
        <w:rPr>
          <w:rFonts w:ascii="Calibri" w:eastAsia="Cambria" w:hAnsi="Calibri" w:cs="Calibri"/>
          <w:szCs w:val="20"/>
          <w:lang w:val="en-AU"/>
        </w:rPr>
        <w:t>PCTs are not suitable for AC DR programs in Australia or New Zealand because:</w:t>
      </w:r>
    </w:p>
    <w:p w14:paraId="09D5BF60" w14:textId="77777777" w:rsidR="00A37634" w:rsidRPr="00A37634" w:rsidRDefault="00A37634" w:rsidP="00FF17C7">
      <w:pPr>
        <w:numPr>
          <w:ilvl w:val="0"/>
          <w:numId w:val="13"/>
        </w:numPr>
        <w:spacing w:before="120" w:after="120" w:line="278" w:lineRule="auto"/>
        <w:contextualSpacing/>
        <w:rPr>
          <w:rFonts w:ascii="Calibri" w:eastAsia="Cambria" w:hAnsi="Calibri" w:cs="Calibri"/>
          <w:szCs w:val="20"/>
          <w:lang w:val="en-AU"/>
        </w:rPr>
      </w:pPr>
      <w:r w:rsidRPr="00A37634">
        <w:rPr>
          <w:rFonts w:ascii="Calibri" w:eastAsia="Cambria" w:hAnsi="Calibri" w:cs="Calibri"/>
          <w:szCs w:val="20"/>
          <w:lang w:val="en-AU"/>
        </w:rPr>
        <w:t>They do not work with split unit ACs;</w:t>
      </w:r>
    </w:p>
    <w:p w14:paraId="681B6E2F" w14:textId="77777777" w:rsidR="00A37634" w:rsidRPr="00A37634" w:rsidRDefault="00A37634" w:rsidP="00FF17C7">
      <w:pPr>
        <w:numPr>
          <w:ilvl w:val="0"/>
          <w:numId w:val="13"/>
        </w:numPr>
        <w:spacing w:before="120" w:after="120" w:line="278" w:lineRule="auto"/>
        <w:contextualSpacing/>
        <w:rPr>
          <w:rFonts w:ascii="Calibri" w:eastAsia="Cambria" w:hAnsi="Calibri" w:cs="Calibri"/>
          <w:szCs w:val="20"/>
          <w:lang w:val="en-AU"/>
        </w:rPr>
      </w:pPr>
      <w:r w:rsidRPr="00A37634">
        <w:rPr>
          <w:rFonts w:ascii="Calibri" w:eastAsia="Cambria" w:hAnsi="Calibri" w:cs="Calibri"/>
          <w:szCs w:val="20"/>
          <w:lang w:val="en-AU"/>
        </w:rPr>
        <w:t>Their demand impact relies on a pre-cooled or pre-heated dwelling with adequate thermal mass; the predominant mode of use in Australia is to switch the AC on when coming home from work or school on a hot day.</w:t>
      </w:r>
      <w:r w:rsidRPr="00A37634">
        <w:rPr>
          <w:rFonts w:ascii="Calibri" w:eastAsia="Cambria" w:hAnsi="Calibri" w:cs="Calibri"/>
          <w:szCs w:val="20"/>
          <w:vertAlign w:val="superscript"/>
          <w:lang w:val="en-AU"/>
        </w:rPr>
        <w:footnoteReference w:id="110"/>
      </w:r>
      <w:r w:rsidRPr="00A37634">
        <w:rPr>
          <w:rFonts w:ascii="Calibri" w:eastAsia="Cambria" w:hAnsi="Calibri" w:cs="Calibri"/>
          <w:szCs w:val="20"/>
          <w:lang w:val="en-AU"/>
        </w:rPr>
        <w:t xml:space="preserve"> The unit struggles to reach the thermostat setting in any case, so simply adjusting the setting will have no impact on power;</w:t>
      </w:r>
    </w:p>
    <w:p w14:paraId="7F5EF6A2" w14:textId="77777777" w:rsidR="00A37634" w:rsidRPr="00A37634" w:rsidRDefault="00A37634" w:rsidP="00FF17C7">
      <w:pPr>
        <w:numPr>
          <w:ilvl w:val="0"/>
          <w:numId w:val="13"/>
        </w:numPr>
        <w:spacing w:before="120" w:after="120" w:line="278" w:lineRule="auto"/>
        <w:contextualSpacing/>
        <w:rPr>
          <w:rFonts w:ascii="Calibri" w:eastAsia="Cambria" w:hAnsi="Calibri" w:cs="Calibri"/>
          <w:szCs w:val="20"/>
          <w:lang w:val="en-AU"/>
        </w:rPr>
      </w:pPr>
      <w:r w:rsidRPr="00A37634">
        <w:rPr>
          <w:rFonts w:ascii="Calibri" w:eastAsia="Cambria" w:hAnsi="Calibri" w:cs="Calibri"/>
          <w:szCs w:val="20"/>
          <w:lang w:val="en-AU"/>
        </w:rPr>
        <w:t>The actual load reduction (if any) during a DR event depends on the thermal mass, layout and temperature conditions of the home at the time, and so the response cannot be verified from monitoring the PCT alone. By contrast, an AS/NZS 4755-compliant AC must deliver a measurable load reduction during DR events and this must be verifiable in a laboratory or field test.  (see Appendix 1); and</w:t>
      </w:r>
    </w:p>
    <w:p w14:paraId="7928A4D3" w14:textId="77777777" w:rsidR="00A37634" w:rsidRPr="00A37634" w:rsidRDefault="00A37634" w:rsidP="00FF17C7">
      <w:pPr>
        <w:numPr>
          <w:ilvl w:val="0"/>
          <w:numId w:val="13"/>
        </w:numPr>
        <w:spacing w:before="120" w:after="120" w:line="278" w:lineRule="auto"/>
        <w:contextualSpacing/>
        <w:rPr>
          <w:rFonts w:ascii="Calibri" w:eastAsia="Cambria" w:hAnsi="Calibri" w:cs="Calibri"/>
          <w:szCs w:val="20"/>
          <w:lang w:val="en-AU"/>
        </w:rPr>
      </w:pPr>
      <w:r w:rsidRPr="00A37634">
        <w:rPr>
          <w:rFonts w:ascii="Calibri" w:eastAsia="Cambria" w:hAnsi="Calibri" w:cs="Calibri"/>
          <w:szCs w:val="20"/>
          <w:lang w:val="en-AU"/>
        </w:rPr>
        <w:t xml:space="preserve">Both the DRSP and the customer are locked into a proprietary system, so inhibiting market flexibility and risking stranded investments. </w:t>
      </w:r>
    </w:p>
    <w:p w14:paraId="27483C26" w14:textId="0DA6D358" w:rsidR="00A37634" w:rsidRPr="00A37634" w:rsidRDefault="00A37634" w:rsidP="00A37634">
      <w:pPr>
        <w:spacing w:before="240" w:after="120" w:line="240" w:lineRule="auto"/>
        <w:rPr>
          <w:rFonts w:ascii="Calibri" w:eastAsia="Cambria" w:hAnsi="Calibri" w:cs="Calibri"/>
          <w:bCs/>
          <w:i/>
          <w:iCs/>
          <w:color w:val="1F497D"/>
          <w:sz w:val="18"/>
          <w:szCs w:val="16"/>
          <w:lang w:val="en-AU"/>
        </w:rPr>
      </w:pPr>
      <w:bookmarkStart w:id="225" w:name="_Ref370055638"/>
      <w:bookmarkStart w:id="226" w:name="_Toc22486994"/>
      <w:bookmarkStart w:id="227" w:name="_Toc408944126"/>
      <w:bookmarkStart w:id="228" w:name="_Toc466019431"/>
      <w:r w:rsidRPr="00A37634">
        <w:rPr>
          <w:rFonts w:ascii="Calibri" w:eastAsia="Cambria" w:hAnsi="Calibri" w:cs="Calibri"/>
          <w:b/>
          <w:bCs/>
          <w:sz w:val="20"/>
          <w:szCs w:val="16"/>
          <w:lang w:val="en-AU"/>
        </w:rPr>
        <w:t xml:space="preserve">Table </w:t>
      </w:r>
      <w:r w:rsidRPr="00A37634">
        <w:rPr>
          <w:rFonts w:ascii="Calibri" w:eastAsia="Cambria" w:hAnsi="Calibri" w:cs="Calibri"/>
          <w:b/>
          <w:bCs/>
          <w:sz w:val="20"/>
          <w:szCs w:val="16"/>
          <w:lang w:val="en-AU"/>
        </w:rPr>
        <w:fldChar w:fldCharType="begin"/>
      </w:r>
      <w:r w:rsidRPr="00A37634">
        <w:rPr>
          <w:rFonts w:ascii="Calibri" w:eastAsia="Cambria" w:hAnsi="Calibri" w:cs="Calibri"/>
          <w:b/>
          <w:bCs/>
          <w:sz w:val="20"/>
          <w:szCs w:val="16"/>
          <w:lang w:val="en-AU"/>
        </w:rPr>
        <w:instrText xml:space="preserve"> SEQ Table \* ARABIC </w:instrText>
      </w:r>
      <w:r w:rsidRPr="00A37634">
        <w:rPr>
          <w:rFonts w:ascii="Calibri" w:eastAsia="Cambria" w:hAnsi="Calibri" w:cs="Calibri"/>
          <w:b/>
          <w:bCs/>
          <w:sz w:val="20"/>
          <w:szCs w:val="16"/>
          <w:lang w:val="en-AU"/>
        </w:rPr>
        <w:fldChar w:fldCharType="separate"/>
      </w:r>
      <w:r w:rsidR="005B1ACD">
        <w:rPr>
          <w:rFonts w:ascii="Calibri" w:eastAsia="Cambria" w:hAnsi="Calibri" w:cs="Calibri"/>
          <w:b/>
          <w:bCs/>
          <w:noProof/>
          <w:sz w:val="20"/>
          <w:szCs w:val="16"/>
          <w:lang w:val="en-AU"/>
        </w:rPr>
        <w:t>50</w:t>
      </w:r>
      <w:r w:rsidRPr="00A37634">
        <w:rPr>
          <w:rFonts w:ascii="Calibri" w:eastAsia="Cambria" w:hAnsi="Calibri" w:cs="Calibri"/>
          <w:b/>
          <w:bCs/>
          <w:sz w:val="20"/>
          <w:szCs w:val="16"/>
          <w:lang w:val="en-AU"/>
        </w:rPr>
        <w:fldChar w:fldCharType="end"/>
      </w:r>
      <w:bookmarkEnd w:id="225"/>
      <w:r w:rsidRPr="00A37634">
        <w:rPr>
          <w:rFonts w:ascii="Calibri" w:eastAsia="Cambria" w:hAnsi="Calibri" w:cs="Calibri"/>
          <w:b/>
          <w:bCs/>
          <w:sz w:val="20"/>
          <w:szCs w:val="16"/>
          <w:lang w:val="en-AU"/>
        </w:rPr>
        <w:t>. Product types covered by published standards for ‘connected’ or ‘smart’ products</w:t>
      </w:r>
      <w:bookmarkEnd w:id="226"/>
      <w:r w:rsidRPr="00A37634">
        <w:rPr>
          <w:rFonts w:ascii="Calibri" w:eastAsia="Cambria" w:hAnsi="Calibri" w:cs="Calibri"/>
          <w:b/>
          <w:bCs/>
          <w:sz w:val="20"/>
          <w:szCs w:val="16"/>
          <w:lang w:val="en-AU"/>
        </w:rPr>
        <w:t xml:space="preserve"> </w:t>
      </w:r>
      <w:bookmarkEnd w:id="227"/>
      <w:bookmarkEnd w:id="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005"/>
        <w:gridCol w:w="2005"/>
        <w:gridCol w:w="2006"/>
      </w:tblGrid>
      <w:tr w:rsidR="00A37634" w:rsidRPr="00A37634" w14:paraId="048F1D86" w14:textId="77777777" w:rsidTr="007C7289">
        <w:trPr>
          <w:tblHeader/>
        </w:trPr>
        <w:tc>
          <w:tcPr>
            <w:tcW w:w="3227" w:type="dxa"/>
          </w:tcPr>
          <w:p w14:paraId="19383D46" w14:textId="77777777" w:rsidR="00A37634" w:rsidRPr="00A37634" w:rsidRDefault="00A37634" w:rsidP="00A37634">
            <w:pPr>
              <w:spacing w:after="120" w:line="276" w:lineRule="auto"/>
              <w:jc w:val="center"/>
              <w:rPr>
                <w:rFonts w:ascii="Calibri" w:eastAsia="Calibri" w:hAnsi="Calibri" w:cs="Calibri"/>
                <w:b/>
                <w:sz w:val="20"/>
                <w:szCs w:val="20"/>
                <w:lang w:val="en-AU"/>
              </w:rPr>
            </w:pPr>
            <w:r w:rsidRPr="00A37634">
              <w:rPr>
                <w:rFonts w:ascii="Calibri" w:eastAsia="Calibri" w:hAnsi="Calibri" w:cs="Calibri"/>
                <w:b/>
                <w:sz w:val="20"/>
                <w:szCs w:val="20"/>
                <w:lang w:val="en-AU"/>
              </w:rPr>
              <w:t>Product category</w:t>
            </w:r>
          </w:p>
        </w:tc>
        <w:tc>
          <w:tcPr>
            <w:tcW w:w="2005" w:type="dxa"/>
            <w:tcBorders>
              <w:bottom w:val="single" w:sz="4" w:space="0" w:color="auto"/>
            </w:tcBorders>
          </w:tcPr>
          <w:p w14:paraId="1D935423" w14:textId="77777777" w:rsidR="00A37634" w:rsidRPr="00A37634" w:rsidRDefault="00A37634" w:rsidP="00A37634">
            <w:pPr>
              <w:spacing w:after="120" w:line="276" w:lineRule="auto"/>
              <w:jc w:val="center"/>
              <w:rPr>
                <w:rFonts w:ascii="Calibri" w:eastAsia="Calibri" w:hAnsi="Calibri" w:cs="Calibri"/>
                <w:b/>
                <w:sz w:val="20"/>
                <w:szCs w:val="20"/>
                <w:lang w:val="en-AU"/>
              </w:rPr>
            </w:pPr>
            <w:r w:rsidRPr="00A37634">
              <w:rPr>
                <w:rFonts w:ascii="Calibri" w:eastAsia="Calibri" w:hAnsi="Calibri" w:cs="Calibri"/>
                <w:b/>
                <w:sz w:val="20"/>
                <w:szCs w:val="20"/>
                <w:lang w:val="en-AU"/>
              </w:rPr>
              <w:t>US EPA Energy Star “connected” criteria</w:t>
            </w:r>
          </w:p>
        </w:tc>
        <w:tc>
          <w:tcPr>
            <w:tcW w:w="2005" w:type="dxa"/>
            <w:tcBorders>
              <w:bottom w:val="single" w:sz="4" w:space="0" w:color="auto"/>
            </w:tcBorders>
          </w:tcPr>
          <w:p w14:paraId="380F94E9" w14:textId="77777777" w:rsidR="00A37634" w:rsidRPr="00A37634" w:rsidRDefault="00A37634" w:rsidP="00A37634">
            <w:pPr>
              <w:spacing w:after="120" w:line="276" w:lineRule="auto"/>
              <w:jc w:val="center"/>
              <w:rPr>
                <w:rFonts w:ascii="Calibri" w:eastAsia="Calibri" w:hAnsi="Calibri" w:cs="Calibri"/>
                <w:b/>
                <w:sz w:val="20"/>
                <w:szCs w:val="20"/>
                <w:lang w:val="en-AU"/>
              </w:rPr>
            </w:pPr>
            <w:r w:rsidRPr="00A37634">
              <w:rPr>
                <w:rFonts w:ascii="Calibri" w:eastAsia="Calibri" w:hAnsi="Calibri" w:cs="Calibri"/>
                <w:b/>
                <w:sz w:val="20"/>
                <w:szCs w:val="20"/>
                <w:lang w:val="en-AU"/>
              </w:rPr>
              <w:t>Australia/New Zealand Standard AS/NZS 4755</w:t>
            </w:r>
          </w:p>
        </w:tc>
        <w:tc>
          <w:tcPr>
            <w:tcW w:w="2006" w:type="dxa"/>
            <w:tcBorders>
              <w:bottom w:val="single" w:sz="4" w:space="0" w:color="auto"/>
            </w:tcBorders>
          </w:tcPr>
          <w:p w14:paraId="48D09273" w14:textId="77777777" w:rsidR="00A37634" w:rsidRPr="00A37634" w:rsidRDefault="00A37634" w:rsidP="00A37634">
            <w:pPr>
              <w:spacing w:after="120" w:line="276" w:lineRule="auto"/>
              <w:jc w:val="center"/>
              <w:rPr>
                <w:rFonts w:ascii="Calibri" w:eastAsia="Calibri" w:hAnsi="Calibri" w:cs="Calibri"/>
                <w:b/>
                <w:sz w:val="20"/>
                <w:szCs w:val="20"/>
                <w:lang w:val="en-AU"/>
              </w:rPr>
            </w:pPr>
            <w:r w:rsidRPr="00A37634">
              <w:rPr>
                <w:rFonts w:ascii="Calibri" w:eastAsia="Calibri" w:hAnsi="Calibri" w:cs="Calibri"/>
                <w:b/>
                <w:sz w:val="20"/>
                <w:szCs w:val="20"/>
                <w:lang w:val="en-AU"/>
              </w:rPr>
              <w:t xml:space="preserve">Japan </w:t>
            </w:r>
            <w:r w:rsidRPr="00A37634">
              <w:rPr>
                <w:rFonts w:ascii="Calibri" w:eastAsia="Calibri" w:hAnsi="Calibri" w:cs="Calibri"/>
                <w:b/>
                <w:sz w:val="20"/>
                <w:szCs w:val="20"/>
                <w:lang w:val="en-AU"/>
              </w:rPr>
              <w:br/>
              <w:t xml:space="preserve">Echonet </w:t>
            </w:r>
            <w:proofErr w:type="spellStart"/>
            <w:r w:rsidRPr="00A37634">
              <w:rPr>
                <w:rFonts w:ascii="Calibri" w:eastAsia="Calibri" w:hAnsi="Calibri" w:cs="Calibri"/>
                <w:b/>
                <w:sz w:val="20"/>
                <w:szCs w:val="20"/>
                <w:lang w:val="en-AU"/>
              </w:rPr>
              <w:t>Lite</w:t>
            </w:r>
            <w:proofErr w:type="spellEnd"/>
          </w:p>
        </w:tc>
      </w:tr>
      <w:tr w:rsidR="00A37634" w:rsidRPr="00A37634" w14:paraId="63022D15" w14:textId="77777777" w:rsidTr="007C7289">
        <w:trPr>
          <w:cantSplit/>
        </w:trPr>
        <w:tc>
          <w:tcPr>
            <w:tcW w:w="3227" w:type="dxa"/>
          </w:tcPr>
          <w:p w14:paraId="016C45B2"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Air conditioner – window-wall</w:t>
            </w:r>
          </w:p>
        </w:tc>
        <w:tc>
          <w:tcPr>
            <w:tcW w:w="2005" w:type="dxa"/>
            <w:shd w:val="clear" w:color="auto" w:fill="B3B3B3"/>
            <w:vAlign w:val="center"/>
          </w:tcPr>
          <w:p w14:paraId="31BA70FE"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7</w:t>
            </w:r>
          </w:p>
        </w:tc>
        <w:tc>
          <w:tcPr>
            <w:tcW w:w="2005" w:type="dxa"/>
            <w:shd w:val="clear" w:color="auto" w:fill="B3B3B3"/>
          </w:tcPr>
          <w:p w14:paraId="588D8402"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0</w:t>
            </w:r>
          </w:p>
        </w:tc>
        <w:tc>
          <w:tcPr>
            <w:tcW w:w="2006" w:type="dxa"/>
            <w:shd w:val="clear" w:color="auto" w:fill="B3B3B3"/>
          </w:tcPr>
          <w:p w14:paraId="480E2DDC" w14:textId="77777777" w:rsidR="00A37634" w:rsidRPr="00A37634" w:rsidRDefault="00A37634" w:rsidP="00A37634">
            <w:pPr>
              <w:spacing w:after="200" w:line="240" w:lineRule="auto"/>
              <w:jc w:val="center"/>
              <w:rPr>
                <w:rFonts w:ascii="Calibri" w:eastAsia="Times New Roman" w:hAnsi="Calibri" w:cs="Calibri"/>
                <w:b/>
                <w:bCs/>
                <w:sz w:val="20"/>
                <w:szCs w:val="20"/>
                <w:lang w:val="en-US" w:eastAsia="en-GB"/>
              </w:rPr>
            </w:pPr>
            <w:r w:rsidRPr="00A37634">
              <w:rPr>
                <w:rFonts w:ascii="Calibri" w:eastAsia="Times New Roman" w:hAnsi="Calibri" w:cs="Calibri"/>
                <w:b/>
                <w:bCs/>
                <w:sz w:val="20"/>
                <w:szCs w:val="20"/>
                <w:lang w:val="en-US" w:eastAsia="en-GB"/>
              </w:rPr>
              <w:sym w:font="Wingdings" w:char="F0FC"/>
            </w:r>
          </w:p>
        </w:tc>
      </w:tr>
      <w:tr w:rsidR="00A37634" w:rsidRPr="00A37634" w14:paraId="75B0D9A1" w14:textId="77777777" w:rsidTr="007C7289">
        <w:trPr>
          <w:cantSplit/>
        </w:trPr>
        <w:tc>
          <w:tcPr>
            <w:tcW w:w="3227" w:type="dxa"/>
          </w:tcPr>
          <w:p w14:paraId="65886880"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 xml:space="preserve">Air conditioner – split unit </w:t>
            </w:r>
          </w:p>
        </w:tc>
        <w:tc>
          <w:tcPr>
            <w:tcW w:w="2005" w:type="dxa"/>
          </w:tcPr>
          <w:p w14:paraId="3D1DE997"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5" w:type="dxa"/>
            <w:tcBorders>
              <w:bottom w:val="single" w:sz="4" w:space="0" w:color="auto"/>
            </w:tcBorders>
            <w:shd w:val="clear" w:color="auto" w:fill="B3B3B3"/>
          </w:tcPr>
          <w:p w14:paraId="3F971FB2"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990</w:t>
            </w:r>
          </w:p>
        </w:tc>
        <w:tc>
          <w:tcPr>
            <w:tcW w:w="2006" w:type="dxa"/>
            <w:shd w:val="clear" w:color="auto" w:fill="B3B3B3"/>
          </w:tcPr>
          <w:p w14:paraId="23A7C157"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sz w:val="20"/>
                <w:szCs w:val="20"/>
                <w:lang w:val="en-AU"/>
              </w:rPr>
              <w:t>26 families (a)</w:t>
            </w:r>
          </w:p>
        </w:tc>
      </w:tr>
      <w:tr w:rsidR="00A37634" w:rsidRPr="00A37634" w14:paraId="0F1DB516" w14:textId="77777777" w:rsidTr="007C7289">
        <w:trPr>
          <w:cantSplit/>
        </w:trPr>
        <w:tc>
          <w:tcPr>
            <w:tcW w:w="3227" w:type="dxa"/>
          </w:tcPr>
          <w:p w14:paraId="1C99EA14"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 xml:space="preserve">Air conditioner – central/ducted </w:t>
            </w:r>
          </w:p>
        </w:tc>
        <w:tc>
          <w:tcPr>
            <w:tcW w:w="2005" w:type="dxa"/>
          </w:tcPr>
          <w:p w14:paraId="57B5CD04"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5" w:type="dxa"/>
            <w:shd w:val="clear" w:color="auto" w:fill="B3B3B3"/>
          </w:tcPr>
          <w:p w14:paraId="748704CA"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113</w:t>
            </w:r>
          </w:p>
        </w:tc>
        <w:tc>
          <w:tcPr>
            <w:tcW w:w="2006" w:type="dxa"/>
            <w:shd w:val="clear" w:color="auto" w:fill="B3B3B3"/>
          </w:tcPr>
          <w:p w14:paraId="7ACFC0A0"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p>
        </w:tc>
      </w:tr>
      <w:tr w:rsidR="00A37634" w:rsidRPr="00A37634" w14:paraId="67EC28FC" w14:textId="77777777" w:rsidTr="007C7289">
        <w:tc>
          <w:tcPr>
            <w:tcW w:w="3227" w:type="dxa"/>
          </w:tcPr>
          <w:p w14:paraId="01B8C352"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Electric resistance heating</w:t>
            </w:r>
          </w:p>
        </w:tc>
        <w:tc>
          <w:tcPr>
            <w:tcW w:w="2005" w:type="dxa"/>
          </w:tcPr>
          <w:p w14:paraId="2829C85A"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5" w:type="dxa"/>
          </w:tcPr>
          <w:p w14:paraId="65F7FAF0"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6" w:type="dxa"/>
          </w:tcPr>
          <w:p w14:paraId="7562BCA6"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p>
        </w:tc>
      </w:tr>
      <w:tr w:rsidR="00A37634" w:rsidRPr="00A37634" w14:paraId="7B4658C0" w14:textId="77777777" w:rsidTr="007C7289">
        <w:tc>
          <w:tcPr>
            <w:tcW w:w="3227" w:type="dxa"/>
          </w:tcPr>
          <w:p w14:paraId="69ED2EF9"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Pool pump controller</w:t>
            </w:r>
          </w:p>
        </w:tc>
        <w:tc>
          <w:tcPr>
            <w:tcW w:w="2005" w:type="dxa"/>
          </w:tcPr>
          <w:p w14:paraId="4B300815"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5" w:type="dxa"/>
          </w:tcPr>
          <w:p w14:paraId="0CB2F09D"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0</w:t>
            </w:r>
          </w:p>
        </w:tc>
        <w:tc>
          <w:tcPr>
            <w:tcW w:w="2006" w:type="dxa"/>
          </w:tcPr>
          <w:p w14:paraId="47C5687D"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r>
      <w:tr w:rsidR="00A37634" w:rsidRPr="00A37634" w14:paraId="5A1C3B46" w14:textId="77777777" w:rsidTr="007C7289">
        <w:trPr>
          <w:cantSplit/>
        </w:trPr>
        <w:tc>
          <w:tcPr>
            <w:tcW w:w="3227" w:type="dxa"/>
          </w:tcPr>
          <w:p w14:paraId="54C7B9AE"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Water heater – heat pump</w:t>
            </w:r>
          </w:p>
        </w:tc>
        <w:tc>
          <w:tcPr>
            <w:tcW w:w="2005" w:type="dxa"/>
          </w:tcPr>
          <w:p w14:paraId="0D2B32D6"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5" w:type="dxa"/>
          </w:tcPr>
          <w:p w14:paraId="4D4A016D"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0</w:t>
            </w:r>
          </w:p>
        </w:tc>
        <w:tc>
          <w:tcPr>
            <w:tcW w:w="2006" w:type="dxa"/>
          </w:tcPr>
          <w:p w14:paraId="2B258997"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sz w:val="20"/>
                <w:szCs w:val="20"/>
                <w:lang w:val="en-AU"/>
              </w:rPr>
              <w:t>11</w:t>
            </w:r>
          </w:p>
        </w:tc>
      </w:tr>
      <w:tr w:rsidR="00A37634" w:rsidRPr="00A37634" w14:paraId="55B43950" w14:textId="77777777" w:rsidTr="007C7289">
        <w:trPr>
          <w:cantSplit/>
        </w:trPr>
        <w:tc>
          <w:tcPr>
            <w:tcW w:w="3227" w:type="dxa"/>
          </w:tcPr>
          <w:p w14:paraId="081AC8F8"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Water heater – resistance</w:t>
            </w:r>
          </w:p>
        </w:tc>
        <w:tc>
          <w:tcPr>
            <w:tcW w:w="2005" w:type="dxa"/>
            <w:tcBorders>
              <w:bottom w:val="single" w:sz="4" w:space="0" w:color="auto"/>
            </w:tcBorders>
          </w:tcPr>
          <w:p w14:paraId="069C9216"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5" w:type="dxa"/>
            <w:tcBorders>
              <w:bottom w:val="single" w:sz="4" w:space="0" w:color="auto"/>
            </w:tcBorders>
          </w:tcPr>
          <w:p w14:paraId="3F9D0E1D"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0</w:t>
            </w:r>
            <w:r w:rsidRPr="00A37634">
              <w:rPr>
                <w:rFonts w:ascii="Calibri" w:eastAsia="Calibri" w:hAnsi="Calibri" w:cs="Calibri"/>
                <w:b/>
                <w:bCs/>
                <w:sz w:val="20"/>
                <w:szCs w:val="20"/>
                <w:lang w:val="en-AU"/>
              </w:rPr>
              <w:t xml:space="preserve"> </w:t>
            </w:r>
          </w:p>
        </w:tc>
        <w:tc>
          <w:tcPr>
            <w:tcW w:w="2006" w:type="dxa"/>
          </w:tcPr>
          <w:p w14:paraId="07334A40"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r>
      <w:tr w:rsidR="00A37634" w:rsidRPr="00A37634" w14:paraId="17D04760" w14:textId="77777777" w:rsidTr="007C7289">
        <w:tc>
          <w:tcPr>
            <w:tcW w:w="3227" w:type="dxa"/>
          </w:tcPr>
          <w:p w14:paraId="7E079783"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Refrigerator &amp; freezer</w:t>
            </w:r>
          </w:p>
        </w:tc>
        <w:tc>
          <w:tcPr>
            <w:tcW w:w="2005" w:type="dxa"/>
            <w:shd w:val="clear" w:color="auto" w:fill="B3B3B3"/>
          </w:tcPr>
          <w:p w14:paraId="044C7A8C"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41</w:t>
            </w:r>
          </w:p>
        </w:tc>
        <w:tc>
          <w:tcPr>
            <w:tcW w:w="2005" w:type="dxa"/>
            <w:shd w:val="clear" w:color="auto" w:fill="B3B3B3"/>
          </w:tcPr>
          <w:p w14:paraId="05060D60"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6" w:type="dxa"/>
          </w:tcPr>
          <w:p w14:paraId="543BDE69"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p>
        </w:tc>
      </w:tr>
      <w:tr w:rsidR="00A37634" w:rsidRPr="00A37634" w14:paraId="13304715" w14:textId="77777777" w:rsidTr="007C7289">
        <w:tc>
          <w:tcPr>
            <w:tcW w:w="3227" w:type="dxa"/>
          </w:tcPr>
          <w:p w14:paraId="2C4EF090"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Clothes washer &amp; washer-dryer</w:t>
            </w:r>
          </w:p>
        </w:tc>
        <w:tc>
          <w:tcPr>
            <w:tcW w:w="2005" w:type="dxa"/>
            <w:shd w:val="clear" w:color="auto" w:fill="B3B3B3"/>
          </w:tcPr>
          <w:p w14:paraId="6B6F911D"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0</w:t>
            </w:r>
          </w:p>
        </w:tc>
        <w:tc>
          <w:tcPr>
            <w:tcW w:w="2005" w:type="dxa"/>
            <w:shd w:val="clear" w:color="auto" w:fill="B3B3B3"/>
          </w:tcPr>
          <w:p w14:paraId="321EE658"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6" w:type="dxa"/>
          </w:tcPr>
          <w:p w14:paraId="66778B84"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p>
        </w:tc>
      </w:tr>
      <w:tr w:rsidR="00A37634" w:rsidRPr="00A37634" w14:paraId="521BD213" w14:textId="77777777" w:rsidTr="007C7289">
        <w:tc>
          <w:tcPr>
            <w:tcW w:w="3227" w:type="dxa"/>
          </w:tcPr>
          <w:p w14:paraId="3E23BB55"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lastRenderedPageBreak/>
              <w:t>Clothes dryer</w:t>
            </w:r>
          </w:p>
        </w:tc>
        <w:tc>
          <w:tcPr>
            <w:tcW w:w="2005" w:type="dxa"/>
            <w:shd w:val="clear" w:color="auto" w:fill="B3B3B3"/>
          </w:tcPr>
          <w:p w14:paraId="7BD68963" w14:textId="77777777" w:rsidR="00A37634" w:rsidRPr="00A37634" w:rsidRDefault="00A37634" w:rsidP="00A37634">
            <w:pPr>
              <w:spacing w:after="200" w:line="240" w:lineRule="auto"/>
              <w:jc w:val="center"/>
              <w:rPr>
                <w:rFonts w:ascii="Calibri" w:eastAsia="Times New Roman" w:hAnsi="Calibri" w:cs="Calibri"/>
                <w:b/>
                <w:bCs/>
                <w:sz w:val="20"/>
                <w:szCs w:val="20"/>
                <w:lang w:val="en-US" w:eastAsia="en-GB"/>
              </w:rPr>
            </w:pPr>
            <w:r w:rsidRPr="00A37634">
              <w:rPr>
                <w:rFonts w:ascii="Calibri" w:eastAsia="Times New Roman" w:hAnsi="Calibri" w:cs="Calibri"/>
                <w:b/>
                <w:bCs/>
                <w:sz w:val="20"/>
                <w:szCs w:val="20"/>
                <w:lang w:val="en-US" w:eastAsia="en-GB"/>
              </w:rPr>
              <w:sym w:font="Wingdings" w:char="F0FC"/>
            </w:r>
            <w:r w:rsidRPr="00A37634">
              <w:rPr>
                <w:rFonts w:ascii="Calibri" w:eastAsia="Times New Roman" w:hAnsi="Calibri" w:cs="Calibri"/>
                <w:b/>
                <w:bCs/>
                <w:sz w:val="20"/>
                <w:szCs w:val="20"/>
                <w:lang w:val="en-US" w:eastAsia="en-GB"/>
              </w:rPr>
              <w:t xml:space="preserve"> </w:t>
            </w:r>
            <w:r w:rsidRPr="00A37634">
              <w:rPr>
                <w:rFonts w:ascii="Calibri" w:eastAsia="Times New Roman" w:hAnsi="Calibri" w:cs="Calibri"/>
                <w:sz w:val="20"/>
                <w:szCs w:val="20"/>
                <w:lang w:val="en-US" w:eastAsia="en-GB"/>
              </w:rPr>
              <w:t>2</w:t>
            </w:r>
          </w:p>
        </w:tc>
        <w:tc>
          <w:tcPr>
            <w:tcW w:w="2005" w:type="dxa"/>
            <w:shd w:val="clear" w:color="auto" w:fill="B3B3B3"/>
          </w:tcPr>
          <w:p w14:paraId="70618F2D"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6" w:type="dxa"/>
          </w:tcPr>
          <w:p w14:paraId="69BEA70F"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p>
        </w:tc>
      </w:tr>
      <w:tr w:rsidR="00A37634" w:rsidRPr="00A37634" w14:paraId="03031C4D" w14:textId="77777777" w:rsidTr="007C7289">
        <w:tc>
          <w:tcPr>
            <w:tcW w:w="3227" w:type="dxa"/>
          </w:tcPr>
          <w:p w14:paraId="105704C3"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Dishwasher</w:t>
            </w:r>
          </w:p>
        </w:tc>
        <w:tc>
          <w:tcPr>
            <w:tcW w:w="2005" w:type="dxa"/>
            <w:shd w:val="clear" w:color="auto" w:fill="B3B3B3"/>
          </w:tcPr>
          <w:p w14:paraId="755E68DB"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0</w:t>
            </w:r>
          </w:p>
        </w:tc>
        <w:tc>
          <w:tcPr>
            <w:tcW w:w="2005" w:type="dxa"/>
            <w:shd w:val="clear" w:color="auto" w:fill="B3B3B3"/>
          </w:tcPr>
          <w:p w14:paraId="41E9865B"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6" w:type="dxa"/>
          </w:tcPr>
          <w:p w14:paraId="36D42102"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r>
      <w:tr w:rsidR="00A37634" w:rsidRPr="00A37634" w14:paraId="42A200C0" w14:textId="77777777" w:rsidTr="007C7289">
        <w:tc>
          <w:tcPr>
            <w:tcW w:w="3227" w:type="dxa"/>
          </w:tcPr>
          <w:p w14:paraId="29616FE5"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Light fixtures</w:t>
            </w:r>
          </w:p>
        </w:tc>
        <w:tc>
          <w:tcPr>
            <w:tcW w:w="2005" w:type="dxa"/>
            <w:shd w:val="clear" w:color="auto" w:fill="B3B3B3"/>
          </w:tcPr>
          <w:p w14:paraId="1A0E6755"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241</w:t>
            </w:r>
          </w:p>
        </w:tc>
        <w:tc>
          <w:tcPr>
            <w:tcW w:w="2005" w:type="dxa"/>
          </w:tcPr>
          <w:p w14:paraId="359EE8C5"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6" w:type="dxa"/>
          </w:tcPr>
          <w:p w14:paraId="2C548C95"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p>
        </w:tc>
      </w:tr>
      <w:tr w:rsidR="00A37634" w:rsidRPr="00A37634" w14:paraId="021F2A1C" w14:textId="77777777" w:rsidTr="007C7289">
        <w:tc>
          <w:tcPr>
            <w:tcW w:w="3227" w:type="dxa"/>
          </w:tcPr>
          <w:p w14:paraId="5C03B0AC"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Connected thermostat</w:t>
            </w:r>
          </w:p>
        </w:tc>
        <w:tc>
          <w:tcPr>
            <w:tcW w:w="2005" w:type="dxa"/>
            <w:shd w:val="clear" w:color="auto" w:fill="B3B3B3"/>
          </w:tcPr>
          <w:p w14:paraId="149D980B"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47</w:t>
            </w:r>
          </w:p>
        </w:tc>
        <w:tc>
          <w:tcPr>
            <w:tcW w:w="2005" w:type="dxa"/>
          </w:tcPr>
          <w:p w14:paraId="7CDEA480"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6" w:type="dxa"/>
          </w:tcPr>
          <w:p w14:paraId="0459BFC9"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p>
        </w:tc>
      </w:tr>
      <w:tr w:rsidR="00A37634" w:rsidRPr="00A37634" w14:paraId="13F8456E" w14:textId="77777777" w:rsidTr="007C7289">
        <w:tc>
          <w:tcPr>
            <w:tcW w:w="3227" w:type="dxa"/>
          </w:tcPr>
          <w:p w14:paraId="009F2E78"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Energy battery storage system</w:t>
            </w:r>
          </w:p>
        </w:tc>
        <w:tc>
          <w:tcPr>
            <w:tcW w:w="2005" w:type="dxa"/>
            <w:tcBorders>
              <w:bottom w:val="single" w:sz="4" w:space="0" w:color="auto"/>
            </w:tcBorders>
          </w:tcPr>
          <w:p w14:paraId="75C67135"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5" w:type="dxa"/>
          </w:tcPr>
          <w:p w14:paraId="58F1F742"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5</w:t>
            </w:r>
          </w:p>
        </w:tc>
        <w:tc>
          <w:tcPr>
            <w:tcW w:w="2006" w:type="dxa"/>
          </w:tcPr>
          <w:p w14:paraId="55A7731F"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sz w:val="20"/>
                <w:szCs w:val="20"/>
                <w:lang w:val="en-AU"/>
              </w:rPr>
              <w:t>46</w:t>
            </w:r>
          </w:p>
        </w:tc>
      </w:tr>
      <w:tr w:rsidR="00A37634" w:rsidRPr="00A37634" w14:paraId="61C398EA" w14:textId="77777777" w:rsidTr="007C7289">
        <w:tc>
          <w:tcPr>
            <w:tcW w:w="3227" w:type="dxa"/>
          </w:tcPr>
          <w:p w14:paraId="368C4648"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Electric vehicle charger (</w:t>
            </w:r>
            <w:proofErr w:type="spellStart"/>
            <w:r w:rsidRPr="00A37634">
              <w:rPr>
                <w:rFonts w:ascii="Calibri" w:eastAsia="Calibri" w:hAnsi="Calibri" w:cs="Calibri"/>
                <w:sz w:val="20"/>
                <w:szCs w:val="20"/>
                <w:lang w:val="en-AU"/>
              </w:rPr>
              <w:t>EVSE</w:t>
            </w:r>
            <w:proofErr w:type="spellEnd"/>
            <w:r w:rsidRPr="00A37634">
              <w:rPr>
                <w:rFonts w:ascii="Calibri" w:eastAsia="Calibri" w:hAnsi="Calibri" w:cs="Calibri"/>
                <w:sz w:val="20"/>
                <w:szCs w:val="20"/>
                <w:lang w:val="en-AU"/>
              </w:rPr>
              <w:t>)</w:t>
            </w:r>
          </w:p>
        </w:tc>
        <w:tc>
          <w:tcPr>
            <w:tcW w:w="2005" w:type="dxa"/>
            <w:shd w:val="clear" w:color="auto" w:fill="B3B3B3"/>
          </w:tcPr>
          <w:p w14:paraId="3E711046"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0</w:t>
            </w:r>
          </w:p>
        </w:tc>
        <w:tc>
          <w:tcPr>
            <w:tcW w:w="2005" w:type="dxa"/>
          </w:tcPr>
          <w:p w14:paraId="128A1849"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(b)</w:t>
            </w:r>
          </w:p>
        </w:tc>
        <w:tc>
          <w:tcPr>
            <w:tcW w:w="2006" w:type="dxa"/>
          </w:tcPr>
          <w:p w14:paraId="56D26D9A"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sz w:val="20"/>
                <w:szCs w:val="20"/>
                <w:lang w:val="en-AU"/>
              </w:rPr>
              <w:t>1</w:t>
            </w:r>
          </w:p>
        </w:tc>
      </w:tr>
      <w:tr w:rsidR="00A37634" w:rsidRPr="00A37634" w14:paraId="0CA49873" w14:textId="77777777" w:rsidTr="007C7289">
        <w:tc>
          <w:tcPr>
            <w:tcW w:w="3227" w:type="dxa"/>
          </w:tcPr>
          <w:p w14:paraId="27CE3F65"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Photovoltaic/battery inverter</w:t>
            </w:r>
          </w:p>
        </w:tc>
        <w:tc>
          <w:tcPr>
            <w:tcW w:w="2005" w:type="dxa"/>
          </w:tcPr>
          <w:p w14:paraId="2E62DF3B"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5" w:type="dxa"/>
          </w:tcPr>
          <w:p w14:paraId="221AB699"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(c)</w:t>
            </w:r>
          </w:p>
        </w:tc>
        <w:tc>
          <w:tcPr>
            <w:tcW w:w="2006" w:type="dxa"/>
          </w:tcPr>
          <w:p w14:paraId="75DBCF17"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23</w:t>
            </w:r>
          </w:p>
        </w:tc>
      </w:tr>
      <w:tr w:rsidR="00A37634" w:rsidRPr="00A37634" w14:paraId="53A881C3" w14:textId="77777777" w:rsidTr="007C7289">
        <w:tc>
          <w:tcPr>
            <w:tcW w:w="3227" w:type="dxa"/>
          </w:tcPr>
          <w:p w14:paraId="21792741" w14:textId="77777777" w:rsidR="00A37634" w:rsidRPr="00A37634" w:rsidRDefault="00A37634" w:rsidP="00A37634">
            <w:pPr>
              <w:spacing w:after="120" w:line="276" w:lineRule="auto"/>
              <w:rPr>
                <w:rFonts w:ascii="Calibri" w:eastAsia="Calibri" w:hAnsi="Calibri" w:cs="Calibri"/>
                <w:sz w:val="20"/>
                <w:szCs w:val="20"/>
                <w:lang w:val="en-AU"/>
              </w:rPr>
            </w:pPr>
            <w:r w:rsidRPr="00A37634">
              <w:rPr>
                <w:rFonts w:ascii="Calibri" w:eastAsia="Calibri" w:hAnsi="Calibri" w:cs="Calibri"/>
                <w:sz w:val="20"/>
                <w:szCs w:val="20"/>
                <w:lang w:val="en-AU"/>
              </w:rPr>
              <w:t xml:space="preserve">Controller for other devices </w:t>
            </w:r>
          </w:p>
        </w:tc>
        <w:tc>
          <w:tcPr>
            <w:tcW w:w="2005" w:type="dxa"/>
          </w:tcPr>
          <w:p w14:paraId="3FE3BA49" w14:textId="77777777" w:rsidR="00A37634" w:rsidRPr="00A37634" w:rsidRDefault="00A37634" w:rsidP="00A37634">
            <w:pPr>
              <w:spacing w:after="120" w:line="276" w:lineRule="auto"/>
              <w:jc w:val="center"/>
              <w:rPr>
                <w:rFonts w:ascii="Calibri" w:eastAsia="Calibri" w:hAnsi="Calibri" w:cs="Calibri"/>
                <w:b/>
                <w:bCs/>
                <w:sz w:val="20"/>
                <w:szCs w:val="20"/>
                <w:lang w:val="en-AU"/>
              </w:rPr>
            </w:pPr>
          </w:p>
        </w:tc>
        <w:tc>
          <w:tcPr>
            <w:tcW w:w="2005" w:type="dxa"/>
          </w:tcPr>
          <w:p w14:paraId="1E6E5BE9"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 xml:space="preserve"> </w:t>
            </w:r>
            <w:r w:rsidRPr="00A37634">
              <w:rPr>
                <w:rFonts w:ascii="Calibri" w:eastAsia="Calibri" w:hAnsi="Calibri" w:cs="Calibri"/>
                <w:sz w:val="20"/>
                <w:szCs w:val="20"/>
                <w:lang w:val="en-AU"/>
              </w:rPr>
              <w:t>0</w:t>
            </w:r>
          </w:p>
        </w:tc>
        <w:tc>
          <w:tcPr>
            <w:tcW w:w="2006" w:type="dxa"/>
          </w:tcPr>
          <w:p w14:paraId="0AC8C7E0" w14:textId="77777777" w:rsidR="00A37634" w:rsidRPr="00A37634" w:rsidRDefault="00A37634" w:rsidP="00A37634">
            <w:pPr>
              <w:spacing w:after="120" w:line="276" w:lineRule="auto"/>
              <w:jc w:val="center"/>
              <w:rPr>
                <w:rFonts w:ascii="Calibri" w:eastAsia="Calibri" w:hAnsi="Calibri" w:cs="Calibri"/>
                <w:b/>
                <w:bCs/>
                <w:sz w:val="20"/>
                <w:szCs w:val="20"/>
                <w:lang w:val="en-AU"/>
              </w:rPr>
            </w:pPr>
            <w:r w:rsidRPr="00A37634">
              <w:rPr>
                <w:rFonts w:ascii="Calibri" w:eastAsia="Calibri" w:hAnsi="Calibri" w:cs="Calibri"/>
                <w:b/>
                <w:bCs/>
                <w:sz w:val="20"/>
                <w:szCs w:val="20"/>
                <w:lang w:val="en-AU"/>
              </w:rPr>
              <w:sym w:font="Wingdings" w:char="F0FC"/>
            </w:r>
            <w:r w:rsidRPr="00A37634">
              <w:rPr>
                <w:rFonts w:ascii="Calibri" w:eastAsia="Calibri" w:hAnsi="Calibri" w:cs="Calibri"/>
                <w:b/>
                <w:bCs/>
                <w:sz w:val="20"/>
                <w:szCs w:val="20"/>
                <w:lang w:val="en-AU"/>
              </w:rPr>
              <w:t>213</w:t>
            </w:r>
          </w:p>
        </w:tc>
      </w:tr>
    </w:tbl>
    <w:p w14:paraId="0287082F" w14:textId="77777777" w:rsidR="00A37634" w:rsidRPr="00A37634" w:rsidRDefault="00A37634" w:rsidP="00A37634">
      <w:pPr>
        <w:spacing w:after="0" w:line="240" w:lineRule="auto"/>
        <w:rPr>
          <w:rFonts w:ascii="Calibri" w:eastAsia="Calibri" w:hAnsi="Calibri" w:cs="Calibri"/>
          <w:sz w:val="18"/>
          <w:szCs w:val="20"/>
          <w:lang w:val="en-AU"/>
        </w:rPr>
      </w:pPr>
      <w:r w:rsidRPr="00A37634">
        <w:rPr>
          <w:rFonts w:ascii="Calibri" w:eastAsia="Calibri" w:hAnsi="Calibri" w:cs="Calibri"/>
          <w:sz w:val="18"/>
          <w:szCs w:val="20"/>
          <w:lang w:val="en-AU"/>
        </w:rPr>
        <w:sym w:font="Wingdings" w:char="F0FC"/>
      </w:r>
      <w:r w:rsidRPr="00A37634">
        <w:rPr>
          <w:rFonts w:ascii="Calibri" w:eastAsia="Calibri" w:hAnsi="Calibri" w:cs="Calibri"/>
          <w:sz w:val="18"/>
          <w:szCs w:val="20"/>
          <w:lang w:val="en-AU"/>
        </w:rPr>
        <w:t xml:space="preserve"> indicates that there are standards or rules published for these products. Shading indicate there is energy labelling for that product (voluntary endorsement label for Energy Star, mandatory comparative label for Australia and Japan). Numbers indicate distinct models listed as compliant (June 2019). (a) Echonet listings cover model families, so number of models not shown. (b) Standard/rule under development. (c) Via cross-reference in AS/NZS 4777. </w:t>
      </w:r>
    </w:p>
    <w:p w14:paraId="1151AD99" w14:textId="77777777" w:rsidR="00A37634" w:rsidRPr="00A37634" w:rsidRDefault="00A37634" w:rsidP="00A37634">
      <w:pPr>
        <w:spacing w:before="240" w:after="120" w:line="278" w:lineRule="auto"/>
        <w:rPr>
          <w:rFonts w:ascii="Calibri" w:eastAsia="Cambria" w:hAnsi="Calibri" w:cs="Calibri"/>
          <w:szCs w:val="20"/>
          <w:lang w:val="en-AU"/>
        </w:rPr>
      </w:pPr>
      <w:r w:rsidRPr="00A37634">
        <w:rPr>
          <w:rFonts w:ascii="Calibri" w:eastAsia="Cambria" w:hAnsi="Calibri" w:cs="Calibri"/>
          <w:szCs w:val="20"/>
          <w:lang w:val="en-AU"/>
        </w:rPr>
        <w:t>One Victorian DNSP, PowerCor, is trialling a product that enables temperature adjustment signals to be sent to split unit ACs</w:t>
      </w:r>
      <w:r w:rsidRPr="00A37634">
        <w:rPr>
          <w:rFonts w:ascii="Calibri" w:eastAsia="Cambria" w:hAnsi="Calibri" w:cs="Calibri"/>
          <w:szCs w:val="20"/>
          <w:vertAlign w:val="superscript"/>
          <w:lang w:val="en-AU"/>
        </w:rPr>
        <w:footnoteReference w:id="111"/>
      </w:r>
      <w:r w:rsidRPr="00A37634">
        <w:rPr>
          <w:rFonts w:ascii="Calibri" w:eastAsia="Cambria" w:hAnsi="Calibri" w:cs="Calibri"/>
          <w:szCs w:val="20"/>
          <w:lang w:val="en-AU"/>
        </w:rPr>
        <w:t xml:space="preserve"> so addressing problem (a) above. PowerCor is using the Sensibo Sky controller</w:t>
      </w:r>
      <w:r w:rsidRPr="00A37634">
        <w:rPr>
          <w:rFonts w:ascii="Calibri" w:eastAsia="Cambria" w:hAnsi="Calibri" w:cs="Calibri"/>
          <w:szCs w:val="20"/>
          <w:vertAlign w:val="superscript"/>
          <w:lang w:val="en-AU"/>
        </w:rPr>
        <w:footnoteReference w:id="112"/>
      </w:r>
      <w:r w:rsidRPr="00A37634">
        <w:rPr>
          <w:rFonts w:ascii="Calibri" w:eastAsia="Cambria" w:hAnsi="Calibri" w:cs="Calibri"/>
          <w:szCs w:val="20"/>
          <w:lang w:val="en-AU"/>
        </w:rPr>
        <w:t xml:space="preserve"> which acts as a “smart” replacement for the standard line-of-sight infra-red remote control supplied with most ACs. The controller is WiFi enabled, so all the normal on/off and adjustment functions can be operated via a smartphone app that controls the Sensibo. The company has contracted with PowerCor (and hence with the PowerCor consumers involved) for permission to manipulate thermostat temperature setting at PowerCor’s request.  This pathway is an alternative to using each air conditioner manufacturer’s own app for this purpose, so the Sensibo is in effect a form of aggregator. However, it does not overcome problems (b), (c) or (d) above. </w:t>
      </w:r>
    </w:p>
    <w:p w14:paraId="057D74BE" w14:textId="0D7F0C11" w:rsidR="00A37634" w:rsidRPr="00A37634" w:rsidRDefault="00A37634" w:rsidP="00A37634">
      <w:pPr>
        <w:spacing w:before="120" w:after="120" w:line="278" w:lineRule="auto"/>
        <w:rPr>
          <w:rFonts w:ascii="Calibri" w:eastAsia="Cambria" w:hAnsi="Calibri" w:cs="Calibri"/>
          <w:szCs w:val="20"/>
          <w:lang w:val="en-AU"/>
        </w:rPr>
      </w:pPr>
      <w:r w:rsidRPr="00A37634">
        <w:rPr>
          <w:rFonts w:ascii="Calibri" w:eastAsia="Cambria" w:hAnsi="Calibri" w:cs="Calibri"/>
          <w:szCs w:val="20"/>
          <w:lang w:val="en-AU"/>
        </w:rPr>
        <w:t>The approaches discussed above (loosely termed “smart” or “internet of things”) do not offer the reliable and verifiable DR outcomes of AS/NZS 4755-compliant products, and are therefore not direct competitors. There is nothing to prevent an AS/NZS 4755-compliant and activated AC from being controlled by a Sensibo-like device, so long as the AC responds to DRM1, DRM2 and DRM3. The Sensibo control only could mean that the power setting at the beginning of a DR event is slightly lower because the AC is operating at a higher temperature (say 0.8 kW rather than 1 kW, a 0.2 kW reduction) so DRM2 will produce a power reduction of a further 0.4 kW rather than 0.5 kW. Under conditions when the AC is running in an over-26</w:t>
      </w:r>
      <w:r w:rsidRPr="00A37634">
        <w:rPr>
          <w:rFonts w:ascii="Calibri" w:eastAsia="Cambria" w:hAnsi="Calibri" w:cs="Calibri"/>
          <w:szCs w:val="20"/>
          <w:vertAlign w:val="superscript"/>
          <w:lang w:val="en-AU"/>
        </w:rPr>
        <w:t>o</w:t>
      </w:r>
      <w:r w:rsidRPr="00A37634">
        <w:rPr>
          <w:rFonts w:ascii="Calibri" w:eastAsia="Cambria" w:hAnsi="Calibri" w:cs="Calibri"/>
          <w:szCs w:val="20"/>
          <w:lang w:val="en-AU"/>
        </w:rPr>
        <w:t xml:space="preserve">C space than a pre-cooled space, it may be drawing say 1.5 kW, the Sensibo would produce no power reductions whereas DRM2 would produce 0.75 kW. </w:t>
      </w:r>
    </w:p>
    <w:p w14:paraId="38F4634F" w14:textId="77777777" w:rsidR="00A37634" w:rsidRPr="00A37634" w:rsidRDefault="00A37634" w:rsidP="00A37634">
      <w:pPr>
        <w:spacing w:before="120" w:after="120" w:line="278" w:lineRule="auto"/>
        <w:rPr>
          <w:rFonts w:ascii="Calibri" w:eastAsia="Cambria" w:hAnsi="Calibri" w:cs="Calibri"/>
          <w:szCs w:val="20"/>
          <w:lang w:val="en-AU"/>
        </w:rPr>
      </w:pPr>
      <w:r w:rsidRPr="00A37634">
        <w:rPr>
          <w:rFonts w:ascii="Calibri" w:eastAsia="Cambria" w:hAnsi="Calibri" w:cs="Calibri"/>
          <w:szCs w:val="20"/>
          <w:lang w:val="en-AU"/>
        </w:rPr>
        <w:t>Therefore, the wider adoption and use of other ‘smart’ approaches would have minimal impact on the case for and cost-effectiveness of mandating compliance with AS/NZS 4755. The same appliances could support both approaches. Under AS/NZS 4755, DR commands from the remote agent must have priority while the product is activated in accordance with AS/NZS 4755, but consumers could continue to take part in price-</w:t>
      </w:r>
      <w:r w:rsidRPr="00A37634">
        <w:rPr>
          <w:rFonts w:ascii="Calibri" w:eastAsia="Cambria" w:hAnsi="Calibri" w:cs="Calibri"/>
          <w:szCs w:val="20"/>
          <w:lang w:val="en-AU"/>
        </w:rPr>
        <w:lastRenderedPageBreak/>
        <w:t xml:space="preserve">driven DR at other times if they wish. The user or other authorised party could access the appliance by a proprietary app instead of activating the AS/NZS 4755 capabilities, or – for activated products – using the other capabilities outside AS/NZS 4755 DR events. Furthermore, manufacturers of appliances with proprietary DR capabilities have the option of incorporating their systems in the AS/NZS 4755 framework by proposing new appendices for AS 4755.2. </w:t>
      </w:r>
    </w:p>
    <w:p w14:paraId="40B043E3" w14:textId="40587FC8" w:rsidR="00DB27CB" w:rsidRPr="00DB27CB" w:rsidRDefault="00DB27CB" w:rsidP="00DB27CB">
      <w:pPr>
        <w:spacing w:before="240" w:after="240" w:line="276" w:lineRule="auto"/>
        <w:rPr>
          <w:rFonts w:ascii="Calibri" w:eastAsia="Calibri" w:hAnsi="Calibri" w:cs="Calibri"/>
          <w:b/>
          <w:bCs/>
          <w:color w:val="FF0000"/>
          <w:sz w:val="28"/>
          <w:szCs w:val="20"/>
          <w:lang w:val="en-AU"/>
        </w:rPr>
      </w:pPr>
      <w:r w:rsidRPr="00DB27CB">
        <w:rPr>
          <w:rFonts w:ascii="Calibri" w:eastAsia="Calibri" w:hAnsi="Calibri" w:cs="Calibri"/>
          <w:b/>
          <w:bCs/>
          <w:color w:val="FF0000"/>
          <w:sz w:val="28"/>
          <w:szCs w:val="20"/>
          <w:lang w:val="en-AU"/>
        </w:rPr>
        <w:t xml:space="preserve">International and National </w:t>
      </w:r>
      <w:r>
        <w:rPr>
          <w:rFonts w:ascii="Calibri" w:eastAsia="Calibri" w:hAnsi="Calibri" w:cs="Calibri"/>
          <w:b/>
          <w:bCs/>
          <w:color w:val="FF0000"/>
          <w:sz w:val="28"/>
          <w:szCs w:val="20"/>
          <w:lang w:val="en-AU"/>
        </w:rPr>
        <w:t xml:space="preserve">Demand Response </w:t>
      </w:r>
      <w:r w:rsidRPr="00DB27CB">
        <w:rPr>
          <w:rFonts w:ascii="Calibri" w:eastAsia="Calibri" w:hAnsi="Calibri" w:cs="Calibri"/>
          <w:b/>
          <w:bCs/>
          <w:color w:val="FF0000"/>
          <w:sz w:val="28"/>
          <w:szCs w:val="20"/>
          <w:lang w:val="en-AU"/>
        </w:rPr>
        <w:t>Standards</w:t>
      </w:r>
    </w:p>
    <w:p w14:paraId="2C26C4E8" w14:textId="77777777" w:rsidR="00DB27CB" w:rsidRDefault="00DB27CB" w:rsidP="00DB27CB">
      <w:r w:rsidRPr="009776D9">
        <w:t xml:space="preserve">It is the </w:t>
      </w:r>
      <w:r>
        <w:t xml:space="preserve">practice of the E3 program to adopt “international” technical standards for the performance of appliances where possible.  This could mean: </w:t>
      </w:r>
    </w:p>
    <w:p w14:paraId="665CC83A" w14:textId="77777777" w:rsidR="00DB27CB" w:rsidRDefault="00DB27CB" w:rsidP="00DB27CB">
      <w:pPr>
        <w:pStyle w:val="ListParagraph"/>
        <w:numPr>
          <w:ilvl w:val="0"/>
          <w:numId w:val="36"/>
        </w:numPr>
        <w:spacing w:after="160" w:line="259" w:lineRule="auto"/>
      </w:pPr>
      <w:r>
        <w:t>true international standards published by the International Electrotechnical Commission (IEC) or the International Standardisation Organisation (ISO);</w:t>
      </w:r>
    </w:p>
    <w:p w14:paraId="107A5202" w14:textId="39119DB2" w:rsidR="00DB27CB" w:rsidRDefault="00DB27CB" w:rsidP="00DB27CB">
      <w:pPr>
        <w:pStyle w:val="ListParagraph"/>
        <w:numPr>
          <w:ilvl w:val="0"/>
          <w:numId w:val="36"/>
        </w:numPr>
        <w:spacing w:after="160" w:line="259" w:lineRule="auto"/>
      </w:pPr>
      <w:r>
        <w:t xml:space="preserve">if there are alternative regional standards (e.g. </w:t>
      </w:r>
      <w:proofErr w:type="spellStart"/>
      <w:r>
        <w:t>CENELEC</w:t>
      </w:r>
      <w:proofErr w:type="spellEnd"/>
      <w:r>
        <w:t xml:space="preserve"> standards in Europe, </w:t>
      </w:r>
      <w:proofErr w:type="spellStart"/>
      <w:r>
        <w:t>JIS</w:t>
      </w:r>
      <w:proofErr w:type="spellEnd"/>
      <w:r>
        <w:t xml:space="preserve"> in Japan, ANSI or IEEE in the US – the US does not have a single standards body) – generally the one dominating the market in the country from where Australia sources (or exports) most of that product; </w:t>
      </w:r>
      <w:r w:rsidR="00FF350F">
        <w:t>or</w:t>
      </w:r>
    </w:p>
    <w:p w14:paraId="3FA8D0A5" w14:textId="77777777" w:rsidR="00DB27CB" w:rsidRDefault="00DB27CB" w:rsidP="00DB27CB">
      <w:pPr>
        <w:pStyle w:val="ListParagraph"/>
        <w:numPr>
          <w:ilvl w:val="0"/>
          <w:numId w:val="36"/>
        </w:numPr>
        <w:spacing w:after="160" w:line="259" w:lineRule="auto"/>
      </w:pPr>
      <w:r>
        <w:t xml:space="preserve">industry standards, which may not (yet) have been endorsed by a recognised standards body, but have a reasonable level of adherence for a </w:t>
      </w:r>
      <w:proofErr w:type="gramStart"/>
      <w:r>
        <w:t>particular product</w:t>
      </w:r>
      <w:proofErr w:type="gramEnd"/>
      <w:r>
        <w:t xml:space="preserve"> type. </w:t>
      </w:r>
    </w:p>
    <w:p w14:paraId="4A593371" w14:textId="77777777" w:rsidR="00DB27CB" w:rsidRDefault="00DB27CB" w:rsidP="00DB27CB">
      <w:r>
        <w:t xml:space="preserve">For some products, the E3 program continues to use AS/NZS standards: e.g. electric storage water heaters and gas appliances. There is no proposal to adopt “international” standards for these products because the AS/NZS standards are uniquely suited to the styles and configurations of products on the Australian and New Zealand markets, and most of the local market is supplied by locally manufactured products. </w:t>
      </w:r>
    </w:p>
    <w:p w14:paraId="5B17464C" w14:textId="463056B7" w:rsidR="00DB27CB" w:rsidRDefault="00DB27CB" w:rsidP="00DB27CB">
      <w:r>
        <w:t>In some cases</w:t>
      </w:r>
      <w:r w:rsidR="00FF350F">
        <w:t>,</w:t>
      </w:r>
      <w:r>
        <w:t xml:space="preserve"> the E3 program recognises more than one “international” standard. For example, the GEMS </w:t>
      </w:r>
      <w:r w:rsidR="00FD21A6">
        <w:t>D</w:t>
      </w:r>
      <w:r>
        <w:t>etermination for electric motors specifies different MEPS levels (expressed as “minimum efficiency (%)”) for motors tested under the IEC standard and under the USA IEEE standard.</w:t>
      </w:r>
      <w:r>
        <w:rPr>
          <w:rStyle w:val="FootnoteReference"/>
        </w:rPr>
        <w:footnoteReference w:id="113"/>
      </w:r>
      <w:r>
        <w:t xml:space="preserve"> </w:t>
      </w:r>
    </w:p>
    <w:p w14:paraId="26F0C00E" w14:textId="5DFEA876" w:rsidR="00DB27CB" w:rsidRDefault="00DB27CB" w:rsidP="00DB27CB">
      <w:r>
        <w:t xml:space="preserve">E3 programs have often started with AS/NZS </w:t>
      </w:r>
      <w:r w:rsidR="00FF350F">
        <w:t>S</w:t>
      </w:r>
      <w:r>
        <w:t xml:space="preserve">tandards and then transitioned to international standards once these have developed – often decades later. For examples, a new Australian test standard had to be developed in 1985 for the first electrical product to be subject to mandatory energy labelling in Australia: household refrigerators and freezers (the latest version of that standard is AS/NZS 4474:2018). An IEC energy test standard for refrigerators was finally published in 2018 and adopted as </w:t>
      </w:r>
      <w:r w:rsidRPr="000D2436">
        <w:t>AS/NZS IEC 62552.1:2018</w:t>
      </w:r>
      <w:r>
        <w:t>. The transition to use of that standard for the E3 program has only just commenced, and will not be completed until 2021.</w:t>
      </w:r>
      <w:r>
        <w:rPr>
          <w:rStyle w:val="FootnoteReference"/>
        </w:rPr>
        <w:footnoteReference w:id="114"/>
      </w:r>
      <w:r>
        <w:t xml:space="preserve"> </w:t>
      </w:r>
    </w:p>
    <w:p w14:paraId="36CFD11A" w14:textId="0D91B13A" w:rsidR="00DB27CB" w:rsidRDefault="00DB27CB" w:rsidP="00DB27CB">
      <w:bookmarkStart w:id="229" w:name="_Hlk21380492"/>
      <w:r>
        <w:t xml:space="preserve">A </w:t>
      </w:r>
      <w:r w:rsidR="00FF350F">
        <w:t>DR</w:t>
      </w:r>
      <w:r>
        <w:t xml:space="preserve"> capability that is suitable to be mandated under the GEMS Act must be:</w:t>
      </w:r>
    </w:p>
    <w:p w14:paraId="5D95949B" w14:textId="77777777" w:rsidR="00DB27CB" w:rsidRPr="008E7146" w:rsidRDefault="00DB27CB" w:rsidP="00DB27CB">
      <w:pPr>
        <w:pStyle w:val="Default"/>
        <w:numPr>
          <w:ilvl w:val="0"/>
          <w:numId w:val="35"/>
        </w:numPr>
        <w:rPr>
          <w:rFonts w:asciiTheme="minorHAnsi" w:hAnsiTheme="minorHAnsi" w:cstheme="minorHAnsi"/>
          <w:sz w:val="22"/>
          <w:szCs w:val="22"/>
        </w:rPr>
      </w:pPr>
      <w:r w:rsidRPr="008E7146">
        <w:rPr>
          <w:rFonts w:asciiTheme="minorHAnsi" w:hAnsiTheme="minorHAnsi" w:cstheme="minorHAnsi"/>
          <w:sz w:val="22"/>
          <w:szCs w:val="22"/>
        </w:rPr>
        <w:t xml:space="preserve">Present in the end use product; </w:t>
      </w:r>
    </w:p>
    <w:p w14:paraId="4E72E70F" w14:textId="77777777" w:rsidR="00DB27CB" w:rsidRPr="008E7146" w:rsidRDefault="00DB27CB" w:rsidP="00DB27CB">
      <w:pPr>
        <w:pStyle w:val="Default"/>
        <w:numPr>
          <w:ilvl w:val="0"/>
          <w:numId w:val="35"/>
        </w:numPr>
        <w:rPr>
          <w:rFonts w:asciiTheme="minorHAnsi" w:hAnsiTheme="minorHAnsi" w:cstheme="minorHAnsi"/>
          <w:sz w:val="22"/>
          <w:szCs w:val="22"/>
        </w:rPr>
      </w:pPr>
      <w:r w:rsidRPr="008E7146">
        <w:rPr>
          <w:rFonts w:asciiTheme="minorHAnsi" w:hAnsiTheme="minorHAnsi" w:cstheme="minorHAnsi"/>
          <w:sz w:val="22"/>
          <w:szCs w:val="22"/>
        </w:rPr>
        <w:t xml:space="preserve">Described in a publicly available technical standard (which may be the determination itself); </w:t>
      </w:r>
    </w:p>
    <w:p w14:paraId="291701BE" w14:textId="77777777" w:rsidR="00DB27CB" w:rsidRPr="008E7146" w:rsidRDefault="00DB27CB" w:rsidP="00DB27CB">
      <w:pPr>
        <w:pStyle w:val="Default"/>
        <w:numPr>
          <w:ilvl w:val="0"/>
          <w:numId w:val="35"/>
        </w:numPr>
        <w:rPr>
          <w:rFonts w:asciiTheme="minorHAnsi" w:hAnsiTheme="minorHAnsi" w:cstheme="minorHAnsi"/>
          <w:sz w:val="22"/>
          <w:szCs w:val="22"/>
        </w:rPr>
      </w:pPr>
      <w:r w:rsidRPr="008E7146">
        <w:rPr>
          <w:rFonts w:asciiTheme="minorHAnsi" w:hAnsiTheme="minorHAnsi" w:cstheme="minorHAnsi"/>
          <w:sz w:val="22"/>
          <w:szCs w:val="22"/>
        </w:rPr>
        <w:t xml:space="preserve">Result in a response that is measurable and repeatable (i.e. the same stimuli under the same conditions will produce the same response, within stated margins of error) and </w:t>
      </w:r>
    </w:p>
    <w:p w14:paraId="72AAA0F3" w14:textId="77777777" w:rsidR="00DB27CB" w:rsidRPr="008E7146" w:rsidRDefault="00DB27CB" w:rsidP="00DB27CB">
      <w:pPr>
        <w:pStyle w:val="Default"/>
        <w:numPr>
          <w:ilvl w:val="0"/>
          <w:numId w:val="35"/>
        </w:numPr>
        <w:rPr>
          <w:rFonts w:asciiTheme="minorHAnsi" w:hAnsiTheme="minorHAnsi" w:cstheme="minorHAnsi"/>
          <w:sz w:val="22"/>
          <w:szCs w:val="22"/>
        </w:rPr>
      </w:pPr>
      <w:r w:rsidRPr="008E7146">
        <w:rPr>
          <w:rFonts w:asciiTheme="minorHAnsi" w:hAnsiTheme="minorHAnsi" w:cstheme="minorHAnsi"/>
          <w:sz w:val="22"/>
          <w:szCs w:val="22"/>
        </w:rPr>
        <w:t xml:space="preserve">Reproducible (i.e. any qualified test laboratory can reproduce the same outcomes when referring to the standard and user settings specified by the manufacturer). </w:t>
      </w:r>
    </w:p>
    <w:p w14:paraId="16ED7CB2" w14:textId="77777777" w:rsidR="00DB27CB" w:rsidRDefault="00DB27CB" w:rsidP="00DB27CB"/>
    <w:bookmarkEnd w:id="229"/>
    <w:p w14:paraId="2FD57A3A" w14:textId="77777777" w:rsidR="00DB27CB" w:rsidRDefault="00DB27CB" w:rsidP="00DB27CB">
      <w:r>
        <w:t xml:space="preserve">At present the only standard that meets these criteria is AS/NZS 4755. </w:t>
      </w:r>
    </w:p>
    <w:p w14:paraId="2BBEDA70" w14:textId="53ABBD45" w:rsidR="00DB27CB" w:rsidRDefault="00DB27CB" w:rsidP="00DB27CB">
      <w:r>
        <w:t>The European Commission</w:t>
      </w:r>
      <w:r w:rsidR="00FF350F">
        <w:t xml:space="preserve"> (EC)</w:t>
      </w:r>
      <w:r>
        <w:t xml:space="preserve"> is currently examining the case for mandating “smart” (including demand response) capabilities for selected appliances throughout the European Union (EU).</w:t>
      </w:r>
      <w:r>
        <w:rPr>
          <w:rStyle w:val="FootnoteReference"/>
        </w:rPr>
        <w:footnoteReference w:id="115"/>
      </w:r>
      <w:r>
        <w:t xml:space="preserve"> It has proposed an “architecture” of functional relationships</w:t>
      </w:r>
      <w:r w:rsidR="00FF350F">
        <w:t>:</w:t>
      </w:r>
      <w:r>
        <w:t xml:space="preserve"> </w:t>
      </w:r>
    </w:p>
    <w:p w14:paraId="53CECC95" w14:textId="77777777" w:rsidR="00DB27CB" w:rsidRDefault="00DB27CB" w:rsidP="00DB27CB">
      <w:pPr>
        <w:ind w:left="720"/>
      </w:pPr>
      <w:r>
        <w:t xml:space="preserve">“In section 7.7, the direct flexibility interface, indirect flexibility interface and internal measurement interface for demand response use cases were discussed. It was indicated that the direct flexibility interface is considered as the most versatile interface type which makes the energy smart appliance compliant with most foreseeable demand response business models, while the indirect flexibility interface can only be used for a restricted subset of the business cases which is difficult to adapt to the remaining business cases. For that reason, it was recommended to make the direct flexibility interface “mandatory”, while it is recommended to make the indirect flexibility interface “optional”.” (p108/124). </w:t>
      </w:r>
    </w:p>
    <w:p w14:paraId="3F8B5E6C" w14:textId="77777777" w:rsidR="00DB27CB" w:rsidRDefault="00DB27CB" w:rsidP="00DB27CB">
      <w:r>
        <w:t>The study does not identify any standards that meet its architecture requirements, but gives a few examples from around the world, including AS/NZS 4755 (which it characterises as a “direct flexibility interface”) and OpenADR (which it characterises as an “indirect flexibility interface”).</w:t>
      </w:r>
    </w:p>
    <w:p w14:paraId="60B23D75" w14:textId="67607F86" w:rsidR="00DB27CB" w:rsidRDefault="00DB27CB" w:rsidP="00DB27CB">
      <w:r>
        <w:t>A “</w:t>
      </w:r>
      <w:r w:rsidRPr="002E479C">
        <w:t>direct flexibility interfac</w:t>
      </w:r>
      <w:r>
        <w:t xml:space="preserve">e” passes on </w:t>
      </w:r>
      <w:proofErr w:type="gramStart"/>
      <w:r>
        <w:t xml:space="preserve">a </w:t>
      </w:r>
      <w:r w:rsidR="007F794B">
        <w:t xml:space="preserve">RAs </w:t>
      </w:r>
      <w:r>
        <w:t>instructions</w:t>
      </w:r>
      <w:proofErr w:type="gramEnd"/>
      <w:r>
        <w:t xml:space="preserve"> to the appliance on what to do, while an “indirect flexibility interface” passes on energy price information, and whether and how the appliance reacts depends on how the user has pre-configured the settings: e.g. some may have set a higher or lower price threshold for a given response. As the remote </w:t>
      </w:r>
      <w:proofErr w:type="gramStart"/>
      <w:r>
        <w:t>agent</w:t>
      </w:r>
      <w:proofErr w:type="gramEnd"/>
      <w:r>
        <w:t xml:space="preserve"> may have no prior knowledge of the price pre-sets, it needs feedback from the product to know the price at which the user will permit operation to be modified and/or whether a response has actually occurred. </w:t>
      </w:r>
      <w:r>
        <w:br/>
      </w:r>
      <w:r>
        <w:br/>
        <w:t xml:space="preserve">With a “direct flexibility” interface the response is pre-determined, and independent of either a price signal or user pre-configuration. While feedback to verify the receipt of commands is useful, it is not essential, provided there are other ways of verifying response, e.g. through statistically sampling techniques.  (It is understood that AEMO proposed to permit this approach for determining baselines for the new </w:t>
      </w:r>
      <w:r w:rsidR="008E6BFD">
        <w:t>w</w:t>
      </w:r>
      <w:r>
        <w:t xml:space="preserve">holesale </w:t>
      </w:r>
      <w:r w:rsidR="008E6BFD">
        <w:t>m</w:t>
      </w:r>
      <w:r>
        <w:t xml:space="preserve">arket </w:t>
      </w:r>
      <w:r w:rsidR="008E6BFD">
        <w:t>r</w:t>
      </w:r>
      <w:r>
        <w:t xml:space="preserve">esponse mechanism). </w:t>
      </w:r>
    </w:p>
    <w:p w14:paraId="30ECA4BF" w14:textId="77777777" w:rsidR="00DB27CB" w:rsidRDefault="00DB27CB" w:rsidP="00DB27CB">
      <w:r>
        <w:t>There is no standard that meets the EU’s DR architecture criteria at present, and none are considered ready for adoption.</w:t>
      </w:r>
      <w:r>
        <w:rPr>
          <w:rStyle w:val="FootnoteReference"/>
        </w:rPr>
        <w:footnoteReference w:id="116"/>
      </w:r>
      <w:r>
        <w:t xml:space="preserve"> </w:t>
      </w:r>
    </w:p>
    <w:p w14:paraId="0178F4CE" w14:textId="77777777" w:rsidR="00DB27CB" w:rsidRPr="00D63B65" w:rsidRDefault="00DB27CB" w:rsidP="00DB27CB">
      <w:pPr>
        <w:rPr>
          <w:b/>
          <w:bCs/>
        </w:rPr>
      </w:pPr>
      <w:r w:rsidRPr="00D63B65">
        <w:rPr>
          <w:b/>
          <w:bCs/>
        </w:rPr>
        <w:t>OpenADR</w:t>
      </w:r>
    </w:p>
    <w:p w14:paraId="185425E8" w14:textId="77777777" w:rsidR="00DB27CB" w:rsidRDefault="00DB27CB" w:rsidP="00DB27CB">
      <w:r>
        <w:t xml:space="preserve">The development of the Open Automated Demand Response Communications Specification, also called OpenADR, began in 2002 following the California electricity crisis. The California Energy Commission Public Interest Energy Research Program funded an OpenADR research program through the Demand Response Research Centre at Lawrence Berkeley National Laboratory. The OpenADR Profile Specification is a public document and has recently been adopted as an IEC standard (IEC 62746-10-1:2018). There are no proposals to mandate its use in the USA or elsewhere.  </w:t>
      </w:r>
    </w:p>
    <w:p w14:paraId="6F3EE90E" w14:textId="77777777" w:rsidR="00DB27CB" w:rsidRDefault="00DB27CB" w:rsidP="00DB27CB">
      <w:r>
        <w:lastRenderedPageBreak/>
        <w:t xml:space="preserve">OpenADR is not a demand response in the same sense as AS/NZS 4755. </w:t>
      </w:r>
      <w:proofErr w:type="gramStart"/>
      <w:r>
        <w:t>According to</w:t>
      </w:r>
      <w:proofErr w:type="gramEnd"/>
      <w:r>
        <w:t xml:space="preserve"> the Technical Director of the OpenADR alliance (which published OpenADR): </w:t>
      </w:r>
    </w:p>
    <w:p w14:paraId="5B7FB722" w14:textId="77777777" w:rsidR="00DB27CB" w:rsidRDefault="00DB27CB" w:rsidP="00DB27CB">
      <w:pPr>
        <w:ind w:left="720"/>
      </w:pPr>
      <w:r>
        <w:t>“</w:t>
      </w:r>
      <w:r w:rsidRPr="001C3327">
        <w:t>OpenADR is meant to “inform and motivate” and not necessarily to directly control devices or appliances. That is not to say that it could not do that but mostly program provide price or curtailment information to a controller o</w:t>
      </w:r>
      <w:r>
        <w:t>[f]</w:t>
      </w:r>
      <w:r w:rsidRPr="001C3327">
        <w:t xml:space="preserve"> sorts. </w:t>
      </w:r>
      <w:r>
        <w:t>e</w:t>
      </w:r>
      <w:r w:rsidRPr="001C3327">
        <w:t>.g. a building management system which then in turn controls connected devices.</w:t>
      </w:r>
      <w:r>
        <w:t>”</w:t>
      </w:r>
      <w:r>
        <w:rPr>
          <w:rStyle w:val="FootnoteReference"/>
        </w:rPr>
        <w:footnoteReference w:id="117"/>
      </w:r>
    </w:p>
    <w:p w14:paraId="4DA16AF1" w14:textId="4D8F3DE9" w:rsidR="00DB27CB" w:rsidRDefault="00DB27CB" w:rsidP="00DB27CB">
      <w:r>
        <w:t xml:space="preserve">OpenADR provides for </w:t>
      </w:r>
      <w:r w:rsidRPr="003A146C">
        <w:rPr>
          <w:i/>
          <w:iCs/>
        </w:rPr>
        <w:t>communications without specifying the response</w:t>
      </w:r>
      <w:r>
        <w:t xml:space="preserve">. AS/NZS 4755, on the other hand, </w:t>
      </w:r>
      <w:r w:rsidRPr="003A146C">
        <w:rPr>
          <w:i/>
          <w:iCs/>
        </w:rPr>
        <w:t>provides for response without specifying the mode of communications</w:t>
      </w:r>
      <w:r>
        <w:t xml:space="preserve">. In AS/NZS 4755.1/3, activation of the appliance requires connection to a DRED, but </w:t>
      </w:r>
      <w:proofErr w:type="gramStart"/>
      <w:r>
        <w:t>the means by which</w:t>
      </w:r>
      <w:proofErr w:type="gramEnd"/>
      <w:r>
        <w:t xml:space="preserve"> the DRED communicates with the remote agent is open. </w:t>
      </w:r>
      <w:r w:rsidR="00D64DF4">
        <w:t>Echonet is the most closed system in tha</w:t>
      </w:r>
      <w:r w:rsidR="0025272C">
        <w:t>t</w:t>
      </w:r>
      <w:r w:rsidR="00D64DF4">
        <w:t xml:space="preserve"> all </w:t>
      </w:r>
      <w:r w:rsidR="0025272C">
        <w:t>elements</w:t>
      </w:r>
      <w:r w:rsidR="00D64DF4">
        <w:t>– commun</w:t>
      </w:r>
      <w:r w:rsidR="0025272C">
        <w:t>i</w:t>
      </w:r>
      <w:r w:rsidR="00D64DF4">
        <w:t xml:space="preserve">cations pathways, interface and product – must be compatible. Its inflexibility makes it unsuitable for adoption in Australia, where DRSPs and product manufacturers have adopted a wide range of systems and approaches. </w:t>
      </w:r>
      <w:bookmarkStart w:id="230" w:name="_Hlk22488414"/>
      <w:r w:rsidR="00D64DF4" w:rsidRPr="0025272C">
        <w:rPr>
          <w:rStyle w:val="FigreferenceChar"/>
        </w:rPr>
        <w:fldChar w:fldCharType="begin"/>
      </w:r>
      <w:r w:rsidR="00D64DF4" w:rsidRPr="0025272C">
        <w:rPr>
          <w:rStyle w:val="FigreferenceChar"/>
        </w:rPr>
        <w:instrText xml:space="preserve"> REF _Ref22488103 \h </w:instrText>
      </w:r>
      <w:r w:rsidR="0025272C">
        <w:rPr>
          <w:rStyle w:val="FigreferenceChar"/>
        </w:rPr>
        <w:instrText xml:space="preserve"> \* MERGEFORMAT </w:instrText>
      </w:r>
      <w:r w:rsidR="00D64DF4" w:rsidRPr="0025272C">
        <w:rPr>
          <w:rStyle w:val="FigreferenceChar"/>
        </w:rPr>
      </w:r>
      <w:r w:rsidR="00D64DF4" w:rsidRPr="0025272C">
        <w:rPr>
          <w:rStyle w:val="FigreferenceChar"/>
        </w:rPr>
        <w:fldChar w:fldCharType="separate"/>
      </w:r>
      <w:r w:rsidR="00D64DF4" w:rsidRPr="0025272C">
        <w:rPr>
          <w:rStyle w:val="FigreferenceChar"/>
          <w:lang w:val="en-AU"/>
        </w:rPr>
        <w:t>Figure 25</w:t>
      </w:r>
      <w:r w:rsidR="00D64DF4" w:rsidRPr="0025272C">
        <w:rPr>
          <w:rStyle w:val="FigreferenceChar"/>
        </w:rPr>
        <w:fldChar w:fldCharType="end"/>
      </w:r>
      <w:r w:rsidR="00D64DF4">
        <w:t xml:space="preserve"> illustrates these relationships</w:t>
      </w:r>
      <w:r w:rsidR="0025272C">
        <w:t>.</w:t>
      </w:r>
      <w:bookmarkEnd w:id="230"/>
      <w:r w:rsidR="00D64DF4">
        <w:t xml:space="preserve">       </w:t>
      </w:r>
    </w:p>
    <w:p w14:paraId="30316B15" w14:textId="22C74B0D" w:rsidR="00D64DF4" w:rsidRPr="00D64DF4" w:rsidRDefault="00D64DF4" w:rsidP="00D64DF4">
      <w:pPr>
        <w:spacing w:before="240" w:after="120" w:line="240" w:lineRule="auto"/>
        <w:jc w:val="center"/>
        <w:rPr>
          <w:rFonts w:ascii="Calibri" w:eastAsia="Cambria" w:hAnsi="Calibri" w:cs="Calibri"/>
          <w:b/>
          <w:bCs/>
          <w:sz w:val="20"/>
          <w:szCs w:val="16"/>
          <w:lang w:val="en-AU"/>
        </w:rPr>
      </w:pPr>
      <w:bookmarkStart w:id="231" w:name="_Ref22488103"/>
      <w:bookmarkStart w:id="232" w:name="_Toc22488538"/>
      <w:r w:rsidRPr="00D64DF4">
        <w:rPr>
          <w:rFonts w:ascii="Calibri" w:eastAsia="Cambria" w:hAnsi="Calibri" w:cs="Calibri"/>
          <w:b/>
          <w:bCs/>
          <w:sz w:val="20"/>
          <w:szCs w:val="16"/>
          <w:lang w:val="en-AU"/>
        </w:rPr>
        <w:t xml:space="preserve">Figure </w:t>
      </w:r>
      <w:r w:rsidRPr="00D64DF4">
        <w:rPr>
          <w:rFonts w:ascii="Calibri" w:eastAsia="Cambria" w:hAnsi="Calibri" w:cs="Calibri"/>
          <w:b/>
          <w:bCs/>
          <w:sz w:val="20"/>
          <w:szCs w:val="16"/>
          <w:lang w:val="en-AU"/>
        </w:rPr>
        <w:fldChar w:fldCharType="begin"/>
      </w:r>
      <w:r w:rsidRPr="00D64DF4">
        <w:rPr>
          <w:rFonts w:ascii="Calibri" w:eastAsia="Cambria" w:hAnsi="Calibri" w:cs="Calibri"/>
          <w:b/>
          <w:bCs/>
          <w:sz w:val="20"/>
          <w:szCs w:val="16"/>
          <w:lang w:val="en-AU"/>
        </w:rPr>
        <w:instrText xml:space="preserve"> SEQ Figure \* ARABIC </w:instrText>
      </w:r>
      <w:r w:rsidRPr="00D64DF4">
        <w:rPr>
          <w:rFonts w:ascii="Calibri" w:eastAsia="Cambria" w:hAnsi="Calibri" w:cs="Calibri"/>
          <w:b/>
          <w:bCs/>
          <w:sz w:val="20"/>
          <w:szCs w:val="16"/>
          <w:lang w:val="en-AU"/>
        </w:rPr>
        <w:fldChar w:fldCharType="separate"/>
      </w:r>
      <w:r w:rsidRPr="00D64DF4">
        <w:rPr>
          <w:rFonts w:ascii="Calibri" w:eastAsia="Cambria" w:hAnsi="Calibri" w:cs="Calibri"/>
          <w:b/>
          <w:bCs/>
          <w:sz w:val="20"/>
          <w:szCs w:val="16"/>
          <w:lang w:val="en-AU"/>
        </w:rPr>
        <w:t>25</w:t>
      </w:r>
      <w:r w:rsidRPr="00D64DF4">
        <w:rPr>
          <w:rFonts w:ascii="Calibri" w:eastAsia="Cambria" w:hAnsi="Calibri" w:cs="Calibri"/>
          <w:b/>
          <w:bCs/>
          <w:sz w:val="20"/>
          <w:szCs w:val="16"/>
          <w:lang w:val="en-AU"/>
        </w:rPr>
        <w:fldChar w:fldCharType="end"/>
      </w:r>
      <w:bookmarkEnd w:id="231"/>
      <w:r w:rsidRPr="00D64DF4">
        <w:rPr>
          <w:rFonts w:ascii="Calibri" w:eastAsia="Cambria" w:hAnsi="Calibri" w:cs="Calibri"/>
          <w:b/>
          <w:bCs/>
          <w:sz w:val="20"/>
          <w:szCs w:val="16"/>
          <w:lang w:val="en-AU"/>
        </w:rPr>
        <w:t xml:space="preserve"> Diagrammatic representation of AS/NZS 4755, Ech</w:t>
      </w:r>
      <w:r>
        <w:rPr>
          <w:rFonts w:ascii="Calibri" w:eastAsia="Cambria" w:hAnsi="Calibri" w:cs="Calibri"/>
          <w:b/>
          <w:bCs/>
          <w:sz w:val="20"/>
          <w:szCs w:val="16"/>
          <w:lang w:val="en-AU"/>
        </w:rPr>
        <w:t>o</w:t>
      </w:r>
      <w:r w:rsidR="0025272C">
        <w:rPr>
          <w:rFonts w:ascii="Calibri" w:eastAsia="Cambria" w:hAnsi="Calibri" w:cs="Calibri"/>
          <w:b/>
          <w:bCs/>
          <w:sz w:val="20"/>
          <w:szCs w:val="16"/>
          <w:lang w:val="en-AU"/>
        </w:rPr>
        <w:t>n</w:t>
      </w:r>
      <w:r w:rsidRPr="00D64DF4">
        <w:rPr>
          <w:rFonts w:ascii="Calibri" w:eastAsia="Cambria" w:hAnsi="Calibri" w:cs="Calibri"/>
          <w:b/>
          <w:bCs/>
          <w:sz w:val="20"/>
          <w:szCs w:val="16"/>
          <w:lang w:val="en-AU"/>
        </w:rPr>
        <w:t>et and OpenADR</w:t>
      </w:r>
      <w:bookmarkEnd w:id="232"/>
    </w:p>
    <w:p w14:paraId="106445AF" w14:textId="4C335D96" w:rsidR="00D64DF4" w:rsidRPr="00D64DF4" w:rsidRDefault="00D64DF4" w:rsidP="00D64DF4">
      <w:r>
        <w:rPr>
          <w:noProof/>
          <w:lang w:val="en-AU" w:eastAsia="en-AU"/>
        </w:rPr>
        <w:drawing>
          <wp:inline distT="0" distB="0" distL="0" distR="0" wp14:anchorId="11CD82BF" wp14:editId="128AFE4B">
            <wp:extent cx="6096635" cy="3429000"/>
            <wp:effectExtent l="19050" t="19050" r="1841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tx1"/>
                      </a:solidFill>
                    </a:ln>
                  </pic:spPr>
                </pic:pic>
              </a:graphicData>
            </a:graphic>
          </wp:inline>
        </w:drawing>
      </w:r>
    </w:p>
    <w:p w14:paraId="0621FC71" w14:textId="77777777" w:rsidR="00D64DF4" w:rsidRPr="00D64DF4" w:rsidRDefault="00D64DF4" w:rsidP="00D64DF4"/>
    <w:p w14:paraId="4490865A" w14:textId="77777777" w:rsidR="00DB27CB" w:rsidRDefault="00DB27CB" w:rsidP="00DB27CB">
      <w:r>
        <w:t>The products certified as compliant with OpenADR are mostly communications and control devices. There are no Open-ADR certified air conditioners, water heaters or pool pump controllers.</w:t>
      </w:r>
      <w:r>
        <w:rPr>
          <w:rStyle w:val="FootnoteReference"/>
        </w:rPr>
        <w:footnoteReference w:id="118"/>
      </w:r>
      <w:r>
        <w:t xml:space="preserve"> The products which come closest to the appliances of interest in the </w:t>
      </w:r>
      <w:proofErr w:type="spellStart"/>
      <w:r>
        <w:t>CRIS</w:t>
      </w:r>
      <w:proofErr w:type="spellEnd"/>
      <w:r>
        <w:t xml:space="preserve"> are:</w:t>
      </w:r>
    </w:p>
    <w:p w14:paraId="777F0CA0" w14:textId="77777777" w:rsidR="00DB27CB" w:rsidRPr="00DB27CB" w:rsidRDefault="00DB27CB" w:rsidP="00DB27CB">
      <w:pPr>
        <w:pStyle w:val="ListParagraph"/>
        <w:numPr>
          <w:ilvl w:val="0"/>
          <w:numId w:val="32"/>
        </w:numPr>
      </w:pPr>
      <w:r w:rsidRPr="00DB27CB">
        <w:lastRenderedPageBreak/>
        <w:t xml:space="preserve">A few click-in air conditioner communications modules (Daikin, Fujitsu, Mitsubishi Electric) – these manufacturers are active in the Australian HVAC market, and offer 4755-compliant split-unit air conditioners (some of which achieve compliance by means of click-on modules); </w:t>
      </w:r>
    </w:p>
    <w:p w14:paraId="60143F79" w14:textId="77777777" w:rsidR="00DB27CB" w:rsidRPr="00DB27CB" w:rsidRDefault="00DB27CB" w:rsidP="00DB27CB">
      <w:pPr>
        <w:pStyle w:val="ListParagraph"/>
        <w:numPr>
          <w:ilvl w:val="0"/>
          <w:numId w:val="32"/>
        </w:numPr>
      </w:pPr>
      <w:r w:rsidRPr="00DB27CB">
        <w:t xml:space="preserve">A few programmable communicating thermostat (PCTs) – not relevant to the Aust market, which is dominated by split-unit air conditioners with internal controls; and </w:t>
      </w:r>
    </w:p>
    <w:p w14:paraId="03D3EDC9" w14:textId="77777777" w:rsidR="00DB27CB" w:rsidRPr="00DB27CB" w:rsidRDefault="00DB27CB" w:rsidP="00DB27CB">
      <w:pPr>
        <w:pStyle w:val="ListParagraph"/>
        <w:numPr>
          <w:ilvl w:val="0"/>
          <w:numId w:val="32"/>
        </w:numPr>
      </w:pPr>
      <w:r w:rsidRPr="00DB27CB">
        <w:t>A few commercial EV chargers.  </w:t>
      </w:r>
    </w:p>
    <w:p w14:paraId="1FE1D12E" w14:textId="0060EFE2" w:rsidR="00DB27CB" w:rsidRDefault="00DB27CB" w:rsidP="00DB27CB">
      <w:r>
        <w:t>AS/NZS4755 and OpenADR are not interchangeable, but they could be complementary. Standards Australia Committee EL-054 is currently drafting a new part, AS/NZS 4755.2. It recently established a Working Group to investigate whether the OpenADR pathway could serve as one of the options for realising the requirements of AS/NZS 4755.2.</w:t>
      </w:r>
      <w:r w:rsidR="0025272C" w:rsidRPr="0025272C">
        <w:rPr>
          <w:rFonts w:ascii="Calibri" w:eastAsia="Cambria" w:hAnsi="Calibri" w:cs="Calibri"/>
        </w:rPr>
        <w:t xml:space="preserve"> </w:t>
      </w:r>
      <w:r w:rsidR="0025272C" w:rsidRPr="0025272C">
        <w:rPr>
          <w:rFonts w:ascii="Calibri" w:eastAsia="Cambria" w:hAnsi="Calibri" w:cs="Calibri"/>
        </w:rPr>
        <w:fldChar w:fldCharType="begin"/>
      </w:r>
      <w:r w:rsidR="0025272C" w:rsidRPr="0025272C">
        <w:rPr>
          <w:rFonts w:ascii="Calibri" w:eastAsia="Cambria" w:hAnsi="Calibri" w:cs="Calibri"/>
        </w:rPr>
        <w:instrText xml:space="preserve"> REF _Ref22488103 \h  \* MERGEFORMAT </w:instrText>
      </w:r>
      <w:r w:rsidR="0025272C" w:rsidRPr="0025272C">
        <w:rPr>
          <w:rFonts w:ascii="Calibri" w:eastAsia="Cambria" w:hAnsi="Calibri" w:cs="Calibri"/>
        </w:rPr>
      </w:r>
      <w:r w:rsidR="0025272C" w:rsidRPr="0025272C">
        <w:rPr>
          <w:rFonts w:ascii="Calibri" w:eastAsia="Cambria" w:hAnsi="Calibri" w:cs="Calibri"/>
        </w:rPr>
        <w:fldChar w:fldCharType="separate"/>
      </w:r>
      <w:r w:rsidR="0025272C" w:rsidRPr="0025272C">
        <w:rPr>
          <w:rFonts w:ascii="Calibri" w:eastAsia="Cambria" w:hAnsi="Calibri" w:cs="Calibri"/>
          <w:lang w:val="en-AU"/>
        </w:rPr>
        <w:t>Figure 25</w:t>
      </w:r>
      <w:r w:rsidR="0025272C" w:rsidRPr="0025272C">
        <w:rPr>
          <w:rFonts w:ascii="Calibri" w:eastAsia="Cambria" w:hAnsi="Calibri" w:cs="Calibri"/>
        </w:rPr>
        <w:fldChar w:fldCharType="end"/>
      </w:r>
      <w:r w:rsidR="0025272C" w:rsidRPr="0025272C">
        <w:t xml:space="preserve"> illustrates the </w:t>
      </w:r>
      <w:r w:rsidR="0025272C">
        <w:t xml:space="preserve">potential </w:t>
      </w:r>
      <w:r w:rsidR="0025272C" w:rsidRPr="0025272C">
        <w:t>point of interoperability between AS/NZS 4755 and OpenADR.</w:t>
      </w:r>
    </w:p>
    <w:p w14:paraId="35229E37" w14:textId="77777777" w:rsidR="00DB27CB" w:rsidRDefault="00DB27CB" w:rsidP="00DB27CB">
      <w:r>
        <w:t>AS/NZS 4755, on its own, meets the criteria for a demand response capability that is suitable to be mandated under the GEMS Act. It is:</w:t>
      </w:r>
    </w:p>
    <w:p w14:paraId="0C1C68EB" w14:textId="77777777" w:rsidR="00DB27CB" w:rsidRPr="0025272C" w:rsidRDefault="00DB27CB" w:rsidP="0025272C">
      <w:pPr>
        <w:pStyle w:val="ListParagraph"/>
        <w:numPr>
          <w:ilvl w:val="0"/>
          <w:numId w:val="32"/>
        </w:numPr>
      </w:pPr>
      <w:r w:rsidRPr="0025272C">
        <w:t xml:space="preserve">Present in the end use product; </w:t>
      </w:r>
    </w:p>
    <w:p w14:paraId="38F1B70B" w14:textId="77777777" w:rsidR="00DB27CB" w:rsidRPr="0025272C" w:rsidRDefault="00DB27CB" w:rsidP="0025272C">
      <w:pPr>
        <w:pStyle w:val="ListParagraph"/>
        <w:numPr>
          <w:ilvl w:val="0"/>
          <w:numId w:val="32"/>
        </w:numPr>
      </w:pPr>
      <w:r w:rsidRPr="0025272C">
        <w:t xml:space="preserve">Described in a publicly available technical; </w:t>
      </w:r>
    </w:p>
    <w:p w14:paraId="2C07F943" w14:textId="77777777" w:rsidR="00DB27CB" w:rsidRPr="0025272C" w:rsidRDefault="00DB27CB" w:rsidP="0025272C">
      <w:pPr>
        <w:pStyle w:val="ListParagraph"/>
        <w:numPr>
          <w:ilvl w:val="0"/>
          <w:numId w:val="32"/>
        </w:numPr>
      </w:pPr>
      <w:r w:rsidRPr="0025272C">
        <w:t xml:space="preserve">Results in a response that is measurable and repeatable; and </w:t>
      </w:r>
    </w:p>
    <w:p w14:paraId="142BCD32" w14:textId="4F169C61" w:rsidR="00DB27CB" w:rsidRDefault="00DB27CB" w:rsidP="00F4285D">
      <w:pPr>
        <w:pStyle w:val="ListParagraph"/>
        <w:numPr>
          <w:ilvl w:val="0"/>
          <w:numId w:val="32"/>
        </w:numPr>
      </w:pPr>
      <w:r w:rsidRPr="0025272C">
        <w:t xml:space="preserve">Reproducible in any qualified test laboratory.  </w:t>
      </w:r>
    </w:p>
    <w:p w14:paraId="6F6BBD85" w14:textId="77777777" w:rsidR="00DB27CB" w:rsidRDefault="00DB27CB" w:rsidP="00DB27CB">
      <w:r>
        <w:t xml:space="preserve">OpenADR on its own does not meet these criteria. </w:t>
      </w:r>
    </w:p>
    <w:p w14:paraId="135286AA" w14:textId="77777777" w:rsidR="00DB27CB" w:rsidRDefault="00DB27CB" w:rsidP="00DB27CB">
      <w:pPr>
        <w:jc w:val="center"/>
      </w:pPr>
      <w:r>
        <w:t>*****</w:t>
      </w:r>
    </w:p>
    <w:p w14:paraId="271167E1" w14:textId="1E2AE696" w:rsidR="00DB27CB" w:rsidRDefault="00DB27CB" w:rsidP="00A37634">
      <w:pPr>
        <w:spacing w:before="240" w:after="120" w:line="278" w:lineRule="auto"/>
        <w:rPr>
          <w:rFonts w:ascii="Calibri" w:eastAsia="Cambria" w:hAnsi="Calibri" w:cs="Calibri"/>
          <w:sz w:val="20"/>
          <w:szCs w:val="20"/>
          <w:lang w:val="en-AU"/>
        </w:rPr>
      </w:pPr>
    </w:p>
    <w:p w14:paraId="6EDCD48B" w14:textId="77777777" w:rsidR="00DB27CB" w:rsidRDefault="00DB27CB" w:rsidP="00A37634">
      <w:pPr>
        <w:spacing w:before="240" w:after="120" w:line="278" w:lineRule="auto"/>
        <w:rPr>
          <w:rFonts w:ascii="Calibri" w:eastAsia="Cambria" w:hAnsi="Calibri" w:cs="Calibri"/>
          <w:sz w:val="20"/>
          <w:szCs w:val="20"/>
          <w:lang w:val="en-AU"/>
        </w:rPr>
      </w:pPr>
    </w:p>
    <w:p w14:paraId="41DB7BDD" w14:textId="77777777" w:rsidR="00DB27CB" w:rsidRDefault="00DB27CB" w:rsidP="00A37634">
      <w:pPr>
        <w:spacing w:before="240" w:after="120" w:line="278" w:lineRule="auto"/>
        <w:rPr>
          <w:rFonts w:ascii="Calibri" w:eastAsia="Cambria" w:hAnsi="Calibri" w:cs="Calibri"/>
          <w:sz w:val="20"/>
          <w:szCs w:val="20"/>
          <w:lang w:val="en-AU"/>
        </w:rPr>
      </w:pPr>
    </w:p>
    <w:p w14:paraId="0BA28A47" w14:textId="759F8A0D" w:rsidR="00DB27CB" w:rsidRDefault="00DB27CB" w:rsidP="00A37634">
      <w:pPr>
        <w:spacing w:before="240" w:after="120" w:line="278" w:lineRule="auto"/>
        <w:rPr>
          <w:rFonts w:ascii="Calibri" w:eastAsia="Cambria" w:hAnsi="Calibri" w:cs="Calibri"/>
          <w:sz w:val="20"/>
          <w:szCs w:val="20"/>
          <w:lang w:val="en-AU"/>
        </w:rPr>
      </w:pPr>
    </w:p>
    <w:p w14:paraId="048000C6" w14:textId="3DAA5CB5" w:rsidR="00DB27CB" w:rsidRDefault="00DB27CB" w:rsidP="00A37634">
      <w:pPr>
        <w:spacing w:before="240" w:after="120" w:line="278" w:lineRule="auto"/>
        <w:rPr>
          <w:rFonts w:ascii="Calibri" w:eastAsia="Cambria" w:hAnsi="Calibri" w:cs="Calibri"/>
          <w:sz w:val="20"/>
          <w:szCs w:val="20"/>
          <w:lang w:val="en-AU"/>
        </w:rPr>
      </w:pPr>
    </w:p>
    <w:p w14:paraId="4BB36F1C" w14:textId="77777777" w:rsidR="00DB27CB" w:rsidRPr="00A37634" w:rsidRDefault="00DB27CB" w:rsidP="00A37634">
      <w:pPr>
        <w:spacing w:before="240" w:after="120" w:line="278" w:lineRule="auto"/>
        <w:rPr>
          <w:rFonts w:ascii="Calibri" w:eastAsia="Cambria" w:hAnsi="Calibri" w:cs="Calibri"/>
          <w:sz w:val="20"/>
          <w:szCs w:val="20"/>
          <w:lang w:val="en-AU"/>
        </w:rPr>
      </w:pPr>
    </w:p>
    <w:p w14:paraId="672970FE" w14:textId="77777777" w:rsidR="00A37634" w:rsidRPr="00A37634" w:rsidRDefault="00A37634" w:rsidP="00A37634">
      <w:pPr>
        <w:spacing w:after="120" w:line="276" w:lineRule="auto"/>
        <w:rPr>
          <w:rFonts w:ascii="Calibri" w:eastAsia="Calibri" w:hAnsi="Calibri" w:cs="Calibri"/>
          <w:szCs w:val="20"/>
          <w:lang w:val="en-AU"/>
        </w:rPr>
      </w:pPr>
    </w:p>
    <w:p w14:paraId="3BE0B0D1" w14:textId="18799931" w:rsidR="0093762B" w:rsidRDefault="0093762B"/>
    <w:sectPr w:rsidR="0093762B" w:rsidSect="007C7289">
      <w:pgSz w:w="11906" w:h="16838" w:code="9"/>
      <w:pgMar w:top="1699" w:right="1138" w:bottom="1728" w:left="1138" w:header="576" w:footer="72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D8A2E1" w16cid:durableId="21594596"/>
  <w16cid:commentId w16cid:paraId="787AAE63" w16cid:durableId="2159469E"/>
  <w16cid:commentId w16cid:paraId="38850C99" w16cid:durableId="215946E2"/>
  <w16cid:commentId w16cid:paraId="64454C0C" w16cid:durableId="21594790"/>
  <w16cid:commentId w16cid:paraId="2D7F4C77" w16cid:durableId="21594723"/>
  <w16cid:commentId w16cid:paraId="4050DD48" w16cid:durableId="2159479A"/>
  <w16cid:commentId w16cid:paraId="223387BC" w16cid:durableId="215947A2"/>
  <w16cid:commentId w16cid:paraId="5A822AA2" w16cid:durableId="215947A9"/>
  <w16cid:commentId w16cid:paraId="2C0E7D17" w16cid:durableId="215947B7"/>
  <w16cid:commentId w16cid:paraId="5AC0C88A" w16cid:durableId="215947EF"/>
  <w16cid:commentId w16cid:paraId="7FC42D5D" w16cid:durableId="21594803"/>
  <w16cid:commentId w16cid:paraId="54D07E29" w16cid:durableId="21594821"/>
  <w16cid:commentId w16cid:paraId="54F43673" w16cid:durableId="21595E1A"/>
  <w16cid:commentId w16cid:paraId="4E560156" w16cid:durableId="21595F45"/>
  <w16cid:commentId w16cid:paraId="41990AF8" w16cid:durableId="2159650D"/>
  <w16cid:commentId w16cid:paraId="1D3F4050" w16cid:durableId="215967C6"/>
  <w16cid:commentId w16cid:paraId="117483ED" w16cid:durableId="21596855"/>
  <w16cid:commentId w16cid:paraId="4ED6D949" w16cid:durableId="2159689E"/>
  <w16cid:commentId w16cid:paraId="25564BE5" w16cid:durableId="215969A3"/>
  <w16cid:commentId w16cid:paraId="023E6494" w16cid:durableId="215969E5"/>
  <w16cid:commentId w16cid:paraId="3D146740" w16cid:durableId="21596A1B"/>
  <w16cid:commentId w16cid:paraId="55214CAB" w16cid:durableId="21596A39"/>
  <w16cid:commentId w16cid:paraId="52A42BED" w16cid:durableId="21596A4A"/>
  <w16cid:commentId w16cid:paraId="01B1772C" w16cid:durableId="21596A6B"/>
  <w16cid:commentId w16cid:paraId="0F9E83BD" w16cid:durableId="21596A93"/>
  <w16cid:commentId w16cid:paraId="48F70114" w16cid:durableId="21596ACF"/>
  <w16cid:commentId w16cid:paraId="311BFE21" w16cid:durableId="21596AFF"/>
  <w16cid:commentId w16cid:paraId="2AF4AEC6" w16cid:durableId="21596B20"/>
  <w16cid:commentId w16cid:paraId="395D7C5E" w16cid:durableId="21596BD4"/>
  <w16cid:commentId w16cid:paraId="5CF8FF1A" w16cid:durableId="21596B5F"/>
  <w16cid:commentId w16cid:paraId="0FF700DE" w16cid:durableId="21596B6D"/>
  <w16cid:commentId w16cid:paraId="1FCC7D2F" w16cid:durableId="21596B7F"/>
  <w16cid:commentId w16cid:paraId="198E5097" w16cid:durableId="21596B91"/>
  <w16cid:commentId w16cid:paraId="2F8F4CED" w16cid:durableId="21596B98"/>
  <w16cid:commentId w16cid:paraId="0FF99B49" w16cid:durableId="21596C6D"/>
  <w16cid:commentId w16cid:paraId="511DFD4B" w16cid:durableId="21596D17"/>
  <w16cid:commentId w16cid:paraId="3745C7E0" w16cid:durableId="21596D40"/>
  <w16cid:commentId w16cid:paraId="1136F8DF" w16cid:durableId="21596D82"/>
  <w16cid:commentId w16cid:paraId="1325C311" w16cid:durableId="21596E57"/>
  <w16cid:commentId w16cid:paraId="594F9D0B" w16cid:durableId="21596EF0"/>
  <w16cid:commentId w16cid:paraId="26A3FD79" w16cid:durableId="21596F50"/>
  <w16cid:commentId w16cid:paraId="04788183" w16cid:durableId="21596F9D"/>
  <w16cid:commentId w16cid:paraId="234BC3F3" w16cid:durableId="21596FC0"/>
  <w16cid:commentId w16cid:paraId="4B6C75E3" w16cid:durableId="21597083"/>
  <w16cid:commentId w16cid:paraId="29760182" w16cid:durableId="21597095"/>
  <w16cid:commentId w16cid:paraId="7FFE7EF1" w16cid:durableId="215970A4"/>
  <w16cid:commentId w16cid:paraId="6662C22D" w16cid:durableId="215970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E739B" w14:textId="77777777" w:rsidR="003A3ADA" w:rsidRDefault="003A3ADA" w:rsidP="00A37634">
      <w:pPr>
        <w:spacing w:after="0" w:line="240" w:lineRule="auto"/>
      </w:pPr>
      <w:r>
        <w:separator/>
      </w:r>
    </w:p>
  </w:endnote>
  <w:endnote w:type="continuationSeparator" w:id="0">
    <w:p w14:paraId="271D3BDD" w14:textId="77777777" w:rsidR="003A3ADA" w:rsidRDefault="003A3ADA" w:rsidP="00A37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otham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05EDD" w14:textId="77777777" w:rsidR="00765E31" w:rsidRPr="006F5F2C" w:rsidRDefault="00765E31" w:rsidP="007C728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EAF4B" w14:textId="77777777" w:rsidR="00765E31" w:rsidRPr="006F5F2C" w:rsidRDefault="00765E31" w:rsidP="007C7289">
    <w:pPr>
      <w:pStyle w:val="Footer"/>
      <w:pBdr>
        <w:top w:val="none" w:sz="0" w:space="0" w:color="auto"/>
      </w:pBdr>
      <w:jc w:val="center"/>
    </w:pPr>
    <w:r w:rsidRPr="00FD791E">
      <w:t>A joint initiative of Australia, State and Territory and New Zealand Governments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5DC10" w14:textId="021DB741" w:rsidR="00765E31" w:rsidRPr="006F5F2C" w:rsidRDefault="00765E31" w:rsidP="007C7289">
    <w:pPr>
      <w:pStyle w:val="Footer"/>
    </w:pPr>
    <w:r>
      <w:t>Regulation Impact Statement for Decision</w:t>
    </w:r>
    <w:r w:rsidRPr="000E0B58">
      <w:t>: ‘Smart’ Demand Response Capabilities for Selected Appliances</w:t>
    </w:r>
    <w:r>
      <w:t xml:space="preserve"> October 2019</w:t>
    </w:r>
    <w:r>
      <w:tab/>
    </w:r>
    <w:r>
      <w:fldChar w:fldCharType="begin"/>
    </w:r>
    <w:r>
      <w:instrText xml:space="preserve"> PAGE   \* MERGEFORMAT </w:instrText>
    </w:r>
    <w:r>
      <w:fldChar w:fldCharType="separate"/>
    </w:r>
    <w:r w:rsidR="004E2EB1">
      <w:rPr>
        <w:noProof/>
      </w:rPr>
      <w:t>92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D912E" w14:textId="6365234E" w:rsidR="00765E31" w:rsidRPr="006F5F2C" w:rsidRDefault="00765E31" w:rsidP="007C7289">
    <w:pPr>
      <w:pStyle w:val="Footer"/>
    </w:pPr>
    <w:r>
      <w:t>Consultation Paper: ‘Smart’ Demand Response Capabilities for Selected Appliances</w:t>
    </w:r>
    <w:r>
      <w:tab/>
    </w:r>
    <w:r>
      <w:fldChar w:fldCharType="begin"/>
    </w:r>
    <w:r>
      <w:instrText xml:space="preserve"> PAGE   \* MERGEFORMAT </w:instrText>
    </w:r>
    <w:r>
      <w:fldChar w:fldCharType="separate"/>
    </w:r>
    <w:r w:rsidR="004E2EB1">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F73B6" w14:textId="77777777" w:rsidR="003A3ADA" w:rsidRDefault="003A3ADA" w:rsidP="00A37634">
      <w:pPr>
        <w:spacing w:after="0" w:line="240" w:lineRule="auto"/>
      </w:pPr>
      <w:r>
        <w:separator/>
      </w:r>
    </w:p>
  </w:footnote>
  <w:footnote w:type="continuationSeparator" w:id="0">
    <w:p w14:paraId="0E36452F" w14:textId="77777777" w:rsidR="003A3ADA" w:rsidRDefault="003A3ADA" w:rsidP="00A37634">
      <w:pPr>
        <w:spacing w:after="0" w:line="240" w:lineRule="auto"/>
      </w:pPr>
      <w:r>
        <w:continuationSeparator/>
      </w:r>
    </w:p>
  </w:footnote>
  <w:footnote w:id="1">
    <w:p w14:paraId="0CF01FC9" w14:textId="77777777" w:rsidR="00765E31" w:rsidRPr="0092788C" w:rsidRDefault="00765E31" w:rsidP="00A37634">
      <w:pPr>
        <w:pStyle w:val="FootnoteText"/>
        <w:rPr>
          <w:sz w:val="18"/>
          <w:szCs w:val="18"/>
        </w:rPr>
      </w:pPr>
      <w:r>
        <w:rPr>
          <w:rStyle w:val="FootnoteReference"/>
        </w:rPr>
        <w:footnoteRef/>
      </w:r>
      <w:r>
        <w:t xml:space="preserve"> </w:t>
      </w:r>
      <w:bookmarkStart w:id="2" w:name="_Hlk22465913"/>
      <w:r w:rsidRPr="00BE1AA2">
        <w:rPr>
          <w:i/>
          <w:iCs/>
          <w:sz w:val="18"/>
          <w:szCs w:val="18"/>
        </w:rPr>
        <w:t>Technical Integration of Distributed Energy Resources</w:t>
      </w:r>
      <w:r w:rsidRPr="0092788C">
        <w:rPr>
          <w:sz w:val="18"/>
          <w:szCs w:val="18"/>
        </w:rPr>
        <w:t>, Australian Energy Market Operator, April 2019</w:t>
      </w:r>
    </w:p>
    <w:bookmarkEnd w:id="2"/>
  </w:footnote>
  <w:footnote w:id="2">
    <w:p w14:paraId="73002C6C" w14:textId="77777777" w:rsidR="00765E31" w:rsidRPr="0092788C" w:rsidRDefault="00765E31" w:rsidP="00A37634">
      <w:pPr>
        <w:pStyle w:val="FootnoteText"/>
        <w:rPr>
          <w:sz w:val="18"/>
          <w:szCs w:val="18"/>
        </w:rPr>
      </w:pPr>
      <w:r w:rsidRPr="0092788C">
        <w:rPr>
          <w:rStyle w:val="FootnoteReference"/>
          <w:sz w:val="18"/>
          <w:szCs w:val="18"/>
        </w:rPr>
        <w:footnoteRef/>
      </w:r>
      <w:r w:rsidRPr="0092788C">
        <w:rPr>
          <w:sz w:val="18"/>
          <w:szCs w:val="18"/>
        </w:rPr>
        <w:t xml:space="preserve"> </w:t>
      </w:r>
      <w:r w:rsidRPr="00BE1AA2">
        <w:rPr>
          <w:i/>
          <w:iCs/>
          <w:sz w:val="18"/>
          <w:szCs w:val="18"/>
        </w:rPr>
        <w:t>Electricity Network Transformation Roadmap: Final Report</w:t>
      </w:r>
      <w:r w:rsidRPr="0092788C">
        <w:rPr>
          <w:sz w:val="18"/>
          <w:szCs w:val="18"/>
        </w:rPr>
        <w:t>, Electricity Networks Australia and CSIRO, April 2017</w:t>
      </w:r>
    </w:p>
  </w:footnote>
  <w:footnote w:id="3">
    <w:p w14:paraId="68B5133C" w14:textId="77777777" w:rsidR="00765E31" w:rsidRPr="0092788C" w:rsidRDefault="00765E31" w:rsidP="00A37634">
      <w:pPr>
        <w:pStyle w:val="FootnoteText"/>
        <w:rPr>
          <w:sz w:val="18"/>
          <w:szCs w:val="18"/>
        </w:rPr>
      </w:pPr>
      <w:r w:rsidRPr="0092788C">
        <w:rPr>
          <w:rStyle w:val="FootnoteReference"/>
          <w:sz w:val="18"/>
          <w:szCs w:val="18"/>
        </w:rPr>
        <w:footnoteRef/>
      </w:r>
      <w:r w:rsidRPr="0092788C">
        <w:rPr>
          <w:sz w:val="18"/>
          <w:szCs w:val="18"/>
        </w:rPr>
        <w:t xml:space="preserve"> </w:t>
      </w:r>
      <w:bookmarkStart w:id="3" w:name="_Hlk22465983"/>
      <w:r w:rsidRPr="00BE1AA2">
        <w:rPr>
          <w:i/>
          <w:iCs/>
          <w:sz w:val="18"/>
          <w:szCs w:val="18"/>
        </w:rPr>
        <w:t>Distribution Market Model final report (DMM)</w:t>
      </w:r>
      <w:r w:rsidRPr="0092788C">
        <w:rPr>
          <w:sz w:val="18"/>
          <w:szCs w:val="18"/>
        </w:rPr>
        <w:t>, The Australian Energy Market Commission, August 2017</w:t>
      </w:r>
      <w:bookmarkEnd w:id="3"/>
    </w:p>
  </w:footnote>
  <w:footnote w:id="4">
    <w:p w14:paraId="05AFC323" w14:textId="77777777" w:rsidR="00765E31" w:rsidRPr="0092788C" w:rsidRDefault="00765E31" w:rsidP="00A37634">
      <w:pPr>
        <w:pStyle w:val="FootnoteText"/>
        <w:rPr>
          <w:sz w:val="18"/>
          <w:szCs w:val="18"/>
        </w:rPr>
      </w:pPr>
      <w:r w:rsidRPr="0092788C">
        <w:rPr>
          <w:rStyle w:val="FootnoteReference"/>
          <w:sz w:val="18"/>
          <w:szCs w:val="18"/>
        </w:rPr>
        <w:footnoteRef/>
      </w:r>
      <w:r w:rsidRPr="0092788C">
        <w:rPr>
          <w:sz w:val="18"/>
          <w:szCs w:val="18"/>
        </w:rPr>
        <w:t xml:space="preserve"> </w:t>
      </w:r>
      <w:bookmarkStart w:id="4" w:name="_Hlk11697598"/>
      <w:r w:rsidRPr="00BE1AA2">
        <w:rPr>
          <w:i/>
          <w:iCs/>
          <w:sz w:val="18"/>
          <w:szCs w:val="18"/>
        </w:rPr>
        <w:t>Restoring electricity affordability and Australia’s competitive advantage; Retail electricity pricing inquiry</w:t>
      </w:r>
      <w:r w:rsidRPr="0092788C">
        <w:rPr>
          <w:sz w:val="18"/>
          <w:szCs w:val="18"/>
        </w:rPr>
        <w:t xml:space="preserve"> – Final Report, Australian Consumer and Competition Commission, June 2018</w:t>
      </w:r>
      <w:bookmarkEnd w:id="4"/>
    </w:p>
  </w:footnote>
  <w:footnote w:id="5">
    <w:p w14:paraId="42DDBD21" w14:textId="77777777" w:rsidR="00765E31" w:rsidRPr="0092788C" w:rsidRDefault="00765E31" w:rsidP="00A37634">
      <w:pPr>
        <w:pStyle w:val="FootnoteText"/>
        <w:rPr>
          <w:sz w:val="18"/>
          <w:szCs w:val="18"/>
        </w:rPr>
      </w:pPr>
      <w:r w:rsidRPr="0092788C">
        <w:rPr>
          <w:rStyle w:val="FootnoteReference"/>
          <w:sz w:val="18"/>
          <w:szCs w:val="18"/>
        </w:rPr>
        <w:footnoteRef/>
      </w:r>
      <w:r w:rsidRPr="0092788C">
        <w:rPr>
          <w:sz w:val="18"/>
          <w:szCs w:val="18"/>
        </w:rPr>
        <w:t xml:space="preserve"> </w:t>
      </w:r>
      <w:r w:rsidRPr="00BE1AA2">
        <w:rPr>
          <w:i/>
          <w:iCs/>
          <w:sz w:val="18"/>
          <w:szCs w:val="18"/>
        </w:rPr>
        <w:t>Independent Review of the Future Security of the National Electricity Market</w:t>
      </w:r>
      <w:r w:rsidRPr="0092788C">
        <w:rPr>
          <w:sz w:val="18"/>
          <w:szCs w:val="18"/>
        </w:rPr>
        <w:t xml:space="preserve"> (Finkel Review), June 2017</w:t>
      </w:r>
    </w:p>
  </w:footnote>
  <w:footnote w:id="6">
    <w:p w14:paraId="4FAD634B" w14:textId="77777777" w:rsidR="00765E31" w:rsidRDefault="00765E31" w:rsidP="00A37634">
      <w:pPr>
        <w:pStyle w:val="FootnoteText"/>
      </w:pPr>
      <w:r>
        <w:rPr>
          <w:rStyle w:val="FootnoteReference"/>
        </w:rPr>
        <w:footnoteRef/>
      </w:r>
      <w:r>
        <w:t xml:space="preserve"> </w:t>
      </w:r>
      <w:hyperlink r:id="rId1" w:history="1">
        <w:r w:rsidRPr="007C42D6">
          <w:rPr>
            <w:rStyle w:val="Hyperlink1"/>
          </w:rPr>
          <w:t>https://www.aemc.gov.au/rule-changes/wholesale-demand-response-mechanism</w:t>
        </w:r>
      </w:hyperlink>
    </w:p>
  </w:footnote>
  <w:footnote w:id="7">
    <w:p w14:paraId="5D49C4BF" w14:textId="77777777" w:rsidR="00765E31" w:rsidRPr="00F13AB4" w:rsidRDefault="00765E31" w:rsidP="002E3C13">
      <w:pPr>
        <w:pStyle w:val="FootnoteText"/>
        <w:rPr>
          <w:sz w:val="18"/>
          <w:szCs w:val="18"/>
        </w:rPr>
      </w:pPr>
      <w:r>
        <w:rPr>
          <w:rStyle w:val="FootnoteReference"/>
        </w:rPr>
        <w:footnoteRef/>
      </w:r>
      <w:r>
        <w:t xml:space="preserve"> </w:t>
      </w:r>
      <w:r w:rsidRPr="00F13AB4">
        <w:rPr>
          <w:sz w:val="18"/>
          <w:szCs w:val="18"/>
        </w:rPr>
        <w:t>Restoring electricity affordability and Australia’s competitive advantage; Retail electricity pricing inquiry – Final Report, Australian Consumer and Competition Commission, June 2018, p230/398</w:t>
      </w:r>
    </w:p>
  </w:footnote>
  <w:footnote w:id="8">
    <w:p w14:paraId="601B59FF" w14:textId="77777777" w:rsidR="00765E31" w:rsidRDefault="00765E31" w:rsidP="009503CD">
      <w:pPr>
        <w:pStyle w:val="FootnoteText"/>
      </w:pPr>
      <w:r>
        <w:rPr>
          <w:rStyle w:val="FootnoteReference"/>
        </w:rPr>
        <w:footnoteRef/>
      </w:r>
      <w:r>
        <w:t xml:space="preserve"> </w:t>
      </w:r>
      <w:r w:rsidRPr="007E7799">
        <w:rPr>
          <w:sz w:val="18"/>
          <w:szCs w:val="18"/>
        </w:rPr>
        <w:t>GEMS Act review (2019), p 11/92</w:t>
      </w:r>
      <w:r>
        <w:t xml:space="preserve">.  </w:t>
      </w:r>
    </w:p>
  </w:footnote>
  <w:footnote w:id="9">
    <w:p w14:paraId="116164E8" w14:textId="77777777" w:rsidR="00765E31" w:rsidRPr="0092788C" w:rsidRDefault="00765E31" w:rsidP="00A37634">
      <w:pPr>
        <w:pStyle w:val="FootnoteText"/>
        <w:rPr>
          <w:sz w:val="18"/>
          <w:szCs w:val="18"/>
        </w:rPr>
      </w:pPr>
      <w:r w:rsidRPr="0092788C">
        <w:rPr>
          <w:rStyle w:val="FootnoteReference"/>
          <w:sz w:val="18"/>
          <w:szCs w:val="18"/>
        </w:rPr>
        <w:footnoteRef/>
      </w:r>
      <w:r w:rsidRPr="0092788C">
        <w:rPr>
          <w:sz w:val="18"/>
          <w:szCs w:val="18"/>
        </w:rPr>
        <w:t xml:space="preserve"> PC (2013</w:t>
      </w:r>
      <w:r>
        <w:rPr>
          <w:sz w:val="18"/>
          <w:szCs w:val="18"/>
        </w:rPr>
        <w:t>)</w:t>
      </w:r>
      <w:r w:rsidRPr="0092788C">
        <w:rPr>
          <w:sz w:val="18"/>
          <w:szCs w:val="18"/>
        </w:rPr>
        <w:t xml:space="preserve"> p338.</w:t>
      </w:r>
    </w:p>
  </w:footnote>
  <w:footnote w:id="10">
    <w:p w14:paraId="7B25D7A3" w14:textId="4690B325" w:rsidR="00765E31" w:rsidRPr="00EB5B93" w:rsidRDefault="00765E31">
      <w:pPr>
        <w:pStyle w:val="FootnoteText"/>
        <w:rPr>
          <w:sz w:val="18"/>
          <w:szCs w:val="18"/>
        </w:rPr>
      </w:pPr>
      <w:r>
        <w:rPr>
          <w:rStyle w:val="FootnoteReference"/>
        </w:rPr>
        <w:footnoteRef/>
      </w:r>
      <w:r>
        <w:t xml:space="preserve"> </w:t>
      </w:r>
      <w:r w:rsidRPr="00EB5B93">
        <w:rPr>
          <w:sz w:val="18"/>
          <w:szCs w:val="18"/>
        </w:rPr>
        <w:t>AEMO (2019). P8/124 Load factors are average consumption divided by maximum demand. Decreasing load factors indicate that the difference between average consumption and the peak is getting bigger.</w:t>
      </w:r>
    </w:p>
  </w:footnote>
  <w:footnote w:id="11">
    <w:p w14:paraId="6068E096" w14:textId="77777777" w:rsidR="00765E31" w:rsidRPr="0092788C" w:rsidRDefault="00765E31" w:rsidP="00A37634">
      <w:pPr>
        <w:pStyle w:val="FootnoteText"/>
        <w:rPr>
          <w:sz w:val="18"/>
          <w:szCs w:val="18"/>
        </w:rPr>
      </w:pPr>
      <w:r w:rsidRPr="0092788C">
        <w:rPr>
          <w:rStyle w:val="FootnoteReference"/>
          <w:sz w:val="18"/>
          <w:szCs w:val="18"/>
        </w:rPr>
        <w:footnoteRef/>
      </w:r>
      <w:r w:rsidRPr="0092788C">
        <w:rPr>
          <w:sz w:val="18"/>
          <w:szCs w:val="18"/>
        </w:rPr>
        <w:t xml:space="preserve"> ACCC (201</w:t>
      </w:r>
      <w:r>
        <w:rPr>
          <w:sz w:val="18"/>
          <w:szCs w:val="18"/>
        </w:rPr>
        <w:t>8</w:t>
      </w:r>
      <w:r w:rsidRPr="0092788C">
        <w:rPr>
          <w:sz w:val="18"/>
          <w:szCs w:val="18"/>
        </w:rPr>
        <w:t>), p6/398</w:t>
      </w:r>
    </w:p>
  </w:footnote>
  <w:footnote w:id="12">
    <w:p w14:paraId="327CBF32" w14:textId="77777777" w:rsidR="00765E31" w:rsidRDefault="00765E31" w:rsidP="00A37634">
      <w:pPr>
        <w:pStyle w:val="FootnoteText"/>
      </w:pPr>
      <w:r>
        <w:rPr>
          <w:rStyle w:val="FootnoteReference"/>
        </w:rPr>
        <w:footnoteRef/>
      </w:r>
      <w:r>
        <w:t xml:space="preserve"> </w:t>
      </w:r>
      <w:hyperlink r:id="rId2" w:history="1">
        <w:r w:rsidRPr="004F7D66">
          <w:rPr>
            <w:rStyle w:val="Hyperlink1"/>
          </w:rPr>
          <w:t>http://forecasting.aemo.com.au/</w:t>
        </w:r>
      </w:hyperlink>
    </w:p>
  </w:footnote>
  <w:footnote w:id="13">
    <w:p w14:paraId="5E08BA15" w14:textId="77777777" w:rsidR="00765E31" w:rsidRPr="0092788C" w:rsidRDefault="00765E31" w:rsidP="002B7233">
      <w:pPr>
        <w:pStyle w:val="FootnoteText"/>
        <w:rPr>
          <w:sz w:val="18"/>
          <w:szCs w:val="18"/>
        </w:rPr>
      </w:pPr>
      <w:r>
        <w:rPr>
          <w:rStyle w:val="FootnoteReference"/>
        </w:rPr>
        <w:footnoteRef/>
      </w:r>
      <w:r>
        <w:rPr>
          <w:sz w:val="18"/>
          <w:szCs w:val="18"/>
        </w:rPr>
        <w:t xml:space="preserve"> </w:t>
      </w:r>
      <w:r w:rsidRPr="0092788C">
        <w:rPr>
          <w:sz w:val="18"/>
          <w:szCs w:val="18"/>
        </w:rPr>
        <w:t>ACCC (201</w:t>
      </w:r>
      <w:r>
        <w:rPr>
          <w:sz w:val="18"/>
          <w:szCs w:val="18"/>
        </w:rPr>
        <w:t>8</w:t>
      </w:r>
      <w:r w:rsidRPr="0092788C">
        <w:rPr>
          <w:sz w:val="18"/>
          <w:szCs w:val="18"/>
        </w:rPr>
        <w:t xml:space="preserve">) p206/398. </w:t>
      </w:r>
      <w:r>
        <w:rPr>
          <w:sz w:val="18"/>
          <w:szCs w:val="18"/>
        </w:rPr>
        <w:t xml:space="preserve">Many consumers also have </w:t>
      </w:r>
      <w:r w:rsidRPr="0092788C">
        <w:rPr>
          <w:sz w:val="18"/>
          <w:szCs w:val="18"/>
        </w:rPr>
        <w:t>controlled tariff</w:t>
      </w:r>
      <w:r>
        <w:rPr>
          <w:sz w:val="18"/>
          <w:szCs w:val="18"/>
        </w:rPr>
        <w:t xml:space="preserve"> supply for</w:t>
      </w:r>
      <w:r w:rsidRPr="0092788C">
        <w:rPr>
          <w:sz w:val="18"/>
          <w:szCs w:val="18"/>
        </w:rPr>
        <w:t xml:space="preserve"> water heating</w:t>
      </w:r>
      <w:r>
        <w:rPr>
          <w:sz w:val="18"/>
          <w:szCs w:val="18"/>
        </w:rPr>
        <w:t xml:space="preserve"> and some other uses</w:t>
      </w:r>
      <w:r w:rsidRPr="0092788C">
        <w:rPr>
          <w:sz w:val="18"/>
          <w:szCs w:val="18"/>
        </w:rPr>
        <w:t xml:space="preserve">.  </w:t>
      </w:r>
    </w:p>
  </w:footnote>
  <w:footnote w:id="14">
    <w:p w14:paraId="49332FC3" w14:textId="77777777" w:rsidR="00765E31" w:rsidRPr="0092788C" w:rsidRDefault="00765E31" w:rsidP="00334C33">
      <w:pPr>
        <w:pStyle w:val="FootnoteText"/>
        <w:rPr>
          <w:sz w:val="18"/>
          <w:szCs w:val="18"/>
        </w:rPr>
      </w:pPr>
      <w:r>
        <w:rPr>
          <w:rStyle w:val="FootnoteReference"/>
        </w:rPr>
        <w:footnoteRef/>
      </w:r>
      <w:r>
        <w:t xml:space="preserve"> </w:t>
      </w:r>
      <w:r w:rsidRPr="00BE1AA2">
        <w:rPr>
          <w:i/>
          <w:iCs/>
          <w:sz w:val="18"/>
          <w:szCs w:val="18"/>
        </w:rPr>
        <w:t>Technical Integration of Distributed Energy Resources</w:t>
      </w:r>
      <w:r w:rsidRPr="0092788C">
        <w:rPr>
          <w:sz w:val="18"/>
          <w:szCs w:val="18"/>
        </w:rPr>
        <w:t>, Australian Energy Market Operator, April 2019</w:t>
      </w:r>
    </w:p>
  </w:footnote>
  <w:footnote w:id="15">
    <w:p w14:paraId="4BBC2CDF" w14:textId="77777777" w:rsidR="00765E31" w:rsidRPr="0092788C" w:rsidRDefault="00765E31" w:rsidP="00334C33">
      <w:pPr>
        <w:pStyle w:val="FootnoteText"/>
        <w:rPr>
          <w:sz w:val="18"/>
          <w:szCs w:val="18"/>
        </w:rPr>
      </w:pPr>
      <w:r w:rsidRPr="0092788C">
        <w:rPr>
          <w:rStyle w:val="FootnoteReference"/>
          <w:sz w:val="18"/>
          <w:szCs w:val="18"/>
        </w:rPr>
        <w:footnoteRef/>
      </w:r>
      <w:r w:rsidRPr="0092788C">
        <w:rPr>
          <w:sz w:val="18"/>
          <w:szCs w:val="18"/>
        </w:rPr>
        <w:t xml:space="preserve"> </w:t>
      </w:r>
      <w:r w:rsidRPr="00BE1AA2">
        <w:rPr>
          <w:i/>
          <w:iCs/>
          <w:sz w:val="18"/>
          <w:szCs w:val="18"/>
        </w:rPr>
        <w:t>Electricity Network Transformation Roadmap: Final Report</w:t>
      </w:r>
      <w:r w:rsidRPr="0092788C">
        <w:rPr>
          <w:sz w:val="18"/>
          <w:szCs w:val="18"/>
        </w:rPr>
        <w:t>, Electricity Networks Australia and CSIRO, April 2017</w:t>
      </w:r>
    </w:p>
  </w:footnote>
  <w:footnote w:id="16">
    <w:p w14:paraId="0D124979" w14:textId="77777777" w:rsidR="00765E31" w:rsidRPr="0092788C" w:rsidRDefault="00765E31" w:rsidP="00334C33">
      <w:pPr>
        <w:pStyle w:val="FootnoteText"/>
        <w:rPr>
          <w:sz w:val="18"/>
          <w:szCs w:val="18"/>
        </w:rPr>
      </w:pPr>
      <w:r w:rsidRPr="0092788C">
        <w:rPr>
          <w:rStyle w:val="FootnoteReference"/>
          <w:sz w:val="18"/>
          <w:szCs w:val="18"/>
        </w:rPr>
        <w:footnoteRef/>
      </w:r>
      <w:r w:rsidRPr="0092788C">
        <w:rPr>
          <w:sz w:val="18"/>
          <w:szCs w:val="18"/>
        </w:rPr>
        <w:t xml:space="preserve"> </w:t>
      </w:r>
      <w:r w:rsidRPr="00BE1AA2">
        <w:rPr>
          <w:i/>
          <w:iCs/>
          <w:sz w:val="18"/>
          <w:szCs w:val="18"/>
        </w:rPr>
        <w:t>Distribution Market Model final report (DMM)</w:t>
      </w:r>
      <w:r w:rsidRPr="0092788C">
        <w:rPr>
          <w:sz w:val="18"/>
          <w:szCs w:val="18"/>
        </w:rPr>
        <w:t>, The Australian Energy Market Commission, August 2017</w:t>
      </w:r>
    </w:p>
  </w:footnote>
  <w:footnote w:id="17">
    <w:p w14:paraId="11994DFF" w14:textId="77777777" w:rsidR="00765E31" w:rsidRPr="0092788C" w:rsidRDefault="00765E31" w:rsidP="00334C33">
      <w:pPr>
        <w:pStyle w:val="FootnoteText"/>
        <w:rPr>
          <w:sz w:val="18"/>
          <w:szCs w:val="18"/>
        </w:rPr>
      </w:pPr>
      <w:r w:rsidRPr="0092788C">
        <w:rPr>
          <w:rStyle w:val="FootnoteReference"/>
          <w:sz w:val="18"/>
          <w:szCs w:val="18"/>
        </w:rPr>
        <w:footnoteRef/>
      </w:r>
      <w:r w:rsidRPr="0092788C">
        <w:rPr>
          <w:sz w:val="18"/>
          <w:szCs w:val="18"/>
        </w:rPr>
        <w:t xml:space="preserve"> </w:t>
      </w:r>
      <w:r w:rsidRPr="00BE1AA2">
        <w:rPr>
          <w:i/>
          <w:iCs/>
          <w:sz w:val="18"/>
          <w:szCs w:val="18"/>
        </w:rPr>
        <w:t>Restoring electricity affordability and Australia’s competitive advantage; Retail electricity pricing inquiry</w:t>
      </w:r>
      <w:r w:rsidRPr="0092788C">
        <w:rPr>
          <w:sz w:val="18"/>
          <w:szCs w:val="18"/>
        </w:rPr>
        <w:t xml:space="preserve"> – Final Report, Australian Consumer and Competition Commission, June 2018</w:t>
      </w:r>
    </w:p>
  </w:footnote>
  <w:footnote w:id="18">
    <w:p w14:paraId="4151FB77" w14:textId="77777777" w:rsidR="00765E31" w:rsidRPr="0092788C" w:rsidRDefault="00765E31" w:rsidP="00334C33">
      <w:pPr>
        <w:pStyle w:val="FootnoteText"/>
        <w:rPr>
          <w:sz w:val="18"/>
          <w:szCs w:val="18"/>
        </w:rPr>
      </w:pPr>
      <w:r w:rsidRPr="0092788C">
        <w:rPr>
          <w:rStyle w:val="FootnoteReference"/>
          <w:sz w:val="18"/>
          <w:szCs w:val="18"/>
        </w:rPr>
        <w:footnoteRef/>
      </w:r>
      <w:r w:rsidRPr="0092788C">
        <w:rPr>
          <w:sz w:val="18"/>
          <w:szCs w:val="18"/>
        </w:rPr>
        <w:t xml:space="preserve"> </w:t>
      </w:r>
      <w:r w:rsidRPr="00BE1AA2">
        <w:rPr>
          <w:i/>
          <w:iCs/>
          <w:sz w:val="18"/>
          <w:szCs w:val="18"/>
        </w:rPr>
        <w:t>Independent Review of the Future Security of the National Electricity Market</w:t>
      </w:r>
      <w:r w:rsidRPr="0092788C">
        <w:rPr>
          <w:sz w:val="18"/>
          <w:szCs w:val="18"/>
        </w:rPr>
        <w:t xml:space="preserve"> (Finkel Review), June 2017</w:t>
      </w:r>
    </w:p>
  </w:footnote>
  <w:footnote w:id="19">
    <w:p w14:paraId="6EC4B43D" w14:textId="616E9355" w:rsidR="00765E31" w:rsidRPr="00EB5B93" w:rsidRDefault="00765E31">
      <w:pPr>
        <w:pStyle w:val="FootnoteText"/>
        <w:rPr>
          <w:sz w:val="18"/>
          <w:szCs w:val="18"/>
        </w:rPr>
      </w:pPr>
      <w:r>
        <w:rPr>
          <w:rStyle w:val="FootnoteReference"/>
        </w:rPr>
        <w:footnoteRef/>
      </w:r>
      <w:r>
        <w:t xml:space="preserve"> </w:t>
      </w:r>
      <w:r w:rsidRPr="00EB5B93">
        <w:rPr>
          <w:sz w:val="18"/>
          <w:szCs w:val="18"/>
        </w:rPr>
        <w:t xml:space="preserve">ARENA (2019). The DR RERT Trial is a $35.7 million program, with ARENA providing $28.55 million and the NSW Government providing $7.18 million to proponents selected in NSW. Ten projects from eight organisations were selected to trial innovative approaches to delivering emergency demand response within either 10 or 60 </w:t>
      </w:r>
      <w:proofErr w:type="gramStart"/>
      <w:r w:rsidRPr="00EB5B93">
        <w:rPr>
          <w:sz w:val="18"/>
          <w:szCs w:val="18"/>
        </w:rPr>
        <w:t>minutes</w:t>
      </w:r>
      <w:proofErr w:type="gramEnd"/>
      <w:r w:rsidRPr="00EB5B93">
        <w:rPr>
          <w:sz w:val="18"/>
          <w:szCs w:val="18"/>
        </w:rPr>
        <w:t xml:space="preserve"> of a request by AEMO across residential, commercial and industrial portfolios.</w:t>
      </w:r>
    </w:p>
  </w:footnote>
  <w:footnote w:id="20">
    <w:p w14:paraId="0BA6F1A5" w14:textId="0E933EBA" w:rsidR="00765E31" w:rsidRDefault="00765E31">
      <w:pPr>
        <w:pStyle w:val="FootnoteText"/>
      </w:pPr>
      <w:r>
        <w:rPr>
          <w:rStyle w:val="FootnoteReference"/>
        </w:rPr>
        <w:footnoteRef/>
      </w:r>
      <w:r>
        <w:t xml:space="preserve"> </w:t>
      </w:r>
      <w:hyperlink r:id="rId3" w:history="1">
        <w:r w:rsidRPr="00EB5B93">
          <w:rPr>
            <w:rStyle w:val="Hyperlink"/>
            <w:sz w:val="18"/>
            <w:szCs w:val="18"/>
          </w:rPr>
          <w:t>https://www.energex.com.au/home/control-your-energy/positive-payback-program/positive-payback-for-households/air-conditioning-rewards</w:t>
        </w:r>
      </w:hyperlink>
      <w:r w:rsidRPr="00EB5B93">
        <w:rPr>
          <w:sz w:val="18"/>
          <w:szCs w:val="18"/>
        </w:rPr>
        <w:t xml:space="preserve"> The value of the incentive has changed over the years, but is currently up to $400 for a product with cooling capacity of 10kW or more.  </w:t>
      </w:r>
    </w:p>
  </w:footnote>
  <w:footnote w:id="21">
    <w:p w14:paraId="25BD58C8" w14:textId="3B39BDE9" w:rsidR="00765E31" w:rsidRDefault="00765E31">
      <w:pPr>
        <w:pStyle w:val="FootnoteText"/>
      </w:pPr>
      <w:r>
        <w:rPr>
          <w:rStyle w:val="FootnoteReference"/>
        </w:rPr>
        <w:footnoteRef/>
      </w:r>
      <w:r>
        <w:t xml:space="preserve"> </w:t>
      </w:r>
      <w:r w:rsidRPr="00EB5B93">
        <w:rPr>
          <w:sz w:val="18"/>
          <w:szCs w:val="18"/>
        </w:rPr>
        <w:t xml:space="preserve">It also avoids the perverse incentive for consumers given notice of a DR event to turn on their </w:t>
      </w:r>
      <w:r>
        <w:rPr>
          <w:sz w:val="18"/>
          <w:szCs w:val="18"/>
        </w:rPr>
        <w:t xml:space="preserve">ACs </w:t>
      </w:r>
      <w:r w:rsidRPr="00EB5B93">
        <w:rPr>
          <w:sz w:val="18"/>
          <w:szCs w:val="18"/>
        </w:rPr>
        <w:t xml:space="preserve">even if they are not home (as they can easily do via a smartphone app) </w:t>
      </w:r>
      <w:proofErr w:type="gramStart"/>
      <w:r w:rsidRPr="00EB5B93">
        <w:rPr>
          <w:sz w:val="18"/>
          <w:szCs w:val="18"/>
        </w:rPr>
        <w:t>in order to</w:t>
      </w:r>
      <w:proofErr w:type="gramEnd"/>
      <w:r w:rsidRPr="00EB5B93">
        <w:rPr>
          <w:sz w:val="18"/>
          <w:szCs w:val="18"/>
        </w:rPr>
        <w:t xml:space="preserve"> claim the value of the demand reduction.</w:t>
      </w:r>
      <w:r>
        <w:t xml:space="preserve"> </w:t>
      </w:r>
    </w:p>
  </w:footnote>
  <w:footnote w:id="22">
    <w:p w14:paraId="6E911F0D" w14:textId="292369A0" w:rsidR="00765E31" w:rsidRDefault="00765E31">
      <w:pPr>
        <w:pStyle w:val="FootnoteText"/>
      </w:pPr>
      <w:r>
        <w:rPr>
          <w:rStyle w:val="FootnoteReference"/>
        </w:rPr>
        <w:footnoteRef/>
      </w:r>
      <w:r>
        <w:t xml:space="preserve"> </w:t>
      </w:r>
      <w:r w:rsidRPr="00EB5B93">
        <w:rPr>
          <w:sz w:val="18"/>
          <w:szCs w:val="18"/>
        </w:rPr>
        <w:t>AGL (2018), p15/33</w:t>
      </w:r>
    </w:p>
  </w:footnote>
  <w:footnote w:id="23">
    <w:p w14:paraId="26D318BD" w14:textId="48D9A4B7" w:rsidR="00765E31" w:rsidRDefault="00765E31">
      <w:pPr>
        <w:pStyle w:val="FootnoteText"/>
      </w:pPr>
      <w:r>
        <w:rPr>
          <w:rStyle w:val="FootnoteReference"/>
        </w:rPr>
        <w:footnoteRef/>
      </w:r>
      <w:r>
        <w:t xml:space="preserve"> </w:t>
      </w:r>
      <w:r w:rsidRPr="00EB5B93">
        <w:rPr>
          <w:sz w:val="18"/>
          <w:szCs w:val="18"/>
        </w:rPr>
        <w:t>Ausgrid (2016) p4/41</w:t>
      </w:r>
    </w:p>
  </w:footnote>
  <w:footnote w:id="24">
    <w:p w14:paraId="7D33FA59" w14:textId="199748C2" w:rsidR="00765E31" w:rsidRDefault="00765E31">
      <w:pPr>
        <w:pStyle w:val="FootnoteText"/>
      </w:pPr>
      <w:r>
        <w:rPr>
          <w:rStyle w:val="FootnoteReference"/>
        </w:rPr>
        <w:footnoteRef/>
      </w:r>
      <w:r>
        <w:t xml:space="preserve"> </w:t>
      </w:r>
      <w:r w:rsidRPr="00EB5B93">
        <w:rPr>
          <w:sz w:val="18"/>
          <w:szCs w:val="18"/>
        </w:rPr>
        <w:t>ARENA (2018), p65/68</w:t>
      </w:r>
      <w:r>
        <w:t>.</w:t>
      </w:r>
    </w:p>
  </w:footnote>
  <w:footnote w:id="25">
    <w:p w14:paraId="5ABFB3B5" w14:textId="77777777" w:rsidR="00765E31" w:rsidRDefault="00765E31" w:rsidP="00FB78EA">
      <w:pPr>
        <w:pStyle w:val="FootnoteText"/>
      </w:pPr>
      <w:r>
        <w:rPr>
          <w:rStyle w:val="FootnoteReference"/>
        </w:rPr>
        <w:footnoteRef/>
      </w:r>
      <w:r>
        <w:t xml:space="preserve"> </w:t>
      </w:r>
      <w:hyperlink r:id="rId4" w:history="1">
        <w:r w:rsidRPr="00EB5B93">
          <w:rPr>
            <w:rStyle w:val="Hyperlink1"/>
            <w:sz w:val="18"/>
            <w:szCs w:val="18"/>
          </w:rPr>
          <w:t>https://www.aemc.gov.au/rule-changes/wholesale-demand-response-mechanism</w:t>
        </w:r>
      </w:hyperlink>
      <w:r w:rsidRPr="00EB5B93">
        <w:rPr>
          <w:rStyle w:val="Hyperlink1"/>
          <w:sz w:val="18"/>
          <w:szCs w:val="18"/>
        </w:rPr>
        <w:t xml:space="preserve"> </w:t>
      </w:r>
      <w:r w:rsidRPr="00EB5B93">
        <w:rPr>
          <w:rFonts w:eastAsia="Calibri" w:cs="Calibri"/>
          <w:sz w:val="18"/>
          <w:szCs w:val="18"/>
        </w:rPr>
        <w:t>The</w:t>
      </w:r>
      <w:r w:rsidRPr="00EB5B93">
        <w:rPr>
          <w:rFonts w:eastAsia="Calibri" w:cs="Calibri"/>
          <w:i/>
          <w:iCs/>
          <w:sz w:val="18"/>
          <w:szCs w:val="18"/>
        </w:rPr>
        <w:t xml:space="preserve"> National Electricity Amendment (Wholesale demand response mechanism) Rule 2019</w:t>
      </w:r>
      <w:r w:rsidRPr="00EB5B93">
        <w:rPr>
          <w:rFonts w:eastAsia="Calibri" w:cs="Calibri"/>
          <w:sz w:val="18"/>
          <w:szCs w:val="18"/>
        </w:rPr>
        <w:t xml:space="preserve"> was published in July and a Final Rule is due in November 2019</w:t>
      </w:r>
      <w:r>
        <w:rPr>
          <w:rFonts w:eastAsia="Calibri" w:cs="Calibri"/>
          <w:sz w:val="22"/>
        </w:rPr>
        <w:t xml:space="preserve">. </w:t>
      </w:r>
      <w:r>
        <w:rPr>
          <w:rStyle w:val="Hyperlink1"/>
        </w:rPr>
        <w:t xml:space="preserve"> </w:t>
      </w:r>
    </w:p>
  </w:footnote>
  <w:footnote w:id="26">
    <w:p w14:paraId="29C15710" w14:textId="1946A0F6" w:rsidR="00765E31" w:rsidRDefault="00765E31">
      <w:pPr>
        <w:pStyle w:val="FootnoteText"/>
      </w:pPr>
      <w:r>
        <w:rPr>
          <w:rStyle w:val="FootnoteReference"/>
        </w:rPr>
        <w:footnoteRef/>
      </w:r>
      <w:r>
        <w:t xml:space="preserve"> </w:t>
      </w:r>
      <w:r w:rsidRPr="00EB5B93">
        <w:rPr>
          <w:sz w:val="18"/>
          <w:szCs w:val="18"/>
        </w:rPr>
        <w:t xml:space="preserve">Registration for eligibility under the PeakSmart program is considered a more reliable indication of compliance with AS/NZS 4755 than the statements of compliance on </w:t>
      </w:r>
      <w:hyperlink r:id="rId5" w:history="1">
        <w:r w:rsidRPr="00EB5B93">
          <w:rPr>
            <w:rStyle w:val="Hyperlink"/>
            <w:sz w:val="18"/>
            <w:szCs w:val="18"/>
          </w:rPr>
          <w:t>www.energyrating.gov.au</w:t>
        </w:r>
      </w:hyperlink>
      <w:r w:rsidRPr="00EB5B93">
        <w:rPr>
          <w:sz w:val="18"/>
          <w:szCs w:val="18"/>
        </w:rPr>
        <w:t>, which cover 54% of models</w:t>
      </w:r>
      <w:r>
        <w:t xml:space="preserve">.  </w:t>
      </w:r>
    </w:p>
  </w:footnote>
  <w:footnote w:id="27">
    <w:p w14:paraId="3BC796D0" w14:textId="138040B5" w:rsidR="00765E31" w:rsidRDefault="00765E31" w:rsidP="00A37634">
      <w:pPr>
        <w:pStyle w:val="FootnoteText"/>
      </w:pPr>
      <w:r>
        <w:rPr>
          <w:rStyle w:val="FootnoteReference"/>
        </w:rPr>
        <w:footnoteRef/>
      </w:r>
      <w:r>
        <w:t xml:space="preserve"> </w:t>
      </w:r>
      <w:r w:rsidRPr="00EB5B93">
        <w:rPr>
          <w:sz w:val="18"/>
          <w:szCs w:val="18"/>
        </w:rPr>
        <w:t>Due to uncertainty about which model comply, the annual market share of AS/NZS 4755-compliant air conditioners outside SE Queensland cannot be accurately determined at this stage</w:t>
      </w:r>
      <w:r>
        <w:t xml:space="preserve">.  </w:t>
      </w:r>
    </w:p>
  </w:footnote>
  <w:footnote w:id="28">
    <w:p w14:paraId="72F17756" w14:textId="77777777" w:rsidR="00765E31" w:rsidRDefault="00765E31" w:rsidP="00A37634">
      <w:pPr>
        <w:pStyle w:val="FootnoteText"/>
      </w:pPr>
      <w:r>
        <w:rPr>
          <w:rStyle w:val="FootnoteReference"/>
        </w:rPr>
        <w:footnoteRef/>
      </w:r>
      <w:r>
        <w:t xml:space="preserve"> </w:t>
      </w:r>
      <w:bookmarkStart w:id="37" w:name="_Hlk16190432"/>
      <w:r w:rsidRPr="00EB5B93">
        <w:rPr>
          <w:sz w:val="18"/>
          <w:szCs w:val="18"/>
        </w:rPr>
        <w:t>Greenhouse and Energy Minimum Standards (GEMS) Act Review - Draft Report, November 2018, p78</w:t>
      </w:r>
      <w:bookmarkEnd w:id="37"/>
    </w:p>
  </w:footnote>
  <w:footnote w:id="29">
    <w:p w14:paraId="347C0CEA" w14:textId="77777777" w:rsidR="00765E31" w:rsidRDefault="00765E31" w:rsidP="00A37634">
      <w:pPr>
        <w:pStyle w:val="FootnoteText"/>
      </w:pPr>
      <w:r>
        <w:rPr>
          <w:rStyle w:val="FootnoteReference"/>
        </w:rPr>
        <w:footnoteRef/>
      </w:r>
      <w:r>
        <w:t xml:space="preserve"> </w:t>
      </w:r>
      <w:r w:rsidRPr="00EB5B93">
        <w:rPr>
          <w:sz w:val="18"/>
          <w:szCs w:val="18"/>
        </w:rPr>
        <w:t>Consultation Regulation Impact Statement: Mandating ‘Smart Appliance’ Interfaces for Air Conditioners, Water Heaters and other Appliances 2013, p136</w:t>
      </w:r>
    </w:p>
  </w:footnote>
  <w:footnote w:id="30">
    <w:p w14:paraId="16082B6D" w14:textId="77777777" w:rsidR="00765E31" w:rsidRDefault="00765E31" w:rsidP="00A37634">
      <w:pPr>
        <w:pStyle w:val="FootnoteText"/>
      </w:pPr>
      <w:r>
        <w:rPr>
          <w:rStyle w:val="FootnoteReference"/>
        </w:rPr>
        <w:footnoteRef/>
      </w:r>
      <w:r>
        <w:t xml:space="preserve"> </w:t>
      </w:r>
      <w:r w:rsidRPr="00EB5B93">
        <w:rPr>
          <w:sz w:val="18"/>
          <w:szCs w:val="18"/>
        </w:rPr>
        <w:t>Productivity Commission, Report on Electricity Network Regulatory Frameworks, April 2013, p 356</w:t>
      </w:r>
    </w:p>
  </w:footnote>
  <w:footnote w:id="31">
    <w:p w14:paraId="5276B3D6" w14:textId="77777777" w:rsidR="00765E31" w:rsidRPr="00EB5B93" w:rsidRDefault="00765E31" w:rsidP="00A37634">
      <w:pPr>
        <w:pStyle w:val="FootnoteText"/>
        <w:rPr>
          <w:sz w:val="18"/>
          <w:szCs w:val="18"/>
        </w:rPr>
      </w:pPr>
      <w:r>
        <w:rPr>
          <w:rStyle w:val="FootnoteReference"/>
        </w:rPr>
        <w:footnoteRef/>
      </w:r>
      <w:r>
        <w:t xml:space="preserve"> </w:t>
      </w:r>
      <w:r w:rsidRPr="00EB5B93">
        <w:rPr>
          <w:sz w:val="18"/>
          <w:szCs w:val="18"/>
        </w:rPr>
        <w:t>ACCC (2018), 205/398</w:t>
      </w:r>
    </w:p>
  </w:footnote>
  <w:footnote w:id="32">
    <w:p w14:paraId="73BB8D16" w14:textId="67A0318A" w:rsidR="00765E31" w:rsidRPr="00EB5B93" w:rsidRDefault="00765E31">
      <w:pPr>
        <w:pStyle w:val="FootnoteText"/>
        <w:rPr>
          <w:sz w:val="18"/>
          <w:szCs w:val="18"/>
        </w:rPr>
      </w:pPr>
      <w:r>
        <w:rPr>
          <w:rStyle w:val="FootnoteReference"/>
        </w:rPr>
        <w:footnoteRef/>
      </w:r>
      <w:r>
        <w:t xml:space="preserve"> </w:t>
      </w:r>
      <w:r w:rsidRPr="00EB5B93">
        <w:rPr>
          <w:sz w:val="18"/>
          <w:szCs w:val="18"/>
        </w:rPr>
        <w:t>AEMO (2019) p58/124</w:t>
      </w:r>
    </w:p>
  </w:footnote>
  <w:footnote w:id="33">
    <w:p w14:paraId="2EDDFE45" w14:textId="77777777" w:rsidR="00765E31" w:rsidRPr="00EB5B93" w:rsidRDefault="00765E31" w:rsidP="00A37634">
      <w:pPr>
        <w:pStyle w:val="FootnoteText"/>
        <w:rPr>
          <w:sz w:val="18"/>
          <w:szCs w:val="18"/>
        </w:rPr>
      </w:pPr>
      <w:r w:rsidRPr="00EB5B93">
        <w:rPr>
          <w:rStyle w:val="FootnoteReference"/>
          <w:sz w:val="18"/>
          <w:szCs w:val="18"/>
        </w:rPr>
        <w:footnoteRef/>
      </w:r>
      <w:r w:rsidRPr="00EB5B93">
        <w:rPr>
          <w:sz w:val="18"/>
          <w:szCs w:val="18"/>
        </w:rPr>
        <w:t xml:space="preserve"> </w:t>
      </w:r>
      <w:hyperlink r:id="rId6" w:history="1">
        <w:r w:rsidRPr="00EB5B93">
          <w:rPr>
            <w:rStyle w:val="Hyperlink1"/>
            <w:sz w:val="18"/>
            <w:szCs w:val="18"/>
          </w:rPr>
          <w:t>http://www.bom.gov.au/climate/current/statements/scs68.pdf</w:t>
        </w:r>
      </w:hyperlink>
    </w:p>
  </w:footnote>
  <w:footnote w:id="34">
    <w:p w14:paraId="15707BA1" w14:textId="77777777" w:rsidR="00765E31" w:rsidRPr="00EB5B93" w:rsidRDefault="00765E31" w:rsidP="00A37634">
      <w:pPr>
        <w:pStyle w:val="FootnoteText"/>
        <w:rPr>
          <w:sz w:val="18"/>
          <w:szCs w:val="18"/>
        </w:rPr>
      </w:pPr>
      <w:r w:rsidRPr="00EB5B93">
        <w:rPr>
          <w:rStyle w:val="FootnoteReference"/>
          <w:sz w:val="18"/>
          <w:szCs w:val="18"/>
        </w:rPr>
        <w:footnoteRef/>
      </w:r>
      <w:r w:rsidRPr="00EB5B93">
        <w:rPr>
          <w:sz w:val="18"/>
          <w:szCs w:val="18"/>
        </w:rPr>
        <w:t xml:space="preserve"> </w:t>
      </w:r>
      <w:hyperlink r:id="rId7" w:history="1">
        <w:r w:rsidRPr="00EB5B93">
          <w:rPr>
            <w:rStyle w:val="Hyperlink1"/>
            <w:sz w:val="18"/>
            <w:szCs w:val="18"/>
          </w:rPr>
          <w:t>www.energyrating.gov.au/products-themes/other/swimming-pool-pumps</w:t>
        </w:r>
      </w:hyperlink>
    </w:p>
  </w:footnote>
  <w:footnote w:id="35">
    <w:p w14:paraId="17438BCF" w14:textId="77777777" w:rsidR="00765E31" w:rsidRPr="00EB5B93" w:rsidRDefault="00765E31" w:rsidP="00A37634">
      <w:pPr>
        <w:pStyle w:val="FootnoteText"/>
        <w:rPr>
          <w:sz w:val="18"/>
          <w:szCs w:val="18"/>
        </w:rPr>
      </w:pPr>
      <w:r w:rsidRPr="00EB5B93">
        <w:rPr>
          <w:rStyle w:val="FootnoteReference"/>
          <w:sz w:val="18"/>
          <w:szCs w:val="18"/>
        </w:rPr>
        <w:footnoteRef/>
      </w:r>
      <w:r w:rsidRPr="00EB5B93">
        <w:rPr>
          <w:sz w:val="18"/>
          <w:szCs w:val="18"/>
        </w:rPr>
        <w:t xml:space="preserve"> </w:t>
      </w:r>
      <w:r w:rsidRPr="00EB5B93">
        <w:rPr>
          <w:i/>
          <w:iCs/>
          <w:sz w:val="18"/>
          <w:szCs w:val="18"/>
        </w:rPr>
        <w:t>Residential Pool Pumps: Load control and demand management in Queensland</w:t>
      </w:r>
      <w:r w:rsidRPr="00EB5B93">
        <w:rPr>
          <w:sz w:val="18"/>
          <w:szCs w:val="18"/>
        </w:rPr>
        <w:t xml:space="preserve">, Presentation to </w:t>
      </w:r>
      <w:proofErr w:type="spellStart"/>
      <w:r w:rsidRPr="00EB5B93">
        <w:rPr>
          <w:sz w:val="18"/>
          <w:szCs w:val="18"/>
        </w:rPr>
        <w:t>DCCEE</w:t>
      </w:r>
      <w:proofErr w:type="spellEnd"/>
      <w:r w:rsidRPr="00EB5B93">
        <w:rPr>
          <w:sz w:val="18"/>
          <w:szCs w:val="18"/>
        </w:rPr>
        <w:t xml:space="preserve"> Swimming Pool Pump</w:t>
      </w:r>
      <w:r w:rsidRPr="00EB5B93">
        <w:rPr>
          <w:sz w:val="18"/>
          <w:szCs w:val="18"/>
        </w:rPr>
        <w:br/>
        <w:t>Stakeholder Meeting (R Wilson), Sydney, 1 June 2012</w:t>
      </w:r>
    </w:p>
  </w:footnote>
  <w:footnote w:id="36">
    <w:p w14:paraId="15574025" w14:textId="77777777" w:rsidR="00765E31" w:rsidRPr="00EB5B93" w:rsidRDefault="00765E31" w:rsidP="00A37634">
      <w:pPr>
        <w:pStyle w:val="FootnoteText"/>
        <w:rPr>
          <w:sz w:val="18"/>
          <w:szCs w:val="18"/>
        </w:rPr>
      </w:pPr>
      <w:r w:rsidRPr="00EB5B93">
        <w:rPr>
          <w:rStyle w:val="FootnoteReference"/>
          <w:sz w:val="18"/>
          <w:szCs w:val="18"/>
        </w:rPr>
        <w:footnoteRef/>
      </w:r>
      <w:r w:rsidRPr="00EB5B93">
        <w:rPr>
          <w:sz w:val="18"/>
          <w:szCs w:val="18"/>
        </w:rPr>
        <w:t xml:space="preserve"> Australian Electric Vehicle Market Study, Energeia, 2018</w:t>
      </w:r>
    </w:p>
  </w:footnote>
  <w:footnote w:id="37">
    <w:p w14:paraId="4F448AE8" w14:textId="77777777" w:rsidR="00765E31" w:rsidRDefault="00765E31" w:rsidP="00A37634">
      <w:pPr>
        <w:pStyle w:val="FootnoteText"/>
      </w:pPr>
      <w:r w:rsidRPr="00EB5B93">
        <w:rPr>
          <w:rStyle w:val="FootnoteReference"/>
          <w:sz w:val="18"/>
          <w:szCs w:val="18"/>
        </w:rPr>
        <w:footnoteRef/>
      </w:r>
      <w:r w:rsidRPr="00EB5B93">
        <w:rPr>
          <w:sz w:val="18"/>
          <w:szCs w:val="18"/>
        </w:rPr>
        <w:t xml:space="preserve"> The published standards covering DR for appliances uses terms such as “demand responsive”, “connected” or “controllable” – none define or use the term “smart” on its own.</w:t>
      </w:r>
    </w:p>
  </w:footnote>
  <w:footnote w:id="38">
    <w:p w14:paraId="1391BA5B" w14:textId="77777777" w:rsidR="00765E31" w:rsidRPr="00EB5B93" w:rsidRDefault="00765E31" w:rsidP="00A37634">
      <w:pPr>
        <w:pStyle w:val="FootnoteText"/>
        <w:rPr>
          <w:sz w:val="18"/>
          <w:szCs w:val="18"/>
        </w:rPr>
      </w:pPr>
      <w:r>
        <w:rPr>
          <w:rStyle w:val="FootnoteReference"/>
        </w:rPr>
        <w:footnoteRef/>
      </w:r>
      <w:r>
        <w:t xml:space="preserve"> </w:t>
      </w:r>
      <w:r w:rsidRPr="00EB5B93">
        <w:rPr>
          <w:sz w:val="18"/>
          <w:szCs w:val="18"/>
        </w:rPr>
        <w:t xml:space="preserve">Greenhouse and Energy Minimum Standards (Air Conditioners up to 65kW) Determination 2019. The new label shows 6 scales of 10 star each with a map, whereas the old label showed two scales of 6 stars each and no map. </w:t>
      </w:r>
    </w:p>
  </w:footnote>
  <w:footnote w:id="39">
    <w:p w14:paraId="2C88D63D" w14:textId="77777777" w:rsidR="00765E31" w:rsidRPr="00EB5B93" w:rsidRDefault="00765E31" w:rsidP="00A31A66">
      <w:pPr>
        <w:pStyle w:val="FootnoteText"/>
        <w:rPr>
          <w:sz w:val="18"/>
          <w:szCs w:val="18"/>
        </w:rPr>
      </w:pPr>
      <w:r w:rsidRPr="00EB5B93">
        <w:rPr>
          <w:rStyle w:val="FootnoteReference"/>
          <w:sz w:val="18"/>
          <w:szCs w:val="18"/>
        </w:rPr>
        <w:footnoteRef/>
      </w:r>
      <w:r w:rsidRPr="00EB5B93">
        <w:rPr>
          <w:sz w:val="18"/>
          <w:szCs w:val="18"/>
        </w:rPr>
        <w:t xml:space="preserve"> G. Wilkenfeld (2017) </w:t>
      </w:r>
      <w:r w:rsidRPr="00EB5B93">
        <w:rPr>
          <w:i/>
          <w:iCs/>
          <w:sz w:val="18"/>
          <w:szCs w:val="18"/>
        </w:rPr>
        <w:t>Labelling for “Smartness”: Problems for energy labelling and standards schemes</w:t>
      </w:r>
      <w:r w:rsidRPr="00EB5B93">
        <w:rPr>
          <w:sz w:val="18"/>
          <w:szCs w:val="18"/>
        </w:rPr>
        <w:t>, in Proceedings of the 9</w:t>
      </w:r>
      <w:r w:rsidRPr="00EB5B93">
        <w:rPr>
          <w:sz w:val="18"/>
          <w:szCs w:val="18"/>
          <w:vertAlign w:val="superscript"/>
        </w:rPr>
        <w:t>th</w:t>
      </w:r>
      <w:r w:rsidRPr="00EB5B93">
        <w:rPr>
          <w:sz w:val="18"/>
          <w:szCs w:val="18"/>
        </w:rPr>
        <w:t xml:space="preserve"> international conference on Energy Efficiency in Domestic Appliances and Lighting</w:t>
      </w:r>
    </w:p>
    <w:p w14:paraId="188FADD7" w14:textId="77777777" w:rsidR="00765E31" w:rsidRPr="00EB5B93" w:rsidRDefault="00765E31" w:rsidP="00A31A66">
      <w:pPr>
        <w:pStyle w:val="FootnoteText"/>
        <w:rPr>
          <w:sz w:val="18"/>
          <w:szCs w:val="18"/>
        </w:rPr>
      </w:pPr>
      <w:r w:rsidRPr="00EB5B93">
        <w:rPr>
          <w:sz w:val="18"/>
          <w:szCs w:val="18"/>
        </w:rPr>
        <w:t>(</w:t>
      </w:r>
      <w:proofErr w:type="spellStart"/>
      <w:r w:rsidRPr="00EB5B93">
        <w:rPr>
          <w:sz w:val="18"/>
          <w:szCs w:val="18"/>
        </w:rPr>
        <w:t>EEDAL</w:t>
      </w:r>
      <w:proofErr w:type="spellEnd"/>
      <w:r w:rsidRPr="00EB5B93">
        <w:rPr>
          <w:sz w:val="18"/>
          <w:szCs w:val="18"/>
        </w:rPr>
        <w:t xml:space="preserve"> '17) </w:t>
      </w:r>
      <w:hyperlink r:id="rId8" w:history="1">
        <w:r w:rsidRPr="00EB5B93">
          <w:rPr>
            <w:rStyle w:val="Hyperlink1"/>
            <w:sz w:val="18"/>
            <w:szCs w:val="18"/>
          </w:rPr>
          <w:t>https://e3p.jrc.ec.europa.eu/publications/proceedings-9th-international-conference-energy-efficiency-domestic-appliances-and-0</w:t>
        </w:r>
      </w:hyperlink>
    </w:p>
  </w:footnote>
  <w:footnote w:id="40">
    <w:p w14:paraId="74578EB8" w14:textId="7A3111B8" w:rsidR="00765E31" w:rsidRPr="00F13AB4" w:rsidRDefault="00765E31">
      <w:pPr>
        <w:pStyle w:val="FootnoteText"/>
        <w:rPr>
          <w:sz w:val="18"/>
          <w:szCs w:val="18"/>
        </w:rPr>
      </w:pPr>
      <w:r w:rsidRPr="00EB5B93">
        <w:rPr>
          <w:rStyle w:val="FootnoteReference"/>
          <w:sz w:val="18"/>
          <w:szCs w:val="18"/>
        </w:rPr>
        <w:footnoteRef/>
      </w:r>
      <w:r w:rsidRPr="00EB5B93">
        <w:rPr>
          <w:sz w:val="18"/>
          <w:szCs w:val="18"/>
        </w:rPr>
        <w:t xml:space="preserve"> </w:t>
      </w:r>
      <w:r w:rsidRPr="00F13AB4">
        <w:rPr>
          <w:i/>
          <w:iCs/>
          <w:sz w:val="18"/>
          <w:szCs w:val="18"/>
        </w:rPr>
        <w:t>Customer Interactions Demand Management Outcomes 2015–20</w:t>
      </w:r>
      <w:r w:rsidRPr="00F13AB4">
        <w:rPr>
          <w:sz w:val="18"/>
          <w:szCs w:val="18"/>
        </w:rPr>
        <w:t xml:space="preserve">, Energex January 2019 </w:t>
      </w:r>
      <w:hyperlink r:id="rId9" w:history="1">
        <w:r w:rsidRPr="00F13AB4">
          <w:rPr>
            <w:rStyle w:val="Hyperlink"/>
            <w:sz w:val="18"/>
            <w:szCs w:val="18"/>
          </w:rPr>
          <w:t>https://www.aer.gov.au/networks-pipelines/determinations-access-arrangements/energex-determination-2020-25/proposal</w:t>
        </w:r>
      </w:hyperlink>
      <w:r w:rsidRPr="00F13AB4">
        <w:rPr>
          <w:sz w:val="18"/>
          <w:szCs w:val="18"/>
        </w:rPr>
        <w:t xml:space="preserve"> Attachment 7 Part 13. “The residential program target 75 </w:t>
      </w:r>
      <w:proofErr w:type="spellStart"/>
      <w:r w:rsidRPr="00F13AB4">
        <w:rPr>
          <w:sz w:val="18"/>
          <w:szCs w:val="18"/>
        </w:rPr>
        <w:t>MVA</w:t>
      </w:r>
      <w:proofErr w:type="spellEnd"/>
      <w:r w:rsidRPr="00F13AB4">
        <w:rPr>
          <w:sz w:val="18"/>
          <w:szCs w:val="18"/>
        </w:rPr>
        <w:t xml:space="preserve"> will be exceeded as the PeakSmart air-conditioning initiative has grown faster than originally anticipated. At the end of 2017/18, the </w:t>
      </w:r>
      <w:proofErr w:type="spellStart"/>
      <w:r w:rsidRPr="00F13AB4">
        <w:rPr>
          <w:sz w:val="18"/>
          <w:szCs w:val="18"/>
        </w:rPr>
        <w:t>MVA</w:t>
      </w:r>
      <w:proofErr w:type="spellEnd"/>
      <w:r w:rsidRPr="00F13AB4">
        <w:rPr>
          <w:sz w:val="18"/>
          <w:szCs w:val="18"/>
        </w:rPr>
        <w:t xml:space="preserve"> reduction from the residential program is 65.9 </w:t>
      </w:r>
      <w:proofErr w:type="spellStart"/>
      <w:r w:rsidRPr="00F13AB4">
        <w:rPr>
          <w:sz w:val="18"/>
          <w:szCs w:val="18"/>
        </w:rPr>
        <w:t>MVA</w:t>
      </w:r>
      <w:proofErr w:type="spellEnd"/>
      <w:r w:rsidRPr="00F13AB4">
        <w:rPr>
          <w:sz w:val="18"/>
          <w:szCs w:val="18"/>
        </w:rPr>
        <w:t xml:space="preserve"> which is</w:t>
      </w:r>
      <w:r w:rsidRPr="00355AC2">
        <w:t xml:space="preserve"> approximately 88% of the </w:t>
      </w:r>
      <w:proofErr w:type="spellStart"/>
      <w:r w:rsidRPr="00355AC2">
        <w:t>MVA</w:t>
      </w:r>
      <w:proofErr w:type="spellEnd"/>
      <w:r w:rsidRPr="00355AC2">
        <w:t xml:space="preserve"> </w:t>
      </w:r>
      <w:r w:rsidRPr="00F13AB4">
        <w:rPr>
          <w:sz w:val="18"/>
          <w:szCs w:val="18"/>
        </w:rPr>
        <w:t>target for the 2015-2020 regulatory control period. The program has been delivered below a cost to serve target of $725/kVA, tracking at $346/kVA at 30 June 2018. Further efficiencies, cost reductions and productivity improvements will be pursued.”</w:t>
      </w:r>
    </w:p>
  </w:footnote>
  <w:footnote w:id="41">
    <w:p w14:paraId="488008A8" w14:textId="03B4981C" w:rsidR="00765E31" w:rsidRPr="00F13AB4" w:rsidRDefault="00765E31" w:rsidP="00A41C48">
      <w:pPr>
        <w:pStyle w:val="FootnoteText"/>
        <w:rPr>
          <w:sz w:val="18"/>
          <w:szCs w:val="18"/>
        </w:rPr>
      </w:pPr>
      <w:r>
        <w:rPr>
          <w:rStyle w:val="FootnoteReference"/>
        </w:rPr>
        <w:footnoteRef/>
      </w:r>
      <w:r>
        <w:t xml:space="preserve"> </w:t>
      </w:r>
      <w:r w:rsidRPr="00F13AB4">
        <w:rPr>
          <w:sz w:val="18"/>
          <w:szCs w:val="18"/>
        </w:rPr>
        <w:t xml:space="preserve">This option was available for air conditioners under AS/NZS 4755.3.1:2012, which </w:t>
      </w:r>
      <w:r>
        <w:rPr>
          <w:sz w:val="18"/>
          <w:szCs w:val="18"/>
        </w:rPr>
        <w:t xml:space="preserve">permitted compliance </w:t>
      </w:r>
      <w:r w:rsidRPr="00F13AB4">
        <w:rPr>
          <w:sz w:val="18"/>
          <w:szCs w:val="18"/>
        </w:rPr>
        <w:t>by “Potentially demand response capable” air conditioners</w:t>
      </w:r>
      <w:r>
        <w:rPr>
          <w:sz w:val="18"/>
          <w:szCs w:val="18"/>
        </w:rPr>
        <w:t>,</w:t>
      </w:r>
      <w:r w:rsidRPr="00F13AB4">
        <w:rPr>
          <w:sz w:val="18"/>
          <w:szCs w:val="18"/>
        </w:rPr>
        <w:t xml:space="preserve"> defined in AS/NZS 3823:2013 as: “An air conditioner that is potentially fully compliant with AS 4755.3.1, once a nominated standard part or component, that is not otherwise supplied with every unit, has been added or fitted, either at the time of manufacture or at any subsequent time, e.g. pre-delivery, at installation or after installation. The part may be factory-installed, e.g. in response to a prior order, but must also be capable of being fitted subsequently by an authorized person at any point in the service life of the product.</w:t>
      </w:r>
    </w:p>
    <w:p w14:paraId="71785E6F" w14:textId="77777777" w:rsidR="00765E31" w:rsidRPr="00F13AB4" w:rsidRDefault="00765E31" w:rsidP="00A41C48">
      <w:pPr>
        <w:pStyle w:val="FootnoteText"/>
        <w:rPr>
          <w:sz w:val="18"/>
          <w:szCs w:val="18"/>
        </w:rPr>
      </w:pPr>
      <w:r w:rsidRPr="00F13AB4">
        <w:rPr>
          <w:sz w:val="18"/>
          <w:szCs w:val="18"/>
        </w:rPr>
        <w:t xml:space="preserve">Where the supplier of an air conditioner model indicates that it is potentially demand response capable, the supplier must also identify the part or component needed to make it demand response capable, and must undertake to supply that part or component from the time this indication appears on the register to not less than 10 years after the model ceases to be registered. </w:t>
      </w:r>
    </w:p>
    <w:p w14:paraId="355446FE" w14:textId="3CAE9283" w:rsidR="00765E31" w:rsidRDefault="00765E31" w:rsidP="00A41C48">
      <w:pPr>
        <w:pStyle w:val="FootnoteText"/>
      </w:pPr>
      <w:r w:rsidRPr="00F13AB4">
        <w:rPr>
          <w:sz w:val="18"/>
          <w:szCs w:val="18"/>
        </w:rPr>
        <w:t xml:space="preserve">AS/NZS 4744.3.1:2014 withdrew this means of compliance by noting “An air conditioner that </w:t>
      </w:r>
      <w:r w:rsidRPr="00F13AB4">
        <w:rPr>
          <w:i/>
          <w:iCs/>
          <w:sz w:val="18"/>
          <w:szCs w:val="18"/>
        </w:rPr>
        <w:t>is potentially demand response capable</w:t>
      </w:r>
      <w:r w:rsidRPr="00F13AB4">
        <w:rPr>
          <w:sz w:val="18"/>
          <w:szCs w:val="18"/>
        </w:rPr>
        <w:t xml:space="preserve"> as defined in AS/NZS 3823 does not have demand response capability as defined in this standard”</w:t>
      </w:r>
    </w:p>
  </w:footnote>
  <w:footnote w:id="42">
    <w:p w14:paraId="65B71497" w14:textId="77777777" w:rsidR="00765E31" w:rsidRPr="00F13AB4" w:rsidRDefault="00765E31" w:rsidP="00A37634">
      <w:pPr>
        <w:pStyle w:val="FootnoteText"/>
        <w:rPr>
          <w:sz w:val="18"/>
          <w:szCs w:val="18"/>
        </w:rPr>
      </w:pPr>
      <w:r>
        <w:rPr>
          <w:rStyle w:val="FootnoteReference"/>
        </w:rPr>
        <w:footnoteRef/>
      </w:r>
      <w:r>
        <w:t xml:space="preserve"> </w:t>
      </w:r>
      <w:r w:rsidRPr="00F13AB4">
        <w:rPr>
          <w:sz w:val="18"/>
          <w:szCs w:val="18"/>
        </w:rPr>
        <w:t xml:space="preserve">Queensland Energy Group, (2109) </w:t>
      </w:r>
      <w:r w:rsidRPr="00F13AB4">
        <w:rPr>
          <w:i/>
          <w:iCs/>
          <w:sz w:val="18"/>
          <w:szCs w:val="18"/>
        </w:rPr>
        <w:t>Customer Interactions Demand Management Outcomes 2015-20</w:t>
      </w:r>
      <w:r w:rsidRPr="00F13AB4">
        <w:rPr>
          <w:sz w:val="18"/>
          <w:szCs w:val="18"/>
        </w:rPr>
        <w:t xml:space="preserve">, January 2019 </w:t>
      </w:r>
    </w:p>
  </w:footnote>
  <w:footnote w:id="43">
    <w:p w14:paraId="3B9DD998" w14:textId="77777777" w:rsidR="00765E31" w:rsidRDefault="00765E31" w:rsidP="00A37634">
      <w:pPr>
        <w:pStyle w:val="FootnoteText"/>
      </w:pPr>
      <w:r w:rsidRPr="00F13AB4">
        <w:rPr>
          <w:rStyle w:val="FootnoteReference"/>
          <w:sz w:val="18"/>
          <w:szCs w:val="18"/>
        </w:rPr>
        <w:footnoteRef/>
      </w:r>
      <w:r w:rsidRPr="00F13AB4">
        <w:rPr>
          <w:sz w:val="18"/>
          <w:szCs w:val="18"/>
        </w:rPr>
        <w:t xml:space="preserve"> ARENA (2019) </w:t>
      </w:r>
      <w:r w:rsidRPr="00F13AB4">
        <w:rPr>
          <w:i/>
          <w:iCs/>
          <w:sz w:val="18"/>
          <w:szCs w:val="18"/>
        </w:rPr>
        <w:t>Demand Response RERT Trial Year 1 Report</w:t>
      </w:r>
      <w:r w:rsidRPr="00F13AB4">
        <w:rPr>
          <w:sz w:val="18"/>
          <w:szCs w:val="18"/>
        </w:rPr>
        <w:t>, ARENA with Oakley Greenwood, March 2019.</w:t>
      </w:r>
      <w:r>
        <w:t xml:space="preserve"> </w:t>
      </w:r>
    </w:p>
  </w:footnote>
  <w:footnote w:id="44">
    <w:p w14:paraId="31B175E9" w14:textId="77777777" w:rsidR="00765E31" w:rsidRPr="00F13AB4" w:rsidRDefault="00765E31" w:rsidP="00A37634">
      <w:pPr>
        <w:pStyle w:val="FootnoteText"/>
        <w:rPr>
          <w:sz w:val="18"/>
          <w:szCs w:val="18"/>
        </w:rPr>
      </w:pPr>
      <w:r>
        <w:rPr>
          <w:rStyle w:val="FootnoteReference"/>
        </w:rPr>
        <w:footnoteRef/>
      </w:r>
      <w:r>
        <w:t xml:space="preserve"> </w:t>
      </w:r>
      <w:r w:rsidRPr="00F13AB4">
        <w:rPr>
          <w:sz w:val="18"/>
          <w:szCs w:val="18"/>
        </w:rPr>
        <w:t>AEMC (2018) Consultation Paper: Wholesale Demand Response Mechanisms; Proponents: Public Interest Advocacy Centre, Total Environment Centre, The Australia Institute, Australian Energy Council, South Australian Government, AEMC, 15 November 2018, p17/86</w:t>
      </w:r>
    </w:p>
  </w:footnote>
  <w:footnote w:id="45">
    <w:p w14:paraId="00052F62" w14:textId="77777777" w:rsidR="00765E31" w:rsidRDefault="00765E31" w:rsidP="00A37634">
      <w:pPr>
        <w:pStyle w:val="FootnoteText"/>
      </w:pPr>
      <w:r w:rsidRPr="00F13AB4">
        <w:rPr>
          <w:rStyle w:val="FootnoteReference"/>
          <w:sz w:val="18"/>
          <w:szCs w:val="18"/>
        </w:rPr>
        <w:footnoteRef/>
      </w:r>
      <w:r w:rsidRPr="00F13AB4">
        <w:rPr>
          <w:sz w:val="18"/>
          <w:szCs w:val="18"/>
        </w:rPr>
        <w:t xml:space="preserve"> AEMC (2019) draft Rule Determination: National electricity amendment (wholesale demand response mechanism) rule 2019; National energy retail amendment (wholesale demand response mechanism) rule 2019, 18 July 2019</w:t>
      </w:r>
    </w:p>
  </w:footnote>
  <w:footnote w:id="46">
    <w:p w14:paraId="6EA4A17D" w14:textId="77777777" w:rsidR="00765E31" w:rsidRPr="00F13AB4" w:rsidRDefault="00765E31" w:rsidP="00A37634">
      <w:pPr>
        <w:pStyle w:val="FootnoteText"/>
        <w:rPr>
          <w:sz w:val="18"/>
          <w:szCs w:val="18"/>
        </w:rPr>
      </w:pPr>
      <w:r>
        <w:rPr>
          <w:rStyle w:val="FootnoteReference"/>
        </w:rPr>
        <w:footnoteRef/>
      </w:r>
      <w:r>
        <w:t xml:space="preserve"> </w:t>
      </w:r>
      <w:r w:rsidRPr="00F13AB4">
        <w:rPr>
          <w:sz w:val="18"/>
          <w:szCs w:val="18"/>
        </w:rPr>
        <w:t xml:space="preserve">National Electricity (South Australia) (Retailer Reliability Obligation) Amendment Act 2019 </w:t>
      </w:r>
      <w:hyperlink r:id="rId10" w:history="1">
        <w:r w:rsidRPr="00F13AB4">
          <w:rPr>
            <w:rStyle w:val="Hyperlink1"/>
            <w:sz w:val="18"/>
            <w:szCs w:val="18"/>
          </w:rPr>
          <w:t>https://www.legislation.sa.gov.au/LZ/B/CURRENT/NATIONAL%20ELECTRICITY%20(SOUTH%20AUSTRALIA)%20(RETAILER%20RELIABILITY%20OBLIGATION)%20AMENDMENT%20BILL%202019.aspx</w:t>
        </w:r>
      </w:hyperlink>
    </w:p>
  </w:footnote>
  <w:footnote w:id="47">
    <w:p w14:paraId="3CD41911" w14:textId="77777777" w:rsidR="00765E31" w:rsidRPr="00F13AB4" w:rsidRDefault="00765E31" w:rsidP="00A37634">
      <w:pPr>
        <w:pStyle w:val="FootnoteText"/>
        <w:rPr>
          <w:sz w:val="18"/>
          <w:szCs w:val="18"/>
        </w:rPr>
      </w:pPr>
      <w:r>
        <w:rPr>
          <w:rStyle w:val="FootnoteReference"/>
        </w:rPr>
        <w:footnoteRef/>
      </w:r>
      <w:r>
        <w:t xml:space="preserve"> </w:t>
      </w:r>
      <w:r w:rsidRPr="00F13AB4">
        <w:rPr>
          <w:sz w:val="18"/>
          <w:szCs w:val="18"/>
        </w:rPr>
        <w:t>Productivity Commission, report on Electricity Network Regulatory Frameworks, April 2013, p 336.</w:t>
      </w:r>
    </w:p>
  </w:footnote>
  <w:footnote w:id="48">
    <w:p w14:paraId="2FD2874E"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Sydney Morning Herald article (</w:t>
      </w:r>
      <w:hyperlink r:id="rId11" w:history="1">
        <w:r w:rsidRPr="00F13AB4">
          <w:rPr>
            <w:rStyle w:val="Hyperlink1"/>
            <w:sz w:val="18"/>
            <w:szCs w:val="18"/>
          </w:rPr>
          <w:t>www.smh.com.au/articles/2004/10/24/1098556297439.html</w:t>
        </w:r>
      </w:hyperlink>
      <w:r w:rsidRPr="00F13AB4">
        <w:rPr>
          <w:sz w:val="18"/>
          <w:szCs w:val="18"/>
        </w:rPr>
        <w:t>).</w:t>
      </w:r>
    </w:p>
  </w:footnote>
  <w:footnote w:id="49">
    <w:p w14:paraId="3A9D84EB"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Sydney Morning Herald article (</w:t>
      </w:r>
      <w:hyperlink r:id="rId12" w:history="1">
        <w:r w:rsidRPr="00F13AB4">
          <w:rPr>
            <w:rStyle w:val="Hyperlink1"/>
            <w:sz w:val="18"/>
            <w:szCs w:val="18"/>
          </w:rPr>
          <w:t>www.smh.com.au/news/environment/we-love-a-sunburnt-country-our-aircons-too/2009/02/02/1233423135557.html</w:t>
        </w:r>
      </w:hyperlink>
      <w:r w:rsidRPr="00F13AB4">
        <w:rPr>
          <w:sz w:val="18"/>
          <w:szCs w:val="18"/>
        </w:rPr>
        <w:t>).</w:t>
      </w:r>
    </w:p>
  </w:footnote>
  <w:footnote w:id="50">
    <w:p w14:paraId="4800ED15"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DELWP (2018), </w:t>
      </w:r>
      <w:bookmarkStart w:id="43" w:name="_Hlk11269029"/>
      <w:r w:rsidRPr="00F13AB4">
        <w:rPr>
          <w:sz w:val="18"/>
          <w:szCs w:val="18"/>
        </w:rPr>
        <w:t>Post Event Review, Power Outages 28 &amp; 29 January 2018</w:t>
      </w:r>
      <w:bookmarkEnd w:id="43"/>
      <w:r w:rsidRPr="00F13AB4">
        <w:rPr>
          <w:sz w:val="18"/>
          <w:szCs w:val="18"/>
        </w:rPr>
        <w:t xml:space="preserve">.  </w:t>
      </w:r>
    </w:p>
  </w:footnote>
  <w:footnote w:id="51">
    <w:p w14:paraId="669423EE"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w:t>
      </w:r>
      <w:hyperlink r:id="rId13" w:history="1">
        <w:r w:rsidRPr="00F13AB4">
          <w:rPr>
            <w:rStyle w:val="Hyperlink1"/>
            <w:sz w:val="18"/>
            <w:szCs w:val="18"/>
          </w:rPr>
          <w:t>https://www.abc.net.au/news/2019-01-26/victorian-blackouts-what-caused-them-and-is-this-the-new-normal/10751412</w:t>
        </w:r>
      </w:hyperlink>
    </w:p>
  </w:footnote>
  <w:footnote w:id="52">
    <w:p w14:paraId="5C33517A"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w:t>
      </w:r>
      <w:r w:rsidRPr="00F13AB4">
        <w:rPr>
          <w:i/>
          <w:iCs/>
          <w:sz w:val="18"/>
          <w:szCs w:val="18"/>
        </w:rPr>
        <w:t>Keep calm and carry on: Managing electricity reliability</w:t>
      </w:r>
      <w:r w:rsidRPr="00F13AB4">
        <w:rPr>
          <w:sz w:val="18"/>
          <w:szCs w:val="18"/>
        </w:rPr>
        <w:t xml:space="preserve"> Tony Wood, Guy Dundas and Lucy Percival (Grattan, 2019)</w:t>
      </w:r>
    </w:p>
  </w:footnote>
  <w:footnote w:id="53">
    <w:p w14:paraId="37C9A45D"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Calculated from air conditioner market projections supplied by E3.</w:t>
      </w:r>
    </w:p>
  </w:footnote>
  <w:footnote w:id="54">
    <w:p w14:paraId="4DB364F7"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Decision RIS: Air Conditioners, December 2018, p17/138.</w:t>
      </w:r>
    </w:p>
  </w:footnote>
  <w:footnote w:id="55">
    <w:p w14:paraId="2306EC07" w14:textId="0FF28D26" w:rsidR="00765E31" w:rsidRPr="00F13AB4" w:rsidRDefault="00765E31">
      <w:pPr>
        <w:pStyle w:val="FootnoteText"/>
        <w:rPr>
          <w:sz w:val="18"/>
          <w:szCs w:val="18"/>
        </w:rPr>
      </w:pPr>
      <w:r>
        <w:rPr>
          <w:rStyle w:val="FootnoteReference"/>
        </w:rPr>
        <w:footnoteRef/>
      </w:r>
      <w:r>
        <w:t xml:space="preserve"> </w:t>
      </w:r>
      <w:r w:rsidRPr="00F13AB4">
        <w:rPr>
          <w:sz w:val="18"/>
          <w:szCs w:val="18"/>
        </w:rPr>
        <w:t xml:space="preserve">The estimate in the Consultation Paper was 530,000 units per year. This has been revised downward after submissions from the industry.  </w:t>
      </w:r>
    </w:p>
  </w:footnote>
  <w:footnote w:id="56">
    <w:p w14:paraId="76A43DF2" w14:textId="56E08A02" w:rsidR="00765E31" w:rsidRPr="00F13AB4" w:rsidRDefault="00765E31">
      <w:pPr>
        <w:pStyle w:val="FootnoteText"/>
        <w:rPr>
          <w:sz w:val="18"/>
          <w:szCs w:val="18"/>
        </w:rPr>
      </w:pPr>
      <w:r w:rsidRPr="00F13AB4">
        <w:rPr>
          <w:rStyle w:val="FootnoteReference"/>
          <w:sz w:val="18"/>
          <w:szCs w:val="18"/>
        </w:rPr>
        <w:footnoteRef/>
      </w:r>
      <w:r w:rsidRPr="00F13AB4">
        <w:rPr>
          <w:sz w:val="18"/>
          <w:szCs w:val="18"/>
        </w:rPr>
        <w:t xml:space="preserve"> Ausgrid (2016)</w:t>
      </w:r>
    </w:p>
  </w:footnote>
  <w:footnote w:id="57">
    <w:p w14:paraId="18562322" w14:textId="1B5ABC15" w:rsidR="00765E31" w:rsidRPr="00F13AB4" w:rsidRDefault="00765E31">
      <w:pPr>
        <w:pStyle w:val="FootnoteText"/>
        <w:rPr>
          <w:sz w:val="18"/>
          <w:szCs w:val="18"/>
        </w:rPr>
      </w:pPr>
      <w:r w:rsidRPr="00F13AB4">
        <w:rPr>
          <w:rStyle w:val="FootnoteReference"/>
          <w:sz w:val="18"/>
          <w:szCs w:val="18"/>
        </w:rPr>
        <w:footnoteRef/>
      </w:r>
      <w:r w:rsidRPr="00F13AB4">
        <w:rPr>
          <w:sz w:val="18"/>
          <w:szCs w:val="18"/>
        </w:rPr>
        <w:t xml:space="preserve"> </w:t>
      </w:r>
      <w:hyperlink r:id="rId14" w:history="1">
        <w:r w:rsidRPr="00F13AB4">
          <w:rPr>
            <w:rStyle w:val="Hyperlink"/>
            <w:sz w:val="18"/>
            <w:szCs w:val="18"/>
          </w:rPr>
          <w:t>https://solaray.com.au/how-much-do-solar-batteries-cost/</w:t>
        </w:r>
      </w:hyperlink>
    </w:p>
  </w:footnote>
  <w:footnote w:id="58">
    <w:p w14:paraId="7635481F"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w:t>
      </w:r>
      <w:hyperlink r:id="rId15" w:history="1">
        <w:r w:rsidRPr="00F13AB4">
          <w:rPr>
            <w:rStyle w:val="Hyperlink1"/>
            <w:sz w:val="18"/>
            <w:szCs w:val="18"/>
          </w:rPr>
          <w:t>http://www.energyrating.gov.au/document/policy-framework-hot-water-systems-australia-new-zealand</w:t>
        </w:r>
      </w:hyperlink>
    </w:p>
  </w:footnote>
  <w:footnote w:id="59">
    <w:p w14:paraId="751CB8C8" w14:textId="77777777" w:rsidR="00765E31" w:rsidRPr="00F13AB4" w:rsidRDefault="00765E31" w:rsidP="00A37634">
      <w:pPr>
        <w:pStyle w:val="FootnoteText"/>
        <w:rPr>
          <w:sz w:val="18"/>
          <w:szCs w:val="18"/>
        </w:rPr>
      </w:pPr>
      <w:r w:rsidRPr="00B20C99">
        <w:rPr>
          <w:rStyle w:val="FootnoteReference"/>
          <w:sz w:val="18"/>
          <w:szCs w:val="18"/>
        </w:rPr>
        <w:footnoteRef/>
      </w:r>
      <w:r w:rsidRPr="00B20C99">
        <w:rPr>
          <w:sz w:val="18"/>
          <w:szCs w:val="18"/>
        </w:rPr>
        <w:t xml:space="preserve"> </w:t>
      </w:r>
      <w:r w:rsidRPr="00F13AB4">
        <w:rPr>
          <w:sz w:val="18"/>
          <w:szCs w:val="18"/>
        </w:rPr>
        <w:t xml:space="preserve">Wilson, R (2012) Residential Pool Pumps: Load control and demand management in Queensland. Presentation to </w:t>
      </w:r>
      <w:proofErr w:type="spellStart"/>
      <w:r w:rsidRPr="00F13AB4">
        <w:rPr>
          <w:sz w:val="18"/>
          <w:szCs w:val="18"/>
        </w:rPr>
        <w:t>DCCEE</w:t>
      </w:r>
      <w:proofErr w:type="spellEnd"/>
      <w:r w:rsidRPr="00F13AB4">
        <w:rPr>
          <w:sz w:val="18"/>
          <w:szCs w:val="18"/>
        </w:rPr>
        <w:t xml:space="preserve"> Swimming Pool Pump Stakeholder Meeting, Sydney, 1 June 2012</w:t>
      </w:r>
    </w:p>
  </w:footnote>
  <w:footnote w:id="60">
    <w:p w14:paraId="69E9C3AB"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ABS, Environmental Issues: Water Use and Conservation, Cat. No. 4602.055, March 2010.</w:t>
      </w:r>
    </w:p>
  </w:footnote>
  <w:footnote w:id="61">
    <w:p w14:paraId="4804706E" w14:textId="77777777" w:rsidR="00765E31" w:rsidRPr="0092788C"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Decision Regulation Impact Statement: Swimming Pool Pumps, September 2018</w:t>
      </w:r>
      <w:r w:rsidRPr="0092788C">
        <w:rPr>
          <w:sz w:val="18"/>
          <w:szCs w:val="18"/>
        </w:rPr>
        <w:t>.</w:t>
      </w:r>
    </w:p>
  </w:footnote>
  <w:footnote w:id="62">
    <w:p w14:paraId="415B890D" w14:textId="090EA095" w:rsidR="00765E31" w:rsidRPr="00F13AB4" w:rsidRDefault="00765E31">
      <w:pPr>
        <w:pStyle w:val="FootnoteText"/>
        <w:rPr>
          <w:sz w:val="18"/>
          <w:szCs w:val="18"/>
        </w:rPr>
      </w:pPr>
      <w:r>
        <w:rPr>
          <w:rStyle w:val="FootnoteReference"/>
        </w:rPr>
        <w:footnoteRef/>
      </w:r>
      <w:r>
        <w:t xml:space="preserve"> </w:t>
      </w:r>
      <w:hyperlink r:id="rId16" w:history="1">
        <w:r w:rsidRPr="00F13AB4">
          <w:rPr>
            <w:rStyle w:val="Hyperlink"/>
            <w:sz w:val="18"/>
            <w:szCs w:val="18"/>
          </w:rPr>
          <w:t>https://theconversation.com/new-zealand-poised-to-introduce-clean-car-standards-and-incentives-to-cut-emissions-120896</w:t>
        </w:r>
      </w:hyperlink>
    </w:p>
  </w:footnote>
  <w:footnote w:id="63">
    <w:p w14:paraId="6D5A08B8"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Cabinet submission by Minister of Transport, Electric Vehicles: Package of Measures to Encourage Uptake, undated (2016) https://www.transport.govt.nz/multi-modal/climatechange/electric-vehicles/</w:t>
      </w:r>
    </w:p>
  </w:footnote>
  <w:footnote w:id="64">
    <w:p w14:paraId="320D761A"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Australian Electric Vehicle Market Study, Energeia, 2018 p93. </w:t>
      </w:r>
    </w:p>
  </w:footnote>
  <w:footnote w:id="65">
    <w:p w14:paraId="497895A4"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w:t>
      </w:r>
      <w:hyperlink r:id="rId17" w:history="1">
        <w:r w:rsidRPr="00F13AB4">
          <w:rPr>
            <w:rStyle w:val="Hyperlink1"/>
            <w:sz w:val="18"/>
            <w:szCs w:val="18"/>
          </w:rPr>
          <w:t>https://www.aph.gov.au/Parliamentary_Business/Committees/Senate/Electric_Vehicles</w:t>
        </w:r>
      </w:hyperlink>
    </w:p>
  </w:footnote>
  <w:footnote w:id="66">
    <w:p w14:paraId="32119862" w14:textId="77777777" w:rsidR="00765E31" w:rsidRDefault="00765E31" w:rsidP="00A37634">
      <w:pPr>
        <w:pStyle w:val="FootnoteText"/>
      </w:pPr>
      <w:r w:rsidRPr="00F13AB4">
        <w:rPr>
          <w:rStyle w:val="FootnoteReference"/>
          <w:sz w:val="18"/>
          <w:szCs w:val="18"/>
        </w:rPr>
        <w:footnoteRef/>
      </w:r>
      <w:r w:rsidRPr="00F13AB4">
        <w:rPr>
          <w:sz w:val="18"/>
          <w:szCs w:val="18"/>
        </w:rPr>
        <w:t xml:space="preserve"> https://www.gov.uk/government/consultations/electric-vehicle-smart-charging</w:t>
      </w:r>
    </w:p>
  </w:footnote>
  <w:footnote w:id="67">
    <w:p w14:paraId="680FBF57" w14:textId="77777777" w:rsidR="00765E31" w:rsidRPr="00F13AB4" w:rsidRDefault="00765E31" w:rsidP="00A37634">
      <w:pPr>
        <w:pStyle w:val="FootnoteText"/>
        <w:rPr>
          <w:sz w:val="18"/>
          <w:szCs w:val="18"/>
        </w:rPr>
      </w:pPr>
      <w:r w:rsidRPr="0092788C">
        <w:rPr>
          <w:rStyle w:val="FootnoteReference"/>
          <w:sz w:val="18"/>
          <w:szCs w:val="18"/>
        </w:rPr>
        <w:footnoteRef/>
      </w:r>
      <w:r w:rsidRPr="0092788C">
        <w:rPr>
          <w:sz w:val="18"/>
          <w:szCs w:val="18"/>
        </w:rPr>
        <w:t xml:space="preserve"> </w:t>
      </w:r>
      <w:hyperlink r:id="rId18" w:history="1">
        <w:r w:rsidRPr="00F13AB4">
          <w:rPr>
            <w:rStyle w:val="Hyperlink1"/>
            <w:sz w:val="18"/>
            <w:szCs w:val="18"/>
          </w:rPr>
          <w:t>https://www.sae.org/standards/content/j1772_201710/</w:t>
        </w:r>
      </w:hyperlink>
    </w:p>
  </w:footnote>
  <w:footnote w:id="68">
    <w:p w14:paraId="3F2C6158"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w:t>
      </w:r>
      <w:hyperlink r:id="rId19" w:history="1">
        <w:r w:rsidRPr="00F13AB4">
          <w:rPr>
            <w:rStyle w:val="Hyperlink1"/>
            <w:sz w:val="18"/>
            <w:szCs w:val="18"/>
          </w:rPr>
          <w:t>https://webstore.iec.ch/publication/33644</w:t>
        </w:r>
      </w:hyperlink>
    </w:p>
  </w:footnote>
  <w:footnote w:id="69">
    <w:p w14:paraId="310E249F" w14:textId="145158BD" w:rsidR="00765E31" w:rsidRDefault="00765E31" w:rsidP="00A37634">
      <w:pPr>
        <w:pStyle w:val="FootnoteText"/>
      </w:pPr>
      <w:r w:rsidRPr="00F13AB4">
        <w:rPr>
          <w:rStyle w:val="FootnoteReference"/>
          <w:sz w:val="18"/>
          <w:szCs w:val="18"/>
        </w:rPr>
        <w:footnoteRef/>
      </w:r>
      <w:r w:rsidRPr="00F13AB4">
        <w:rPr>
          <w:sz w:val="18"/>
          <w:szCs w:val="18"/>
        </w:rPr>
        <w:t xml:space="preserve"> </w:t>
      </w:r>
      <w:hyperlink r:id="rId20" w:history="1">
        <w:r w:rsidRPr="00F13AB4">
          <w:rPr>
            <w:rStyle w:val="Hyperlink1"/>
            <w:sz w:val="18"/>
            <w:szCs w:val="18"/>
          </w:rPr>
          <w:t>https://www.agl.com.au/solar-renewables/projects/peak-energy-rewards-managed-for-you</w:t>
        </w:r>
      </w:hyperlink>
      <w:r w:rsidRPr="00F13AB4">
        <w:rPr>
          <w:sz w:val="18"/>
          <w:szCs w:val="18"/>
        </w:rPr>
        <w:t xml:space="preserve"> p15/33</w:t>
      </w:r>
    </w:p>
  </w:footnote>
  <w:footnote w:id="70">
    <w:p w14:paraId="5BB600D4" w14:textId="349731B2" w:rsidR="00765E31" w:rsidRPr="00F13AB4" w:rsidRDefault="00765E31" w:rsidP="00A37634">
      <w:pPr>
        <w:pStyle w:val="FootnoteText"/>
        <w:rPr>
          <w:sz w:val="18"/>
          <w:szCs w:val="18"/>
        </w:rPr>
      </w:pPr>
      <w:r>
        <w:rPr>
          <w:rStyle w:val="FootnoteReference"/>
        </w:rPr>
        <w:footnoteRef/>
      </w:r>
      <w:r>
        <w:t xml:space="preserve"> </w:t>
      </w:r>
      <w:r w:rsidRPr="00F13AB4">
        <w:rPr>
          <w:sz w:val="18"/>
          <w:szCs w:val="18"/>
        </w:rPr>
        <w:t>AS/NZS 4755 adds Note 1: Examples include electricity distributor, electricity retailer, electricity system manager and demand response aggregator. Note 2: The remote agent will generally have a contractual relationship with the user in which the user gives prior consent for the remote agent to initiate demand response under agreed conditions.</w:t>
      </w:r>
    </w:p>
    <w:p w14:paraId="704AA226" w14:textId="6A70CBE1" w:rsidR="00765E31" w:rsidRPr="00F13AB4" w:rsidRDefault="00765E31" w:rsidP="00A37634">
      <w:pPr>
        <w:pStyle w:val="FootnoteText"/>
        <w:rPr>
          <w:sz w:val="18"/>
          <w:szCs w:val="18"/>
        </w:rPr>
      </w:pPr>
      <w:r w:rsidRPr="00F13AB4">
        <w:rPr>
          <w:sz w:val="18"/>
          <w:szCs w:val="18"/>
        </w:rPr>
        <w:t xml:space="preserve">Note 3: An electrical product can have only one remote agent at a time, but may be available to respond to other requests for demand response, </w:t>
      </w:r>
      <w:proofErr w:type="gramStart"/>
      <w:r w:rsidRPr="00F13AB4">
        <w:rPr>
          <w:sz w:val="18"/>
          <w:szCs w:val="18"/>
        </w:rPr>
        <w:t>provided that</w:t>
      </w:r>
      <w:proofErr w:type="gramEnd"/>
      <w:r w:rsidRPr="00F13AB4">
        <w:rPr>
          <w:sz w:val="18"/>
          <w:szCs w:val="18"/>
        </w:rPr>
        <w:t xml:space="preserve"> operational instructions from the sole remote agent take priority.</w:t>
      </w:r>
    </w:p>
  </w:footnote>
  <w:footnote w:id="71">
    <w:p w14:paraId="7A3B8389" w14:textId="36BCA83E" w:rsidR="00765E31" w:rsidRDefault="00765E31" w:rsidP="00A37634">
      <w:pPr>
        <w:pStyle w:val="FootnoteText"/>
      </w:pPr>
      <w:r>
        <w:rPr>
          <w:rStyle w:val="FootnoteReference"/>
        </w:rPr>
        <w:footnoteRef/>
      </w:r>
      <w:r>
        <w:t xml:space="preserve"> </w:t>
      </w:r>
      <w:r w:rsidRPr="007B5CB2">
        <w:rPr>
          <w:sz w:val="18"/>
          <w:szCs w:val="18"/>
        </w:rPr>
        <w:t>This part is an Australian rather than a joint standard</w:t>
      </w:r>
      <w:r>
        <w:rPr>
          <w:sz w:val="18"/>
          <w:szCs w:val="18"/>
        </w:rPr>
        <w:t>.</w:t>
      </w:r>
      <w:r w:rsidRPr="007B5CB2">
        <w:rPr>
          <w:sz w:val="18"/>
          <w:szCs w:val="18"/>
        </w:rPr>
        <w:t xml:space="preserve"> </w:t>
      </w:r>
    </w:p>
  </w:footnote>
  <w:footnote w:id="72">
    <w:p w14:paraId="7F4377A2" w14:textId="77777777" w:rsidR="00765E31" w:rsidRDefault="00765E31" w:rsidP="00A37634">
      <w:pPr>
        <w:pStyle w:val="FootnoteText"/>
      </w:pPr>
      <w:r>
        <w:rPr>
          <w:rStyle w:val="FootnoteReference"/>
        </w:rPr>
        <w:footnoteRef/>
      </w:r>
      <w:r>
        <w:t xml:space="preserve"> </w:t>
      </w:r>
      <w:r w:rsidRPr="00F13AB4">
        <w:rPr>
          <w:sz w:val="18"/>
          <w:szCs w:val="18"/>
        </w:rPr>
        <w:t>ARENA (2019) Demand Response RERT Trial Year 1 Report, ARENA with Oakley Greenwood, March 2019</w:t>
      </w:r>
    </w:p>
  </w:footnote>
  <w:footnote w:id="73">
    <w:p w14:paraId="5A517145" w14:textId="77777777" w:rsidR="00765E31" w:rsidRPr="00F13AB4" w:rsidRDefault="00765E31" w:rsidP="00A37634">
      <w:pPr>
        <w:pStyle w:val="FootnoteText"/>
        <w:rPr>
          <w:sz w:val="18"/>
          <w:szCs w:val="18"/>
        </w:rPr>
      </w:pPr>
      <w:r>
        <w:rPr>
          <w:rStyle w:val="FootnoteReference"/>
        </w:rPr>
        <w:footnoteRef/>
      </w:r>
      <w:r>
        <w:t xml:space="preserve"> </w:t>
      </w:r>
      <w:r w:rsidRPr="00F13AB4">
        <w:rPr>
          <w:sz w:val="18"/>
          <w:szCs w:val="18"/>
        </w:rPr>
        <w:t>Restoring electricity affordability and Australia’s competitive advantage; Retail electricity pricing inquiry – Final Report, Australian Consumer and Competition Commission, June 2018, p230/398</w:t>
      </w:r>
    </w:p>
  </w:footnote>
  <w:footnote w:id="74">
    <w:p w14:paraId="017341CE"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w:t>
      </w:r>
      <w:hyperlink r:id="rId21" w:history="1">
        <w:r w:rsidRPr="00F13AB4">
          <w:rPr>
            <w:rStyle w:val="Hyperlink1"/>
            <w:sz w:val="18"/>
            <w:szCs w:val="18"/>
          </w:rPr>
          <w:t>https://www.aemc.gov.au/rule-changes/wholesale-demand-response-mechanism</w:t>
        </w:r>
      </w:hyperlink>
    </w:p>
  </w:footnote>
  <w:footnote w:id="75">
    <w:p w14:paraId="3DB0383B"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w:t>
      </w:r>
      <w:hyperlink r:id="rId22" w:history="1">
        <w:r w:rsidRPr="00F13AB4">
          <w:rPr>
            <w:rStyle w:val="Hyperlink1"/>
            <w:sz w:val="18"/>
            <w:szCs w:val="18"/>
          </w:rPr>
          <w:t>https://www.aemo.com.au/Electricity/National-Electricity-Market-NEM/Emergency-Management/RERT-panel-expressions-of-interest</w:t>
        </w:r>
      </w:hyperlink>
    </w:p>
  </w:footnote>
  <w:footnote w:id="76">
    <w:p w14:paraId="2C69F259" w14:textId="77777777" w:rsidR="00765E31" w:rsidRPr="00F13AB4" w:rsidRDefault="00765E31" w:rsidP="00A37634">
      <w:pPr>
        <w:pStyle w:val="FootnoteText"/>
        <w:rPr>
          <w:sz w:val="18"/>
          <w:szCs w:val="18"/>
        </w:rPr>
      </w:pPr>
      <w:r w:rsidRPr="006D2CD9">
        <w:rPr>
          <w:rStyle w:val="FootnoteReference"/>
          <w:sz w:val="18"/>
          <w:szCs w:val="18"/>
        </w:rPr>
        <w:footnoteRef/>
      </w:r>
      <w:r w:rsidRPr="006D2CD9">
        <w:rPr>
          <w:sz w:val="18"/>
          <w:szCs w:val="18"/>
        </w:rPr>
        <w:t xml:space="preserve"> </w:t>
      </w:r>
      <w:r w:rsidRPr="00F13AB4">
        <w:rPr>
          <w:sz w:val="18"/>
          <w:szCs w:val="18"/>
        </w:rPr>
        <w:t xml:space="preserve">This was still below the legislated pool price cap of $14,500/MWh.  </w:t>
      </w:r>
    </w:p>
  </w:footnote>
  <w:footnote w:id="77">
    <w:p w14:paraId="77830723" w14:textId="77777777" w:rsidR="00765E31" w:rsidRPr="00F13AB4" w:rsidRDefault="00765E31" w:rsidP="00A37634">
      <w:pPr>
        <w:pStyle w:val="FootnoteText"/>
        <w:rPr>
          <w:sz w:val="18"/>
          <w:szCs w:val="18"/>
        </w:rPr>
      </w:pPr>
      <w:r w:rsidRPr="00F13AB4">
        <w:rPr>
          <w:rStyle w:val="FootnoteReference"/>
          <w:sz w:val="18"/>
          <w:szCs w:val="18"/>
        </w:rPr>
        <w:footnoteRef/>
      </w:r>
      <w:r w:rsidRPr="00F13AB4">
        <w:rPr>
          <w:sz w:val="18"/>
          <w:szCs w:val="18"/>
        </w:rPr>
        <w:t xml:space="preserve"> </w:t>
      </w:r>
      <w:r w:rsidRPr="00F13AB4">
        <w:rPr>
          <w:i/>
          <w:iCs/>
          <w:sz w:val="18"/>
          <w:szCs w:val="18"/>
        </w:rPr>
        <w:t>Guide to Ancillary Services on the National Electricity Market</w:t>
      </w:r>
      <w:r w:rsidRPr="00F13AB4">
        <w:rPr>
          <w:sz w:val="18"/>
          <w:szCs w:val="18"/>
        </w:rPr>
        <w:t>, AEMO April 2015</w:t>
      </w:r>
    </w:p>
  </w:footnote>
  <w:footnote w:id="78">
    <w:p w14:paraId="78B5BC80" w14:textId="77777777" w:rsidR="00765E31" w:rsidRDefault="00765E31" w:rsidP="00A37634">
      <w:pPr>
        <w:pStyle w:val="FootnoteText"/>
      </w:pPr>
      <w:r w:rsidRPr="00F13AB4">
        <w:rPr>
          <w:rStyle w:val="FootnoteReference"/>
          <w:sz w:val="18"/>
          <w:szCs w:val="18"/>
        </w:rPr>
        <w:footnoteRef/>
      </w:r>
      <w:r w:rsidRPr="00F13AB4">
        <w:rPr>
          <w:sz w:val="18"/>
          <w:szCs w:val="18"/>
        </w:rPr>
        <w:t xml:space="preserve"> AS/NZS 4755 products can also be connected to and managed by a customer’s own home energy management system, without involving a DR service provider. </w:t>
      </w:r>
      <w:proofErr w:type="gramStart"/>
      <w:r w:rsidRPr="00F13AB4">
        <w:rPr>
          <w:sz w:val="18"/>
          <w:szCs w:val="18"/>
        </w:rPr>
        <w:t>Whether or not</w:t>
      </w:r>
      <w:proofErr w:type="gramEnd"/>
      <w:r w:rsidRPr="00F13AB4">
        <w:rPr>
          <w:sz w:val="18"/>
          <w:szCs w:val="18"/>
        </w:rPr>
        <w:t xml:space="preserve"> the customer operates the products in a way that supports network or generation constraints is uncertain, and will depend largely on the clarity of price signalling. The potential additional benefits of this form of price-drive demand response using AS/NZS 4755-compliant products have not been quantified.</w:t>
      </w:r>
      <w:r>
        <w:t xml:space="preserve">  </w:t>
      </w:r>
    </w:p>
  </w:footnote>
  <w:footnote w:id="79">
    <w:p w14:paraId="74BB8B07" w14:textId="77777777" w:rsidR="00765E31" w:rsidRPr="00F13AB4" w:rsidRDefault="00765E31" w:rsidP="00A37634">
      <w:pPr>
        <w:pStyle w:val="FootnoteText"/>
        <w:rPr>
          <w:sz w:val="18"/>
          <w:szCs w:val="18"/>
        </w:rPr>
      </w:pPr>
      <w:r>
        <w:rPr>
          <w:rStyle w:val="FootnoteReference"/>
        </w:rPr>
        <w:footnoteRef/>
      </w:r>
      <w:r>
        <w:t xml:space="preserve"> </w:t>
      </w:r>
      <w:r w:rsidRPr="00F13AB4">
        <w:rPr>
          <w:sz w:val="18"/>
          <w:szCs w:val="18"/>
        </w:rPr>
        <w:t>ACCC (2018), p6/398, p203/398</w:t>
      </w:r>
    </w:p>
  </w:footnote>
  <w:footnote w:id="80">
    <w:p w14:paraId="3D7CC1AF" w14:textId="77777777" w:rsidR="00765E31" w:rsidRPr="00F13AB4" w:rsidRDefault="00765E31" w:rsidP="00917221">
      <w:pPr>
        <w:pStyle w:val="FootnoteText"/>
        <w:rPr>
          <w:sz w:val="18"/>
          <w:szCs w:val="18"/>
        </w:rPr>
      </w:pPr>
      <w:r w:rsidRPr="00F13AB4">
        <w:rPr>
          <w:rStyle w:val="FootnoteReference"/>
          <w:sz w:val="18"/>
          <w:szCs w:val="18"/>
        </w:rPr>
        <w:footnoteRef/>
      </w:r>
      <w:r w:rsidRPr="00F13AB4">
        <w:rPr>
          <w:sz w:val="18"/>
          <w:szCs w:val="18"/>
        </w:rPr>
        <w:t xml:space="preserve"> The AGL “Managed for You” trial DR program for AS/NZS 4755 air conditioners states: “We agree to limit Peak Events during the Program Duration as </w:t>
      </w:r>
      <w:proofErr w:type="gramStart"/>
      <w:r w:rsidRPr="00F13AB4">
        <w:rPr>
          <w:sz w:val="18"/>
          <w:szCs w:val="18"/>
        </w:rPr>
        <w:t>follows:–</w:t>
      </w:r>
      <w:proofErr w:type="gramEnd"/>
      <w:r w:rsidRPr="00F13AB4">
        <w:rPr>
          <w:sz w:val="18"/>
          <w:szCs w:val="18"/>
        </w:rPr>
        <w:t xml:space="preserve"> each Peak Event will be a maximum of 2 hours long;– a maximum of 1 Peak Event per day;– a maximum of 2 consecutive days with a Peak Event; and– a maximum of 8 peak events for the Duration of the Program.”  </w:t>
      </w:r>
      <w:hyperlink r:id="rId23" w:history="1">
        <w:r w:rsidRPr="00F13AB4">
          <w:rPr>
            <w:rStyle w:val="Hyperlink"/>
            <w:sz w:val="18"/>
            <w:szCs w:val="18"/>
          </w:rPr>
          <w:t>https://www.agl.com.au/terms-conditions/managed-for-you-terms-and-conditions</w:t>
        </w:r>
      </w:hyperlink>
    </w:p>
  </w:footnote>
  <w:footnote w:id="81">
    <w:p w14:paraId="57AE6757" w14:textId="77777777" w:rsidR="00765E31" w:rsidRPr="00F13AB4" w:rsidRDefault="00765E31" w:rsidP="00A37634">
      <w:pPr>
        <w:pStyle w:val="FootnoteText"/>
        <w:rPr>
          <w:sz w:val="18"/>
          <w:szCs w:val="18"/>
        </w:rPr>
      </w:pPr>
      <w:r>
        <w:rPr>
          <w:rStyle w:val="FootnoteReference"/>
        </w:rPr>
        <w:footnoteRef/>
      </w:r>
      <w:r>
        <w:t xml:space="preserve"> </w:t>
      </w:r>
      <w:r w:rsidRPr="00F13AB4">
        <w:rPr>
          <w:sz w:val="18"/>
          <w:szCs w:val="18"/>
        </w:rPr>
        <w:t>ACCC (2018), p204/398</w:t>
      </w:r>
    </w:p>
  </w:footnote>
  <w:footnote w:id="82">
    <w:p w14:paraId="58BF4946" w14:textId="77777777" w:rsidR="00765E31" w:rsidRDefault="00765E31" w:rsidP="00A37634">
      <w:pPr>
        <w:pStyle w:val="FootnoteText"/>
      </w:pPr>
      <w:r w:rsidRPr="00F13AB4">
        <w:rPr>
          <w:rStyle w:val="FootnoteReference"/>
          <w:sz w:val="18"/>
          <w:szCs w:val="18"/>
        </w:rPr>
        <w:footnoteRef/>
      </w:r>
      <w:r w:rsidRPr="00F13AB4">
        <w:rPr>
          <w:sz w:val="18"/>
          <w:szCs w:val="18"/>
        </w:rPr>
        <w:t xml:space="preserve"> ACCC (2018) p19/398</w:t>
      </w:r>
    </w:p>
  </w:footnote>
  <w:footnote w:id="83">
    <w:p w14:paraId="6CEC49C2" w14:textId="02BB04FF" w:rsidR="00765E31" w:rsidRDefault="00765E31">
      <w:pPr>
        <w:pStyle w:val="FootnoteText"/>
      </w:pPr>
      <w:r>
        <w:rPr>
          <w:rStyle w:val="FootnoteReference"/>
        </w:rPr>
        <w:footnoteRef/>
      </w:r>
      <w:r>
        <w:t xml:space="preserve"> E3 (2019)</w:t>
      </w:r>
    </w:p>
  </w:footnote>
  <w:footnote w:id="84">
    <w:p w14:paraId="183A1C46" w14:textId="56AAFA38" w:rsidR="00765E31" w:rsidRDefault="00765E31" w:rsidP="00D62CD5">
      <w:pPr>
        <w:pStyle w:val="FootnoteText"/>
      </w:pPr>
      <w:r>
        <w:rPr>
          <w:rStyle w:val="FootnoteReference"/>
        </w:rPr>
        <w:footnoteRef/>
      </w:r>
      <w:r>
        <w:t xml:space="preserve"> </w:t>
      </w:r>
      <w:r w:rsidRPr="00F13AB4">
        <w:rPr>
          <w:sz w:val="18"/>
          <w:szCs w:val="18"/>
        </w:rPr>
        <w:t xml:space="preserve">This disclosure raises doubts about the statements of AS/NZS 4755.3.1 compliance made by air conditioner manufacturers when registering products on </w:t>
      </w:r>
      <w:hyperlink r:id="rId24" w:history="1">
        <w:r w:rsidRPr="00F13AB4">
          <w:rPr>
            <w:rStyle w:val="Hyperlink"/>
            <w:sz w:val="18"/>
            <w:szCs w:val="18"/>
          </w:rPr>
          <w:t>www.energyrating.gov.au</w:t>
        </w:r>
      </w:hyperlink>
      <w:r w:rsidRPr="00F13AB4">
        <w:rPr>
          <w:sz w:val="18"/>
          <w:szCs w:val="18"/>
        </w:rPr>
        <w:t>. Statements made after 2014 cannot legally refer to the 2012 version, since that was automatically superseded on the publication of the 2014 version.</w:t>
      </w:r>
      <w:r>
        <w:t xml:space="preserve"> </w:t>
      </w:r>
    </w:p>
  </w:footnote>
  <w:footnote w:id="85">
    <w:p w14:paraId="075442BB" w14:textId="34E2D0AD" w:rsidR="00765E31" w:rsidRPr="00524EA2" w:rsidRDefault="00765E31">
      <w:pPr>
        <w:pStyle w:val="FootnoteText"/>
        <w:rPr>
          <w:sz w:val="18"/>
          <w:szCs w:val="18"/>
        </w:rPr>
      </w:pPr>
      <w:r>
        <w:rPr>
          <w:rStyle w:val="FootnoteReference"/>
        </w:rPr>
        <w:footnoteRef/>
      </w:r>
      <w:r>
        <w:t xml:space="preserve"> </w:t>
      </w:r>
      <w:r w:rsidRPr="00524EA2">
        <w:rPr>
          <w:sz w:val="18"/>
          <w:szCs w:val="18"/>
        </w:rPr>
        <w:t xml:space="preserve">AEMO, personal communication, 28 September 2019. </w:t>
      </w:r>
    </w:p>
  </w:footnote>
  <w:footnote w:id="86">
    <w:p w14:paraId="71ADE33B" w14:textId="2BC01CB0" w:rsidR="00765E31" w:rsidRDefault="00765E31">
      <w:pPr>
        <w:pStyle w:val="FootnoteText"/>
      </w:pPr>
      <w:r w:rsidRPr="00524EA2">
        <w:rPr>
          <w:rStyle w:val="FootnoteReference"/>
          <w:sz w:val="18"/>
          <w:szCs w:val="18"/>
        </w:rPr>
        <w:footnoteRef/>
      </w:r>
      <w:r w:rsidRPr="00524EA2">
        <w:rPr>
          <w:sz w:val="18"/>
          <w:szCs w:val="18"/>
        </w:rPr>
        <w:t xml:space="preserve"> Pool industry representative involved in drafting AS/NZS 4755.3.2 took the view that if the periods of interruption through demand response were restricted to an hour or so and there was an over-ride option the risks would be negligible, since most pool owners run pumps for longer than is necessary to maintain sanitiser levels.</w:t>
      </w:r>
      <w:r>
        <w:t xml:space="preserve"> </w:t>
      </w:r>
    </w:p>
  </w:footnote>
  <w:footnote w:id="87">
    <w:p w14:paraId="7DEF1811" w14:textId="1040E04A" w:rsidR="00765E31" w:rsidRPr="00524EA2" w:rsidRDefault="00765E31">
      <w:pPr>
        <w:pStyle w:val="FootnoteText"/>
        <w:rPr>
          <w:sz w:val="18"/>
          <w:szCs w:val="18"/>
        </w:rPr>
      </w:pPr>
      <w:r>
        <w:rPr>
          <w:rStyle w:val="FootnoteReference"/>
        </w:rPr>
        <w:footnoteRef/>
      </w:r>
      <w:r>
        <w:t xml:space="preserve"> </w:t>
      </w:r>
      <w:hyperlink r:id="rId25" w:history="1">
        <w:r w:rsidRPr="00524EA2">
          <w:rPr>
            <w:rStyle w:val="Hyperlink"/>
            <w:sz w:val="18"/>
            <w:szCs w:val="18"/>
          </w:rPr>
          <w:t>https://www.accc.gov.au/public-registers/authorisations-and-notifications-registers/authorisations-register/new-energy-tech-consumer-code</w:t>
        </w:r>
      </w:hyperlink>
      <w:r w:rsidRPr="00524EA2">
        <w:rPr>
          <w:sz w:val="18"/>
          <w:szCs w:val="18"/>
        </w:rPr>
        <w:t xml:space="preserve">  </w:t>
      </w:r>
    </w:p>
  </w:footnote>
  <w:footnote w:id="88">
    <w:p w14:paraId="54FD4537" w14:textId="21DFC1F1" w:rsidR="00765E31" w:rsidRPr="00524EA2" w:rsidRDefault="00765E31">
      <w:pPr>
        <w:pStyle w:val="FootnoteText"/>
        <w:rPr>
          <w:sz w:val="18"/>
          <w:szCs w:val="18"/>
        </w:rPr>
      </w:pPr>
      <w:r w:rsidRPr="00524EA2">
        <w:rPr>
          <w:rStyle w:val="FootnoteReference"/>
          <w:sz w:val="18"/>
          <w:szCs w:val="18"/>
        </w:rPr>
        <w:footnoteRef/>
      </w:r>
      <w:r w:rsidRPr="00524EA2">
        <w:rPr>
          <w:sz w:val="18"/>
          <w:szCs w:val="18"/>
        </w:rPr>
        <w:t xml:space="preserve"> The Standards Committee </w:t>
      </w:r>
      <w:r>
        <w:rPr>
          <w:sz w:val="18"/>
          <w:szCs w:val="18"/>
        </w:rPr>
        <w:t xml:space="preserve">considered </w:t>
      </w:r>
      <w:r w:rsidRPr="00524EA2">
        <w:rPr>
          <w:sz w:val="18"/>
          <w:szCs w:val="18"/>
        </w:rPr>
        <w:t xml:space="preserve">that an on-unit override would compromise the economic value of </w:t>
      </w:r>
      <w:r>
        <w:rPr>
          <w:sz w:val="18"/>
          <w:szCs w:val="18"/>
        </w:rPr>
        <w:t xml:space="preserve">air conditioner </w:t>
      </w:r>
      <w:r w:rsidRPr="00524EA2">
        <w:rPr>
          <w:sz w:val="18"/>
          <w:szCs w:val="18"/>
        </w:rPr>
        <w:t xml:space="preserve">DR because it would make load reductions unpredictable and unreliable when they were most needed, and </w:t>
      </w:r>
      <w:r>
        <w:rPr>
          <w:sz w:val="18"/>
          <w:szCs w:val="18"/>
        </w:rPr>
        <w:t xml:space="preserve">Remote Agents could offer </w:t>
      </w:r>
      <w:r w:rsidRPr="00524EA2">
        <w:rPr>
          <w:sz w:val="18"/>
          <w:szCs w:val="18"/>
        </w:rPr>
        <w:t xml:space="preserve">event opt-out provisions in other ways. </w:t>
      </w:r>
    </w:p>
  </w:footnote>
  <w:footnote w:id="89">
    <w:p w14:paraId="52CEA6FB" w14:textId="03DB3F2C" w:rsidR="00765E31" w:rsidRPr="00524EA2" w:rsidRDefault="00765E31">
      <w:pPr>
        <w:pStyle w:val="FootnoteText"/>
        <w:rPr>
          <w:sz w:val="18"/>
          <w:szCs w:val="18"/>
        </w:rPr>
      </w:pPr>
      <w:r w:rsidRPr="00524EA2">
        <w:rPr>
          <w:rStyle w:val="FootnoteReference"/>
          <w:sz w:val="18"/>
          <w:szCs w:val="18"/>
        </w:rPr>
        <w:footnoteRef/>
      </w:r>
      <w:r w:rsidRPr="00524EA2">
        <w:rPr>
          <w:sz w:val="18"/>
          <w:szCs w:val="18"/>
        </w:rPr>
        <w:t xml:space="preserve"> Energex, personal communication May 2019</w:t>
      </w:r>
    </w:p>
  </w:footnote>
  <w:footnote w:id="90">
    <w:p w14:paraId="3C250959" w14:textId="638C679E" w:rsidR="00765E31" w:rsidRDefault="00765E31">
      <w:pPr>
        <w:pStyle w:val="FootnoteText"/>
      </w:pPr>
      <w:r>
        <w:rPr>
          <w:rStyle w:val="FootnoteReference"/>
        </w:rPr>
        <w:footnoteRef/>
      </w:r>
      <w:r>
        <w:t xml:space="preserve"> </w:t>
      </w:r>
      <w:r w:rsidRPr="007E7799">
        <w:rPr>
          <w:sz w:val="18"/>
          <w:szCs w:val="18"/>
        </w:rPr>
        <w:t>Ausgrid (2017)</w:t>
      </w:r>
      <w:r>
        <w:rPr>
          <w:sz w:val="18"/>
          <w:szCs w:val="18"/>
        </w:rPr>
        <w:t xml:space="preserve">; </w:t>
      </w:r>
      <w:r w:rsidRPr="007E7799">
        <w:rPr>
          <w:sz w:val="18"/>
          <w:szCs w:val="18"/>
        </w:rPr>
        <w:t>AGL personal communication October 2019</w:t>
      </w:r>
      <w:r>
        <w:t xml:space="preserve">. </w:t>
      </w:r>
    </w:p>
  </w:footnote>
  <w:footnote w:id="91">
    <w:p w14:paraId="21C4796A" w14:textId="61A9C7A9" w:rsidR="00765E31" w:rsidRDefault="00765E31">
      <w:pPr>
        <w:pStyle w:val="FootnoteText"/>
      </w:pPr>
      <w:r>
        <w:rPr>
          <w:rStyle w:val="FootnoteReference"/>
        </w:rPr>
        <w:footnoteRef/>
      </w:r>
      <w:r>
        <w:t xml:space="preserve"> </w:t>
      </w:r>
      <w:r w:rsidRPr="007E7799">
        <w:rPr>
          <w:sz w:val="18"/>
          <w:szCs w:val="18"/>
        </w:rPr>
        <w:t>GEMS Act review (2019), p 11/92</w:t>
      </w:r>
      <w:r>
        <w:t xml:space="preserve">.  </w:t>
      </w:r>
    </w:p>
  </w:footnote>
  <w:footnote w:id="92">
    <w:p w14:paraId="3D6AE603" w14:textId="77777777" w:rsidR="00765E31" w:rsidRDefault="00765E31" w:rsidP="00A37634">
      <w:pPr>
        <w:pStyle w:val="FootnoteText"/>
      </w:pPr>
      <w:r>
        <w:rPr>
          <w:rStyle w:val="FootnoteReference"/>
        </w:rPr>
        <w:footnoteRef/>
      </w:r>
      <w:r>
        <w:t xml:space="preserve"> </w:t>
      </w:r>
      <w:r w:rsidRPr="00494E42">
        <w:rPr>
          <w:sz w:val="18"/>
          <w:szCs w:val="18"/>
        </w:rPr>
        <w:t xml:space="preserve">Much of the technical content of (DR) AS/NZS 4755.3.4 </w:t>
      </w:r>
      <w:r>
        <w:rPr>
          <w:sz w:val="18"/>
          <w:szCs w:val="18"/>
        </w:rPr>
        <w:t xml:space="preserve">was later incorporated in </w:t>
      </w:r>
      <w:r w:rsidRPr="00494E42">
        <w:rPr>
          <w:sz w:val="18"/>
          <w:szCs w:val="18"/>
        </w:rPr>
        <w:t>AS/NZS 4755.3.5</w:t>
      </w:r>
      <w:r>
        <w:rPr>
          <w:sz w:val="18"/>
          <w:szCs w:val="18"/>
        </w:rPr>
        <w:t>:2016</w:t>
      </w:r>
      <w:r w:rsidRPr="00494E42">
        <w:rPr>
          <w:sz w:val="18"/>
          <w:szCs w:val="18"/>
        </w:rPr>
        <w:t xml:space="preserve"> </w:t>
      </w:r>
      <w:r w:rsidRPr="00494E42">
        <w:rPr>
          <w:i/>
          <w:iCs/>
          <w:sz w:val="18"/>
          <w:szCs w:val="18"/>
        </w:rPr>
        <w:t>Operational instructions and connections for grid-connected electrical energy storage systems</w:t>
      </w:r>
      <w:r w:rsidRPr="00494E42">
        <w:rPr>
          <w:sz w:val="18"/>
          <w:szCs w:val="18"/>
        </w:rPr>
        <w:t xml:space="preserve"> and </w:t>
      </w:r>
      <w:r>
        <w:rPr>
          <w:sz w:val="18"/>
          <w:szCs w:val="18"/>
        </w:rPr>
        <w:t xml:space="preserve">in </w:t>
      </w:r>
      <w:r w:rsidRPr="00494E42">
        <w:rPr>
          <w:sz w:val="18"/>
          <w:szCs w:val="18"/>
        </w:rPr>
        <w:t xml:space="preserve">Appendix D of (DR) AS 4755.2. </w:t>
      </w:r>
    </w:p>
  </w:footnote>
  <w:footnote w:id="93">
    <w:p w14:paraId="65E8FAA1" w14:textId="67AB659D" w:rsidR="00765E31" w:rsidRPr="006D2CD9" w:rsidRDefault="00765E31" w:rsidP="000A656B">
      <w:pPr>
        <w:pStyle w:val="FootnoteText"/>
        <w:rPr>
          <w:sz w:val="18"/>
          <w:szCs w:val="18"/>
        </w:rPr>
      </w:pPr>
      <w:r>
        <w:rPr>
          <w:rStyle w:val="FootnoteReference"/>
        </w:rPr>
        <w:footnoteRef/>
      </w:r>
      <w:r>
        <w:t xml:space="preserve"> ACCC (</w:t>
      </w:r>
      <w:r w:rsidRPr="006D2CD9">
        <w:rPr>
          <w:sz w:val="18"/>
          <w:szCs w:val="18"/>
        </w:rPr>
        <w:t>2018</w:t>
      </w:r>
      <w:r>
        <w:rPr>
          <w:sz w:val="18"/>
          <w:szCs w:val="18"/>
        </w:rPr>
        <w:t>)</w:t>
      </w:r>
      <w:r w:rsidRPr="006D2CD9">
        <w:rPr>
          <w:sz w:val="18"/>
          <w:szCs w:val="18"/>
        </w:rPr>
        <w:t>, p230/398</w:t>
      </w:r>
    </w:p>
  </w:footnote>
  <w:footnote w:id="94">
    <w:p w14:paraId="567F8742" w14:textId="7B19A0CD" w:rsidR="00765E31" w:rsidRDefault="00765E31">
      <w:pPr>
        <w:pStyle w:val="FootnoteText"/>
      </w:pPr>
      <w:r>
        <w:rPr>
          <w:rStyle w:val="FootnoteReference"/>
        </w:rPr>
        <w:footnoteRef/>
      </w:r>
      <w:r>
        <w:t xml:space="preserve"> This is the main difference between the 2012 and 2014 versions of AS/NZS 4755.3.1. The 2014 version would require a load reduction </w:t>
      </w:r>
      <w:proofErr w:type="gramStart"/>
      <w:r>
        <w:t>with reference to</w:t>
      </w:r>
      <w:proofErr w:type="gramEnd"/>
      <w:r>
        <w:t xml:space="preserve"> the operating conditions at the time, not to a fixed reference value. </w:t>
      </w:r>
    </w:p>
  </w:footnote>
  <w:footnote w:id="95">
    <w:p w14:paraId="0B36E9C9" w14:textId="77777777" w:rsidR="00765E31" w:rsidRDefault="00765E31" w:rsidP="000A656B">
      <w:pPr>
        <w:pStyle w:val="FootnoteText"/>
      </w:pPr>
      <w:r w:rsidRPr="006D2CD9">
        <w:rPr>
          <w:rStyle w:val="FootnoteReference"/>
          <w:sz w:val="18"/>
          <w:szCs w:val="18"/>
        </w:rPr>
        <w:footnoteRef/>
      </w:r>
      <w:r w:rsidRPr="006D2CD9">
        <w:rPr>
          <w:sz w:val="18"/>
          <w:szCs w:val="18"/>
        </w:rPr>
        <w:t xml:space="preserve"> </w:t>
      </w:r>
      <w:hyperlink r:id="rId26" w:history="1">
        <w:r w:rsidRPr="009445FD">
          <w:rPr>
            <w:rStyle w:val="Hyperlink1"/>
            <w:sz w:val="18"/>
            <w:szCs w:val="18"/>
          </w:rPr>
          <w:t>https://www.aemc.gov.au/rule-changes/wholesale-demand-response-mechanism</w:t>
        </w:r>
      </w:hyperlink>
    </w:p>
  </w:footnote>
  <w:footnote w:id="96">
    <w:p w14:paraId="54B371F3" w14:textId="77777777" w:rsidR="00765E31" w:rsidRPr="006D2CD9" w:rsidRDefault="00765E31" w:rsidP="000A656B">
      <w:pPr>
        <w:pStyle w:val="FootnoteText"/>
        <w:rPr>
          <w:sz w:val="18"/>
          <w:szCs w:val="18"/>
        </w:rPr>
      </w:pPr>
      <w:r>
        <w:rPr>
          <w:rStyle w:val="FootnoteReference"/>
        </w:rPr>
        <w:footnoteRef/>
      </w:r>
      <w:r>
        <w:t xml:space="preserve"> </w:t>
      </w:r>
      <w:hyperlink r:id="rId27" w:history="1">
        <w:r w:rsidRPr="006D2CD9">
          <w:rPr>
            <w:rStyle w:val="Hyperlink1"/>
            <w:sz w:val="18"/>
            <w:szCs w:val="18"/>
          </w:rPr>
          <w:t>https://www.aemo.com.au/Electricity/National-Electricity-Market-NEM/Emergency-Management/RERT-panel-expressions-of-interest</w:t>
        </w:r>
      </w:hyperlink>
    </w:p>
  </w:footnote>
  <w:footnote w:id="97">
    <w:p w14:paraId="03275E62" w14:textId="77777777" w:rsidR="00765E31" w:rsidRPr="006D2CD9" w:rsidRDefault="00765E31" w:rsidP="000A656B">
      <w:pPr>
        <w:pStyle w:val="FootnoteText"/>
        <w:rPr>
          <w:sz w:val="18"/>
          <w:szCs w:val="18"/>
        </w:rPr>
      </w:pPr>
      <w:r w:rsidRPr="006D2CD9">
        <w:rPr>
          <w:rStyle w:val="FootnoteReference"/>
          <w:sz w:val="18"/>
          <w:szCs w:val="18"/>
        </w:rPr>
        <w:footnoteRef/>
      </w:r>
      <w:r w:rsidRPr="006D2CD9">
        <w:rPr>
          <w:sz w:val="18"/>
          <w:szCs w:val="18"/>
        </w:rPr>
        <w:t xml:space="preserve"> This was still below the legislated pool price cap of $14,500/MWh.  </w:t>
      </w:r>
    </w:p>
  </w:footnote>
  <w:footnote w:id="98">
    <w:p w14:paraId="185C86AF" w14:textId="77777777" w:rsidR="00765E31" w:rsidRDefault="00765E31" w:rsidP="000A656B">
      <w:pPr>
        <w:pStyle w:val="FootnoteText"/>
      </w:pPr>
      <w:r>
        <w:rPr>
          <w:rStyle w:val="FootnoteReference"/>
        </w:rPr>
        <w:footnoteRef/>
      </w:r>
      <w:r>
        <w:t xml:space="preserve"> </w:t>
      </w:r>
      <w:r w:rsidRPr="00F71E4F">
        <w:rPr>
          <w:i/>
          <w:iCs/>
        </w:rPr>
        <w:t>Guide to Ancillary Services on the National Electricity Market</w:t>
      </w:r>
      <w:r>
        <w:t>, AEMO April 2015</w:t>
      </w:r>
    </w:p>
  </w:footnote>
  <w:footnote w:id="99">
    <w:p w14:paraId="192A4484" w14:textId="77777777" w:rsidR="00765E31" w:rsidRDefault="00765E31" w:rsidP="00B303A7">
      <w:pPr>
        <w:pStyle w:val="FootnoteText"/>
      </w:pPr>
      <w:r>
        <w:rPr>
          <w:rStyle w:val="FootnoteReference"/>
        </w:rPr>
        <w:footnoteRef/>
      </w:r>
      <w:r>
        <w:t xml:space="preserve"> e.g. </w:t>
      </w:r>
      <w:r w:rsidRPr="00DC48CB">
        <w:rPr>
          <w:i/>
          <w:iCs/>
        </w:rPr>
        <w:t>Automated and Zero Emission Vehicle Infrastructure Advice: Energy Impact Modelling,</w:t>
      </w:r>
      <w:r w:rsidRPr="00DC48CB">
        <w:t xml:space="preserve"> KPMG for Infrastru</w:t>
      </w:r>
      <w:r>
        <w:t>c</w:t>
      </w:r>
      <w:r w:rsidRPr="00DC48CB">
        <w:t>ture Victoria, Final Report, July 2018</w:t>
      </w:r>
    </w:p>
  </w:footnote>
  <w:footnote w:id="100">
    <w:p w14:paraId="37FDA755" w14:textId="0B5A72BB" w:rsidR="00765E31" w:rsidRDefault="00765E31">
      <w:pPr>
        <w:pStyle w:val="FootnoteText"/>
      </w:pPr>
      <w:r>
        <w:rPr>
          <w:rStyle w:val="FootnoteReference"/>
        </w:rPr>
        <w:footnoteRef/>
      </w:r>
      <w:r>
        <w:t xml:space="preserve"> </w:t>
      </w:r>
      <w:hyperlink r:id="rId28" w:history="1">
        <w:r w:rsidRPr="004E54A5">
          <w:rPr>
            <w:rStyle w:val="Hyperlink"/>
          </w:rPr>
          <w:t>http://forecasting.aemo.com.au/</w:t>
        </w:r>
      </w:hyperlink>
      <w:r>
        <w:t xml:space="preserve"> The 2018 </w:t>
      </w:r>
      <w:proofErr w:type="spellStart"/>
      <w:r>
        <w:t>ESOO</w:t>
      </w:r>
      <w:proofErr w:type="spellEnd"/>
      <w:r>
        <w:t xml:space="preserve"> </w:t>
      </w:r>
      <w:bookmarkStart w:id="167" w:name="_Hlk22201986"/>
      <w:r w:rsidRPr="00166A2C">
        <w:t>Electricity Maximum Demand Electric Vehicles</w:t>
      </w:r>
      <w:r>
        <w:t xml:space="preserve"> </w:t>
      </w:r>
      <w:bookmarkEnd w:id="167"/>
      <w:r>
        <w:t xml:space="preserve">values were used in this analysis. The updated 2019 </w:t>
      </w:r>
      <w:proofErr w:type="spellStart"/>
      <w:r>
        <w:t>ESOO</w:t>
      </w:r>
      <w:proofErr w:type="spellEnd"/>
      <w:r>
        <w:t xml:space="preserve"> </w:t>
      </w:r>
      <w:r w:rsidRPr="00166A2C">
        <w:t>Electricity Maximum Demand Electric Vehicles</w:t>
      </w:r>
      <w:r>
        <w:t xml:space="preserve"> are nearly identical.   </w:t>
      </w:r>
    </w:p>
  </w:footnote>
  <w:footnote w:id="101">
    <w:p w14:paraId="19228E92" w14:textId="77777777" w:rsidR="00765E31" w:rsidRDefault="00765E31" w:rsidP="008F378B">
      <w:pPr>
        <w:pStyle w:val="FootnoteText"/>
      </w:pPr>
      <w:r w:rsidRPr="006D2CD9">
        <w:rPr>
          <w:rStyle w:val="FootnoteReference"/>
          <w:sz w:val="18"/>
          <w:szCs w:val="18"/>
        </w:rPr>
        <w:footnoteRef/>
      </w:r>
      <w:r w:rsidRPr="006D2CD9">
        <w:rPr>
          <w:sz w:val="18"/>
          <w:szCs w:val="18"/>
        </w:rPr>
        <w:t xml:space="preserve"> AS/NZ</w:t>
      </w:r>
      <w:r>
        <w:rPr>
          <w:sz w:val="18"/>
          <w:szCs w:val="18"/>
        </w:rPr>
        <w:t>S</w:t>
      </w:r>
      <w:r w:rsidRPr="006D2CD9">
        <w:rPr>
          <w:sz w:val="18"/>
          <w:szCs w:val="18"/>
        </w:rPr>
        <w:t xml:space="preserve"> 4755 products can also be connected to and managed by a customer’s own home energy management system, without involving a DR service provider. </w:t>
      </w:r>
      <w:proofErr w:type="gramStart"/>
      <w:r w:rsidRPr="006D2CD9">
        <w:rPr>
          <w:sz w:val="18"/>
          <w:szCs w:val="18"/>
        </w:rPr>
        <w:t>Whether or not</w:t>
      </w:r>
      <w:proofErr w:type="gramEnd"/>
      <w:r w:rsidRPr="006D2CD9">
        <w:rPr>
          <w:sz w:val="18"/>
          <w:szCs w:val="18"/>
        </w:rPr>
        <w:t xml:space="preserve"> the customer operates the products in a way that supports network or generation constraints is uncertain, and will depend largely on the clarity of price signalling. The potential additional benefits of this form of price-drive demand response using AS/NZS 4755-compliant products have not been quantified.</w:t>
      </w:r>
      <w:r>
        <w:t xml:space="preserve">  </w:t>
      </w:r>
    </w:p>
  </w:footnote>
  <w:footnote w:id="102">
    <w:p w14:paraId="32E086CC" w14:textId="77777777" w:rsidR="00765E31" w:rsidRDefault="00765E31" w:rsidP="00A37634">
      <w:pPr>
        <w:pStyle w:val="FootnoteText"/>
      </w:pPr>
      <w:r>
        <w:rPr>
          <w:rStyle w:val="FootnoteReference"/>
        </w:rPr>
        <w:footnoteRef/>
      </w:r>
      <w:r>
        <w:t xml:space="preserve"> Energex, Personal communication 3 May 2019 </w:t>
      </w:r>
    </w:p>
  </w:footnote>
  <w:footnote w:id="103">
    <w:p w14:paraId="3AA0524D" w14:textId="77777777" w:rsidR="00765E31" w:rsidRDefault="00765E31" w:rsidP="00990505">
      <w:pPr>
        <w:pStyle w:val="FootnoteText"/>
      </w:pPr>
      <w:r>
        <w:rPr>
          <w:rStyle w:val="FootnoteReference"/>
        </w:rPr>
        <w:footnoteRef/>
      </w:r>
      <w:r>
        <w:t xml:space="preserve"> Queensland regions compared, Census 2016, Queensland Government Statisticians’ Office, 2017</w:t>
      </w:r>
    </w:p>
  </w:footnote>
  <w:footnote w:id="104">
    <w:p w14:paraId="33821A42" w14:textId="77777777" w:rsidR="00765E31" w:rsidRDefault="00765E31" w:rsidP="00990505">
      <w:pPr>
        <w:pStyle w:val="FootnoteText"/>
      </w:pPr>
      <w:r>
        <w:rPr>
          <w:rStyle w:val="FootnoteReference"/>
        </w:rPr>
        <w:footnoteRef/>
      </w:r>
      <w:r>
        <w:t xml:space="preserve"> An ARENA-funded AGL trial of post-installation offers to activate AS/NZS 4755 air conditioners was unsuccessful because </w:t>
      </w:r>
      <w:r w:rsidRPr="00D21D47">
        <w:t>too few of the volunteers had AS/NZS 4755 air conditioners</w:t>
      </w:r>
      <w:r>
        <w:t>.</w:t>
      </w:r>
    </w:p>
  </w:footnote>
  <w:footnote w:id="105">
    <w:p w14:paraId="5FB7211C" w14:textId="77777777" w:rsidR="00765E31" w:rsidRPr="007B5CB2" w:rsidRDefault="00765E31" w:rsidP="00A37634">
      <w:pPr>
        <w:pStyle w:val="FootnoteText"/>
        <w:rPr>
          <w:sz w:val="18"/>
          <w:szCs w:val="18"/>
        </w:rPr>
      </w:pPr>
      <w:r>
        <w:rPr>
          <w:rStyle w:val="FootnoteReference"/>
        </w:rPr>
        <w:footnoteRef/>
      </w:r>
      <w:r>
        <w:t xml:space="preserve"> </w:t>
      </w:r>
      <w:r w:rsidRPr="007B5CB2">
        <w:rPr>
          <w:sz w:val="18"/>
          <w:szCs w:val="18"/>
        </w:rPr>
        <w:t xml:space="preserve">The Preface to (DR) AS 4755.2 states: “Users of this standard are invited to propose new appendices to Committee EL-054, </w:t>
      </w:r>
      <w:proofErr w:type="gramStart"/>
      <w:r w:rsidRPr="007B5CB2">
        <w:rPr>
          <w:sz w:val="18"/>
          <w:szCs w:val="18"/>
        </w:rPr>
        <w:t>provided that</w:t>
      </w:r>
      <w:proofErr w:type="gramEnd"/>
      <w:r w:rsidRPr="007B5CB2">
        <w:rPr>
          <w:sz w:val="18"/>
          <w:szCs w:val="18"/>
        </w:rPr>
        <w:t xml:space="preserve"> electrical products embodying those means and formats of communications can be physically tested to ensure they meet the requirements of the standard. Proposals should be:</w:t>
      </w:r>
    </w:p>
    <w:p w14:paraId="0F7E0D6F" w14:textId="77777777" w:rsidR="00765E31" w:rsidRPr="007B5CB2" w:rsidRDefault="00765E31" w:rsidP="00A37634">
      <w:pPr>
        <w:pStyle w:val="FootnoteText"/>
        <w:rPr>
          <w:sz w:val="18"/>
          <w:szCs w:val="18"/>
        </w:rPr>
      </w:pPr>
      <w:r w:rsidRPr="007B5CB2">
        <w:rPr>
          <w:sz w:val="18"/>
          <w:szCs w:val="18"/>
        </w:rPr>
        <w:t>(a)</w:t>
      </w:r>
      <w:r w:rsidRPr="007B5CB2">
        <w:rPr>
          <w:sz w:val="18"/>
          <w:szCs w:val="18"/>
        </w:rPr>
        <w:tab/>
        <w:t>Standards-based — leveraging existing Standards.</w:t>
      </w:r>
    </w:p>
    <w:p w14:paraId="71D62221" w14:textId="77777777" w:rsidR="00765E31" w:rsidRPr="007B5CB2" w:rsidRDefault="00765E31" w:rsidP="00A37634">
      <w:pPr>
        <w:pStyle w:val="FootnoteText"/>
        <w:rPr>
          <w:sz w:val="18"/>
          <w:szCs w:val="18"/>
        </w:rPr>
      </w:pPr>
      <w:r w:rsidRPr="007B5CB2">
        <w:rPr>
          <w:sz w:val="18"/>
          <w:szCs w:val="18"/>
        </w:rPr>
        <w:t>(b)</w:t>
      </w:r>
      <w:r w:rsidRPr="007B5CB2">
        <w:rPr>
          <w:sz w:val="18"/>
          <w:szCs w:val="18"/>
        </w:rPr>
        <w:tab/>
        <w:t>Simple — easy to describe, understand, implement and deploy.</w:t>
      </w:r>
    </w:p>
    <w:p w14:paraId="3EE83EC7" w14:textId="77777777" w:rsidR="00765E31" w:rsidRPr="007B5CB2" w:rsidRDefault="00765E31" w:rsidP="00A37634">
      <w:pPr>
        <w:pStyle w:val="FootnoteText"/>
        <w:rPr>
          <w:sz w:val="18"/>
          <w:szCs w:val="18"/>
        </w:rPr>
      </w:pPr>
      <w:r w:rsidRPr="007B5CB2">
        <w:rPr>
          <w:sz w:val="18"/>
          <w:szCs w:val="18"/>
        </w:rPr>
        <w:t>(c)</w:t>
      </w:r>
      <w:r w:rsidRPr="007B5CB2">
        <w:rPr>
          <w:sz w:val="18"/>
          <w:szCs w:val="18"/>
        </w:rPr>
        <w:tab/>
        <w:t>Testable — implementations should be easy to test.</w:t>
      </w:r>
    </w:p>
    <w:p w14:paraId="6EBD3C9F" w14:textId="77777777" w:rsidR="00765E31" w:rsidRPr="007B5CB2" w:rsidRDefault="00765E31" w:rsidP="00A37634">
      <w:pPr>
        <w:pStyle w:val="FootnoteText"/>
        <w:rPr>
          <w:sz w:val="18"/>
          <w:szCs w:val="18"/>
        </w:rPr>
      </w:pPr>
      <w:r w:rsidRPr="007B5CB2">
        <w:rPr>
          <w:sz w:val="18"/>
          <w:szCs w:val="18"/>
        </w:rPr>
        <w:t>(d)</w:t>
      </w:r>
      <w:r w:rsidRPr="007B5CB2">
        <w:rPr>
          <w:sz w:val="18"/>
          <w:szCs w:val="18"/>
        </w:rPr>
        <w:tab/>
        <w:t>Reliable — auto-recovery after transient failures.</w:t>
      </w:r>
    </w:p>
    <w:p w14:paraId="6CCB81EA" w14:textId="77777777" w:rsidR="00765E31" w:rsidRPr="007B5CB2" w:rsidRDefault="00765E31" w:rsidP="00A37634">
      <w:pPr>
        <w:pStyle w:val="FootnoteText"/>
        <w:rPr>
          <w:sz w:val="18"/>
          <w:szCs w:val="18"/>
        </w:rPr>
      </w:pPr>
      <w:r w:rsidRPr="007B5CB2">
        <w:rPr>
          <w:sz w:val="18"/>
          <w:szCs w:val="18"/>
        </w:rPr>
        <w:t>(e)</w:t>
      </w:r>
      <w:r w:rsidRPr="007B5CB2">
        <w:rPr>
          <w:sz w:val="18"/>
          <w:szCs w:val="18"/>
        </w:rPr>
        <w:tab/>
        <w:t>Secure — security of both the electrical product and the remote agent should be maintained.</w:t>
      </w:r>
    </w:p>
    <w:p w14:paraId="5643EC69" w14:textId="77777777" w:rsidR="00765E31" w:rsidRPr="007B5CB2" w:rsidRDefault="00765E31" w:rsidP="00A37634">
      <w:pPr>
        <w:pStyle w:val="FootnoteText"/>
        <w:rPr>
          <w:sz w:val="18"/>
          <w:szCs w:val="18"/>
        </w:rPr>
      </w:pPr>
      <w:r w:rsidRPr="007B5CB2">
        <w:rPr>
          <w:sz w:val="18"/>
          <w:szCs w:val="18"/>
        </w:rPr>
        <w:t>(f)</w:t>
      </w:r>
      <w:r w:rsidRPr="007B5CB2">
        <w:rPr>
          <w:sz w:val="18"/>
          <w:szCs w:val="18"/>
        </w:rPr>
        <w:tab/>
        <w:t>Flexible — should allow for a variety of deployment patterns.</w:t>
      </w:r>
    </w:p>
    <w:p w14:paraId="06D16279" w14:textId="77777777" w:rsidR="00765E31" w:rsidRPr="007B5CB2" w:rsidRDefault="00765E31" w:rsidP="00A37634">
      <w:pPr>
        <w:pStyle w:val="FootnoteText"/>
        <w:rPr>
          <w:sz w:val="18"/>
          <w:szCs w:val="18"/>
        </w:rPr>
      </w:pPr>
      <w:r w:rsidRPr="007B5CB2">
        <w:rPr>
          <w:sz w:val="18"/>
          <w:szCs w:val="18"/>
        </w:rPr>
        <w:t>(g)</w:t>
      </w:r>
      <w:r w:rsidRPr="007B5CB2">
        <w:rPr>
          <w:sz w:val="18"/>
          <w:szCs w:val="18"/>
        </w:rPr>
        <w:tab/>
        <w:t>Efficient — should be mindful of network bandwidth and power usage.</w:t>
      </w:r>
    </w:p>
    <w:p w14:paraId="29BB65C5" w14:textId="77777777" w:rsidR="00765E31" w:rsidRPr="007B5CB2" w:rsidRDefault="00765E31" w:rsidP="00A37634">
      <w:pPr>
        <w:pStyle w:val="FootnoteText"/>
        <w:rPr>
          <w:sz w:val="18"/>
          <w:szCs w:val="18"/>
        </w:rPr>
      </w:pPr>
      <w:r w:rsidRPr="007B5CB2">
        <w:rPr>
          <w:sz w:val="18"/>
          <w:szCs w:val="18"/>
        </w:rPr>
        <w:t>(h)</w:t>
      </w:r>
      <w:r w:rsidRPr="007B5CB2">
        <w:rPr>
          <w:sz w:val="18"/>
          <w:szCs w:val="18"/>
        </w:rPr>
        <w:tab/>
        <w:t>Compatible — should fit the AS 4755 framework.</w:t>
      </w:r>
    </w:p>
    <w:p w14:paraId="153BF7AF" w14:textId="77777777" w:rsidR="00765E31" w:rsidRPr="007B5CB2" w:rsidRDefault="00765E31" w:rsidP="00A37634">
      <w:pPr>
        <w:pStyle w:val="FootnoteText"/>
        <w:rPr>
          <w:sz w:val="18"/>
          <w:szCs w:val="18"/>
        </w:rPr>
      </w:pPr>
      <w:r w:rsidRPr="007B5CB2">
        <w:rPr>
          <w:sz w:val="18"/>
          <w:szCs w:val="18"/>
        </w:rPr>
        <w:t>(i)</w:t>
      </w:r>
      <w:r w:rsidRPr="007B5CB2">
        <w:rPr>
          <w:sz w:val="18"/>
          <w:szCs w:val="18"/>
        </w:rPr>
        <w:tab/>
        <w:t>Fully documented so both RAs and testers are able to replicate it.”</w:t>
      </w:r>
    </w:p>
  </w:footnote>
  <w:footnote w:id="106">
    <w:p w14:paraId="32C86B9A" w14:textId="77777777" w:rsidR="00765E31" w:rsidRDefault="00765E31" w:rsidP="00A37634">
      <w:pPr>
        <w:pStyle w:val="FootnoteText"/>
      </w:pPr>
      <w:r>
        <w:rPr>
          <w:rStyle w:val="FootnoteReference"/>
        </w:rPr>
        <w:footnoteRef/>
      </w:r>
      <w:r>
        <w:t xml:space="preserve"> </w:t>
      </w:r>
      <w:hyperlink r:id="rId29" w:history="1">
        <w:r w:rsidRPr="000D2707">
          <w:rPr>
            <w:rStyle w:val="Hyperlink1"/>
          </w:rPr>
          <w:t>https://echonet.jp/product_en/echonet_lite_specification/</w:t>
        </w:r>
      </w:hyperlink>
    </w:p>
  </w:footnote>
  <w:footnote w:id="107">
    <w:p w14:paraId="4DD4B46F" w14:textId="77777777" w:rsidR="00765E31" w:rsidRDefault="00765E31" w:rsidP="00A37634">
      <w:pPr>
        <w:pStyle w:val="FootnoteText"/>
      </w:pPr>
      <w:r>
        <w:rPr>
          <w:rStyle w:val="FootnoteReference"/>
        </w:rPr>
        <w:footnoteRef/>
      </w:r>
      <w:r>
        <w:t xml:space="preserve"> </w:t>
      </w:r>
      <w:r w:rsidRPr="000E49D0">
        <w:t>https://www.energystar.gov/sites/default/files/ENERGY%20STAR%20Version%204.0%20Room%20Air%20Conditioners%20Program%20Requirements.pdf</w:t>
      </w:r>
    </w:p>
  </w:footnote>
  <w:footnote w:id="108">
    <w:p w14:paraId="44AC4D3A" w14:textId="77777777" w:rsidR="00765E31" w:rsidRDefault="00765E31" w:rsidP="00A37634">
      <w:pPr>
        <w:pStyle w:val="FootnoteText"/>
      </w:pPr>
      <w:r>
        <w:rPr>
          <w:rStyle w:val="FootnoteReference"/>
        </w:rPr>
        <w:footnoteRef/>
      </w:r>
      <w:r>
        <w:t xml:space="preserve"> </w:t>
      </w:r>
      <w:r w:rsidRPr="00EA68B4">
        <w:t>https://nest.com/energy-partners/</w:t>
      </w:r>
    </w:p>
  </w:footnote>
  <w:footnote w:id="109">
    <w:p w14:paraId="211B71A1" w14:textId="77777777" w:rsidR="00765E31" w:rsidRDefault="00765E31" w:rsidP="00A37634">
      <w:pPr>
        <w:pStyle w:val="FootnoteText"/>
      </w:pPr>
      <w:r>
        <w:rPr>
          <w:rStyle w:val="FootnoteReference"/>
        </w:rPr>
        <w:footnoteRef/>
      </w:r>
      <w:r>
        <w:t xml:space="preserve"> </w:t>
      </w:r>
      <w:hyperlink r:id="rId30" w:history="1">
        <w:r w:rsidRPr="00A2476B">
          <w:rPr>
            <w:rStyle w:val="Hyperlink1"/>
          </w:rPr>
          <w:t>https://www.energystar.gov/products/spec/connected_thermostats_specification_v1_0_pd</w:t>
        </w:r>
      </w:hyperlink>
    </w:p>
  </w:footnote>
  <w:footnote w:id="110">
    <w:p w14:paraId="34E2F2DF" w14:textId="77777777" w:rsidR="00765E31" w:rsidRDefault="00765E31" w:rsidP="00A37634">
      <w:pPr>
        <w:pStyle w:val="FootnoteText"/>
      </w:pPr>
      <w:r>
        <w:rPr>
          <w:rStyle w:val="FootnoteReference"/>
        </w:rPr>
        <w:footnoteRef/>
      </w:r>
      <w:r>
        <w:t xml:space="preserve"> </w:t>
      </w:r>
      <w:r w:rsidRPr="007B24D0">
        <w:t>Winton (2010) A Quantitative Research Study into Ownership and Usage Patterns of Single-Duct Portable Space Conditioners and Fixed Air Conditioners</w:t>
      </w:r>
      <w:r>
        <w:t xml:space="preserve">, </w:t>
      </w:r>
      <w:r w:rsidRPr="007B24D0">
        <w:t xml:space="preserve">Winton Sustainable Research Strategies, for </w:t>
      </w:r>
      <w:proofErr w:type="spellStart"/>
      <w:r w:rsidRPr="007B24D0">
        <w:t>DCCEE</w:t>
      </w:r>
      <w:proofErr w:type="spellEnd"/>
      <w:r w:rsidRPr="007B24D0">
        <w:t>, May 2010</w:t>
      </w:r>
    </w:p>
  </w:footnote>
  <w:footnote w:id="111">
    <w:p w14:paraId="665C4CF5" w14:textId="77777777" w:rsidR="00765E31" w:rsidRDefault="00765E31" w:rsidP="00A37634">
      <w:pPr>
        <w:pStyle w:val="FootnoteText"/>
      </w:pPr>
      <w:r>
        <w:rPr>
          <w:rStyle w:val="FootnoteReference"/>
        </w:rPr>
        <w:footnoteRef/>
      </w:r>
      <w:r>
        <w:t xml:space="preserve"> </w:t>
      </w:r>
      <w:r w:rsidRPr="00861577">
        <w:t>https://www.powercor.com.au/energy-partner/</w:t>
      </w:r>
    </w:p>
  </w:footnote>
  <w:footnote w:id="112">
    <w:p w14:paraId="7E014DE2" w14:textId="77777777" w:rsidR="00765E31" w:rsidRDefault="00765E31" w:rsidP="00A37634">
      <w:pPr>
        <w:pStyle w:val="FootnoteText"/>
      </w:pPr>
      <w:r>
        <w:rPr>
          <w:rStyle w:val="FootnoteReference"/>
        </w:rPr>
        <w:footnoteRef/>
      </w:r>
      <w:r>
        <w:t xml:space="preserve"> </w:t>
      </w:r>
      <w:r w:rsidRPr="00861577">
        <w:t>https://sensibo.com.au/sensibo-features/</w:t>
      </w:r>
    </w:p>
  </w:footnote>
  <w:footnote w:id="113">
    <w:p w14:paraId="6004D83C" w14:textId="77777777" w:rsidR="00765E31" w:rsidRPr="00DB27CB" w:rsidRDefault="00765E31" w:rsidP="00DB27CB">
      <w:pPr>
        <w:pStyle w:val="FootnoteText"/>
        <w:rPr>
          <w:sz w:val="18"/>
          <w:szCs w:val="18"/>
        </w:rPr>
      </w:pPr>
      <w:r>
        <w:rPr>
          <w:rStyle w:val="FootnoteReference"/>
        </w:rPr>
        <w:footnoteRef/>
      </w:r>
      <w:r>
        <w:t xml:space="preserve"> </w:t>
      </w:r>
      <w:hyperlink r:id="rId31" w:history="1">
        <w:r w:rsidRPr="00DB27CB">
          <w:rPr>
            <w:rStyle w:val="Hyperlink"/>
            <w:sz w:val="18"/>
            <w:szCs w:val="18"/>
          </w:rPr>
          <w:t>http://www.energyrating.gov.au/products/electric-motors</w:t>
        </w:r>
      </w:hyperlink>
    </w:p>
  </w:footnote>
  <w:footnote w:id="114">
    <w:p w14:paraId="34E863A5" w14:textId="77777777" w:rsidR="00765E31" w:rsidRDefault="00765E31" w:rsidP="00DB27CB">
      <w:pPr>
        <w:pStyle w:val="FootnoteText"/>
      </w:pPr>
      <w:r w:rsidRPr="00DB27CB">
        <w:rPr>
          <w:rStyle w:val="FootnoteReference"/>
          <w:sz w:val="18"/>
          <w:szCs w:val="18"/>
        </w:rPr>
        <w:footnoteRef/>
      </w:r>
      <w:r w:rsidRPr="00DB27CB">
        <w:rPr>
          <w:sz w:val="18"/>
          <w:szCs w:val="18"/>
        </w:rPr>
        <w:t xml:space="preserve"> </w:t>
      </w:r>
      <w:hyperlink r:id="rId32" w:history="1">
        <w:r w:rsidRPr="00DB27CB">
          <w:rPr>
            <w:rStyle w:val="Hyperlink"/>
            <w:sz w:val="18"/>
            <w:szCs w:val="18"/>
          </w:rPr>
          <w:t>https://www.legislation.gov.au/Details/F2019L01066</w:t>
        </w:r>
      </w:hyperlink>
      <w:r w:rsidRPr="00DB27CB">
        <w:rPr>
          <w:sz w:val="18"/>
          <w:szCs w:val="18"/>
        </w:rPr>
        <w:t xml:space="preserve"> Australia and New Zealand had a major input into the IEC’s development of this standard, based on extensive experience with refrigerator testing to AS/NZS 4474</w:t>
      </w:r>
      <w:r>
        <w:t xml:space="preserve">. </w:t>
      </w:r>
    </w:p>
  </w:footnote>
  <w:footnote w:id="115">
    <w:p w14:paraId="52436F5B" w14:textId="77777777" w:rsidR="00765E31" w:rsidRDefault="00765E31" w:rsidP="00DB27CB">
      <w:pPr>
        <w:pStyle w:val="FootnoteText"/>
      </w:pPr>
      <w:r>
        <w:rPr>
          <w:rStyle w:val="FootnoteReference"/>
        </w:rPr>
        <w:footnoteRef/>
      </w:r>
      <w:r>
        <w:t xml:space="preserve"> </w:t>
      </w:r>
      <w:r w:rsidRPr="00B05A18">
        <w:rPr>
          <w:i/>
          <w:iCs/>
        </w:rPr>
        <w:t>Preparatory Study on Smart Appliances (Lot 33) Tas</w:t>
      </w:r>
      <w:r>
        <w:rPr>
          <w:i/>
          <w:iCs/>
        </w:rPr>
        <w:t>k</w:t>
      </w:r>
      <w:r w:rsidRPr="00B05A18">
        <w:rPr>
          <w:i/>
          <w:iCs/>
        </w:rPr>
        <w:t xml:space="preserve"> 7 Report – Policy and Scenario Analysis</w:t>
      </w:r>
      <w:r>
        <w:t xml:space="preserve">, European Commission, October 2018 </w:t>
      </w:r>
      <w:hyperlink r:id="rId33" w:history="1">
        <w:r w:rsidRPr="00CD05AB">
          <w:rPr>
            <w:rStyle w:val="Hyperlink"/>
          </w:rPr>
          <w:t>https://eco-smartappliances.eu/en</w:t>
        </w:r>
      </w:hyperlink>
    </w:p>
  </w:footnote>
  <w:footnote w:id="116">
    <w:p w14:paraId="0013DBAA" w14:textId="77777777" w:rsidR="00765E31" w:rsidRDefault="00765E31" w:rsidP="00DB27CB">
      <w:pPr>
        <w:pStyle w:val="FootnoteText"/>
      </w:pPr>
      <w:r>
        <w:rPr>
          <w:rStyle w:val="FootnoteReference"/>
        </w:rPr>
        <w:footnoteRef/>
      </w:r>
      <w:r>
        <w:t xml:space="preserve"> European Commission </w:t>
      </w:r>
      <w:proofErr w:type="spellStart"/>
      <w:r>
        <w:t>JRC</w:t>
      </w:r>
      <w:proofErr w:type="spellEnd"/>
      <w:r>
        <w:t xml:space="preserve"> Technical Reports: Smart Home Appliances: State of the Art, Energy, Communications, Protocols, Standards, 2019. </w:t>
      </w:r>
    </w:p>
  </w:footnote>
  <w:footnote w:id="117">
    <w:p w14:paraId="14DEC7ED" w14:textId="3E063369" w:rsidR="00765E31" w:rsidRDefault="00765E31" w:rsidP="00DB27CB">
      <w:pPr>
        <w:pStyle w:val="FootnoteText"/>
      </w:pPr>
      <w:r>
        <w:rPr>
          <w:rStyle w:val="FootnoteReference"/>
        </w:rPr>
        <w:footnoteRef/>
      </w:r>
      <w:r>
        <w:t xml:space="preserve"> Personal communication from Rolf Bienert, 4 October 2019. </w:t>
      </w:r>
    </w:p>
  </w:footnote>
  <w:footnote w:id="118">
    <w:p w14:paraId="41A8874C" w14:textId="77777777" w:rsidR="00765E31" w:rsidRDefault="00765E31" w:rsidP="00DB27CB">
      <w:pPr>
        <w:pStyle w:val="FootnoteText"/>
      </w:pPr>
      <w:r>
        <w:rPr>
          <w:rStyle w:val="FootnoteReference"/>
        </w:rPr>
        <w:footnoteRef/>
      </w:r>
      <w:r>
        <w:t xml:space="preserve"> </w:t>
      </w:r>
      <w:hyperlink r:id="rId34" w:history="1">
        <w:r>
          <w:rPr>
            <w:rStyle w:val="Hyperlink"/>
          </w:rPr>
          <w:t>https://products.openadr.org/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D831" w14:textId="77777777" w:rsidR="00765E31" w:rsidRDefault="00765E31" w:rsidP="007C7289">
    <w:pPr>
      <w:pStyle w:val="Header"/>
      <w:spacing w:before="560" w:after="480"/>
    </w:pPr>
    <w:r>
      <w:rPr>
        <w:noProof/>
        <w:lang w:eastAsia="en-AU"/>
      </w:rPr>
      <w:drawing>
        <wp:anchor distT="0" distB="0" distL="114300" distR="114300" simplePos="0" relativeHeight="251664384" behindDoc="0" locked="0" layoutInCell="1" allowOverlap="1" wp14:anchorId="330C45F0" wp14:editId="149BBB0B">
          <wp:simplePos x="0" y="0"/>
          <wp:positionH relativeFrom="column">
            <wp:posOffset>1270</wp:posOffset>
          </wp:positionH>
          <wp:positionV relativeFrom="page">
            <wp:posOffset>2019300</wp:posOffset>
          </wp:positionV>
          <wp:extent cx="1737360" cy="908050"/>
          <wp:effectExtent l="0" t="0" r="0" b="6350"/>
          <wp:wrapNone/>
          <wp:docPr id="196" name="Picture 196" descr="D:\DP Plus\Docs\Giraffe\Environment\NatHERS, E3\sourcedocs\E3 Logo.jpg"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P Plus\Docs\Giraffe\Environment\NatHERS, E3\sourcedocs\E3 Logo.jpg"/>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737360" cy="908050"/>
                  </a:xfrm>
                  <a:prstGeom prst="rect">
                    <a:avLst/>
                  </a:prstGeom>
                  <a:noFill/>
                  <a:ln>
                    <a:noFill/>
                  </a:ln>
                </pic:spPr>
              </pic:pic>
            </a:graphicData>
          </a:graphic>
        </wp:anchor>
      </w:drawing>
    </w:r>
    <w:r w:rsidRPr="00F9129C">
      <w:rPr>
        <w:noProof/>
        <w:lang w:eastAsia="en-AU"/>
      </w:rPr>
      <w:drawing>
        <wp:anchor distT="0" distB="0" distL="114300" distR="114300" simplePos="0" relativeHeight="251660288" behindDoc="0" locked="0" layoutInCell="1" allowOverlap="1" wp14:anchorId="586EA335" wp14:editId="70AAFC10">
          <wp:simplePos x="0" y="0"/>
          <wp:positionH relativeFrom="column">
            <wp:posOffset>2622550</wp:posOffset>
          </wp:positionH>
          <wp:positionV relativeFrom="paragraph">
            <wp:posOffset>383963</wp:posOffset>
          </wp:positionV>
          <wp:extent cx="1515745" cy="711200"/>
          <wp:effectExtent l="0" t="0" r="8255" b="0"/>
          <wp:wrapNone/>
          <wp:docPr id="194" name="Picture 194" descr="D:\DP Plus\Docs\Giraffe\Environment\NatHERS, E3\sourcedocs\Australian Government-logo.jpg"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P Plus\Docs\Giraffe\Environment\NatHERS, E3\sourcedocs\Australian Government-logo.jpg"/>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51574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29C">
      <w:rPr>
        <w:noProof/>
        <w:lang w:eastAsia="en-AU"/>
      </w:rPr>
      <w:drawing>
        <wp:anchor distT="0" distB="0" distL="114300" distR="114300" simplePos="0" relativeHeight="251659264" behindDoc="0" locked="1" layoutInCell="0" allowOverlap="1" wp14:anchorId="42A75C5F" wp14:editId="205068E9">
          <wp:simplePos x="0" y="0"/>
          <wp:positionH relativeFrom="column">
            <wp:posOffset>4299585</wp:posOffset>
          </wp:positionH>
          <wp:positionV relativeFrom="page">
            <wp:posOffset>1154430</wp:posOffset>
          </wp:positionV>
          <wp:extent cx="2103120" cy="536575"/>
          <wp:effectExtent l="0" t="0" r="0" b="0"/>
          <wp:wrapTopAndBottom/>
          <wp:docPr id="195" name="Picture 195" descr="D:\DP Plus\Docs\Giraffe\Environment\NatHERS, E3\sourcedocs\All-of-govt_NZ_Gov.jpg" title="&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Giraffe\Environment\NatHERS, E3\sourcedocs\All-of-govt_NZ_Gov.jpg"/>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210312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351">
      <w:rPr>
        <w:noProof/>
        <w:lang w:eastAsia="en-AU"/>
      </w:rPr>
      <mc:AlternateContent>
        <mc:Choice Requires="wps">
          <w:drawing>
            <wp:anchor distT="0" distB="0" distL="114300" distR="114300" simplePos="0" relativeHeight="251661312" behindDoc="1" locked="1" layoutInCell="0" allowOverlap="1" wp14:anchorId="036B72A5" wp14:editId="2C36C369">
              <wp:simplePos x="0" y="0"/>
              <wp:positionH relativeFrom="page">
                <wp:posOffset>-10795</wp:posOffset>
              </wp:positionH>
              <wp:positionV relativeFrom="page">
                <wp:posOffset>2959735</wp:posOffset>
              </wp:positionV>
              <wp:extent cx="7561580" cy="269875"/>
              <wp:effectExtent l="0" t="0" r="20320" b="15875"/>
              <wp:wrapNone/>
              <wp:docPr id="8" name="Rectangle 8" title="&quot;0&quot;"/>
              <wp:cNvGraphicFramePr/>
              <a:graphic xmlns:a="http://schemas.openxmlformats.org/drawingml/2006/main">
                <a:graphicData uri="http://schemas.microsoft.com/office/word/2010/wordprocessingShape">
                  <wps:wsp>
                    <wps:cNvSpPr/>
                    <wps:spPr>
                      <a:xfrm>
                        <a:off x="0" y="0"/>
                        <a:ext cx="7561580" cy="269875"/>
                      </a:xfrm>
                      <a:prstGeom prst="rect">
                        <a:avLst/>
                      </a:prstGeom>
                      <a:solidFill>
                        <a:srgbClr val="B5121B"/>
                      </a:solidFill>
                      <a:ln w="25400" cap="flat" cmpd="sng" algn="ctr">
                        <a:solidFill>
                          <a:srgbClr val="B5121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CC6BAE" id="Rectangle 8" o:spid="_x0000_s1026" alt="Title: &quot;0&quot;" style="position:absolute;margin-left:-.85pt;margin-top:233.05pt;width:595.4pt;height:2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" o:allowincell="f" fillcolor="#b5121b" strokecolor="#b5121b" strokeweight="2pt">
              <w10:wrap anchorx="page" anchory="page"/>
              <w10:anchorlock/>
            </v:rect>
          </w:pict>
        </mc:Fallback>
      </mc:AlternateContent>
    </w:r>
    <w:r w:rsidRPr="00620351">
      <w:rPr>
        <w:noProof/>
        <w:lang w:eastAsia="en-AU"/>
      </w:rPr>
      <mc:AlternateContent>
        <mc:Choice Requires="wps">
          <w:drawing>
            <wp:anchor distT="0" distB="0" distL="114300" distR="114300" simplePos="0" relativeHeight="251662336" behindDoc="1" locked="1" layoutInCell="0" allowOverlap="1" wp14:anchorId="1613B96D" wp14:editId="01B1379E">
              <wp:simplePos x="0" y="0"/>
              <wp:positionH relativeFrom="page">
                <wp:posOffset>-9525</wp:posOffset>
              </wp:positionH>
              <wp:positionV relativeFrom="paragraph">
                <wp:posOffset>2891790</wp:posOffset>
              </wp:positionV>
              <wp:extent cx="7562850" cy="1800860"/>
              <wp:effectExtent l="0" t="0" r="19050" b="27940"/>
              <wp:wrapNone/>
              <wp:docPr id="10" name="Rectangle 10" title="&quot;0&quot;"/>
              <wp:cNvGraphicFramePr/>
              <a:graphic xmlns:a="http://schemas.openxmlformats.org/drawingml/2006/main">
                <a:graphicData uri="http://schemas.microsoft.com/office/word/2010/wordprocessingShape">
                  <wps:wsp>
                    <wps:cNvSpPr/>
                    <wps:spPr>
                      <a:xfrm>
                        <a:off x="0" y="0"/>
                        <a:ext cx="7562850" cy="1800860"/>
                      </a:xfrm>
                      <a:prstGeom prst="rect">
                        <a:avLst/>
                      </a:prstGeom>
                      <a:solidFill>
                        <a:srgbClr val="1C1C1C"/>
                      </a:solidFill>
                      <a:ln w="25400" cap="flat" cmpd="sng" algn="ctr">
                        <a:solidFill>
                          <a:srgbClr val="1C1C1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13CC6CB" id="Rectangle 10" o:spid="_x0000_s1026" alt="Title: &quot;0&quot;" style="position:absolute;margin-left:-.75pt;margin-top:227.7pt;width:595.5pt;height:14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" o:allowincell="f" fillcolor="#1c1c1c" strokecolor="#1c1c1c" strokeweight="2pt">
              <w10:wrap anchorx="page"/>
              <w10:anchorlock/>
            </v:rect>
          </w:pict>
        </mc:Fallback>
      </mc:AlternateContent>
    </w:r>
    <w:r w:rsidRPr="00620351">
      <w:rPr>
        <w:noProof/>
        <w:lang w:eastAsia="en-AU"/>
      </w:rPr>
      <mc:AlternateContent>
        <mc:Choice Requires="wps">
          <w:drawing>
            <wp:anchor distT="0" distB="0" distL="114300" distR="114300" simplePos="0" relativeHeight="251663360" behindDoc="1" locked="1" layoutInCell="0" allowOverlap="1" wp14:anchorId="3139A29C" wp14:editId="499BA224">
              <wp:simplePos x="0" y="0"/>
              <wp:positionH relativeFrom="page">
                <wp:posOffset>-9525</wp:posOffset>
              </wp:positionH>
              <wp:positionV relativeFrom="page">
                <wp:posOffset>5085715</wp:posOffset>
              </wp:positionV>
              <wp:extent cx="7561580" cy="1092200"/>
              <wp:effectExtent l="0" t="0" r="20320" b="12700"/>
              <wp:wrapNone/>
              <wp:docPr id="11" name="Rectangle 11" title="&quot;0&quot;"/>
              <wp:cNvGraphicFramePr/>
              <a:graphic xmlns:a="http://schemas.openxmlformats.org/drawingml/2006/main">
                <a:graphicData uri="http://schemas.microsoft.com/office/word/2010/wordprocessingShape">
                  <wps:wsp>
                    <wps:cNvSpPr/>
                    <wps:spPr>
                      <a:xfrm>
                        <a:off x="0" y="0"/>
                        <a:ext cx="7561580" cy="1092200"/>
                      </a:xfrm>
                      <a:prstGeom prst="rect">
                        <a:avLst/>
                      </a:prstGeom>
                      <a:solidFill>
                        <a:srgbClr val="B5121B"/>
                      </a:solidFill>
                      <a:ln w="25400" cap="flat" cmpd="sng" algn="ctr">
                        <a:solidFill>
                          <a:srgbClr val="B5121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C5FBD3" id="Rectangle 11" o:spid="_x0000_s1026" alt="Title: &quot;0&quot;" style="position:absolute;margin-left:-.75pt;margin-top:400.45pt;width:595.4pt;height:8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" o:allowincell="f" fillcolor="#b5121b" strokecolor="#b5121b" strokeweight="2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9CC68" w14:textId="77777777" w:rsidR="00765E31" w:rsidRPr="00686676" w:rsidRDefault="00765E31" w:rsidP="007C7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48E"/>
    <w:multiLevelType w:val="hybridMultilevel"/>
    <w:tmpl w:val="3D183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B1F1F"/>
    <w:multiLevelType w:val="hybridMultilevel"/>
    <w:tmpl w:val="26E0A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93BA1"/>
    <w:multiLevelType w:val="hybridMultilevel"/>
    <w:tmpl w:val="8166C5C8"/>
    <w:lvl w:ilvl="0" w:tplc="741CEB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692396"/>
    <w:multiLevelType w:val="hybridMultilevel"/>
    <w:tmpl w:val="3F32B322"/>
    <w:lvl w:ilvl="0" w:tplc="2E3CF9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710044"/>
    <w:multiLevelType w:val="hybridMultilevel"/>
    <w:tmpl w:val="D34C9318"/>
    <w:lvl w:ilvl="0" w:tplc="146247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AF03B8"/>
    <w:multiLevelType w:val="hybridMultilevel"/>
    <w:tmpl w:val="B024C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119274B"/>
    <w:multiLevelType w:val="hybridMultilevel"/>
    <w:tmpl w:val="66869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E02E10"/>
    <w:multiLevelType w:val="hybridMultilevel"/>
    <w:tmpl w:val="B9489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9C18F9"/>
    <w:multiLevelType w:val="hybridMultilevel"/>
    <w:tmpl w:val="76F4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264B59"/>
    <w:multiLevelType w:val="hybridMultilevel"/>
    <w:tmpl w:val="B6709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DB777C"/>
    <w:multiLevelType w:val="hybridMultilevel"/>
    <w:tmpl w:val="4F04C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CC5529"/>
    <w:multiLevelType w:val="hybridMultilevel"/>
    <w:tmpl w:val="7E40CC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F87896"/>
    <w:multiLevelType w:val="hybridMultilevel"/>
    <w:tmpl w:val="C3B0F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442776"/>
    <w:multiLevelType w:val="hybridMultilevel"/>
    <w:tmpl w:val="2CEEF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143214"/>
    <w:multiLevelType w:val="hybridMultilevel"/>
    <w:tmpl w:val="C750E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DD11EB"/>
    <w:multiLevelType w:val="hybridMultilevel"/>
    <w:tmpl w:val="309297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CA1D6D"/>
    <w:multiLevelType w:val="hybridMultilevel"/>
    <w:tmpl w:val="41245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E21D51"/>
    <w:multiLevelType w:val="hybridMultilevel"/>
    <w:tmpl w:val="DFF0B526"/>
    <w:lvl w:ilvl="0" w:tplc="CE72976A">
      <w:start w:val="1"/>
      <w:numFmt w:val="bullet"/>
      <w:pStyle w:val="Bullets-Major"/>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429284E"/>
    <w:multiLevelType w:val="hybridMultilevel"/>
    <w:tmpl w:val="B2C4BB2A"/>
    <w:lvl w:ilvl="0" w:tplc="FF1A471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372392"/>
    <w:multiLevelType w:val="hybridMultilevel"/>
    <w:tmpl w:val="BD341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22663F"/>
    <w:multiLevelType w:val="hybridMultilevel"/>
    <w:tmpl w:val="7AE8A1D4"/>
    <w:lvl w:ilvl="0" w:tplc="BC42BBEE">
      <w:start w:val="1"/>
      <w:numFmt w:val="bullet"/>
      <w:pStyle w:val="EEATbullets"/>
      <w:lvlText w:val="•"/>
      <w:lvlJc w:val="left"/>
      <w:pPr>
        <w:ind w:left="360" w:hanging="360"/>
      </w:pPr>
      <w:rPr>
        <w:rFonts w:ascii="Calibri" w:hAnsi="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B35C83"/>
    <w:multiLevelType w:val="hybridMultilevel"/>
    <w:tmpl w:val="92B6D3E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D0B58CE"/>
    <w:multiLevelType w:val="hybridMultilevel"/>
    <w:tmpl w:val="EA30E8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625D38"/>
    <w:multiLevelType w:val="hybridMultilevel"/>
    <w:tmpl w:val="D786E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D926E8"/>
    <w:multiLevelType w:val="hybridMultilevel"/>
    <w:tmpl w:val="832CD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760605"/>
    <w:multiLevelType w:val="hybridMultilevel"/>
    <w:tmpl w:val="204A1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64752E"/>
    <w:multiLevelType w:val="hybridMultilevel"/>
    <w:tmpl w:val="8BDC1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D1694C"/>
    <w:multiLevelType w:val="hybridMultilevel"/>
    <w:tmpl w:val="AB381AA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5D6F08"/>
    <w:multiLevelType w:val="hybridMultilevel"/>
    <w:tmpl w:val="C2108AEA"/>
    <w:lvl w:ilvl="0" w:tplc="A4C8034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5F478C"/>
    <w:multiLevelType w:val="hybridMultilevel"/>
    <w:tmpl w:val="EAC0620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F775D3"/>
    <w:multiLevelType w:val="hybridMultilevel"/>
    <w:tmpl w:val="CE8694FA"/>
    <w:lvl w:ilvl="0" w:tplc="FCAE41E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7864DC"/>
    <w:multiLevelType w:val="hybridMultilevel"/>
    <w:tmpl w:val="55087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6101C5"/>
    <w:multiLevelType w:val="hybridMultilevel"/>
    <w:tmpl w:val="0E68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E629DB"/>
    <w:multiLevelType w:val="hybridMultilevel"/>
    <w:tmpl w:val="DB607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AF21D7"/>
    <w:multiLevelType w:val="hybridMultilevel"/>
    <w:tmpl w:val="72080900"/>
    <w:lvl w:ilvl="0" w:tplc="CC56A1D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2913F0"/>
    <w:multiLevelType w:val="hybridMultilevel"/>
    <w:tmpl w:val="14E63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E420AE"/>
    <w:multiLevelType w:val="hybridMultilevel"/>
    <w:tmpl w:val="86E80DBE"/>
    <w:lvl w:ilvl="0" w:tplc="11F8BADE">
      <w:numFmt w:val="bullet"/>
      <w:lvlText w:val="•"/>
      <w:lvlJc w:val="left"/>
      <w:pPr>
        <w:ind w:left="720" w:hanging="360"/>
      </w:pPr>
      <w:rPr>
        <w:rFonts w:ascii="Century Gothic" w:eastAsiaTheme="minorHAnsi" w:hAnsi="Century Gothic" w:cs="Century 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33"/>
  </w:num>
  <w:num w:numId="4">
    <w:abstractNumId w:val="22"/>
  </w:num>
  <w:num w:numId="5">
    <w:abstractNumId w:val="1"/>
  </w:num>
  <w:num w:numId="6">
    <w:abstractNumId w:val="30"/>
  </w:num>
  <w:num w:numId="7">
    <w:abstractNumId w:val="14"/>
  </w:num>
  <w:num w:numId="8">
    <w:abstractNumId w:val="26"/>
  </w:num>
  <w:num w:numId="9">
    <w:abstractNumId w:val="27"/>
  </w:num>
  <w:num w:numId="10">
    <w:abstractNumId w:val="25"/>
  </w:num>
  <w:num w:numId="11">
    <w:abstractNumId w:val="16"/>
  </w:num>
  <w:num w:numId="12">
    <w:abstractNumId w:val="24"/>
  </w:num>
  <w:num w:numId="13">
    <w:abstractNumId w:val="21"/>
  </w:num>
  <w:num w:numId="14">
    <w:abstractNumId w:val="29"/>
  </w:num>
  <w:num w:numId="15">
    <w:abstractNumId w:val="2"/>
  </w:num>
  <w:num w:numId="16">
    <w:abstractNumId w:val="13"/>
  </w:num>
  <w:num w:numId="17">
    <w:abstractNumId w:val="8"/>
  </w:num>
  <w:num w:numId="18">
    <w:abstractNumId w:val="18"/>
  </w:num>
  <w:num w:numId="19">
    <w:abstractNumId w:val="23"/>
  </w:num>
  <w:num w:numId="20">
    <w:abstractNumId w:val="20"/>
  </w:num>
  <w:num w:numId="21">
    <w:abstractNumId w:val="10"/>
  </w:num>
  <w:num w:numId="22">
    <w:abstractNumId w:val="3"/>
  </w:num>
  <w:num w:numId="23">
    <w:abstractNumId w:val="4"/>
  </w:num>
  <w:num w:numId="24">
    <w:abstractNumId w:val="9"/>
  </w:num>
  <w:num w:numId="25">
    <w:abstractNumId w:val="0"/>
  </w:num>
  <w:num w:numId="26">
    <w:abstractNumId w:val="19"/>
  </w:num>
  <w:num w:numId="27">
    <w:abstractNumId w:val="31"/>
  </w:num>
  <w:num w:numId="28">
    <w:abstractNumId w:val="35"/>
  </w:num>
  <w:num w:numId="29">
    <w:abstractNumId w:val="34"/>
  </w:num>
  <w:num w:numId="30">
    <w:abstractNumId w:val="7"/>
  </w:num>
  <w:num w:numId="31">
    <w:abstractNumId w:val="32"/>
  </w:num>
  <w:num w:numId="32">
    <w:abstractNumId w:val="12"/>
  </w:num>
  <w:num w:numId="33">
    <w:abstractNumId w:val="11"/>
  </w:num>
  <w:num w:numId="34">
    <w:abstractNumId w:val="28"/>
  </w:num>
  <w:num w:numId="35">
    <w:abstractNumId w:val="36"/>
  </w:num>
  <w:num w:numId="36">
    <w:abstractNumId w:val="15"/>
  </w:num>
  <w:num w:numId="37">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634"/>
    <w:rsid w:val="00000450"/>
    <w:rsid w:val="00001143"/>
    <w:rsid w:val="000068C1"/>
    <w:rsid w:val="000107AB"/>
    <w:rsid w:val="00023910"/>
    <w:rsid w:val="0002674F"/>
    <w:rsid w:val="00036009"/>
    <w:rsid w:val="0003608D"/>
    <w:rsid w:val="00040C11"/>
    <w:rsid w:val="00044A91"/>
    <w:rsid w:val="000516A3"/>
    <w:rsid w:val="00061B8F"/>
    <w:rsid w:val="00063CCE"/>
    <w:rsid w:val="00064FDB"/>
    <w:rsid w:val="00086503"/>
    <w:rsid w:val="00092BA8"/>
    <w:rsid w:val="000935F4"/>
    <w:rsid w:val="00093F92"/>
    <w:rsid w:val="000A01F9"/>
    <w:rsid w:val="000A5D5A"/>
    <w:rsid w:val="000A656B"/>
    <w:rsid w:val="000A6A2C"/>
    <w:rsid w:val="000B2764"/>
    <w:rsid w:val="000B2AF8"/>
    <w:rsid w:val="000D2929"/>
    <w:rsid w:val="000D6611"/>
    <w:rsid w:val="000E245E"/>
    <w:rsid w:val="000E38A5"/>
    <w:rsid w:val="0010529D"/>
    <w:rsid w:val="00107DBC"/>
    <w:rsid w:val="001107E4"/>
    <w:rsid w:val="00116642"/>
    <w:rsid w:val="00126174"/>
    <w:rsid w:val="00126810"/>
    <w:rsid w:val="00157653"/>
    <w:rsid w:val="00162A85"/>
    <w:rsid w:val="001653F1"/>
    <w:rsid w:val="00166426"/>
    <w:rsid w:val="00166A2C"/>
    <w:rsid w:val="00181136"/>
    <w:rsid w:val="001A267E"/>
    <w:rsid w:val="001A74F5"/>
    <w:rsid w:val="001B01BE"/>
    <w:rsid w:val="001B2690"/>
    <w:rsid w:val="001C62AE"/>
    <w:rsid w:val="001D3923"/>
    <w:rsid w:val="001F1FB1"/>
    <w:rsid w:val="001F3E44"/>
    <w:rsid w:val="002003BD"/>
    <w:rsid w:val="0020100B"/>
    <w:rsid w:val="00206A50"/>
    <w:rsid w:val="00207E88"/>
    <w:rsid w:val="00210351"/>
    <w:rsid w:val="00215138"/>
    <w:rsid w:val="002156DB"/>
    <w:rsid w:val="00215974"/>
    <w:rsid w:val="00226FCC"/>
    <w:rsid w:val="00227062"/>
    <w:rsid w:val="00243B9C"/>
    <w:rsid w:val="00251A44"/>
    <w:rsid w:val="0025272C"/>
    <w:rsid w:val="002644CF"/>
    <w:rsid w:val="00264BEB"/>
    <w:rsid w:val="00281023"/>
    <w:rsid w:val="00287F62"/>
    <w:rsid w:val="002922EA"/>
    <w:rsid w:val="002B2B36"/>
    <w:rsid w:val="002B3B3D"/>
    <w:rsid w:val="002B4D17"/>
    <w:rsid w:val="002B7233"/>
    <w:rsid w:val="002C1C6F"/>
    <w:rsid w:val="002C51D2"/>
    <w:rsid w:val="002C7E4D"/>
    <w:rsid w:val="002D3E86"/>
    <w:rsid w:val="002D7ABD"/>
    <w:rsid w:val="002E1C18"/>
    <w:rsid w:val="002E3C13"/>
    <w:rsid w:val="002E52C3"/>
    <w:rsid w:val="002F0C41"/>
    <w:rsid w:val="00304C5F"/>
    <w:rsid w:val="00320BD9"/>
    <w:rsid w:val="003221FC"/>
    <w:rsid w:val="00326015"/>
    <w:rsid w:val="00327359"/>
    <w:rsid w:val="00330B10"/>
    <w:rsid w:val="00332F06"/>
    <w:rsid w:val="00334C33"/>
    <w:rsid w:val="00342FF7"/>
    <w:rsid w:val="00355AC2"/>
    <w:rsid w:val="003616D6"/>
    <w:rsid w:val="00365AF2"/>
    <w:rsid w:val="00366993"/>
    <w:rsid w:val="003720FA"/>
    <w:rsid w:val="00373F08"/>
    <w:rsid w:val="00381011"/>
    <w:rsid w:val="00385928"/>
    <w:rsid w:val="003A3ADA"/>
    <w:rsid w:val="003A7B4E"/>
    <w:rsid w:val="003B5729"/>
    <w:rsid w:val="003C3F7B"/>
    <w:rsid w:val="003D28F3"/>
    <w:rsid w:val="003D515A"/>
    <w:rsid w:val="003D521F"/>
    <w:rsid w:val="003F2508"/>
    <w:rsid w:val="00407B9B"/>
    <w:rsid w:val="00414A45"/>
    <w:rsid w:val="00414D1A"/>
    <w:rsid w:val="004220C0"/>
    <w:rsid w:val="004258E6"/>
    <w:rsid w:val="00430678"/>
    <w:rsid w:val="00441911"/>
    <w:rsid w:val="00446204"/>
    <w:rsid w:val="004761A1"/>
    <w:rsid w:val="00484506"/>
    <w:rsid w:val="0048588F"/>
    <w:rsid w:val="00494A11"/>
    <w:rsid w:val="004B3CA7"/>
    <w:rsid w:val="004C415C"/>
    <w:rsid w:val="004D704B"/>
    <w:rsid w:val="004E2EB1"/>
    <w:rsid w:val="004F1FB3"/>
    <w:rsid w:val="004F7A4B"/>
    <w:rsid w:val="00504A35"/>
    <w:rsid w:val="00513E1F"/>
    <w:rsid w:val="00514705"/>
    <w:rsid w:val="0051702F"/>
    <w:rsid w:val="00524EA2"/>
    <w:rsid w:val="0052637C"/>
    <w:rsid w:val="00537631"/>
    <w:rsid w:val="00541269"/>
    <w:rsid w:val="00543D8E"/>
    <w:rsid w:val="00544292"/>
    <w:rsid w:val="005450A9"/>
    <w:rsid w:val="00547041"/>
    <w:rsid w:val="0055433E"/>
    <w:rsid w:val="00555087"/>
    <w:rsid w:val="00593F8A"/>
    <w:rsid w:val="005958CF"/>
    <w:rsid w:val="005A09E2"/>
    <w:rsid w:val="005A1A1E"/>
    <w:rsid w:val="005A520F"/>
    <w:rsid w:val="005A7FA8"/>
    <w:rsid w:val="005B199A"/>
    <w:rsid w:val="005B1ACD"/>
    <w:rsid w:val="005B55A6"/>
    <w:rsid w:val="005B663B"/>
    <w:rsid w:val="005C1841"/>
    <w:rsid w:val="005C1D4F"/>
    <w:rsid w:val="005E2B5E"/>
    <w:rsid w:val="005E35BA"/>
    <w:rsid w:val="005F05D5"/>
    <w:rsid w:val="005F33B6"/>
    <w:rsid w:val="0061405B"/>
    <w:rsid w:val="006140E0"/>
    <w:rsid w:val="006239C6"/>
    <w:rsid w:val="006263D5"/>
    <w:rsid w:val="006340AC"/>
    <w:rsid w:val="0063461B"/>
    <w:rsid w:val="00635EFF"/>
    <w:rsid w:val="00647084"/>
    <w:rsid w:val="00651ACE"/>
    <w:rsid w:val="00655DC1"/>
    <w:rsid w:val="00656086"/>
    <w:rsid w:val="00667172"/>
    <w:rsid w:val="0066781C"/>
    <w:rsid w:val="006726CA"/>
    <w:rsid w:val="00677A82"/>
    <w:rsid w:val="00681DC2"/>
    <w:rsid w:val="006924AD"/>
    <w:rsid w:val="006B22A7"/>
    <w:rsid w:val="006C0371"/>
    <w:rsid w:val="006D7324"/>
    <w:rsid w:val="006E4282"/>
    <w:rsid w:val="006E569B"/>
    <w:rsid w:val="006F0D2E"/>
    <w:rsid w:val="007020D6"/>
    <w:rsid w:val="00704FDD"/>
    <w:rsid w:val="00705B87"/>
    <w:rsid w:val="0071468A"/>
    <w:rsid w:val="007148EE"/>
    <w:rsid w:val="00717C8B"/>
    <w:rsid w:val="007254CA"/>
    <w:rsid w:val="00725B94"/>
    <w:rsid w:val="007307C0"/>
    <w:rsid w:val="00732407"/>
    <w:rsid w:val="007370DA"/>
    <w:rsid w:val="00751A5B"/>
    <w:rsid w:val="00755AA1"/>
    <w:rsid w:val="00756225"/>
    <w:rsid w:val="00762ABC"/>
    <w:rsid w:val="00765E31"/>
    <w:rsid w:val="0078009C"/>
    <w:rsid w:val="007A42EC"/>
    <w:rsid w:val="007C7289"/>
    <w:rsid w:val="007E3604"/>
    <w:rsid w:val="007E75A2"/>
    <w:rsid w:val="007E7799"/>
    <w:rsid w:val="007F794B"/>
    <w:rsid w:val="008171AF"/>
    <w:rsid w:val="008202F0"/>
    <w:rsid w:val="00821206"/>
    <w:rsid w:val="00825AA4"/>
    <w:rsid w:val="008334BF"/>
    <w:rsid w:val="00834708"/>
    <w:rsid w:val="008420E3"/>
    <w:rsid w:val="008471A4"/>
    <w:rsid w:val="008502F2"/>
    <w:rsid w:val="00861C18"/>
    <w:rsid w:val="008621C5"/>
    <w:rsid w:val="008634E6"/>
    <w:rsid w:val="00871FEA"/>
    <w:rsid w:val="00873184"/>
    <w:rsid w:val="00877821"/>
    <w:rsid w:val="00877BD0"/>
    <w:rsid w:val="00895EC7"/>
    <w:rsid w:val="00896101"/>
    <w:rsid w:val="008A0096"/>
    <w:rsid w:val="008B315E"/>
    <w:rsid w:val="008B4099"/>
    <w:rsid w:val="008C4500"/>
    <w:rsid w:val="008D03E8"/>
    <w:rsid w:val="008D42F9"/>
    <w:rsid w:val="008D7AFC"/>
    <w:rsid w:val="008E1674"/>
    <w:rsid w:val="008E6BFD"/>
    <w:rsid w:val="008E7146"/>
    <w:rsid w:val="008F045D"/>
    <w:rsid w:val="008F378B"/>
    <w:rsid w:val="0090329D"/>
    <w:rsid w:val="009110C0"/>
    <w:rsid w:val="009146C0"/>
    <w:rsid w:val="00915BCA"/>
    <w:rsid w:val="00917221"/>
    <w:rsid w:val="00933B0C"/>
    <w:rsid w:val="00933F58"/>
    <w:rsid w:val="00936DD5"/>
    <w:rsid w:val="0093762B"/>
    <w:rsid w:val="00944A7F"/>
    <w:rsid w:val="009455B3"/>
    <w:rsid w:val="00947AD2"/>
    <w:rsid w:val="009503CD"/>
    <w:rsid w:val="009517F2"/>
    <w:rsid w:val="009577A9"/>
    <w:rsid w:val="00957DBB"/>
    <w:rsid w:val="0096095E"/>
    <w:rsid w:val="0096257A"/>
    <w:rsid w:val="00962DAD"/>
    <w:rsid w:val="00981692"/>
    <w:rsid w:val="009862BA"/>
    <w:rsid w:val="00990505"/>
    <w:rsid w:val="0099722D"/>
    <w:rsid w:val="009A41E4"/>
    <w:rsid w:val="009A63D0"/>
    <w:rsid w:val="009B062B"/>
    <w:rsid w:val="009B16A9"/>
    <w:rsid w:val="009C34FA"/>
    <w:rsid w:val="009C63AD"/>
    <w:rsid w:val="009C7758"/>
    <w:rsid w:val="009E162F"/>
    <w:rsid w:val="009E2C37"/>
    <w:rsid w:val="009F08DD"/>
    <w:rsid w:val="009F592D"/>
    <w:rsid w:val="00A069D7"/>
    <w:rsid w:val="00A11B21"/>
    <w:rsid w:val="00A14AED"/>
    <w:rsid w:val="00A31A66"/>
    <w:rsid w:val="00A37634"/>
    <w:rsid w:val="00A41C48"/>
    <w:rsid w:val="00A44EBF"/>
    <w:rsid w:val="00A46787"/>
    <w:rsid w:val="00A51FE6"/>
    <w:rsid w:val="00A7002C"/>
    <w:rsid w:val="00A729F3"/>
    <w:rsid w:val="00A73AA7"/>
    <w:rsid w:val="00A85625"/>
    <w:rsid w:val="00AA0E9D"/>
    <w:rsid w:val="00AA1AA6"/>
    <w:rsid w:val="00AA3AD0"/>
    <w:rsid w:val="00AA4ECE"/>
    <w:rsid w:val="00AB0694"/>
    <w:rsid w:val="00AB4C85"/>
    <w:rsid w:val="00AB55F6"/>
    <w:rsid w:val="00AC4C9F"/>
    <w:rsid w:val="00AC7274"/>
    <w:rsid w:val="00AD6C99"/>
    <w:rsid w:val="00AD7785"/>
    <w:rsid w:val="00AE0273"/>
    <w:rsid w:val="00AE11B1"/>
    <w:rsid w:val="00AE3719"/>
    <w:rsid w:val="00AE4667"/>
    <w:rsid w:val="00AE6023"/>
    <w:rsid w:val="00AE7AB4"/>
    <w:rsid w:val="00AF458A"/>
    <w:rsid w:val="00AF6A50"/>
    <w:rsid w:val="00B12C30"/>
    <w:rsid w:val="00B303A7"/>
    <w:rsid w:val="00B461F6"/>
    <w:rsid w:val="00B527CC"/>
    <w:rsid w:val="00B56D75"/>
    <w:rsid w:val="00B61FAC"/>
    <w:rsid w:val="00B803C1"/>
    <w:rsid w:val="00B80745"/>
    <w:rsid w:val="00B8594B"/>
    <w:rsid w:val="00B915B7"/>
    <w:rsid w:val="00B92C16"/>
    <w:rsid w:val="00B94DB2"/>
    <w:rsid w:val="00BA26CA"/>
    <w:rsid w:val="00BA4D56"/>
    <w:rsid w:val="00BB0627"/>
    <w:rsid w:val="00BC35DA"/>
    <w:rsid w:val="00BC5360"/>
    <w:rsid w:val="00BD3902"/>
    <w:rsid w:val="00BD3F8E"/>
    <w:rsid w:val="00BE0157"/>
    <w:rsid w:val="00C11AFB"/>
    <w:rsid w:val="00C12AFF"/>
    <w:rsid w:val="00C14B94"/>
    <w:rsid w:val="00C515A0"/>
    <w:rsid w:val="00C56222"/>
    <w:rsid w:val="00C73BDC"/>
    <w:rsid w:val="00C74EC2"/>
    <w:rsid w:val="00C770AA"/>
    <w:rsid w:val="00C8152C"/>
    <w:rsid w:val="00C854E7"/>
    <w:rsid w:val="00C856FC"/>
    <w:rsid w:val="00C85846"/>
    <w:rsid w:val="00C85FB0"/>
    <w:rsid w:val="00C87008"/>
    <w:rsid w:val="00CA44A3"/>
    <w:rsid w:val="00CA4EFC"/>
    <w:rsid w:val="00CB0625"/>
    <w:rsid w:val="00CB3E08"/>
    <w:rsid w:val="00CC7250"/>
    <w:rsid w:val="00CD17DB"/>
    <w:rsid w:val="00CD3B36"/>
    <w:rsid w:val="00CE5330"/>
    <w:rsid w:val="00D02533"/>
    <w:rsid w:val="00D06B4D"/>
    <w:rsid w:val="00D12547"/>
    <w:rsid w:val="00D14FC3"/>
    <w:rsid w:val="00D24A37"/>
    <w:rsid w:val="00D30720"/>
    <w:rsid w:val="00D4514C"/>
    <w:rsid w:val="00D5497F"/>
    <w:rsid w:val="00D62CD5"/>
    <w:rsid w:val="00D64DF4"/>
    <w:rsid w:val="00D71588"/>
    <w:rsid w:val="00D73BD6"/>
    <w:rsid w:val="00D802F5"/>
    <w:rsid w:val="00D81ECE"/>
    <w:rsid w:val="00D8211A"/>
    <w:rsid w:val="00DA13A6"/>
    <w:rsid w:val="00DA7345"/>
    <w:rsid w:val="00DB27CB"/>
    <w:rsid w:val="00DB4CCD"/>
    <w:rsid w:val="00DC6674"/>
    <w:rsid w:val="00DC6E33"/>
    <w:rsid w:val="00DD4862"/>
    <w:rsid w:val="00DE5103"/>
    <w:rsid w:val="00DE7E20"/>
    <w:rsid w:val="00E046B3"/>
    <w:rsid w:val="00E0625E"/>
    <w:rsid w:val="00E06861"/>
    <w:rsid w:val="00E1057F"/>
    <w:rsid w:val="00E10797"/>
    <w:rsid w:val="00E14053"/>
    <w:rsid w:val="00E20D23"/>
    <w:rsid w:val="00E401CD"/>
    <w:rsid w:val="00E5049C"/>
    <w:rsid w:val="00E52766"/>
    <w:rsid w:val="00E5460D"/>
    <w:rsid w:val="00E56C1E"/>
    <w:rsid w:val="00E572F0"/>
    <w:rsid w:val="00E60E81"/>
    <w:rsid w:val="00E66C82"/>
    <w:rsid w:val="00E7118B"/>
    <w:rsid w:val="00E754C6"/>
    <w:rsid w:val="00E81815"/>
    <w:rsid w:val="00E81D19"/>
    <w:rsid w:val="00E90119"/>
    <w:rsid w:val="00E94D19"/>
    <w:rsid w:val="00EA1934"/>
    <w:rsid w:val="00EB5B93"/>
    <w:rsid w:val="00EB6BA3"/>
    <w:rsid w:val="00EC153D"/>
    <w:rsid w:val="00ED06C0"/>
    <w:rsid w:val="00ED0812"/>
    <w:rsid w:val="00ED1570"/>
    <w:rsid w:val="00ED3F13"/>
    <w:rsid w:val="00EE43B4"/>
    <w:rsid w:val="00EF296F"/>
    <w:rsid w:val="00EF5E0C"/>
    <w:rsid w:val="00F06F34"/>
    <w:rsid w:val="00F11295"/>
    <w:rsid w:val="00F1204C"/>
    <w:rsid w:val="00F13AB4"/>
    <w:rsid w:val="00F13AFD"/>
    <w:rsid w:val="00F16E6F"/>
    <w:rsid w:val="00F2196D"/>
    <w:rsid w:val="00F23C30"/>
    <w:rsid w:val="00F25210"/>
    <w:rsid w:val="00F32140"/>
    <w:rsid w:val="00F34936"/>
    <w:rsid w:val="00F35CED"/>
    <w:rsid w:val="00F36459"/>
    <w:rsid w:val="00F42241"/>
    <w:rsid w:val="00F4285D"/>
    <w:rsid w:val="00F450D7"/>
    <w:rsid w:val="00F50F68"/>
    <w:rsid w:val="00F640DA"/>
    <w:rsid w:val="00F6489F"/>
    <w:rsid w:val="00F67217"/>
    <w:rsid w:val="00F94AFB"/>
    <w:rsid w:val="00FB3768"/>
    <w:rsid w:val="00FB78EA"/>
    <w:rsid w:val="00FC743E"/>
    <w:rsid w:val="00FD21A6"/>
    <w:rsid w:val="00FE13B1"/>
    <w:rsid w:val="00FE444D"/>
    <w:rsid w:val="00FE65DF"/>
    <w:rsid w:val="00FE79F5"/>
    <w:rsid w:val="00FF17C7"/>
    <w:rsid w:val="00FF35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E4A8"/>
  <w15:chartTrackingRefBased/>
  <w15:docId w15:val="{1FA1630A-2ACE-4928-876F-027E21D30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67217"/>
    <w:rPr>
      <w:lang w:val="en-GB"/>
    </w:rPr>
  </w:style>
  <w:style w:type="paragraph" w:styleId="Heading1">
    <w:name w:val="heading 1"/>
    <w:basedOn w:val="Normal"/>
    <w:next w:val="Normal"/>
    <w:link w:val="Heading1Char"/>
    <w:uiPriority w:val="9"/>
    <w:qFormat/>
    <w:rsid w:val="00A37634"/>
    <w:pPr>
      <w:keepNext/>
      <w:keepLines/>
      <w:spacing w:before="240" w:after="0"/>
      <w:outlineLvl w:val="0"/>
    </w:pPr>
    <w:rPr>
      <w:rFonts w:ascii="Calibri" w:eastAsia="Times New Roman" w:hAnsi="Calibri" w:cs="Times New Roman"/>
      <w:b/>
      <w:bCs/>
      <w:color w:val="ED1B24"/>
      <w:sz w:val="32"/>
      <w:szCs w:val="28"/>
      <w:lang w:val="en-AU"/>
    </w:rPr>
  </w:style>
  <w:style w:type="paragraph" w:styleId="Heading2">
    <w:name w:val="heading 2"/>
    <w:basedOn w:val="Normal"/>
    <w:next w:val="Normal"/>
    <w:link w:val="Heading2Char"/>
    <w:uiPriority w:val="9"/>
    <w:unhideWhenUsed/>
    <w:qFormat/>
    <w:rsid w:val="00A37634"/>
    <w:pPr>
      <w:keepNext/>
      <w:keepLines/>
      <w:spacing w:before="40" w:after="0"/>
      <w:outlineLvl w:val="1"/>
    </w:pPr>
    <w:rPr>
      <w:rFonts w:ascii="Calibri" w:eastAsia="Times New Roman" w:hAnsi="Calibri" w:cs="Times New Roman"/>
      <w:bCs/>
      <w:color w:val="ED1B24"/>
      <w:sz w:val="28"/>
      <w:szCs w:val="26"/>
      <w:lang w:val="en-AU"/>
    </w:rPr>
  </w:style>
  <w:style w:type="paragraph" w:styleId="Heading3">
    <w:name w:val="heading 3"/>
    <w:basedOn w:val="Normal"/>
    <w:next w:val="Normal"/>
    <w:link w:val="Heading3Char"/>
    <w:uiPriority w:val="9"/>
    <w:semiHidden/>
    <w:unhideWhenUsed/>
    <w:qFormat/>
    <w:rsid w:val="00A37634"/>
    <w:pPr>
      <w:keepNext/>
      <w:keepLines/>
      <w:spacing w:before="40" w:after="0"/>
      <w:outlineLvl w:val="2"/>
    </w:pPr>
    <w:rPr>
      <w:rFonts w:ascii="Calibri" w:eastAsia="Times New Roman" w:hAnsi="Calibri" w:cs="Times New Roman"/>
      <w:b/>
      <w:bCs/>
      <w:color w:val="000000"/>
      <w:sz w:val="24"/>
      <w:lang w:val="en-AU"/>
    </w:rPr>
  </w:style>
  <w:style w:type="paragraph" w:styleId="Heading4">
    <w:name w:val="heading 4"/>
    <w:basedOn w:val="Normal"/>
    <w:next w:val="Normal"/>
    <w:link w:val="Heading4Char"/>
    <w:uiPriority w:val="9"/>
    <w:semiHidden/>
    <w:unhideWhenUsed/>
    <w:qFormat/>
    <w:rsid w:val="00A37634"/>
    <w:pPr>
      <w:keepNext/>
      <w:keepLines/>
      <w:spacing w:before="40" w:after="0"/>
      <w:outlineLvl w:val="3"/>
    </w:pPr>
    <w:rPr>
      <w:rFonts w:ascii="Calibri" w:eastAsia="Times New Roman" w:hAnsi="Calibri" w:cs="Times New Roman"/>
      <w:bCs/>
      <w:iCs/>
      <w:color w:val="000000"/>
      <w:lang w:val="en-AU"/>
    </w:rPr>
  </w:style>
  <w:style w:type="paragraph" w:styleId="Heading5">
    <w:name w:val="heading 5"/>
    <w:basedOn w:val="Normal"/>
    <w:next w:val="Normal"/>
    <w:link w:val="Heading5Char"/>
    <w:uiPriority w:val="9"/>
    <w:semiHidden/>
    <w:unhideWhenUsed/>
    <w:qFormat/>
    <w:rsid w:val="00A37634"/>
    <w:pPr>
      <w:keepNext/>
      <w:keepLines/>
      <w:spacing w:before="40" w:after="0"/>
      <w:outlineLvl w:val="4"/>
    </w:pPr>
    <w:rPr>
      <w:rFonts w:ascii="Cambria" w:eastAsia="Times New Roman" w:hAnsi="Cambria" w:cs="Times New Roman"/>
      <w:color w:val="365F9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A37634"/>
    <w:pPr>
      <w:keepNext/>
      <w:keepLines/>
      <w:spacing w:before="200" w:after="120" w:line="240" w:lineRule="auto"/>
      <w:outlineLvl w:val="0"/>
    </w:pPr>
    <w:rPr>
      <w:rFonts w:ascii="Calibri" w:eastAsia="Times New Roman" w:hAnsi="Calibri" w:cs="Times New Roman"/>
      <w:b/>
      <w:bCs/>
      <w:color w:val="ED1B24"/>
      <w:sz w:val="32"/>
      <w:szCs w:val="28"/>
      <w:lang w:val="en-AU"/>
    </w:rPr>
  </w:style>
  <w:style w:type="paragraph" w:customStyle="1" w:styleId="Heading21">
    <w:name w:val="Heading 21"/>
    <w:basedOn w:val="Normal"/>
    <w:next w:val="Normal"/>
    <w:uiPriority w:val="9"/>
    <w:qFormat/>
    <w:rsid w:val="00A37634"/>
    <w:pPr>
      <w:keepNext/>
      <w:keepLines/>
      <w:spacing w:before="200" w:after="120" w:line="240" w:lineRule="auto"/>
      <w:outlineLvl w:val="1"/>
    </w:pPr>
    <w:rPr>
      <w:rFonts w:ascii="Calibri" w:eastAsia="Times New Roman" w:hAnsi="Calibri" w:cs="Times New Roman"/>
      <w:bCs/>
      <w:color w:val="ED1B24"/>
      <w:sz w:val="28"/>
      <w:szCs w:val="26"/>
      <w:lang w:val="en-AU"/>
    </w:rPr>
  </w:style>
  <w:style w:type="paragraph" w:customStyle="1" w:styleId="Heading31">
    <w:name w:val="Heading 31"/>
    <w:basedOn w:val="Normal"/>
    <w:next w:val="Normal"/>
    <w:uiPriority w:val="9"/>
    <w:qFormat/>
    <w:rsid w:val="00A37634"/>
    <w:pPr>
      <w:keepNext/>
      <w:keepLines/>
      <w:spacing w:before="200" w:after="120" w:line="240" w:lineRule="auto"/>
      <w:outlineLvl w:val="2"/>
    </w:pPr>
    <w:rPr>
      <w:rFonts w:ascii="Calibri" w:eastAsia="Times New Roman" w:hAnsi="Calibri" w:cs="Times New Roman"/>
      <w:b/>
      <w:bCs/>
      <w:color w:val="000000"/>
      <w:sz w:val="24"/>
      <w:szCs w:val="20"/>
      <w:lang w:val="en-AU"/>
    </w:rPr>
  </w:style>
  <w:style w:type="paragraph" w:customStyle="1" w:styleId="Heading41">
    <w:name w:val="Heading 41"/>
    <w:basedOn w:val="Normal"/>
    <w:next w:val="Normal"/>
    <w:uiPriority w:val="9"/>
    <w:qFormat/>
    <w:rsid w:val="00A37634"/>
    <w:pPr>
      <w:keepNext/>
      <w:keepLines/>
      <w:spacing w:before="200" w:after="120" w:line="240" w:lineRule="auto"/>
      <w:outlineLvl w:val="3"/>
    </w:pPr>
    <w:rPr>
      <w:rFonts w:ascii="Calibri" w:eastAsia="Times New Roman" w:hAnsi="Calibri" w:cs="Times New Roman"/>
      <w:bCs/>
      <w:iCs/>
      <w:color w:val="000000"/>
      <w:szCs w:val="20"/>
      <w:lang w:val="en-AU"/>
    </w:rPr>
  </w:style>
  <w:style w:type="paragraph" w:customStyle="1" w:styleId="Heading51">
    <w:name w:val="Heading 51"/>
    <w:basedOn w:val="Normal"/>
    <w:next w:val="Normal"/>
    <w:uiPriority w:val="9"/>
    <w:semiHidden/>
    <w:unhideWhenUsed/>
    <w:qFormat/>
    <w:rsid w:val="00A37634"/>
    <w:pPr>
      <w:keepNext/>
      <w:keepLines/>
      <w:spacing w:before="40" w:after="0" w:line="276" w:lineRule="auto"/>
      <w:outlineLvl w:val="4"/>
    </w:pPr>
    <w:rPr>
      <w:rFonts w:ascii="Cambria" w:eastAsia="Times New Roman" w:hAnsi="Cambria" w:cs="Times New Roman"/>
      <w:color w:val="365F91"/>
      <w:szCs w:val="20"/>
      <w:lang w:val="en-AU"/>
    </w:rPr>
  </w:style>
  <w:style w:type="numbering" w:customStyle="1" w:styleId="NoList1">
    <w:name w:val="No List1"/>
    <w:next w:val="NoList"/>
    <w:uiPriority w:val="99"/>
    <w:semiHidden/>
    <w:unhideWhenUsed/>
    <w:rsid w:val="00A37634"/>
  </w:style>
  <w:style w:type="paragraph" w:styleId="Header">
    <w:name w:val="header"/>
    <w:basedOn w:val="Normal"/>
    <w:link w:val="HeaderChar"/>
    <w:uiPriority w:val="99"/>
    <w:unhideWhenUsed/>
    <w:rsid w:val="00A37634"/>
    <w:pPr>
      <w:spacing w:after="0" w:line="240" w:lineRule="auto"/>
    </w:pPr>
    <w:rPr>
      <w:rFonts w:ascii="Calibri" w:hAnsi="Calibri" w:cs="Times New Roman"/>
      <w:szCs w:val="20"/>
      <w:lang w:val="en-AU"/>
    </w:rPr>
  </w:style>
  <w:style w:type="character" w:customStyle="1" w:styleId="HeaderChar">
    <w:name w:val="Header Char"/>
    <w:basedOn w:val="DefaultParagraphFont"/>
    <w:link w:val="Header"/>
    <w:uiPriority w:val="99"/>
    <w:rsid w:val="00A37634"/>
    <w:rPr>
      <w:rFonts w:ascii="Calibri" w:hAnsi="Calibri" w:cs="Times New Roman"/>
      <w:szCs w:val="20"/>
    </w:rPr>
  </w:style>
  <w:style w:type="paragraph" w:styleId="Footer">
    <w:name w:val="footer"/>
    <w:basedOn w:val="Normal"/>
    <w:link w:val="FooterChar"/>
    <w:uiPriority w:val="99"/>
    <w:unhideWhenUsed/>
    <w:rsid w:val="00A37634"/>
    <w:pPr>
      <w:pBdr>
        <w:top w:val="single" w:sz="4" w:space="3" w:color="ED1B24"/>
      </w:pBdr>
      <w:tabs>
        <w:tab w:val="right" w:pos="9630"/>
      </w:tabs>
      <w:spacing w:after="0" w:line="240" w:lineRule="auto"/>
    </w:pPr>
    <w:rPr>
      <w:rFonts w:ascii="Calibri" w:hAnsi="Calibri" w:cs="Times New Roman"/>
      <w:sz w:val="19"/>
      <w:szCs w:val="20"/>
      <w:lang w:val="en-AU"/>
    </w:rPr>
  </w:style>
  <w:style w:type="character" w:customStyle="1" w:styleId="FooterChar">
    <w:name w:val="Footer Char"/>
    <w:basedOn w:val="DefaultParagraphFont"/>
    <w:link w:val="Footer"/>
    <w:uiPriority w:val="99"/>
    <w:rsid w:val="00A37634"/>
    <w:rPr>
      <w:rFonts w:ascii="Calibri" w:hAnsi="Calibri" w:cs="Times New Roman"/>
      <w:sz w:val="19"/>
      <w:szCs w:val="20"/>
    </w:rPr>
  </w:style>
  <w:style w:type="table" w:styleId="TableGrid">
    <w:name w:val="Table Grid"/>
    <w:basedOn w:val="TableNormal"/>
    <w:uiPriority w:val="39"/>
    <w:rsid w:val="00A37634"/>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A37634"/>
    <w:pPr>
      <w:keepNext/>
      <w:spacing w:before="20" w:after="20" w:line="240" w:lineRule="auto"/>
    </w:pPr>
    <w:rPr>
      <w:rFonts w:ascii="Calibri" w:hAnsi="Calibri" w:cs="Times New Roman"/>
      <w:szCs w:val="20"/>
      <w:lang w:val="en-AU"/>
    </w:rPr>
  </w:style>
  <w:style w:type="paragraph" w:styleId="Date">
    <w:name w:val="Date"/>
    <w:basedOn w:val="Normal"/>
    <w:next w:val="Normal"/>
    <w:link w:val="DateChar"/>
    <w:uiPriority w:val="99"/>
    <w:qFormat/>
    <w:rsid w:val="00A37634"/>
    <w:pPr>
      <w:spacing w:after="360" w:line="276" w:lineRule="auto"/>
    </w:pPr>
    <w:rPr>
      <w:rFonts w:ascii="Calibri" w:hAnsi="Calibri" w:cs="Times New Roman"/>
      <w:szCs w:val="20"/>
      <w:lang w:val="en-AU"/>
    </w:rPr>
  </w:style>
  <w:style w:type="character" w:customStyle="1" w:styleId="DateChar">
    <w:name w:val="Date Char"/>
    <w:basedOn w:val="DefaultParagraphFont"/>
    <w:link w:val="Date"/>
    <w:uiPriority w:val="99"/>
    <w:rsid w:val="00A37634"/>
    <w:rPr>
      <w:rFonts w:ascii="Calibri" w:hAnsi="Calibri" w:cs="Times New Roman"/>
      <w:szCs w:val="20"/>
    </w:rPr>
  </w:style>
  <w:style w:type="character" w:customStyle="1" w:styleId="Heading1Char">
    <w:name w:val="Heading 1 Char"/>
    <w:basedOn w:val="DefaultParagraphFont"/>
    <w:link w:val="Heading1"/>
    <w:uiPriority w:val="9"/>
    <w:rsid w:val="00A37634"/>
    <w:rPr>
      <w:rFonts w:ascii="Calibri" w:eastAsia="Times New Roman" w:hAnsi="Calibri" w:cs="Times New Roman"/>
      <w:b/>
      <w:bCs/>
      <w:color w:val="ED1B24"/>
      <w:sz w:val="32"/>
      <w:szCs w:val="28"/>
    </w:rPr>
  </w:style>
  <w:style w:type="character" w:customStyle="1" w:styleId="Heading2Char">
    <w:name w:val="Heading 2 Char"/>
    <w:basedOn w:val="DefaultParagraphFont"/>
    <w:link w:val="Heading2"/>
    <w:uiPriority w:val="9"/>
    <w:rsid w:val="00A37634"/>
    <w:rPr>
      <w:rFonts w:ascii="Calibri" w:eastAsia="Times New Roman" w:hAnsi="Calibri" w:cs="Times New Roman"/>
      <w:bCs/>
      <w:color w:val="ED1B24"/>
      <w:sz w:val="28"/>
      <w:szCs w:val="26"/>
    </w:rPr>
  </w:style>
  <w:style w:type="character" w:customStyle="1" w:styleId="Heading3Char">
    <w:name w:val="Heading 3 Char"/>
    <w:basedOn w:val="DefaultParagraphFont"/>
    <w:link w:val="Heading3"/>
    <w:uiPriority w:val="9"/>
    <w:rsid w:val="00A37634"/>
    <w:rPr>
      <w:rFonts w:ascii="Calibri" w:eastAsia="Times New Roman" w:hAnsi="Calibri" w:cs="Times New Roman"/>
      <w:b/>
      <w:bCs/>
      <w:color w:val="000000"/>
      <w:sz w:val="24"/>
    </w:rPr>
  </w:style>
  <w:style w:type="character" w:customStyle="1" w:styleId="Heading4Char">
    <w:name w:val="Heading 4 Char"/>
    <w:basedOn w:val="DefaultParagraphFont"/>
    <w:link w:val="Heading4"/>
    <w:uiPriority w:val="9"/>
    <w:rsid w:val="00A37634"/>
    <w:rPr>
      <w:rFonts w:ascii="Calibri" w:eastAsia="Times New Roman" w:hAnsi="Calibri" w:cs="Times New Roman"/>
      <w:bCs/>
      <w:iCs/>
      <w:color w:val="000000"/>
      <w:sz w:val="22"/>
    </w:rPr>
  </w:style>
  <w:style w:type="character" w:styleId="PageNumber">
    <w:name w:val="page number"/>
    <w:basedOn w:val="DefaultParagraphFont"/>
    <w:uiPriority w:val="99"/>
    <w:semiHidden/>
    <w:unhideWhenUsed/>
    <w:rsid w:val="00A37634"/>
    <w:rPr>
      <w:sz w:val="18"/>
    </w:rPr>
  </w:style>
  <w:style w:type="paragraph" w:customStyle="1" w:styleId="TableHeading">
    <w:name w:val="TableHeading"/>
    <w:basedOn w:val="TableText"/>
    <w:qFormat/>
    <w:rsid w:val="00A37634"/>
    <w:pPr>
      <w:spacing w:before="60" w:after="60"/>
    </w:pPr>
    <w:rPr>
      <w:color w:val="FFFFFF"/>
    </w:rPr>
  </w:style>
  <w:style w:type="paragraph" w:customStyle="1" w:styleId="ReportTitle">
    <w:name w:val="ReportTitle"/>
    <w:basedOn w:val="Normal"/>
    <w:rsid w:val="00A37634"/>
    <w:pPr>
      <w:spacing w:before="2960" w:after="4000" w:line="240" w:lineRule="auto"/>
    </w:pPr>
    <w:rPr>
      <w:rFonts w:ascii="Calibri" w:hAnsi="Calibri" w:cs="Times New Roman"/>
      <w:b/>
      <w:color w:val="FFFFFF"/>
      <w:sz w:val="60"/>
      <w:szCs w:val="20"/>
      <w:lang w:val="en-AU"/>
    </w:rPr>
  </w:style>
  <w:style w:type="paragraph" w:customStyle="1" w:styleId="CopyrightInfo">
    <w:name w:val="CopyrightInfo"/>
    <w:basedOn w:val="Normal"/>
    <w:rsid w:val="00A37634"/>
    <w:pPr>
      <w:spacing w:after="120" w:line="276" w:lineRule="auto"/>
    </w:pPr>
    <w:rPr>
      <w:rFonts w:ascii="Calibri" w:hAnsi="Calibri" w:cs="Times New Roman"/>
      <w:sz w:val="16"/>
      <w:szCs w:val="20"/>
      <w:lang w:val="en-AU"/>
    </w:rPr>
  </w:style>
  <w:style w:type="paragraph" w:customStyle="1" w:styleId="ChapterTitle">
    <w:name w:val="ChapterTitle"/>
    <w:qFormat/>
    <w:rsid w:val="00A37634"/>
    <w:pPr>
      <w:pBdr>
        <w:bottom w:val="single" w:sz="12" w:space="1" w:color="ED1B24"/>
      </w:pBdr>
      <w:spacing w:after="720" w:line="240" w:lineRule="auto"/>
      <w:outlineLvl w:val="0"/>
    </w:pPr>
    <w:rPr>
      <w:rFonts w:ascii="Calibri" w:eastAsia="Times New Roman" w:hAnsi="Calibri" w:cs="Times New Roman"/>
      <w:b/>
      <w:bCs/>
      <w:color w:val="ED1B24"/>
      <w:sz w:val="50"/>
      <w:szCs w:val="28"/>
    </w:rPr>
  </w:style>
  <w:style w:type="paragraph" w:styleId="FootnoteText">
    <w:name w:val="footnote text"/>
    <w:basedOn w:val="Normal"/>
    <w:link w:val="FootnoteTextChar"/>
    <w:uiPriority w:val="99"/>
    <w:unhideWhenUsed/>
    <w:rsid w:val="00A37634"/>
    <w:pPr>
      <w:spacing w:after="0" w:line="240" w:lineRule="auto"/>
    </w:pPr>
    <w:rPr>
      <w:rFonts w:ascii="Calibri" w:hAnsi="Calibri" w:cs="Times New Roman"/>
      <w:sz w:val="20"/>
      <w:szCs w:val="20"/>
      <w:lang w:val="en-AU"/>
    </w:rPr>
  </w:style>
  <w:style w:type="character" w:customStyle="1" w:styleId="FootnoteTextChar">
    <w:name w:val="Footnote Text Char"/>
    <w:basedOn w:val="DefaultParagraphFont"/>
    <w:link w:val="FootnoteText"/>
    <w:uiPriority w:val="99"/>
    <w:rsid w:val="00A37634"/>
    <w:rPr>
      <w:rFonts w:ascii="Calibri" w:hAnsi="Calibri" w:cs="Times New Roman"/>
      <w:sz w:val="20"/>
      <w:szCs w:val="20"/>
    </w:rPr>
  </w:style>
  <w:style w:type="character" w:styleId="FootnoteReference">
    <w:name w:val="footnote reference"/>
    <w:basedOn w:val="DefaultParagraphFont"/>
    <w:uiPriority w:val="99"/>
    <w:unhideWhenUsed/>
    <w:rsid w:val="00A37634"/>
    <w:rPr>
      <w:vertAlign w:val="superscript"/>
    </w:rPr>
  </w:style>
  <w:style w:type="paragraph" w:customStyle="1" w:styleId="ContentsTitle">
    <w:name w:val="ContentsTitle"/>
    <w:basedOn w:val="ChapterTitle"/>
    <w:rsid w:val="00A37634"/>
    <w:pPr>
      <w:outlineLvl w:val="9"/>
    </w:pPr>
  </w:style>
  <w:style w:type="paragraph" w:customStyle="1" w:styleId="TOCHeading1">
    <w:name w:val="TOC Heading1"/>
    <w:basedOn w:val="Heading1"/>
    <w:next w:val="Normal"/>
    <w:uiPriority w:val="39"/>
    <w:unhideWhenUsed/>
    <w:qFormat/>
    <w:rsid w:val="00A37634"/>
  </w:style>
  <w:style w:type="paragraph" w:customStyle="1" w:styleId="TOC21">
    <w:name w:val="TOC 21"/>
    <w:basedOn w:val="Normal"/>
    <w:next w:val="Normal"/>
    <w:autoRedefine/>
    <w:uiPriority w:val="39"/>
    <w:unhideWhenUsed/>
    <w:qFormat/>
    <w:rsid w:val="00A37634"/>
    <w:pPr>
      <w:spacing w:after="100" w:line="276" w:lineRule="auto"/>
      <w:ind w:left="220"/>
    </w:pPr>
    <w:rPr>
      <w:rFonts w:eastAsia="Times New Roman"/>
      <w:lang w:val="en-US" w:eastAsia="ja-JP"/>
    </w:rPr>
  </w:style>
  <w:style w:type="paragraph" w:customStyle="1" w:styleId="TOC11">
    <w:name w:val="TOC 11"/>
    <w:basedOn w:val="Normal"/>
    <w:next w:val="Normal"/>
    <w:autoRedefine/>
    <w:uiPriority w:val="39"/>
    <w:unhideWhenUsed/>
    <w:qFormat/>
    <w:rsid w:val="00A37634"/>
    <w:pPr>
      <w:spacing w:after="100" w:line="276" w:lineRule="auto"/>
    </w:pPr>
    <w:rPr>
      <w:rFonts w:eastAsia="Times New Roman"/>
      <w:b/>
      <w:lang w:val="en-US" w:eastAsia="ja-JP"/>
    </w:rPr>
  </w:style>
  <w:style w:type="paragraph" w:customStyle="1" w:styleId="TOC31">
    <w:name w:val="TOC 31"/>
    <w:basedOn w:val="Normal"/>
    <w:next w:val="Normal"/>
    <w:autoRedefine/>
    <w:uiPriority w:val="39"/>
    <w:unhideWhenUsed/>
    <w:qFormat/>
    <w:rsid w:val="00A37634"/>
    <w:pPr>
      <w:spacing w:after="100" w:line="276" w:lineRule="auto"/>
      <w:ind w:left="440"/>
    </w:pPr>
    <w:rPr>
      <w:rFonts w:eastAsia="Times New Roman"/>
      <w:lang w:val="en-US" w:eastAsia="ja-JP"/>
    </w:rPr>
  </w:style>
  <w:style w:type="table" w:customStyle="1" w:styleId="E3">
    <w:name w:val="E3"/>
    <w:basedOn w:val="TableNormal"/>
    <w:uiPriority w:val="99"/>
    <w:rsid w:val="00A37634"/>
    <w:pPr>
      <w:spacing w:after="0" w:line="240" w:lineRule="auto"/>
    </w:pPr>
    <w:rPr>
      <w:rFonts w:ascii="Calibri" w:hAnsi="Calibri" w:cs="Times New Roman"/>
      <w:szCs w:val="20"/>
    </w:rPr>
    <w:tblPr>
      <w:tblBorders>
        <w:bottom w:val="single" w:sz="4" w:space="0" w:color="000000"/>
        <w:insideH w:val="single" w:sz="4" w:space="0" w:color="000000"/>
      </w:tblBorders>
    </w:tblPr>
    <w:tblStylePr w:type="firstRow">
      <w:rPr>
        <w:rFonts w:ascii="Calibri" w:hAnsi="Calibri"/>
        <w:color w:val="FFFFFF"/>
        <w:sz w:val="22"/>
      </w:rPr>
      <w:tblPr/>
      <w:tcPr>
        <w:shd w:val="clear" w:color="auto" w:fill="ED1B24"/>
      </w:tcPr>
    </w:tblStylePr>
  </w:style>
  <w:style w:type="paragraph" w:customStyle="1" w:styleId="TableName">
    <w:name w:val="TableName"/>
    <w:basedOn w:val="TableText"/>
    <w:qFormat/>
    <w:rsid w:val="00A37634"/>
    <w:pPr>
      <w:keepLines/>
      <w:tabs>
        <w:tab w:val="left" w:pos="1080"/>
      </w:tabs>
      <w:spacing w:before="180" w:after="120"/>
      <w:ind w:left="1080" w:hanging="1080"/>
    </w:pPr>
    <w:rPr>
      <w:b/>
    </w:rPr>
  </w:style>
  <w:style w:type="paragraph" w:customStyle="1" w:styleId="Bullets-Major">
    <w:name w:val="Bullets - Major"/>
    <w:basedOn w:val="NoSpacing"/>
    <w:qFormat/>
    <w:rsid w:val="00A37634"/>
    <w:pPr>
      <w:numPr>
        <w:numId w:val="1"/>
      </w:numPr>
      <w:spacing w:after="60"/>
    </w:pPr>
    <w:rPr>
      <w:szCs w:val="22"/>
    </w:rPr>
  </w:style>
  <w:style w:type="paragraph" w:styleId="NoSpacing">
    <w:name w:val="No Spacing"/>
    <w:aliases w:val="Paragragh text"/>
    <w:link w:val="NoSpacingChar"/>
    <w:uiPriority w:val="1"/>
    <w:qFormat/>
    <w:rsid w:val="00A37634"/>
    <w:pPr>
      <w:spacing w:after="0" w:line="240" w:lineRule="auto"/>
    </w:pPr>
    <w:rPr>
      <w:rFonts w:ascii="Calibri" w:hAnsi="Calibri" w:cs="Times New Roman"/>
      <w:szCs w:val="20"/>
    </w:rPr>
  </w:style>
  <w:style w:type="paragraph" w:styleId="ListParagraph">
    <w:name w:val="List Paragraph"/>
    <w:basedOn w:val="Normal"/>
    <w:uiPriority w:val="34"/>
    <w:qFormat/>
    <w:rsid w:val="00A37634"/>
    <w:pPr>
      <w:spacing w:after="120" w:line="276" w:lineRule="auto"/>
      <w:ind w:left="720"/>
      <w:contextualSpacing/>
    </w:pPr>
    <w:rPr>
      <w:rFonts w:ascii="Calibri" w:hAnsi="Calibri" w:cs="Times New Roman"/>
      <w:szCs w:val="20"/>
      <w:lang w:val="en-AU"/>
    </w:rPr>
  </w:style>
  <w:style w:type="paragraph" w:styleId="BalloonText">
    <w:name w:val="Balloon Text"/>
    <w:basedOn w:val="Normal"/>
    <w:link w:val="BalloonTextChar"/>
    <w:semiHidden/>
    <w:unhideWhenUsed/>
    <w:rsid w:val="00A37634"/>
    <w:pPr>
      <w:spacing w:after="0" w:line="240" w:lineRule="auto"/>
    </w:pPr>
    <w:rPr>
      <w:rFonts w:ascii="Segoe UI" w:hAnsi="Segoe UI" w:cs="Segoe UI"/>
      <w:sz w:val="18"/>
      <w:szCs w:val="18"/>
      <w:lang w:val="en-AU"/>
    </w:rPr>
  </w:style>
  <w:style w:type="character" w:customStyle="1" w:styleId="BalloonTextChar">
    <w:name w:val="Balloon Text Char"/>
    <w:basedOn w:val="DefaultParagraphFont"/>
    <w:link w:val="BalloonText"/>
    <w:semiHidden/>
    <w:rsid w:val="00A37634"/>
    <w:rPr>
      <w:rFonts w:ascii="Segoe UI" w:hAnsi="Segoe UI" w:cs="Segoe UI"/>
      <w:sz w:val="18"/>
      <w:szCs w:val="18"/>
    </w:rPr>
  </w:style>
  <w:style w:type="character" w:styleId="CommentReference">
    <w:name w:val="annotation reference"/>
    <w:basedOn w:val="DefaultParagraphFont"/>
    <w:semiHidden/>
    <w:unhideWhenUsed/>
    <w:rsid w:val="00A37634"/>
    <w:rPr>
      <w:sz w:val="16"/>
      <w:szCs w:val="16"/>
    </w:rPr>
  </w:style>
  <w:style w:type="paragraph" w:styleId="CommentText">
    <w:name w:val="annotation text"/>
    <w:basedOn w:val="Normal"/>
    <w:link w:val="CommentTextChar"/>
    <w:uiPriority w:val="99"/>
    <w:unhideWhenUsed/>
    <w:rsid w:val="00A37634"/>
    <w:pPr>
      <w:spacing w:after="120" w:line="240" w:lineRule="auto"/>
    </w:pPr>
    <w:rPr>
      <w:rFonts w:ascii="Calibri" w:hAnsi="Calibri" w:cs="Times New Roman"/>
      <w:sz w:val="20"/>
      <w:szCs w:val="20"/>
      <w:lang w:val="en-AU"/>
    </w:rPr>
  </w:style>
  <w:style w:type="character" w:customStyle="1" w:styleId="CommentTextChar">
    <w:name w:val="Comment Text Char"/>
    <w:basedOn w:val="DefaultParagraphFont"/>
    <w:link w:val="CommentText"/>
    <w:uiPriority w:val="99"/>
    <w:rsid w:val="00A37634"/>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37634"/>
    <w:rPr>
      <w:b/>
      <w:bCs/>
    </w:rPr>
  </w:style>
  <w:style w:type="character" w:customStyle="1" w:styleId="CommentSubjectChar">
    <w:name w:val="Comment Subject Char"/>
    <w:basedOn w:val="CommentTextChar"/>
    <w:link w:val="CommentSubject"/>
    <w:uiPriority w:val="99"/>
    <w:semiHidden/>
    <w:rsid w:val="00A37634"/>
    <w:rPr>
      <w:rFonts w:ascii="Calibri" w:hAnsi="Calibri" w:cs="Times New Roman"/>
      <w:b/>
      <w:bCs/>
      <w:sz w:val="20"/>
      <w:szCs w:val="20"/>
    </w:rPr>
  </w:style>
  <w:style w:type="table" w:customStyle="1" w:styleId="TableGridLight1">
    <w:name w:val="Table Grid Light1"/>
    <w:basedOn w:val="TableNormal"/>
    <w:uiPriority w:val="40"/>
    <w:rsid w:val="00A37634"/>
    <w:pPr>
      <w:spacing w:after="0" w:line="240" w:lineRule="auto"/>
    </w:pPr>
    <w:rPr>
      <w:lang w:val="en-NZ"/>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ption1">
    <w:name w:val="Caption1"/>
    <w:basedOn w:val="Normal"/>
    <w:next w:val="Normal"/>
    <w:unhideWhenUsed/>
    <w:qFormat/>
    <w:rsid w:val="00A37634"/>
    <w:pPr>
      <w:spacing w:after="200" w:line="240" w:lineRule="auto"/>
    </w:pPr>
    <w:rPr>
      <w:rFonts w:ascii="Calibri" w:hAnsi="Calibri" w:cs="Times New Roman"/>
      <w:i/>
      <w:iCs/>
      <w:color w:val="1F497D"/>
      <w:sz w:val="18"/>
      <w:szCs w:val="18"/>
      <w:lang w:val="en-AU"/>
    </w:rPr>
  </w:style>
  <w:style w:type="character" w:customStyle="1" w:styleId="Hyperlink1">
    <w:name w:val="Hyperlink1"/>
    <w:basedOn w:val="DefaultParagraphFont"/>
    <w:uiPriority w:val="99"/>
    <w:unhideWhenUsed/>
    <w:rsid w:val="00A37634"/>
    <w:rPr>
      <w:color w:val="0000FF"/>
      <w:u w:val="single"/>
    </w:rPr>
  </w:style>
  <w:style w:type="character" w:customStyle="1" w:styleId="UnresolvedMention1">
    <w:name w:val="Unresolved Mention1"/>
    <w:basedOn w:val="DefaultParagraphFont"/>
    <w:uiPriority w:val="99"/>
    <w:semiHidden/>
    <w:unhideWhenUsed/>
    <w:rsid w:val="00A37634"/>
    <w:rPr>
      <w:color w:val="605E5C"/>
      <w:shd w:val="clear" w:color="auto" w:fill="E1DFDD"/>
    </w:rPr>
  </w:style>
  <w:style w:type="paragraph" w:customStyle="1" w:styleId="E3Heading2">
    <w:name w:val="E3 Heading 2"/>
    <w:basedOn w:val="Heading3"/>
    <w:next w:val="Normal"/>
    <w:qFormat/>
    <w:rsid w:val="00A37634"/>
  </w:style>
  <w:style w:type="character" w:customStyle="1" w:styleId="Heading5Char">
    <w:name w:val="Heading 5 Char"/>
    <w:basedOn w:val="DefaultParagraphFont"/>
    <w:link w:val="Heading5"/>
    <w:uiPriority w:val="9"/>
    <w:semiHidden/>
    <w:rsid w:val="00A37634"/>
    <w:rPr>
      <w:rFonts w:ascii="Cambria" w:eastAsia="Times New Roman" w:hAnsi="Cambria" w:cs="Times New Roman"/>
      <w:color w:val="365F91"/>
      <w:sz w:val="22"/>
    </w:rPr>
  </w:style>
  <w:style w:type="paragraph" w:customStyle="1" w:styleId="E3FootnoteText">
    <w:name w:val="E3 Footnote Text"/>
    <w:basedOn w:val="FootnoteText"/>
    <w:qFormat/>
    <w:rsid w:val="00A37634"/>
    <w:pPr>
      <w:spacing w:line="278" w:lineRule="auto"/>
    </w:pPr>
    <w:rPr>
      <w:rFonts w:ascii="Georgia" w:eastAsia="Cambria" w:hAnsi="Georgia"/>
      <w:sz w:val="16"/>
      <w:szCs w:val="24"/>
    </w:rPr>
  </w:style>
  <w:style w:type="paragraph" w:customStyle="1" w:styleId="E3Heading3">
    <w:name w:val="E3 Heading 3"/>
    <w:basedOn w:val="Heading4"/>
    <w:next w:val="Normal"/>
    <w:link w:val="E3Heading3Char"/>
    <w:rsid w:val="00A37634"/>
  </w:style>
  <w:style w:type="paragraph" w:customStyle="1" w:styleId="E3TableHeading">
    <w:name w:val="E3 Table Heading"/>
    <w:basedOn w:val="E3FootnoteText"/>
    <w:qFormat/>
    <w:locked/>
    <w:rsid w:val="00A37634"/>
    <w:pPr>
      <w:spacing w:before="60" w:after="60" w:line="240" w:lineRule="auto"/>
    </w:pPr>
    <w:rPr>
      <w:rFonts w:ascii="Helvetica" w:eastAsia="Times New Roman" w:hAnsi="Helvetica" w:cs="Helvetica"/>
      <w:b/>
      <w:sz w:val="15"/>
      <w:szCs w:val="14"/>
    </w:rPr>
  </w:style>
  <w:style w:type="paragraph" w:customStyle="1" w:styleId="E3TableSubHeading">
    <w:name w:val="E3 Table Sub Heading"/>
    <w:qFormat/>
    <w:locked/>
    <w:rsid w:val="00A37634"/>
    <w:pPr>
      <w:spacing w:before="60" w:after="60" w:line="240" w:lineRule="auto"/>
    </w:pPr>
    <w:rPr>
      <w:rFonts w:ascii="Georgia" w:eastAsia="Times New Roman" w:hAnsi="Georgia" w:cs="Times New Roman"/>
      <w:b/>
      <w:sz w:val="14"/>
      <w:szCs w:val="14"/>
    </w:rPr>
  </w:style>
  <w:style w:type="paragraph" w:customStyle="1" w:styleId="E3Tabletext">
    <w:name w:val="E3 Table text"/>
    <w:autoRedefine/>
    <w:qFormat/>
    <w:locked/>
    <w:rsid w:val="00A37634"/>
    <w:pPr>
      <w:tabs>
        <w:tab w:val="left" w:pos="3293"/>
      </w:tabs>
      <w:spacing w:before="60" w:after="60" w:line="240" w:lineRule="auto"/>
      <w:ind w:left="35"/>
    </w:pPr>
    <w:rPr>
      <w:rFonts w:ascii="Georgia" w:eastAsia="Times New Roman" w:hAnsi="Georgia" w:cs="Times New Roman"/>
      <w:sz w:val="14"/>
      <w:szCs w:val="14"/>
    </w:rPr>
  </w:style>
  <w:style w:type="character" w:customStyle="1" w:styleId="E3Heading3Char">
    <w:name w:val="E3 Heading 3 Char"/>
    <w:basedOn w:val="Heading4Char"/>
    <w:link w:val="E3Heading3"/>
    <w:rsid w:val="00A37634"/>
    <w:rPr>
      <w:rFonts w:ascii="Calibri" w:eastAsia="Times New Roman" w:hAnsi="Calibri" w:cs="Times New Roman"/>
      <w:bCs/>
      <w:iCs/>
      <w:color w:val="000000"/>
      <w:sz w:val="22"/>
    </w:rPr>
  </w:style>
  <w:style w:type="paragraph" w:customStyle="1" w:styleId="E3Heading4">
    <w:name w:val="E3 Heading 4"/>
    <w:basedOn w:val="Heading5"/>
    <w:qFormat/>
    <w:rsid w:val="00A37634"/>
  </w:style>
  <w:style w:type="character" w:customStyle="1" w:styleId="FollowedHyperlink1">
    <w:name w:val="FollowedHyperlink1"/>
    <w:basedOn w:val="DefaultParagraphFont"/>
    <w:uiPriority w:val="99"/>
    <w:semiHidden/>
    <w:unhideWhenUsed/>
    <w:rsid w:val="00A37634"/>
    <w:rPr>
      <w:color w:val="800080"/>
      <w:u w:val="single"/>
    </w:rPr>
  </w:style>
  <w:style w:type="paragraph" w:customStyle="1" w:styleId="DRCaption">
    <w:name w:val="DR Caption"/>
    <w:basedOn w:val="Normal"/>
    <w:link w:val="DRCaptionChar"/>
    <w:qFormat/>
    <w:rsid w:val="00A37634"/>
    <w:pPr>
      <w:spacing w:before="20" w:after="40" w:line="240" w:lineRule="auto"/>
      <w:jc w:val="center"/>
    </w:pPr>
    <w:rPr>
      <w:rFonts w:ascii="Georgia" w:eastAsia="Cambria" w:hAnsi="Georgia" w:cs="Times New Roman"/>
      <w:b/>
      <w:bCs/>
      <w:sz w:val="20"/>
      <w:szCs w:val="16"/>
      <w:lang w:val="en-AU"/>
    </w:rPr>
  </w:style>
  <w:style w:type="paragraph" w:styleId="TableofFigures">
    <w:name w:val="table of figures"/>
    <w:basedOn w:val="Normal"/>
    <w:next w:val="Normal"/>
    <w:uiPriority w:val="99"/>
    <w:unhideWhenUsed/>
    <w:rsid w:val="00A37634"/>
    <w:pPr>
      <w:spacing w:after="0" w:line="276" w:lineRule="auto"/>
    </w:pPr>
    <w:rPr>
      <w:rFonts w:ascii="Calibri" w:hAnsi="Calibri" w:cs="Times New Roman"/>
      <w:szCs w:val="20"/>
      <w:lang w:val="en-AU"/>
    </w:rPr>
  </w:style>
  <w:style w:type="character" w:customStyle="1" w:styleId="DRCaptionChar">
    <w:name w:val="DR Caption Char"/>
    <w:basedOn w:val="DefaultParagraphFont"/>
    <w:link w:val="DRCaption"/>
    <w:rsid w:val="00A37634"/>
    <w:rPr>
      <w:rFonts w:ascii="Georgia" w:eastAsia="Cambria" w:hAnsi="Georgia" w:cs="Times New Roman"/>
      <w:b/>
      <w:bCs/>
      <w:sz w:val="20"/>
      <w:szCs w:val="16"/>
    </w:rPr>
  </w:style>
  <w:style w:type="character" w:customStyle="1" w:styleId="citeapp">
    <w:name w:val="cite_app"/>
    <w:rsid w:val="00A37634"/>
    <w:rPr>
      <w:rFonts w:ascii="Cambria" w:hAnsi="Cambria"/>
      <w:bdr w:val="none" w:sz="0" w:space="0" w:color="auto"/>
      <w:shd w:val="clear" w:color="auto" w:fill="CCFF33"/>
    </w:rPr>
  </w:style>
  <w:style w:type="character" w:customStyle="1" w:styleId="stddocNumber">
    <w:name w:val="std_docNumber"/>
    <w:rsid w:val="00A37634"/>
    <w:rPr>
      <w:rFonts w:ascii="Cambria" w:hAnsi="Cambria"/>
      <w:bdr w:val="none" w:sz="0" w:space="0" w:color="auto"/>
      <w:shd w:val="clear" w:color="auto" w:fill="F2DBDB"/>
    </w:rPr>
  </w:style>
  <w:style w:type="character" w:customStyle="1" w:styleId="stddocPartNumber">
    <w:name w:val="std_docPartNumber"/>
    <w:rsid w:val="00A37634"/>
    <w:rPr>
      <w:rFonts w:ascii="Cambria" w:hAnsi="Cambria"/>
      <w:bdr w:val="none" w:sz="0" w:space="0" w:color="auto"/>
      <w:shd w:val="clear" w:color="auto" w:fill="EAF1DD"/>
    </w:rPr>
  </w:style>
  <w:style w:type="character" w:customStyle="1" w:styleId="stdpublisher">
    <w:name w:val="std_publisher"/>
    <w:rsid w:val="00A37634"/>
    <w:rPr>
      <w:rFonts w:ascii="Cambria" w:hAnsi="Cambria"/>
      <w:bdr w:val="none" w:sz="0" w:space="0" w:color="auto"/>
      <w:shd w:val="clear" w:color="auto" w:fill="C6D9F1"/>
    </w:rPr>
  </w:style>
  <w:style w:type="paragraph" w:customStyle="1" w:styleId="ForewordText">
    <w:name w:val="Foreword Text"/>
    <w:basedOn w:val="Normal"/>
    <w:rsid w:val="00A37634"/>
    <w:pPr>
      <w:spacing w:after="120" w:line="240" w:lineRule="atLeast"/>
      <w:jc w:val="both"/>
    </w:pPr>
    <w:rPr>
      <w:rFonts w:ascii="Cambria" w:eastAsia="Calibri" w:hAnsi="Cambria" w:cs="Times New Roman"/>
      <w:lang w:val="en-AU"/>
    </w:rPr>
  </w:style>
  <w:style w:type="paragraph" w:customStyle="1" w:styleId="Default">
    <w:name w:val="Default"/>
    <w:rsid w:val="00A37634"/>
    <w:pPr>
      <w:autoSpaceDE w:val="0"/>
      <w:autoSpaceDN w:val="0"/>
      <w:adjustRightInd w:val="0"/>
      <w:spacing w:after="0" w:line="240" w:lineRule="auto"/>
    </w:pPr>
    <w:rPr>
      <w:rFonts w:ascii="Gotham Light" w:hAnsi="Gotham Light" w:cs="Gotham Light"/>
      <w:color w:val="000000"/>
      <w:sz w:val="24"/>
      <w:szCs w:val="24"/>
    </w:rPr>
  </w:style>
  <w:style w:type="paragraph" w:customStyle="1" w:styleId="tabletitle">
    <w:name w:val="table title"/>
    <w:basedOn w:val="Normal"/>
    <w:rsid w:val="00A37634"/>
    <w:pPr>
      <w:keepLines/>
      <w:spacing w:after="200" w:line="240" w:lineRule="auto"/>
    </w:pPr>
    <w:rPr>
      <w:rFonts w:ascii="Arial" w:eastAsia="Times New Roman" w:hAnsi="Arial" w:cs="Times New Roman"/>
      <w:b/>
      <w:sz w:val="20"/>
      <w:szCs w:val="20"/>
      <w:lang w:val="en-US" w:eastAsia="en-GB"/>
    </w:rPr>
  </w:style>
  <w:style w:type="paragraph" w:customStyle="1" w:styleId="TABLE-title">
    <w:name w:val="TABLE-title"/>
    <w:basedOn w:val="Normal"/>
    <w:next w:val="Normal"/>
    <w:qFormat/>
    <w:rsid w:val="00A37634"/>
    <w:pPr>
      <w:keepNext/>
      <w:snapToGrid w:val="0"/>
      <w:spacing w:before="100" w:after="200" w:line="240" w:lineRule="auto"/>
      <w:jc w:val="center"/>
    </w:pPr>
    <w:rPr>
      <w:rFonts w:ascii="Arial" w:eastAsia="Times New Roman" w:hAnsi="Arial" w:cs="Arial"/>
      <w:b/>
      <w:bCs/>
      <w:spacing w:val="8"/>
      <w:sz w:val="20"/>
      <w:szCs w:val="20"/>
      <w:lang w:eastAsia="zh-CN"/>
    </w:rPr>
  </w:style>
  <w:style w:type="paragraph" w:styleId="Revision">
    <w:name w:val="Revision"/>
    <w:hidden/>
    <w:uiPriority w:val="99"/>
    <w:semiHidden/>
    <w:rsid w:val="00A37634"/>
    <w:pPr>
      <w:spacing w:after="0" w:line="240" w:lineRule="auto"/>
    </w:pPr>
    <w:rPr>
      <w:rFonts w:ascii="Calibri" w:hAnsi="Calibri" w:cs="Times New Roman"/>
      <w:szCs w:val="20"/>
    </w:rPr>
  </w:style>
  <w:style w:type="character" w:customStyle="1" w:styleId="Heading1Char1">
    <w:name w:val="Heading 1 Char1"/>
    <w:basedOn w:val="DefaultParagraphFont"/>
    <w:uiPriority w:val="9"/>
    <w:rsid w:val="00A37634"/>
    <w:rPr>
      <w:rFonts w:asciiTheme="majorHAnsi" w:eastAsiaTheme="majorEastAsia" w:hAnsiTheme="majorHAnsi" w:cstheme="majorBidi"/>
      <w:color w:val="2F5496" w:themeColor="accent1" w:themeShade="BF"/>
      <w:sz w:val="32"/>
      <w:szCs w:val="32"/>
      <w:lang w:val="en-GB"/>
    </w:rPr>
  </w:style>
  <w:style w:type="character" w:customStyle="1" w:styleId="Heading2Char1">
    <w:name w:val="Heading 2 Char1"/>
    <w:basedOn w:val="DefaultParagraphFont"/>
    <w:uiPriority w:val="9"/>
    <w:semiHidden/>
    <w:rsid w:val="00A37634"/>
    <w:rPr>
      <w:rFonts w:asciiTheme="majorHAnsi" w:eastAsiaTheme="majorEastAsia" w:hAnsiTheme="majorHAnsi" w:cstheme="majorBidi"/>
      <w:color w:val="2F5496" w:themeColor="accent1" w:themeShade="BF"/>
      <w:sz w:val="26"/>
      <w:szCs w:val="26"/>
      <w:lang w:val="en-GB"/>
    </w:rPr>
  </w:style>
  <w:style w:type="character" w:customStyle="1" w:styleId="Heading3Char1">
    <w:name w:val="Heading 3 Char1"/>
    <w:basedOn w:val="DefaultParagraphFont"/>
    <w:uiPriority w:val="9"/>
    <w:semiHidden/>
    <w:rsid w:val="00A37634"/>
    <w:rPr>
      <w:rFonts w:asciiTheme="majorHAnsi" w:eastAsiaTheme="majorEastAsia" w:hAnsiTheme="majorHAnsi" w:cstheme="majorBidi"/>
      <w:color w:val="1F3763" w:themeColor="accent1" w:themeShade="7F"/>
      <w:sz w:val="24"/>
      <w:szCs w:val="24"/>
      <w:lang w:val="en-GB"/>
    </w:rPr>
  </w:style>
  <w:style w:type="character" w:customStyle="1" w:styleId="Heading4Char1">
    <w:name w:val="Heading 4 Char1"/>
    <w:basedOn w:val="DefaultParagraphFont"/>
    <w:uiPriority w:val="9"/>
    <w:semiHidden/>
    <w:rsid w:val="00A37634"/>
    <w:rPr>
      <w:rFonts w:asciiTheme="majorHAnsi" w:eastAsiaTheme="majorEastAsia" w:hAnsiTheme="majorHAnsi" w:cstheme="majorBidi"/>
      <w:i/>
      <w:iCs/>
      <w:color w:val="2F5496" w:themeColor="accent1" w:themeShade="BF"/>
      <w:lang w:val="en-GB"/>
    </w:rPr>
  </w:style>
  <w:style w:type="character" w:styleId="Hyperlink">
    <w:name w:val="Hyperlink"/>
    <w:basedOn w:val="DefaultParagraphFont"/>
    <w:uiPriority w:val="99"/>
    <w:unhideWhenUsed/>
    <w:rsid w:val="00A37634"/>
    <w:rPr>
      <w:color w:val="0563C1" w:themeColor="hyperlink"/>
      <w:u w:val="single"/>
    </w:rPr>
  </w:style>
  <w:style w:type="character" w:customStyle="1" w:styleId="Heading5Char1">
    <w:name w:val="Heading 5 Char1"/>
    <w:basedOn w:val="DefaultParagraphFont"/>
    <w:uiPriority w:val="9"/>
    <w:semiHidden/>
    <w:rsid w:val="00A37634"/>
    <w:rPr>
      <w:rFonts w:asciiTheme="majorHAnsi" w:eastAsiaTheme="majorEastAsia" w:hAnsiTheme="majorHAnsi" w:cstheme="majorBidi"/>
      <w:color w:val="2F5496" w:themeColor="accent1" w:themeShade="BF"/>
      <w:lang w:val="en-GB"/>
    </w:rPr>
  </w:style>
  <w:style w:type="character" w:styleId="FollowedHyperlink">
    <w:name w:val="FollowedHyperlink"/>
    <w:basedOn w:val="DefaultParagraphFont"/>
    <w:uiPriority w:val="99"/>
    <w:semiHidden/>
    <w:unhideWhenUsed/>
    <w:rsid w:val="00A37634"/>
    <w:rPr>
      <w:color w:val="954F72" w:themeColor="followedHyperlink"/>
      <w:u w:val="single"/>
    </w:rPr>
  </w:style>
  <w:style w:type="paragraph" w:styleId="TOC1">
    <w:name w:val="toc 1"/>
    <w:basedOn w:val="Normal"/>
    <w:next w:val="Normal"/>
    <w:autoRedefine/>
    <w:uiPriority w:val="39"/>
    <w:unhideWhenUsed/>
    <w:rsid w:val="00332F06"/>
    <w:pPr>
      <w:spacing w:after="100"/>
    </w:pPr>
  </w:style>
  <w:style w:type="paragraph" w:styleId="TOC2">
    <w:name w:val="toc 2"/>
    <w:basedOn w:val="Normal"/>
    <w:next w:val="Normal"/>
    <w:autoRedefine/>
    <w:uiPriority w:val="39"/>
    <w:unhideWhenUsed/>
    <w:rsid w:val="00332F06"/>
    <w:pPr>
      <w:spacing w:after="100"/>
      <w:ind w:left="220"/>
    </w:pPr>
  </w:style>
  <w:style w:type="paragraph" w:styleId="Caption">
    <w:name w:val="caption"/>
    <w:basedOn w:val="Normal"/>
    <w:next w:val="Normal"/>
    <w:uiPriority w:val="35"/>
    <w:unhideWhenUsed/>
    <w:qFormat/>
    <w:rsid w:val="0002674F"/>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9F08DD"/>
    <w:rPr>
      <w:color w:val="605E5C"/>
      <w:shd w:val="clear" w:color="auto" w:fill="E1DFDD"/>
    </w:rPr>
  </w:style>
  <w:style w:type="paragraph" w:customStyle="1" w:styleId="Figreference">
    <w:name w:val="Fig reference"/>
    <w:basedOn w:val="Normal"/>
    <w:link w:val="FigreferenceChar"/>
    <w:qFormat/>
    <w:rsid w:val="00A44EBF"/>
    <w:pPr>
      <w:spacing w:before="120" w:after="120" w:line="276" w:lineRule="auto"/>
    </w:pPr>
    <w:rPr>
      <w:rFonts w:ascii="Calibri" w:eastAsia="Cambria" w:hAnsi="Calibri" w:cs="Calibri"/>
      <w:lang w:val="en-AU"/>
    </w:rPr>
  </w:style>
  <w:style w:type="character" w:customStyle="1" w:styleId="FigreferenceChar">
    <w:name w:val="Fig reference Char"/>
    <w:basedOn w:val="DefaultParagraphFont"/>
    <w:link w:val="Figreference"/>
    <w:rsid w:val="00A44EBF"/>
    <w:rPr>
      <w:rFonts w:ascii="Calibri" w:eastAsia="Cambria" w:hAnsi="Calibri" w:cs="Calibri"/>
    </w:rPr>
  </w:style>
  <w:style w:type="character" w:customStyle="1" w:styleId="NoSpacingChar">
    <w:name w:val="No Spacing Char"/>
    <w:aliases w:val="Paragragh text Char"/>
    <w:basedOn w:val="DefaultParagraphFont"/>
    <w:link w:val="NoSpacing"/>
    <w:uiPriority w:val="1"/>
    <w:rsid w:val="00E0625E"/>
    <w:rPr>
      <w:rFonts w:ascii="Calibri" w:hAnsi="Calibri" w:cs="Times New Roman"/>
      <w:szCs w:val="20"/>
    </w:rPr>
  </w:style>
  <w:style w:type="paragraph" w:customStyle="1" w:styleId="EEATbullets">
    <w:name w:val="EEAT bullets"/>
    <w:basedOn w:val="Normal"/>
    <w:link w:val="EEATbulletsChar"/>
    <w:qFormat/>
    <w:rsid w:val="00E0625E"/>
    <w:pPr>
      <w:numPr>
        <w:numId w:val="20"/>
      </w:numPr>
      <w:spacing w:before="60" w:after="60" w:line="240" w:lineRule="auto"/>
    </w:pPr>
    <w:rPr>
      <w:rFonts w:ascii="Calibri" w:eastAsia="Cambria" w:hAnsi="Calibri" w:cs="Times New Roman"/>
      <w:szCs w:val="24"/>
      <w:lang w:val="en-AU"/>
    </w:rPr>
  </w:style>
  <w:style w:type="character" w:customStyle="1" w:styleId="EEATbulletsChar">
    <w:name w:val="EEAT bullets Char"/>
    <w:basedOn w:val="DefaultParagraphFont"/>
    <w:link w:val="EEATbullets"/>
    <w:rsid w:val="00E0625E"/>
    <w:rPr>
      <w:rFonts w:ascii="Calibri" w:eastAsia="Cambria" w:hAnsi="Calibri" w:cs="Times New Roman"/>
      <w:szCs w:val="24"/>
    </w:rPr>
  </w:style>
  <w:style w:type="paragraph" w:styleId="ListNumber">
    <w:name w:val="List Number"/>
    <w:basedOn w:val="Normal"/>
    <w:uiPriority w:val="99"/>
    <w:qFormat/>
    <w:rsid w:val="008F045D"/>
    <w:pPr>
      <w:spacing w:before="120" w:after="120" w:line="276" w:lineRule="auto"/>
    </w:pPr>
    <w:rPr>
      <w:rFonts w:ascii="Arial" w:eastAsia="Times New Roman" w:hAnsi="Arial" w:cs="Times New Roman"/>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41733">
      <w:bodyDiv w:val="1"/>
      <w:marLeft w:val="0"/>
      <w:marRight w:val="0"/>
      <w:marTop w:val="0"/>
      <w:marBottom w:val="0"/>
      <w:divBdr>
        <w:top w:val="none" w:sz="0" w:space="0" w:color="auto"/>
        <w:left w:val="none" w:sz="0" w:space="0" w:color="auto"/>
        <w:bottom w:val="none" w:sz="0" w:space="0" w:color="auto"/>
        <w:right w:val="none" w:sz="0" w:space="0" w:color="auto"/>
      </w:divBdr>
    </w:div>
    <w:div w:id="625816097">
      <w:bodyDiv w:val="1"/>
      <w:marLeft w:val="0"/>
      <w:marRight w:val="0"/>
      <w:marTop w:val="0"/>
      <w:marBottom w:val="0"/>
      <w:divBdr>
        <w:top w:val="none" w:sz="0" w:space="0" w:color="auto"/>
        <w:left w:val="none" w:sz="0" w:space="0" w:color="auto"/>
        <w:bottom w:val="none" w:sz="0" w:space="0" w:color="auto"/>
        <w:right w:val="none" w:sz="0" w:space="0" w:color="auto"/>
      </w:divBdr>
    </w:div>
    <w:div w:id="642853321">
      <w:bodyDiv w:val="1"/>
      <w:marLeft w:val="0"/>
      <w:marRight w:val="0"/>
      <w:marTop w:val="0"/>
      <w:marBottom w:val="0"/>
      <w:divBdr>
        <w:top w:val="none" w:sz="0" w:space="0" w:color="auto"/>
        <w:left w:val="none" w:sz="0" w:space="0" w:color="auto"/>
        <w:bottom w:val="none" w:sz="0" w:space="0" w:color="auto"/>
        <w:right w:val="none" w:sz="0" w:space="0" w:color="auto"/>
      </w:divBdr>
    </w:div>
    <w:div w:id="858855925">
      <w:bodyDiv w:val="1"/>
      <w:marLeft w:val="0"/>
      <w:marRight w:val="0"/>
      <w:marTop w:val="0"/>
      <w:marBottom w:val="0"/>
      <w:divBdr>
        <w:top w:val="none" w:sz="0" w:space="0" w:color="auto"/>
        <w:left w:val="none" w:sz="0" w:space="0" w:color="auto"/>
        <w:bottom w:val="none" w:sz="0" w:space="0" w:color="auto"/>
        <w:right w:val="none" w:sz="0" w:space="0" w:color="auto"/>
      </w:divBdr>
    </w:div>
    <w:div w:id="1198935248">
      <w:bodyDiv w:val="1"/>
      <w:marLeft w:val="0"/>
      <w:marRight w:val="0"/>
      <w:marTop w:val="0"/>
      <w:marBottom w:val="0"/>
      <w:divBdr>
        <w:top w:val="none" w:sz="0" w:space="0" w:color="auto"/>
        <w:left w:val="none" w:sz="0" w:space="0" w:color="auto"/>
        <w:bottom w:val="none" w:sz="0" w:space="0" w:color="auto"/>
        <w:right w:val="none" w:sz="0" w:space="0" w:color="auto"/>
      </w:divBdr>
    </w:div>
    <w:div w:id="1216821644">
      <w:bodyDiv w:val="1"/>
      <w:marLeft w:val="0"/>
      <w:marRight w:val="0"/>
      <w:marTop w:val="0"/>
      <w:marBottom w:val="0"/>
      <w:divBdr>
        <w:top w:val="none" w:sz="0" w:space="0" w:color="auto"/>
        <w:left w:val="none" w:sz="0" w:space="0" w:color="auto"/>
        <w:bottom w:val="none" w:sz="0" w:space="0" w:color="auto"/>
        <w:right w:val="none" w:sz="0" w:space="0" w:color="auto"/>
      </w:divBdr>
    </w:div>
    <w:div w:id="1269235744">
      <w:bodyDiv w:val="1"/>
      <w:marLeft w:val="0"/>
      <w:marRight w:val="0"/>
      <w:marTop w:val="0"/>
      <w:marBottom w:val="0"/>
      <w:divBdr>
        <w:top w:val="none" w:sz="0" w:space="0" w:color="auto"/>
        <w:left w:val="none" w:sz="0" w:space="0" w:color="auto"/>
        <w:bottom w:val="none" w:sz="0" w:space="0" w:color="auto"/>
        <w:right w:val="none" w:sz="0" w:space="0" w:color="auto"/>
      </w:divBdr>
    </w:div>
    <w:div w:id="1344742993">
      <w:bodyDiv w:val="1"/>
      <w:marLeft w:val="0"/>
      <w:marRight w:val="0"/>
      <w:marTop w:val="0"/>
      <w:marBottom w:val="0"/>
      <w:divBdr>
        <w:top w:val="none" w:sz="0" w:space="0" w:color="auto"/>
        <w:left w:val="none" w:sz="0" w:space="0" w:color="auto"/>
        <w:bottom w:val="none" w:sz="0" w:space="0" w:color="auto"/>
        <w:right w:val="none" w:sz="0" w:space="0" w:color="auto"/>
      </w:divBdr>
    </w:div>
    <w:div w:id="1416785350">
      <w:bodyDiv w:val="1"/>
      <w:marLeft w:val="0"/>
      <w:marRight w:val="0"/>
      <w:marTop w:val="0"/>
      <w:marBottom w:val="0"/>
      <w:divBdr>
        <w:top w:val="none" w:sz="0" w:space="0" w:color="auto"/>
        <w:left w:val="none" w:sz="0" w:space="0" w:color="auto"/>
        <w:bottom w:val="none" w:sz="0" w:space="0" w:color="auto"/>
        <w:right w:val="none" w:sz="0" w:space="0" w:color="auto"/>
      </w:divBdr>
    </w:div>
    <w:div w:id="1525286627">
      <w:bodyDiv w:val="1"/>
      <w:marLeft w:val="0"/>
      <w:marRight w:val="0"/>
      <w:marTop w:val="0"/>
      <w:marBottom w:val="0"/>
      <w:divBdr>
        <w:top w:val="none" w:sz="0" w:space="0" w:color="auto"/>
        <w:left w:val="none" w:sz="0" w:space="0" w:color="auto"/>
        <w:bottom w:val="none" w:sz="0" w:space="0" w:color="auto"/>
        <w:right w:val="none" w:sz="0" w:space="0" w:color="auto"/>
      </w:divBdr>
    </w:div>
    <w:div w:id="1756321505">
      <w:bodyDiv w:val="1"/>
      <w:marLeft w:val="0"/>
      <w:marRight w:val="0"/>
      <w:marTop w:val="0"/>
      <w:marBottom w:val="0"/>
      <w:divBdr>
        <w:top w:val="none" w:sz="0" w:space="0" w:color="auto"/>
        <w:left w:val="none" w:sz="0" w:space="0" w:color="auto"/>
        <w:bottom w:val="none" w:sz="0" w:space="0" w:color="auto"/>
        <w:right w:val="none" w:sz="0" w:space="0" w:color="auto"/>
      </w:divBdr>
    </w:div>
    <w:div w:id="1759133725">
      <w:bodyDiv w:val="1"/>
      <w:marLeft w:val="0"/>
      <w:marRight w:val="0"/>
      <w:marTop w:val="0"/>
      <w:marBottom w:val="0"/>
      <w:divBdr>
        <w:top w:val="none" w:sz="0" w:space="0" w:color="auto"/>
        <w:left w:val="none" w:sz="0" w:space="0" w:color="auto"/>
        <w:bottom w:val="none" w:sz="0" w:space="0" w:color="auto"/>
        <w:right w:val="none" w:sz="0" w:space="0" w:color="auto"/>
      </w:divBdr>
    </w:div>
    <w:div w:id="195801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eader" Target="header2.xml"/><Relationship Id="rId41" Type="http://schemas.openxmlformats.org/officeDocument/2006/relationships/image" Target="media/image25.png"/><Relationship Id="rId54" Type="http://schemas.openxmlformats.org/officeDocument/2006/relationships/image" Target="media/image38.emf"/><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image" Target="media/image21.png"/><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nergyrating.gov.au" TargetMode="External"/><Relationship Id="rId27" Type="http://schemas.openxmlformats.org/officeDocument/2006/relationships/hyperlink" Target="http://www.energyrating.gov.au" TargetMode="External"/><Relationship Id="rId30" Type="http://schemas.openxmlformats.org/officeDocument/2006/relationships/footer" Target="footer4.xml"/><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forecasting.aemo.com.au/" TargetMode="External"/><Relationship Id="rId46" Type="http://schemas.openxmlformats.org/officeDocument/2006/relationships/image" Target="media/image30.emf"/><Relationship Id="rId59" Type="http://schemas.openxmlformats.org/officeDocument/2006/relationships/image" Target="media/image43.png"/></Relationships>
</file>

<file path=word/_rels/footnotes.xml.rels><?xml version="1.0" encoding="UTF-8" standalone="yes"?>
<Relationships xmlns="http://schemas.openxmlformats.org/package/2006/relationships"><Relationship Id="rId8" Type="http://schemas.openxmlformats.org/officeDocument/2006/relationships/hyperlink" Target="https://e3p.jrc.ec.europa.eu/publications/proceedings-9th-international-conference-energy-efficiency-domestic-appliances-and-0" TargetMode="External"/><Relationship Id="rId13" Type="http://schemas.openxmlformats.org/officeDocument/2006/relationships/hyperlink" Target="https://www.abc.net.au/news/2019-01-26/victorian-blackouts-what-caused-them-and-is-this-the-new-normal/10751412" TargetMode="External"/><Relationship Id="rId18" Type="http://schemas.openxmlformats.org/officeDocument/2006/relationships/hyperlink" Target="https://www.sae.org/standards/content/j1772_201710/" TargetMode="External"/><Relationship Id="rId26" Type="http://schemas.openxmlformats.org/officeDocument/2006/relationships/hyperlink" Target="https://www.aemc.gov.au/rule-changes/wholesale-demand-response-mechanism" TargetMode="External"/><Relationship Id="rId3" Type="http://schemas.openxmlformats.org/officeDocument/2006/relationships/hyperlink" Target="https://www.energex.com.au/home/control-your-energy/positive-payback-program/positive-payback-for-households/air-conditioning-rewards" TargetMode="External"/><Relationship Id="rId21" Type="http://schemas.openxmlformats.org/officeDocument/2006/relationships/hyperlink" Target="https://www.aemc.gov.au/rule-changes/wholesale-demand-response-mechanism" TargetMode="External"/><Relationship Id="rId34" Type="http://schemas.openxmlformats.org/officeDocument/2006/relationships/hyperlink" Target="https://products.openadr.org/" TargetMode="External"/><Relationship Id="rId7" Type="http://schemas.openxmlformats.org/officeDocument/2006/relationships/hyperlink" Target="http://www.energyrating.gov.au/products-themes/other/swimming-pool-pumps" TargetMode="External"/><Relationship Id="rId12" Type="http://schemas.openxmlformats.org/officeDocument/2006/relationships/hyperlink" Target="http://www.smh.com.au/news/environment/we-love-a-sunburnt-country-our-aircons-too/2009/02/02/1233423135557.html" TargetMode="External"/><Relationship Id="rId17" Type="http://schemas.openxmlformats.org/officeDocument/2006/relationships/hyperlink" Target="https://www.aph.gov.au/Parliamentary_Business/Committees/Senate/Electric_Vehicles" TargetMode="External"/><Relationship Id="rId25" Type="http://schemas.openxmlformats.org/officeDocument/2006/relationships/hyperlink" Target="https://www.accc.gov.au/public-registers/authorisations-and-notifications-registers/authorisations-register/new-energy-tech-consumer-code" TargetMode="External"/><Relationship Id="rId33" Type="http://schemas.openxmlformats.org/officeDocument/2006/relationships/hyperlink" Target="https://eco-smartappliances.eu/en" TargetMode="External"/><Relationship Id="rId2" Type="http://schemas.openxmlformats.org/officeDocument/2006/relationships/hyperlink" Target="http://forecasting.aemo.com.au/" TargetMode="External"/><Relationship Id="rId16" Type="http://schemas.openxmlformats.org/officeDocument/2006/relationships/hyperlink" Target="https://theconversation.com/new-zealand-poised-to-introduce-clean-car-standards-and-incentives-to-cut-emissions-120896" TargetMode="External"/><Relationship Id="rId20" Type="http://schemas.openxmlformats.org/officeDocument/2006/relationships/hyperlink" Target="https://www.agl.com.au/solar-renewables/projects/peak-energy-rewards-managed-for-you" TargetMode="External"/><Relationship Id="rId29" Type="http://schemas.openxmlformats.org/officeDocument/2006/relationships/hyperlink" Target="https://echonet.jp/product_en/echonet_lite_specification/" TargetMode="External"/><Relationship Id="rId1" Type="http://schemas.openxmlformats.org/officeDocument/2006/relationships/hyperlink" Target="https://www.aemc.gov.au/rule-changes/wholesale-demand-response-mechanism" TargetMode="External"/><Relationship Id="rId6" Type="http://schemas.openxmlformats.org/officeDocument/2006/relationships/hyperlink" Target="http://www.bom.gov.au/climate/current/statements/scs68.pdf" TargetMode="External"/><Relationship Id="rId11" Type="http://schemas.openxmlformats.org/officeDocument/2006/relationships/hyperlink" Target="http://www.smh.com.au/articles/2004/10/24/1098556297439.html" TargetMode="External"/><Relationship Id="rId24" Type="http://schemas.openxmlformats.org/officeDocument/2006/relationships/hyperlink" Target="http://www.energyrating.gov.au" TargetMode="External"/><Relationship Id="rId32" Type="http://schemas.openxmlformats.org/officeDocument/2006/relationships/hyperlink" Target="https://www.legislation.gov.au/Details/F2019L01066" TargetMode="External"/><Relationship Id="rId5" Type="http://schemas.openxmlformats.org/officeDocument/2006/relationships/hyperlink" Target="http://www.energyrating.gov.au" TargetMode="External"/><Relationship Id="rId15" Type="http://schemas.openxmlformats.org/officeDocument/2006/relationships/hyperlink" Target="http://www.energyrating.gov.au/document/policy-framework-hot-water-systems-australia-new-zealand" TargetMode="External"/><Relationship Id="rId23" Type="http://schemas.openxmlformats.org/officeDocument/2006/relationships/hyperlink" Target="https://www.agl.com.au/terms-conditions/managed-for-you-terms-and-conditions" TargetMode="External"/><Relationship Id="rId28" Type="http://schemas.openxmlformats.org/officeDocument/2006/relationships/hyperlink" Target="http://forecasting.aemo.com.au/" TargetMode="External"/><Relationship Id="rId10" Type="http://schemas.openxmlformats.org/officeDocument/2006/relationships/hyperlink" Target="https://www.legislation.sa.gov.au/LZ/B/CURRENT/NATIONAL%20ELECTRICITY%20(SOUTH%20AUSTRALIA)%20(RETAILER%20RELIABILITY%20OBLIGATION)%20AMENDMENT%20BILL%202019.aspx" TargetMode="External"/><Relationship Id="rId19" Type="http://schemas.openxmlformats.org/officeDocument/2006/relationships/hyperlink" Target="https://webstore.iec.ch/publication/33644" TargetMode="External"/><Relationship Id="rId31" Type="http://schemas.openxmlformats.org/officeDocument/2006/relationships/hyperlink" Target="http://www.energyrating.gov.au/products/electric-motors" TargetMode="External"/><Relationship Id="rId4" Type="http://schemas.openxmlformats.org/officeDocument/2006/relationships/hyperlink" Target="https://www.aemc.gov.au/rule-changes/wholesale-demand-response-mechanism" TargetMode="External"/><Relationship Id="rId9" Type="http://schemas.openxmlformats.org/officeDocument/2006/relationships/hyperlink" Target="https://www.aer.gov.au/networks-pipelines/determinations-access-arrangements/energex-determination-2020-25/proposal" TargetMode="External"/><Relationship Id="rId14" Type="http://schemas.openxmlformats.org/officeDocument/2006/relationships/hyperlink" Target="https://solaray.com.au/how-much-do-solar-batteries-cost/" TargetMode="External"/><Relationship Id="rId22" Type="http://schemas.openxmlformats.org/officeDocument/2006/relationships/hyperlink" Target="https://www.aemo.com.au/Electricity/National-Electricity-Market-NEM/Emergency-Management/RERT-panel-expressions-of-interest" TargetMode="External"/><Relationship Id="rId27" Type="http://schemas.openxmlformats.org/officeDocument/2006/relationships/hyperlink" Target="https://www.aemo.com.au/Electricity/National-Electricity-Market-NEM/Emergency-Management/RERT-panel-expressions-of-interest" TargetMode="External"/><Relationship Id="rId30" Type="http://schemas.openxmlformats.org/officeDocument/2006/relationships/hyperlink" Target="https://www.energystar.gov/products/spec/connected_thermostats_specification_v1_0_p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44CACA1706754DB622D2AAEDE325E7" ma:contentTypeVersion="7" ma:contentTypeDescription="Create a new document." ma:contentTypeScope="" ma:versionID="d0bb310b2bac4183ee71c2f82b6702d9">
  <xsd:schema xmlns:xsd="http://www.w3.org/2001/XMLSchema" xmlns:xs="http://www.w3.org/2001/XMLSchema" xmlns:p="http://schemas.microsoft.com/office/2006/metadata/properties" xmlns:ns3="c41a35eb-90fb-4d69-bdc3-7450dc540d05" xmlns:ns4="75d5780c-1447-4e22-b605-d83ca17c6410" targetNamespace="http://schemas.microsoft.com/office/2006/metadata/properties" ma:root="true" ma:fieldsID="a9904e9433c011d7c9103f399df217d7" ns3:_="" ns4:_="">
    <xsd:import namespace="c41a35eb-90fb-4d69-bdc3-7450dc540d05"/>
    <xsd:import namespace="75d5780c-1447-4e22-b605-d83ca17c64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a35eb-90fb-4d69-bdc3-7450dc540d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d5780c-1447-4e22-b605-d83ca17c64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4B139-96D2-411A-8C41-76501C4EB2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E6BE30-5991-49C3-8070-05B3C989AB00}">
  <ds:schemaRefs>
    <ds:schemaRef ds:uri="http://schemas.microsoft.com/sharepoint/v3/contenttype/forms"/>
  </ds:schemaRefs>
</ds:datastoreItem>
</file>

<file path=customXml/itemProps3.xml><?xml version="1.0" encoding="utf-8"?>
<ds:datastoreItem xmlns:ds="http://schemas.openxmlformats.org/officeDocument/2006/customXml" ds:itemID="{C62EBDBF-DE26-4F42-8ACF-F016B0975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a35eb-90fb-4d69-bdc3-7450dc540d05"/>
    <ds:schemaRef ds:uri="75d5780c-1447-4e22-b605-d83ca17c6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0A7243-73AC-4A47-B568-D0D555EB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109</Pages>
  <Words>38107</Words>
  <Characters>217210</Characters>
  <Application>Microsoft Office Word</Application>
  <DocSecurity>0</DocSecurity>
  <Lines>1810</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Simmonds, James (DEM)</dc:creator>
  <cp:keywords/>
  <dc:description/>
  <cp:lastModifiedBy>Walker, Craig (DEM)</cp:lastModifiedBy>
  <cp:revision>92</cp:revision>
  <cp:lastPrinted>2019-10-14T23:46:00Z</cp:lastPrinted>
  <dcterms:created xsi:type="dcterms:W3CDTF">2019-10-21T22:34:00Z</dcterms:created>
  <dcterms:modified xsi:type="dcterms:W3CDTF">2019-10-29T23:24:00Z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0x0101004744CACA1706754DB622D2AAEDE325E7</vt:lpwstr>
  </property>
</Properties>
</file>